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exact"/>
        <w:jc w:val="center"/>
        <w:rPr>
          <w:rFonts w:ascii="宋体" w:cs="宋体"/>
          <w:b/>
          <w:bCs/>
          <w:sz w:val="15"/>
          <w:szCs w:val="15"/>
        </w:rPr>
      </w:pPr>
      <w:r>
        <w:rPr>
          <w:rFonts w:hint="eastAsia" w:ascii="宋体" w:hAnsi="宋体" w:cs="宋体"/>
          <w:b/>
          <w:bCs/>
          <w:sz w:val="44"/>
          <w:szCs w:val="44"/>
        </w:rPr>
        <w:t>突发环境事件应急预案评审意见表</w:t>
      </w:r>
    </w:p>
    <w:tbl>
      <w:tblPr>
        <w:tblStyle w:val="7"/>
        <w:tblW w:w="895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956" w:type="dxa"/>
            <w:tcBorders>
              <w:top w:val="single" w:color="auto" w:sz="8" w:space="0"/>
            </w:tcBorders>
            <w:vAlign w:val="center"/>
          </w:tcPr>
          <w:p>
            <w:pPr>
              <w:adjustRightInd w:val="0"/>
              <w:snapToGrid w:val="0"/>
              <w:jc w:val="left"/>
              <w:rPr>
                <w:rFonts w:ascii="宋体"/>
                <w:sz w:val="21"/>
                <w:szCs w:val="21"/>
                <w:u w:val="single"/>
              </w:rPr>
            </w:pPr>
            <w:r>
              <w:rPr>
                <w:rFonts w:hint="eastAsia" w:ascii="宋体" w:hAnsi="宋体"/>
                <w:sz w:val="21"/>
                <w:szCs w:val="21"/>
              </w:rPr>
              <w:t>评审时间</w:t>
            </w:r>
            <w:r>
              <w:rPr>
                <w:rFonts w:hint="eastAsia" w:ascii="宋体" w:hAnsi="宋体"/>
                <w:sz w:val="21"/>
                <w:szCs w:val="21"/>
                <w:u w:val="single"/>
              </w:rPr>
              <w:t xml:space="preserve">：                </w:t>
            </w:r>
            <w:r>
              <w:rPr>
                <w:rFonts w:hint="eastAsia" w:ascii="宋体" w:hAnsi="宋体"/>
                <w:sz w:val="21"/>
                <w:szCs w:val="21"/>
              </w:rPr>
              <w:t xml:space="preserve">地点：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956" w:type="dxa"/>
            <w:vAlign w:val="center"/>
          </w:tcPr>
          <w:p>
            <w:pPr>
              <w:adjustRightInd w:val="0"/>
              <w:snapToGrid w:val="0"/>
              <w:rPr>
                <w:rFonts w:ascii="宋体"/>
                <w:sz w:val="21"/>
                <w:szCs w:val="21"/>
              </w:rPr>
            </w:pPr>
            <w:r>
              <w:rPr>
                <w:rFonts w:hint="eastAsia" w:ascii="宋体" w:hAnsi="宋体"/>
                <w:sz w:val="21"/>
                <w:szCs w:val="21"/>
              </w:rPr>
              <w:t>评审方式：</w:t>
            </w:r>
            <w:r>
              <w:rPr>
                <w:rFonts w:hint="eastAsia" w:ascii="宋体" w:hAnsi="宋体"/>
                <w:sz w:val="21"/>
                <w:szCs w:val="21"/>
                <w:lang w:eastAsia="zh-CN"/>
              </w:rPr>
              <w:t>☑</w:t>
            </w:r>
            <w:r>
              <w:rPr>
                <w:rFonts w:hint="eastAsia" w:ascii="宋体" w:hAnsi="宋体"/>
                <w:sz w:val="21"/>
                <w:szCs w:val="21"/>
              </w:rPr>
              <w:t>函审，□会议评审，</w:t>
            </w:r>
            <w:r>
              <w:rPr>
                <w:rFonts w:hint="eastAsia" w:ascii="宋体" w:hAnsi="MS Mincho" w:cs="MS Mincho"/>
                <w:sz w:val="21"/>
                <w:szCs w:val="21"/>
                <w:lang w:eastAsia="zh-CN"/>
              </w:rPr>
              <w:t>□</w:t>
            </w:r>
            <w:r>
              <w:rPr>
                <w:rFonts w:hint="eastAsia" w:ascii="宋体" w:hAnsi="宋体"/>
                <w:sz w:val="21"/>
                <w:szCs w:val="21"/>
              </w:rPr>
              <w:t>函审、会议评审结合，□其他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8956" w:type="dxa"/>
            <w:vAlign w:val="center"/>
          </w:tcPr>
          <w:p>
            <w:pPr>
              <w:adjustRightInd w:val="0"/>
              <w:snapToGrid w:val="0"/>
              <w:rPr>
                <w:rFonts w:ascii="宋体"/>
                <w:sz w:val="21"/>
                <w:szCs w:val="21"/>
              </w:rPr>
            </w:pPr>
            <w:r>
              <w:rPr>
                <w:rFonts w:hint="eastAsia" w:ascii="宋体" w:hAnsi="宋体"/>
                <w:sz w:val="21"/>
                <w:szCs w:val="21"/>
              </w:rPr>
              <w:t>评审结论：</w:t>
            </w:r>
            <w:r>
              <w:rPr>
                <w:rFonts w:hint="eastAsia" w:ascii="宋体" w:hAnsi="宋体"/>
                <w:sz w:val="21"/>
                <w:szCs w:val="21"/>
                <w:lang w:eastAsia="zh-CN"/>
              </w:rPr>
              <w:t>□</w:t>
            </w:r>
            <w:r>
              <w:rPr>
                <w:rFonts w:hint="eastAsia" w:ascii="宋体" w:hAnsi="宋体"/>
                <w:sz w:val="21"/>
                <w:szCs w:val="21"/>
              </w:rPr>
              <w:t>通过评审，</w:t>
            </w:r>
            <w:r>
              <w:rPr>
                <w:rFonts w:hint="eastAsia" w:ascii="宋体" w:hAnsi="宋体"/>
                <w:sz w:val="21"/>
                <w:szCs w:val="21"/>
                <w:lang w:eastAsia="zh-CN"/>
              </w:rPr>
              <w:t>☑</w:t>
            </w:r>
            <w:r>
              <w:rPr>
                <w:rFonts w:hint="eastAsia" w:ascii="宋体" w:hAnsi="宋体"/>
                <w:sz w:val="21"/>
                <w:szCs w:val="21"/>
              </w:rPr>
              <w:t>原则通过但需进行修改复核，□未通过评审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17" w:hRule="atLeast"/>
        </w:trPr>
        <w:tc>
          <w:tcPr>
            <w:tcW w:w="8956" w:type="dxa"/>
            <w:vAlign w:val="center"/>
          </w:tcPr>
          <w:p>
            <w:pPr>
              <w:adjustRightInd w:val="0"/>
              <w:snapToGrid w:val="0"/>
              <w:spacing w:line="400" w:lineRule="exact"/>
              <w:rPr>
                <w:rFonts w:ascii="宋体"/>
                <w:sz w:val="21"/>
                <w:szCs w:val="21"/>
              </w:rPr>
            </w:pPr>
            <w:r>
              <w:rPr>
                <w:rFonts w:hint="eastAsia" w:ascii="宋体" w:hAnsi="宋体"/>
                <w:sz w:val="21"/>
                <w:szCs w:val="21"/>
              </w:rPr>
              <w:t>评审过程：</w:t>
            </w:r>
          </w:p>
          <w:p>
            <w:pPr>
              <w:spacing w:line="360" w:lineRule="auto"/>
              <w:ind w:firstLine="420" w:firstLineChars="200"/>
              <w:jc w:val="both"/>
              <w:rPr>
                <w:rFonts w:ascii="宋体"/>
                <w:color w:val="auto"/>
                <w:sz w:val="21"/>
                <w:szCs w:val="21"/>
              </w:rPr>
            </w:pPr>
            <w:r>
              <w:rPr>
                <w:rFonts w:hint="eastAsia" w:ascii="宋体" w:hAnsi="宋体" w:cs="Times New Roman"/>
                <w:color w:val="auto"/>
                <w:sz w:val="21"/>
                <w:szCs w:val="21"/>
              </w:rPr>
              <w:t>《</w:t>
            </w:r>
            <w:r>
              <w:rPr>
                <w:rFonts w:hint="eastAsia" w:ascii="宋体" w:hAnsi="宋体"/>
                <w:color w:val="auto"/>
                <w:sz w:val="21"/>
                <w:szCs w:val="21"/>
                <w:lang w:eastAsia="zh-CN"/>
              </w:rPr>
              <w:t>咸阳汇鑫机械制造有限公司</w:t>
            </w:r>
            <w:r>
              <w:rPr>
                <w:rFonts w:hint="default" w:ascii="宋体" w:hAnsi="宋体"/>
                <w:color w:val="auto"/>
                <w:sz w:val="21"/>
                <w:szCs w:val="21"/>
              </w:rPr>
              <w:t>突发环境事件应急预案</w:t>
            </w:r>
            <w:r>
              <w:rPr>
                <w:rFonts w:hint="eastAsia" w:ascii="宋体" w:hAnsi="宋体"/>
                <w:color w:val="auto"/>
                <w:sz w:val="21"/>
                <w:szCs w:val="21"/>
              </w:rPr>
              <w:t>》编制单位分别邀请</w:t>
            </w:r>
            <w:r>
              <w:rPr>
                <w:rFonts w:hint="eastAsia" w:ascii="宋体" w:hAnsi="宋体"/>
                <w:color w:val="auto"/>
                <w:sz w:val="21"/>
                <w:szCs w:val="21"/>
                <w:lang w:eastAsia="zh-CN"/>
              </w:rPr>
              <w:t>三</w:t>
            </w:r>
            <w:r>
              <w:rPr>
                <w:rFonts w:hint="eastAsia" w:ascii="宋体" w:hAnsi="宋体"/>
                <w:color w:val="auto"/>
                <w:sz w:val="21"/>
                <w:szCs w:val="21"/>
              </w:rPr>
              <w:t>位应急管理专家对该预案进行了函审，</w:t>
            </w:r>
            <w:r>
              <w:rPr>
                <w:rFonts w:hint="eastAsia" w:ascii="宋体" w:hAnsi="宋体"/>
                <w:color w:val="auto"/>
                <w:sz w:val="21"/>
                <w:szCs w:val="21"/>
                <w:lang w:eastAsia="zh-CN"/>
              </w:rPr>
              <w:t>三</w:t>
            </w:r>
            <w:r>
              <w:rPr>
                <w:rFonts w:hint="eastAsia" w:ascii="宋体" w:hAnsi="宋体"/>
                <w:color w:val="auto"/>
                <w:sz w:val="21"/>
                <w:szCs w:val="21"/>
              </w:rPr>
              <w:t>位专家在详细查看编制方提供的各项资料后就本预案分别提出了修改意见和建议。</w:t>
            </w:r>
          </w:p>
          <w:p>
            <w:pPr>
              <w:adjustRightInd w:val="0"/>
              <w:snapToGrid w:val="0"/>
              <w:spacing w:line="360" w:lineRule="auto"/>
              <w:rPr>
                <w:rFonts w:hint="eastAsia" w:ascii="宋体" w:hAnsi="宋体"/>
                <w:color w:val="auto"/>
                <w:sz w:val="21"/>
                <w:szCs w:val="21"/>
              </w:rPr>
            </w:pPr>
            <w:r>
              <w:rPr>
                <w:rFonts w:hint="eastAsia" w:ascii="宋体" w:hAnsi="宋体"/>
                <w:color w:val="auto"/>
                <w:sz w:val="21"/>
                <w:szCs w:val="21"/>
              </w:rPr>
              <w:t>总体评价：</w:t>
            </w:r>
          </w:p>
          <w:p>
            <w:pPr>
              <w:spacing w:line="360" w:lineRule="auto"/>
              <w:ind w:firstLine="315" w:firstLineChars="150"/>
              <w:rPr>
                <w:rFonts w:ascii="宋体"/>
                <w:sz w:val="21"/>
                <w:szCs w:val="21"/>
              </w:rPr>
            </w:pPr>
            <w:r>
              <w:rPr>
                <w:rFonts w:hint="eastAsia" w:ascii="宋体" w:hAnsi="宋体" w:eastAsia="宋体"/>
                <w:sz w:val="21"/>
                <w:szCs w:val="21"/>
              </w:rPr>
              <w:t>《咸阳汇鑫机械制造有限公司突发环境事件应急预案》章节结构较为齐全、格式基本规范、文字描述相对简洁，预案内容比较详实全面，同时也开展了突发环境事件风险评估和应急资源调查，在按照其他评审专家所提修改意见修改完善后，原则同意本突发环境事件应急预案通过评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17" w:hRule="atLeast"/>
        </w:trPr>
        <w:tc>
          <w:tcPr>
            <w:tcW w:w="8956" w:type="dxa"/>
            <w:vAlign w:val="center"/>
          </w:tcPr>
          <w:p>
            <w:pPr>
              <w:spacing w:line="360" w:lineRule="auto"/>
              <w:rPr>
                <w:rFonts w:hint="eastAsia" w:ascii="宋体" w:hAnsi="宋体"/>
                <w:color w:val="auto"/>
                <w:sz w:val="21"/>
                <w:szCs w:val="21"/>
              </w:rPr>
            </w:pPr>
            <w:r>
              <w:rPr>
                <w:rFonts w:hint="eastAsia" w:ascii="宋体" w:hAnsi="宋体"/>
                <w:color w:val="auto"/>
                <w:sz w:val="21"/>
                <w:szCs w:val="21"/>
              </w:rPr>
              <w:t>问题清单：</w:t>
            </w:r>
          </w:p>
          <w:p>
            <w:pPr>
              <w:spacing w:line="360" w:lineRule="auto"/>
              <w:rPr>
                <w:rFonts w:hint="eastAsia" w:ascii="宋体" w:hAnsi="宋体"/>
                <w:color w:val="auto"/>
                <w:sz w:val="21"/>
                <w:szCs w:val="21"/>
              </w:rPr>
            </w:pPr>
            <w:r>
              <w:rPr>
                <w:rFonts w:hint="eastAsia" w:ascii="宋体" w:hAnsi="宋体"/>
                <w:color w:val="auto"/>
                <w:sz w:val="21"/>
                <w:szCs w:val="21"/>
              </w:rPr>
              <w:t>1、应急职能小组相关内容不全；</w:t>
            </w:r>
          </w:p>
          <w:p>
            <w:pPr>
              <w:spacing w:line="360" w:lineRule="auto"/>
              <w:rPr>
                <w:rFonts w:hint="eastAsia" w:ascii="宋体" w:hAnsi="宋体"/>
                <w:color w:val="auto"/>
                <w:sz w:val="21"/>
                <w:szCs w:val="21"/>
              </w:rPr>
            </w:pPr>
            <w:r>
              <w:rPr>
                <w:rFonts w:hint="eastAsia" w:ascii="宋体" w:hAnsi="宋体"/>
                <w:color w:val="auto"/>
                <w:sz w:val="21"/>
                <w:szCs w:val="21"/>
              </w:rPr>
              <w:t>2、没区分不同级别的预警信息发布的范围和对象；</w:t>
            </w:r>
          </w:p>
          <w:p>
            <w:pPr>
              <w:spacing w:line="360" w:lineRule="auto"/>
              <w:rPr>
                <w:rFonts w:hint="eastAsia" w:ascii="宋体" w:hAnsi="宋体" w:eastAsia="宋体"/>
                <w:color w:val="auto"/>
                <w:sz w:val="21"/>
                <w:szCs w:val="21"/>
                <w:lang w:val="en-US" w:eastAsia="zh-CN"/>
              </w:rPr>
            </w:pPr>
            <w:r>
              <w:rPr>
                <w:rFonts w:hint="eastAsia" w:ascii="宋体" w:hAnsi="宋体"/>
                <w:color w:val="auto"/>
                <w:sz w:val="21"/>
                <w:szCs w:val="21"/>
              </w:rPr>
              <w:t>3、分级响应无现场负责人</w:t>
            </w:r>
            <w:r>
              <w:rPr>
                <w:rFonts w:hint="eastAsia" w:ascii="宋体" w:hAnsi="宋体"/>
                <w:color w:val="auto"/>
                <w:sz w:val="21"/>
                <w:szCs w:val="21"/>
                <w:lang w:eastAsia="zh-CN"/>
              </w:rPr>
              <w:t>；</w:t>
            </w:r>
          </w:p>
          <w:p>
            <w:pPr>
              <w:spacing w:line="360" w:lineRule="auto"/>
              <w:rPr>
                <w:rFonts w:hint="eastAsia" w:ascii="宋体" w:hAnsi="宋体" w:eastAsia="宋体"/>
                <w:color w:val="auto"/>
                <w:sz w:val="21"/>
                <w:szCs w:val="21"/>
                <w:lang w:eastAsia="zh-CN"/>
              </w:rPr>
            </w:pPr>
            <w:r>
              <w:rPr>
                <w:rFonts w:hint="eastAsia" w:ascii="宋体" w:hAnsi="宋体"/>
                <w:color w:val="auto"/>
                <w:sz w:val="21"/>
                <w:szCs w:val="21"/>
                <w:lang w:val="en-US" w:eastAsia="zh-CN"/>
              </w:rPr>
              <w:t>4</w:t>
            </w:r>
            <w:r>
              <w:rPr>
                <w:rFonts w:hint="eastAsia" w:ascii="宋体" w:hAnsi="宋体"/>
                <w:color w:val="auto"/>
                <w:sz w:val="21"/>
                <w:szCs w:val="21"/>
              </w:rPr>
              <w:t>、预警、响应内容不全</w:t>
            </w:r>
            <w:r>
              <w:rPr>
                <w:rFonts w:hint="eastAsia" w:ascii="宋体" w:hAnsi="宋体"/>
                <w:color w:val="auto"/>
                <w:sz w:val="21"/>
                <w:szCs w:val="21"/>
                <w:lang w:eastAsia="zh-CN"/>
              </w:rPr>
              <w:t>；</w:t>
            </w:r>
          </w:p>
          <w:p>
            <w:pPr>
              <w:spacing w:line="360" w:lineRule="auto"/>
              <w:rPr>
                <w:rFonts w:hint="eastAsia" w:ascii="宋体" w:hAnsi="宋体" w:eastAsia="宋体"/>
                <w:color w:val="auto"/>
                <w:sz w:val="21"/>
                <w:szCs w:val="21"/>
                <w:lang w:eastAsia="zh-CN"/>
              </w:rPr>
            </w:pPr>
            <w:r>
              <w:rPr>
                <w:rFonts w:hint="eastAsia" w:ascii="宋体" w:hAnsi="宋体"/>
                <w:color w:val="auto"/>
                <w:sz w:val="21"/>
                <w:szCs w:val="21"/>
                <w:lang w:val="en-US" w:eastAsia="zh-CN"/>
              </w:rPr>
              <w:t>5</w:t>
            </w:r>
            <w:r>
              <w:rPr>
                <w:rFonts w:hint="eastAsia" w:ascii="宋体" w:hAnsi="宋体"/>
                <w:color w:val="auto"/>
                <w:sz w:val="21"/>
                <w:szCs w:val="21"/>
              </w:rPr>
              <w:t>、应急物资储备不全</w:t>
            </w:r>
            <w:r>
              <w:rPr>
                <w:rFonts w:hint="eastAsia" w:ascii="宋体" w:hAnsi="宋体"/>
                <w:color w:val="auto"/>
                <w:sz w:val="21"/>
                <w:szCs w:val="21"/>
                <w:lang w:eastAsia="zh-CN"/>
              </w:rPr>
              <w:t>；</w:t>
            </w:r>
          </w:p>
          <w:p>
            <w:pPr>
              <w:spacing w:line="360" w:lineRule="auto"/>
              <w:rPr>
                <w:rFonts w:ascii="宋体"/>
                <w:sz w:val="21"/>
                <w:szCs w:val="21"/>
              </w:rPr>
            </w:pPr>
            <w:r>
              <w:rPr>
                <w:rFonts w:hint="eastAsia" w:ascii="宋体" w:hAnsi="宋体"/>
                <w:color w:val="auto"/>
                <w:sz w:val="21"/>
                <w:szCs w:val="21"/>
                <w:lang w:val="en-US" w:eastAsia="zh-CN"/>
              </w:rPr>
              <w:t>6</w:t>
            </w:r>
            <w:r>
              <w:rPr>
                <w:rFonts w:hint="eastAsia" w:ascii="宋体" w:hAnsi="宋体"/>
                <w:color w:val="auto"/>
                <w:sz w:val="21"/>
                <w:szCs w:val="21"/>
              </w:rPr>
              <w:t>、雨水排放去向、消防水收集及事故池建设情况不明确。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8956" w:type="dxa"/>
            <w:vAlign w:val="center"/>
          </w:tcPr>
          <w:p>
            <w:pPr>
              <w:adjustRightInd w:val="0"/>
              <w:snapToGrid w:val="0"/>
              <w:spacing w:line="400" w:lineRule="exact"/>
              <w:rPr>
                <w:rFonts w:hint="eastAsia" w:ascii="宋体" w:hAnsi="宋体"/>
                <w:sz w:val="21"/>
                <w:szCs w:val="21"/>
              </w:rPr>
            </w:pPr>
            <w:r>
              <w:rPr>
                <w:rFonts w:hint="eastAsia" w:ascii="宋体" w:hAnsi="宋体"/>
                <w:sz w:val="21"/>
                <w:szCs w:val="21"/>
              </w:rPr>
              <w:t>修改意见和建议：</w:t>
            </w:r>
          </w:p>
          <w:p>
            <w:pPr>
              <w:adjustRightInd w:val="0"/>
              <w:snapToGrid w:val="0"/>
              <w:spacing w:line="400" w:lineRule="exact"/>
              <w:ind w:firstLine="420" w:firstLineChars="200"/>
              <w:rPr>
                <w:rFonts w:hint="eastAsia" w:ascii="宋体" w:hAnsi="宋体"/>
                <w:sz w:val="21"/>
                <w:szCs w:val="21"/>
              </w:rPr>
            </w:pPr>
            <w:r>
              <w:rPr>
                <w:rFonts w:hint="eastAsia" w:ascii="宋体" w:hAnsi="宋体"/>
                <w:sz w:val="21"/>
                <w:szCs w:val="21"/>
              </w:rPr>
              <w:t>1、更新编制依据；工作原则补充“环境优先”；删除声环境相关内容。</w:t>
            </w:r>
          </w:p>
          <w:p>
            <w:pPr>
              <w:adjustRightInd w:val="0"/>
              <w:snapToGrid w:val="0"/>
              <w:spacing w:line="400" w:lineRule="exact"/>
              <w:ind w:firstLine="420" w:firstLineChars="200"/>
              <w:rPr>
                <w:rFonts w:hint="eastAsia" w:ascii="宋体" w:hAnsi="宋体"/>
                <w:sz w:val="21"/>
                <w:szCs w:val="21"/>
                <w:lang w:eastAsia="zh-CN"/>
              </w:rPr>
            </w:pPr>
            <w:r>
              <w:rPr>
                <w:rFonts w:hint="eastAsia" w:ascii="宋体" w:hAnsi="宋体"/>
                <w:sz w:val="21"/>
                <w:szCs w:val="21"/>
              </w:rPr>
              <w:t>2、完善环境风险物质、风险源分析；补充土壤环境风险受体分析；补充大气环境敏感目标联系方式</w:t>
            </w:r>
            <w:r>
              <w:rPr>
                <w:rFonts w:hint="eastAsia" w:ascii="宋体" w:hAnsi="宋体"/>
                <w:sz w:val="21"/>
                <w:szCs w:val="21"/>
                <w:lang w:eastAsia="zh-CN"/>
              </w:rPr>
              <w:t>；</w:t>
            </w:r>
            <w:r>
              <w:rPr>
                <w:rFonts w:hint="eastAsia" w:ascii="宋体" w:hAnsi="宋体" w:eastAsia="宋体"/>
                <w:sz w:val="21"/>
                <w:szCs w:val="21"/>
              </w:rPr>
              <w:t>补充危险物质的储存方式及地点</w:t>
            </w:r>
            <w:r>
              <w:rPr>
                <w:rFonts w:hint="eastAsia" w:ascii="宋体" w:hAnsi="宋体"/>
                <w:sz w:val="21"/>
                <w:szCs w:val="21"/>
                <w:lang w:eastAsia="zh-CN"/>
              </w:rPr>
              <w:t>。</w:t>
            </w:r>
          </w:p>
          <w:p>
            <w:pPr>
              <w:adjustRightInd w:val="0"/>
              <w:snapToGrid w:val="0"/>
              <w:spacing w:line="400" w:lineRule="exact"/>
              <w:ind w:firstLine="420" w:firstLineChars="200"/>
              <w:rPr>
                <w:rFonts w:hint="eastAsia" w:ascii="宋体" w:hAnsi="宋体"/>
                <w:sz w:val="21"/>
                <w:szCs w:val="21"/>
              </w:rPr>
            </w:pPr>
            <w:r>
              <w:rPr>
                <w:rFonts w:hint="eastAsia" w:ascii="宋体" w:hAnsi="宋体"/>
                <w:sz w:val="21"/>
                <w:szCs w:val="21"/>
                <w:lang w:val="en-US" w:eastAsia="zh-CN"/>
              </w:rPr>
              <w:t>3、</w:t>
            </w:r>
            <w:r>
              <w:rPr>
                <w:rFonts w:hint="eastAsia" w:ascii="宋体" w:hAnsi="宋体"/>
                <w:sz w:val="21"/>
                <w:szCs w:val="21"/>
              </w:rPr>
              <w:t>请说明本单位在生产中使用到的各个原辅材料在本单位内部的最大储量和日常储量分别是多少，都是如何储存和存放的。</w:t>
            </w:r>
          </w:p>
          <w:p>
            <w:pPr>
              <w:adjustRightInd w:val="0"/>
              <w:snapToGrid w:val="0"/>
              <w:spacing w:line="400" w:lineRule="exact"/>
              <w:ind w:firstLine="420" w:firstLineChars="200"/>
              <w:rPr>
                <w:rFonts w:hint="eastAsia" w:ascii="宋体" w:hAnsi="宋体"/>
                <w:sz w:val="21"/>
                <w:szCs w:val="21"/>
              </w:rPr>
            </w:pPr>
            <w:r>
              <w:rPr>
                <w:rFonts w:hint="eastAsia" w:ascii="宋体" w:hAnsi="宋体"/>
                <w:sz w:val="21"/>
                <w:szCs w:val="21"/>
                <w:lang w:val="en-US" w:eastAsia="zh-CN"/>
              </w:rPr>
              <w:t>4、</w:t>
            </w:r>
            <w:r>
              <w:rPr>
                <w:rFonts w:hint="eastAsia" w:ascii="宋体" w:hAnsi="宋体"/>
                <w:sz w:val="21"/>
                <w:szCs w:val="21"/>
              </w:rPr>
              <w:t>请说明本单位是否调漆，是否有专门的调漆间，调漆间的废气如何收集和处理。</w:t>
            </w:r>
          </w:p>
          <w:p>
            <w:pPr>
              <w:adjustRightInd w:val="0"/>
              <w:snapToGrid w:val="0"/>
              <w:spacing w:line="400" w:lineRule="exact"/>
              <w:ind w:firstLine="420" w:firstLineChars="200"/>
              <w:rPr>
                <w:rFonts w:hint="eastAsia" w:ascii="宋体" w:hAnsi="宋体"/>
                <w:sz w:val="21"/>
                <w:szCs w:val="21"/>
              </w:rPr>
            </w:pPr>
            <w:r>
              <w:rPr>
                <w:rFonts w:hint="eastAsia" w:ascii="宋体" w:hAnsi="宋体"/>
                <w:sz w:val="21"/>
                <w:szCs w:val="21"/>
                <w:lang w:val="en-US" w:eastAsia="zh-CN"/>
              </w:rPr>
              <w:t>5、</w:t>
            </w:r>
            <w:r>
              <w:rPr>
                <w:rFonts w:hint="eastAsia" w:ascii="宋体" w:hAnsi="宋体"/>
                <w:sz w:val="21"/>
                <w:szCs w:val="21"/>
              </w:rPr>
              <w:t>对于第四章第一节的环境风险评价，本单位的环境风险物质至少还应该有润滑油。乙炔只是涉气的环境风险物质，不是涉水的环境风险物质，请据此对本小节和环境风险评估报告中的相应内容进行修改完善。</w:t>
            </w:r>
          </w:p>
          <w:p>
            <w:pPr>
              <w:adjustRightInd w:val="0"/>
              <w:snapToGrid w:val="0"/>
              <w:spacing w:line="400" w:lineRule="exact"/>
              <w:ind w:firstLine="420" w:firstLineChars="200"/>
              <w:rPr>
                <w:rFonts w:hint="eastAsia" w:ascii="宋体" w:hAnsi="宋体"/>
                <w:sz w:val="21"/>
                <w:szCs w:val="21"/>
                <w:lang w:eastAsia="zh-CN"/>
              </w:rPr>
            </w:pPr>
            <w:r>
              <w:rPr>
                <w:rFonts w:hint="eastAsia" w:ascii="宋体" w:hAnsi="宋体"/>
                <w:sz w:val="21"/>
                <w:szCs w:val="21"/>
                <w:lang w:val="en-US" w:eastAsia="zh-CN"/>
              </w:rPr>
              <w:t>6、</w:t>
            </w:r>
            <w:r>
              <w:rPr>
                <w:rFonts w:hint="eastAsia" w:ascii="宋体" w:hAnsi="宋体"/>
                <w:sz w:val="21"/>
                <w:szCs w:val="21"/>
              </w:rPr>
              <w:t>在废气</w:t>
            </w:r>
            <w:bookmarkStart w:id="0" w:name="_GoBack"/>
            <w:bookmarkEnd w:id="0"/>
            <w:r>
              <w:rPr>
                <w:rFonts w:hint="eastAsia" w:ascii="宋体" w:hAnsi="宋体"/>
                <w:sz w:val="21"/>
                <w:szCs w:val="21"/>
              </w:rPr>
              <w:t>的监测因子方面，应该补充本单位的特征污染物。</w:t>
            </w:r>
          </w:p>
          <w:p>
            <w:pPr>
              <w:adjustRightInd w:val="0"/>
              <w:snapToGrid w:val="0"/>
              <w:spacing w:line="400" w:lineRule="exact"/>
              <w:ind w:firstLine="420" w:firstLineChars="200"/>
              <w:rPr>
                <w:rFonts w:hint="eastAsia" w:ascii="宋体" w:hAnsi="宋体"/>
                <w:sz w:val="21"/>
                <w:szCs w:val="21"/>
              </w:rPr>
            </w:pPr>
            <w:r>
              <w:rPr>
                <w:rFonts w:hint="eastAsia" w:ascii="宋体" w:hAnsi="宋体"/>
                <w:sz w:val="21"/>
                <w:szCs w:val="21"/>
                <w:lang w:val="en-US" w:eastAsia="zh-CN"/>
              </w:rPr>
              <w:t>7</w:t>
            </w:r>
            <w:r>
              <w:rPr>
                <w:rFonts w:hint="eastAsia" w:ascii="宋体" w:hAnsi="宋体"/>
                <w:sz w:val="21"/>
                <w:szCs w:val="21"/>
              </w:rPr>
              <w:t>、根据《环境应急资源调查指南（试行）》（环办应急【2019】17号）要求，完善应急资源调查报告内容及应急物资储备；核实雨水排放去向、消防水收集及事故池建设情况。</w:t>
            </w:r>
          </w:p>
          <w:p>
            <w:pPr>
              <w:adjustRightInd w:val="0"/>
              <w:snapToGrid w:val="0"/>
              <w:spacing w:line="400" w:lineRule="exact"/>
              <w:ind w:firstLine="420" w:firstLineChars="200"/>
              <w:rPr>
                <w:rFonts w:hint="eastAsia" w:ascii="宋体" w:hAnsi="宋体"/>
                <w:sz w:val="21"/>
                <w:szCs w:val="21"/>
              </w:rPr>
            </w:pPr>
            <w:r>
              <w:rPr>
                <w:rFonts w:hint="eastAsia" w:ascii="宋体" w:hAnsi="宋体"/>
                <w:sz w:val="21"/>
                <w:szCs w:val="21"/>
                <w:lang w:val="en-US" w:eastAsia="zh-CN"/>
              </w:rPr>
              <w:t>8</w:t>
            </w:r>
            <w:r>
              <w:rPr>
                <w:rFonts w:hint="eastAsia" w:ascii="宋体" w:hAnsi="宋体"/>
                <w:sz w:val="21"/>
                <w:szCs w:val="21"/>
              </w:rPr>
              <w:t>、明确企业内部预警信息发布、接收、调整、解除程序、发布内容及责任人；明确分级响应中不同级别的现场负责人，完善信息发布内容、对象；不同级别预警信息发布的范围和对象应该有所区别；</w:t>
            </w:r>
            <w:r>
              <w:rPr>
                <w:rFonts w:hint="eastAsia" w:ascii="宋体" w:hAnsi="宋体"/>
                <w:sz w:val="21"/>
                <w:szCs w:val="21"/>
              </w:rPr>
              <w:t>细化预警、响应各级别转换条件。</w:t>
            </w:r>
          </w:p>
          <w:p>
            <w:pPr>
              <w:adjustRightInd w:val="0"/>
              <w:snapToGrid w:val="0"/>
              <w:spacing w:line="400" w:lineRule="exact"/>
              <w:ind w:firstLine="420" w:firstLineChars="200"/>
              <w:rPr>
                <w:rFonts w:hint="eastAsia" w:ascii="宋体" w:hAnsi="宋体"/>
                <w:sz w:val="21"/>
                <w:szCs w:val="21"/>
              </w:rPr>
            </w:pPr>
            <w:r>
              <w:rPr>
                <w:rFonts w:hint="eastAsia" w:ascii="宋体" w:hAnsi="宋体"/>
                <w:sz w:val="21"/>
                <w:szCs w:val="21"/>
                <w:lang w:val="en-US" w:eastAsia="zh-CN"/>
              </w:rPr>
              <w:t>9、</w:t>
            </w:r>
            <w:r>
              <w:rPr>
                <w:rFonts w:hint="eastAsia" w:ascii="宋体" w:hAnsi="宋体"/>
                <w:sz w:val="21"/>
                <w:szCs w:val="21"/>
              </w:rPr>
              <w:t>完善各应急职能小组成员相关内容，各小组成员对应的是公司部门职务而不只是人，进一步完善应急职能小组的工作职责；</w:t>
            </w:r>
          </w:p>
          <w:p>
            <w:pPr>
              <w:adjustRightInd w:val="0"/>
              <w:snapToGrid w:val="0"/>
              <w:spacing w:line="400" w:lineRule="exact"/>
              <w:ind w:firstLine="420" w:firstLineChars="200"/>
              <w:rPr>
                <w:rFonts w:hint="eastAsia" w:ascii="宋体" w:hAnsi="宋体"/>
                <w:sz w:val="21"/>
                <w:szCs w:val="21"/>
              </w:rPr>
            </w:pPr>
            <w:r>
              <w:rPr>
                <w:rFonts w:hint="eastAsia" w:ascii="宋体" w:hAnsi="宋体"/>
                <w:sz w:val="21"/>
                <w:szCs w:val="21"/>
                <w:lang w:val="en-US" w:eastAsia="zh-CN"/>
              </w:rPr>
              <w:t>10</w:t>
            </w:r>
            <w:r>
              <w:rPr>
                <w:rFonts w:hint="eastAsia" w:ascii="宋体" w:hAnsi="宋体"/>
                <w:sz w:val="21"/>
                <w:szCs w:val="21"/>
              </w:rPr>
              <w:t>、完善应急处置卡内容，将应急措施细化、落实到岗位，明确相关岗位人员采取应急措施的时间、地点、内容、方式、目标等。</w:t>
            </w:r>
          </w:p>
          <w:p>
            <w:pPr>
              <w:adjustRightInd w:val="0"/>
              <w:snapToGrid w:val="0"/>
              <w:spacing w:line="400" w:lineRule="exact"/>
              <w:ind w:firstLine="420" w:firstLineChars="200"/>
              <w:rPr>
                <w:rFonts w:hint="eastAsia" w:ascii="宋体" w:hAnsi="宋体"/>
                <w:sz w:val="21"/>
                <w:szCs w:val="21"/>
              </w:rPr>
            </w:pPr>
            <w:r>
              <w:rPr>
                <w:rFonts w:hint="eastAsia" w:ascii="宋体" w:hAnsi="宋体"/>
                <w:sz w:val="21"/>
                <w:szCs w:val="21"/>
                <w:lang w:val="en-US" w:eastAsia="zh-CN"/>
              </w:rPr>
              <w:t>11</w:t>
            </w:r>
            <w:r>
              <w:rPr>
                <w:rFonts w:hint="eastAsia" w:ascii="宋体" w:hAnsi="宋体"/>
                <w:sz w:val="21"/>
                <w:szCs w:val="21"/>
              </w:rPr>
              <w:t>、明确信息报告中企业内部、向当地人民政府、向受影响的居民单位信息传递的责任人、程序、方式、内容等；完善信息发布的内容、对象。</w:t>
            </w:r>
          </w:p>
          <w:p>
            <w:pPr>
              <w:adjustRightInd w:val="0"/>
              <w:snapToGrid w:val="0"/>
              <w:spacing w:line="400" w:lineRule="exact"/>
              <w:ind w:firstLine="420" w:firstLineChars="200"/>
              <w:rPr>
                <w:rFonts w:hint="eastAsia" w:ascii="宋体" w:hAnsi="宋体"/>
                <w:sz w:val="21"/>
                <w:szCs w:val="21"/>
              </w:rPr>
            </w:pPr>
            <w:r>
              <w:rPr>
                <w:rFonts w:hint="eastAsia" w:ascii="宋体" w:hAnsi="宋体"/>
                <w:sz w:val="21"/>
                <w:szCs w:val="21"/>
                <w:lang w:val="en-US" w:eastAsia="zh-CN"/>
              </w:rPr>
              <w:t>12</w:t>
            </w:r>
            <w:r>
              <w:rPr>
                <w:rFonts w:hint="eastAsia" w:ascii="宋体" w:hAnsi="宋体"/>
                <w:sz w:val="21"/>
                <w:szCs w:val="21"/>
              </w:rPr>
              <w:t>、完善次生灾害防范相关内容；</w:t>
            </w:r>
          </w:p>
          <w:p>
            <w:pPr>
              <w:adjustRightInd w:val="0"/>
              <w:snapToGrid w:val="0"/>
              <w:spacing w:line="400" w:lineRule="exact"/>
              <w:ind w:firstLine="420" w:firstLineChars="200"/>
              <w:rPr>
                <w:rFonts w:hint="eastAsia" w:ascii="宋体" w:hAnsi="宋体"/>
                <w:sz w:val="21"/>
                <w:szCs w:val="21"/>
              </w:rPr>
            </w:pPr>
            <w:r>
              <w:rPr>
                <w:rFonts w:hint="eastAsia" w:ascii="宋体" w:hAnsi="宋体"/>
                <w:sz w:val="21"/>
                <w:szCs w:val="21"/>
                <w:lang w:val="en-US" w:eastAsia="zh-CN"/>
              </w:rPr>
              <w:t>13</w:t>
            </w:r>
            <w:r>
              <w:rPr>
                <w:rFonts w:hint="eastAsia" w:ascii="宋体" w:hAnsi="宋体"/>
                <w:sz w:val="21"/>
                <w:szCs w:val="21"/>
              </w:rPr>
              <w:t>、按照《陕西省环境保护厅办公室关于进一步加强突发环境事件应急预案工作的通知》陕环办发〔2012〕126号文要求，补充完善相关图件。</w:t>
            </w:r>
          </w:p>
          <w:p>
            <w:pPr>
              <w:adjustRightInd w:val="0"/>
              <w:snapToGrid w:val="0"/>
              <w:spacing w:line="400" w:lineRule="exact"/>
              <w:rPr>
                <w:rFonts w:hint="eastAsia" w:ascii="宋体" w:hAnsi="宋体"/>
                <w:sz w:val="21"/>
                <w:szCs w:val="21"/>
              </w:rPr>
            </w:pPr>
          </w:p>
          <w:p>
            <w:pPr>
              <w:spacing w:line="340" w:lineRule="exact"/>
              <w:ind w:firstLine="420" w:firstLineChars="200"/>
              <w:rPr>
                <w:rFonts w:ascii="宋体"/>
                <w:sz w:val="21"/>
                <w:szCs w:val="21"/>
              </w:rPr>
            </w:pPr>
            <w:r>
              <w:rPr>
                <w:rFonts w:hint="eastAsia" w:ascii="宋体" w:hAnsi="宋体"/>
                <w:sz w:val="21"/>
                <w:szCs w:val="21"/>
              </w:rPr>
              <w:t>结合专家提出的其他意见修改完善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09" w:hRule="atLeast"/>
        </w:trPr>
        <w:tc>
          <w:tcPr>
            <w:tcW w:w="8956" w:type="dxa"/>
            <w:tcBorders>
              <w:bottom w:val="single" w:color="auto" w:sz="8" w:space="0"/>
            </w:tcBorders>
            <w:vAlign w:val="center"/>
          </w:tcPr>
          <w:p>
            <w:pPr>
              <w:adjustRightInd w:val="0"/>
              <w:snapToGrid w:val="0"/>
              <w:spacing w:line="360" w:lineRule="auto"/>
              <w:rPr>
                <w:rFonts w:ascii="宋体"/>
                <w:sz w:val="21"/>
                <w:szCs w:val="21"/>
              </w:rPr>
            </w:pPr>
            <w:r>
              <w:rPr>
                <w:rFonts w:hint="eastAsia" w:ascii="宋体" w:hAnsi="宋体"/>
                <w:sz w:val="21"/>
                <w:szCs w:val="21"/>
              </w:rPr>
              <w:t>评审</w:t>
            </w:r>
            <w:r>
              <w:rPr>
                <w:rFonts w:hint="eastAsia" w:ascii="宋体" w:hAnsi="宋体"/>
                <w:color w:val="auto"/>
                <w:sz w:val="21"/>
                <w:szCs w:val="21"/>
              </w:rPr>
              <w:t>人员人数：</w:t>
            </w:r>
            <w:r>
              <w:rPr>
                <w:rFonts w:hint="eastAsia" w:ascii="宋体" w:hAnsi="宋体"/>
                <w:color w:val="auto"/>
                <w:sz w:val="21"/>
                <w:szCs w:val="21"/>
                <w:lang w:val="en-US" w:eastAsia="zh-CN"/>
              </w:rPr>
              <w:t>3</w:t>
            </w:r>
            <w:r>
              <w:rPr>
                <w:rFonts w:hint="eastAsia" w:ascii="宋体" w:hAnsi="宋体"/>
                <w:color w:val="auto"/>
                <w:sz w:val="21"/>
                <w:szCs w:val="21"/>
              </w:rPr>
              <w:t>人</w:t>
            </w:r>
          </w:p>
          <w:p>
            <w:pPr>
              <w:adjustRightInd w:val="0"/>
              <w:snapToGrid w:val="0"/>
              <w:spacing w:line="360" w:lineRule="auto"/>
              <w:rPr>
                <w:rFonts w:ascii="宋体"/>
                <w:sz w:val="21"/>
                <w:szCs w:val="21"/>
              </w:rPr>
            </w:pPr>
            <w:r>
              <w:rPr>
                <w:rFonts w:hint="eastAsia" w:ascii="宋体" w:hAnsi="宋体"/>
                <w:sz w:val="21"/>
                <w:szCs w:val="21"/>
              </w:rPr>
              <w:t>评审组长签字：</w:t>
            </w:r>
          </w:p>
          <w:p>
            <w:pPr>
              <w:adjustRightInd w:val="0"/>
              <w:snapToGrid w:val="0"/>
              <w:spacing w:line="360" w:lineRule="auto"/>
              <w:rPr>
                <w:rFonts w:ascii="宋体"/>
                <w:sz w:val="21"/>
                <w:szCs w:val="21"/>
              </w:rPr>
            </w:pPr>
            <w:r>
              <w:rPr>
                <w:rFonts w:hint="eastAsia" w:ascii="宋体" w:hAnsi="宋体"/>
                <w:sz w:val="21"/>
                <w:szCs w:val="21"/>
              </w:rPr>
              <w:t>其他评审人员签字：</w:t>
            </w:r>
          </w:p>
          <w:p>
            <w:pPr>
              <w:adjustRightInd w:val="0"/>
              <w:snapToGrid w:val="0"/>
              <w:spacing w:line="360" w:lineRule="auto"/>
              <w:rPr>
                <w:rFonts w:ascii="宋体"/>
                <w:sz w:val="21"/>
                <w:szCs w:val="21"/>
              </w:rPr>
            </w:pPr>
            <w:r>
              <w:rPr>
                <w:rFonts w:hint="eastAsia" w:ascii="宋体" w:hAnsi="宋体"/>
                <w:sz w:val="21"/>
                <w:szCs w:val="21"/>
              </w:rPr>
              <w:t>企业负责人签字：</w:t>
            </w:r>
          </w:p>
          <w:p>
            <w:pPr>
              <w:adjustRightInd w:val="0"/>
              <w:snapToGrid w:val="0"/>
              <w:spacing w:line="360" w:lineRule="auto"/>
              <w:ind w:left="211" w:leftChars="66" w:right="420" w:firstLine="5565" w:firstLineChars="2650"/>
              <w:rPr>
                <w:rFonts w:ascii="宋体"/>
                <w:sz w:val="21"/>
                <w:szCs w:val="21"/>
              </w:rPr>
            </w:pPr>
            <w:r>
              <w:rPr>
                <w:rFonts w:hint="eastAsia" w:ascii="宋体" w:hAnsi="宋体"/>
                <w:sz w:val="21"/>
                <w:szCs w:val="21"/>
              </w:rPr>
              <w:t>年</w:t>
            </w:r>
            <w:r>
              <w:rPr>
                <w:rFonts w:ascii="宋体" w:hAnsi="宋体"/>
                <w:sz w:val="21"/>
                <w:szCs w:val="21"/>
              </w:rPr>
              <w:t xml:space="preserve">         </w:t>
            </w:r>
            <w:r>
              <w:rPr>
                <w:rFonts w:hint="eastAsia" w:ascii="宋体" w:hAnsi="宋体"/>
                <w:sz w:val="21"/>
                <w:szCs w:val="21"/>
              </w:rPr>
              <w:t>月</w:t>
            </w:r>
            <w:r>
              <w:rPr>
                <w:rFonts w:ascii="宋体" w:hAnsi="宋体"/>
                <w:sz w:val="21"/>
                <w:szCs w:val="21"/>
              </w:rPr>
              <w:t xml:space="preserve">         </w:t>
            </w:r>
            <w:r>
              <w:rPr>
                <w:rFonts w:hint="eastAsia" w:ascii="宋体" w:hAnsi="宋体"/>
                <w:sz w:val="21"/>
                <w:szCs w:val="21"/>
              </w:rPr>
              <w:t>日</w:t>
            </w:r>
          </w:p>
        </w:tc>
      </w:tr>
    </w:tbl>
    <w:p>
      <w:pPr>
        <w:adjustRightInd w:val="0"/>
        <w:snapToGrid w:val="0"/>
        <w:spacing w:before="156" w:beforeLines="50"/>
        <w:rPr>
          <w:rFonts w:ascii="宋体"/>
          <w:sz w:val="21"/>
          <w:szCs w:val="21"/>
        </w:rPr>
      </w:pPr>
    </w:p>
    <w:sectPr>
      <w:footerReference r:id="rId3" w:type="default"/>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Fonts w:ascii="宋体"/>
        <w:sz w:val="28"/>
        <w:szCs w:val="28"/>
      </w:rPr>
    </w:pPr>
    <w:r>
      <w:rPr>
        <w:rStyle w:val="9"/>
        <w:rFonts w:ascii="宋体" w:hAnsi="宋体"/>
        <w:sz w:val="28"/>
        <w:szCs w:val="28"/>
      </w:rPr>
      <w:t>—</w:t>
    </w:r>
    <w:r>
      <w:rPr>
        <w:rStyle w:val="9"/>
        <w:rFonts w:ascii="宋体" w:hAnsi="宋体"/>
        <w:sz w:val="26"/>
        <w:szCs w:val="26"/>
      </w:rPr>
      <w:fldChar w:fldCharType="begin"/>
    </w:r>
    <w:r>
      <w:rPr>
        <w:rStyle w:val="9"/>
        <w:rFonts w:ascii="宋体" w:hAnsi="宋体"/>
        <w:sz w:val="26"/>
        <w:szCs w:val="26"/>
      </w:rPr>
      <w:instrText xml:space="preserve">PAGE  </w:instrText>
    </w:r>
    <w:r>
      <w:rPr>
        <w:rStyle w:val="9"/>
        <w:rFonts w:ascii="宋体" w:hAnsi="宋体"/>
        <w:sz w:val="26"/>
        <w:szCs w:val="26"/>
      </w:rPr>
      <w:fldChar w:fldCharType="separate"/>
    </w:r>
    <w:r>
      <w:rPr>
        <w:rStyle w:val="9"/>
        <w:rFonts w:ascii="宋体" w:hAnsi="宋体"/>
        <w:sz w:val="26"/>
        <w:szCs w:val="26"/>
      </w:rPr>
      <w:t>1</w:t>
    </w:r>
    <w:r>
      <w:rPr>
        <w:rStyle w:val="9"/>
        <w:rFonts w:ascii="宋体" w:hAnsi="宋体"/>
        <w:sz w:val="26"/>
        <w:szCs w:val="26"/>
      </w:rPr>
      <w:fldChar w:fldCharType="end"/>
    </w:r>
    <w:r>
      <w:rPr>
        <w:rStyle w:val="9"/>
        <w:rFonts w:ascii="宋体" w:hAnsi="宋体"/>
        <w:sz w:val="28"/>
        <w:szCs w:val="28"/>
      </w:rPr>
      <w:t>—</w:t>
    </w:r>
  </w:p>
  <w:p>
    <w:pPr>
      <w:pStyle w:val="4"/>
      <w:ind w:right="360" w:firstLine="360"/>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8F58A0"/>
    <w:rsid w:val="00003E8B"/>
    <w:rsid w:val="00011CDD"/>
    <w:rsid w:val="00030889"/>
    <w:rsid w:val="00054769"/>
    <w:rsid w:val="00086AAA"/>
    <w:rsid w:val="000F6722"/>
    <w:rsid w:val="00113E43"/>
    <w:rsid w:val="00117A96"/>
    <w:rsid w:val="00163B30"/>
    <w:rsid w:val="00172597"/>
    <w:rsid w:val="001771D3"/>
    <w:rsid w:val="00196E81"/>
    <w:rsid w:val="001E67B2"/>
    <w:rsid w:val="001F1787"/>
    <w:rsid w:val="002011E4"/>
    <w:rsid w:val="00201BD3"/>
    <w:rsid w:val="002072D9"/>
    <w:rsid w:val="00215CCE"/>
    <w:rsid w:val="00216F2A"/>
    <w:rsid w:val="00246E7D"/>
    <w:rsid w:val="00256E22"/>
    <w:rsid w:val="002907A7"/>
    <w:rsid w:val="002C2357"/>
    <w:rsid w:val="002D6BF8"/>
    <w:rsid w:val="002E2695"/>
    <w:rsid w:val="002F6646"/>
    <w:rsid w:val="00303083"/>
    <w:rsid w:val="003237FE"/>
    <w:rsid w:val="003723E6"/>
    <w:rsid w:val="00393B02"/>
    <w:rsid w:val="003C7999"/>
    <w:rsid w:val="003F3936"/>
    <w:rsid w:val="003F77DE"/>
    <w:rsid w:val="00407C5A"/>
    <w:rsid w:val="00413908"/>
    <w:rsid w:val="004146B3"/>
    <w:rsid w:val="0043652E"/>
    <w:rsid w:val="00474DE9"/>
    <w:rsid w:val="00482A20"/>
    <w:rsid w:val="00484037"/>
    <w:rsid w:val="004B434F"/>
    <w:rsid w:val="004B6681"/>
    <w:rsid w:val="004E54B6"/>
    <w:rsid w:val="004F2571"/>
    <w:rsid w:val="0053476C"/>
    <w:rsid w:val="00554645"/>
    <w:rsid w:val="00562644"/>
    <w:rsid w:val="00564491"/>
    <w:rsid w:val="00593523"/>
    <w:rsid w:val="005B2908"/>
    <w:rsid w:val="005B59C3"/>
    <w:rsid w:val="005E5724"/>
    <w:rsid w:val="005F352B"/>
    <w:rsid w:val="00625B6C"/>
    <w:rsid w:val="00645B1C"/>
    <w:rsid w:val="006540DE"/>
    <w:rsid w:val="00690D2B"/>
    <w:rsid w:val="006A5594"/>
    <w:rsid w:val="006D0D65"/>
    <w:rsid w:val="006E0CBC"/>
    <w:rsid w:val="006E25EE"/>
    <w:rsid w:val="006F5895"/>
    <w:rsid w:val="007552A6"/>
    <w:rsid w:val="00770963"/>
    <w:rsid w:val="007824BF"/>
    <w:rsid w:val="007C0F01"/>
    <w:rsid w:val="007C6595"/>
    <w:rsid w:val="007D6BC0"/>
    <w:rsid w:val="007E68FE"/>
    <w:rsid w:val="007F6CDF"/>
    <w:rsid w:val="008117BF"/>
    <w:rsid w:val="0081318B"/>
    <w:rsid w:val="00815911"/>
    <w:rsid w:val="00821CD9"/>
    <w:rsid w:val="00864456"/>
    <w:rsid w:val="00877AF6"/>
    <w:rsid w:val="008A46A5"/>
    <w:rsid w:val="008E5496"/>
    <w:rsid w:val="008F5B4E"/>
    <w:rsid w:val="00907FE7"/>
    <w:rsid w:val="009D077F"/>
    <w:rsid w:val="00A51910"/>
    <w:rsid w:val="00AA1642"/>
    <w:rsid w:val="00AB7E7C"/>
    <w:rsid w:val="00AE4964"/>
    <w:rsid w:val="00AF6294"/>
    <w:rsid w:val="00B30EFA"/>
    <w:rsid w:val="00B6592C"/>
    <w:rsid w:val="00B74953"/>
    <w:rsid w:val="00B8317F"/>
    <w:rsid w:val="00B96616"/>
    <w:rsid w:val="00BD7B92"/>
    <w:rsid w:val="00C06B75"/>
    <w:rsid w:val="00C2230A"/>
    <w:rsid w:val="00C24FE7"/>
    <w:rsid w:val="00C42F85"/>
    <w:rsid w:val="00C63915"/>
    <w:rsid w:val="00C813DB"/>
    <w:rsid w:val="00C85964"/>
    <w:rsid w:val="00C8641A"/>
    <w:rsid w:val="00CA2E58"/>
    <w:rsid w:val="00D11A1E"/>
    <w:rsid w:val="00D21F11"/>
    <w:rsid w:val="00D369CF"/>
    <w:rsid w:val="00D914A5"/>
    <w:rsid w:val="00DB0037"/>
    <w:rsid w:val="00DB5E5C"/>
    <w:rsid w:val="00DC1B25"/>
    <w:rsid w:val="00DF5C5F"/>
    <w:rsid w:val="00E05A14"/>
    <w:rsid w:val="00E12E0A"/>
    <w:rsid w:val="00E2756F"/>
    <w:rsid w:val="00E93A3F"/>
    <w:rsid w:val="00EB0B9B"/>
    <w:rsid w:val="00ED5202"/>
    <w:rsid w:val="00ED62D3"/>
    <w:rsid w:val="00F050E3"/>
    <w:rsid w:val="00F32BF2"/>
    <w:rsid w:val="00F33F5B"/>
    <w:rsid w:val="00F84BF4"/>
    <w:rsid w:val="00F90F60"/>
    <w:rsid w:val="00FA7ECF"/>
    <w:rsid w:val="00FE509D"/>
    <w:rsid w:val="00FE5C83"/>
    <w:rsid w:val="04411E61"/>
    <w:rsid w:val="0714243B"/>
    <w:rsid w:val="0BFD4766"/>
    <w:rsid w:val="118F58A0"/>
    <w:rsid w:val="14F72003"/>
    <w:rsid w:val="1BCF4EF7"/>
    <w:rsid w:val="2F0A134B"/>
    <w:rsid w:val="322E5253"/>
    <w:rsid w:val="365D0000"/>
    <w:rsid w:val="36B8090F"/>
    <w:rsid w:val="37C91A24"/>
    <w:rsid w:val="3B0554F0"/>
    <w:rsid w:val="3B8A573B"/>
    <w:rsid w:val="41315723"/>
    <w:rsid w:val="420A378D"/>
    <w:rsid w:val="45962B8D"/>
    <w:rsid w:val="46B24DAF"/>
    <w:rsid w:val="4C2439A2"/>
    <w:rsid w:val="4E575AA8"/>
    <w:rsid w:val="4F7439A6"/>
    <w:rsid w:val="50340DFC"/>
    <w:rsid w:val="50640B02"/>
    <w:rsid w:val="5BE65C72"/>
    <w:rsid w:val="62D906F6"/>
    <w:rsid w:val="63AB248C"/>
    <w:rsid w:val="6C4C610C"/>
    <w:rsid w:val="74626AB9"/>
    <w:rsid w:val="75E208D9"/>
    <w:rsid w:val="77C47B62"/>
    <w:rsid w:val="79966F44"/>
    <w:rsid w:val="79B24545"/>
    <w:rsid w:val="7C317725"/>
    <w:rsid w:val="7CDD2C8D"/>
    <w:rsid w:val="7CE50FA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0"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32"/>
      <w:szCs w:val="22"/>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3" w:lineRule="auto"/>
      <w:outlineLvl w:val="1"/>
    </w:pPr>
    <w:rPr>
      <w:rFonts w:ascii="Cambria" w:hAnsi="Cambria" w:eastAsia="宋体"/>
      <w:b/>
      <w:kern w:val="2"/>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semiHidden/>
    <w:qFormat/>
    <w:locked/>
    <w:uiPriority w:val="99"/>
    <w:rPr>
      <w:sz w:val="18"/>
      <w:szCs w:val="18"/>
    </w:rPr>
  </w:style>
  <w:style w:type="paragraph" w:styleId="4">
    <w:name w:val="footer"/>
    <w:basedOn w:val="1"/>
    <w:link w:val="10"/>
    <w:qFormat/>
    <w:uiPriority w:val="99"/>
    <w:pPr>
      <w:tabs>
        <w:tab w:val="center" w:pos="4153"/>
        <w:tab w:val="right" w:pos="8306"/>
      </w:tabs>
      <w:snapToGrid w:val="0"/>
      <w:jc w:val="left"/>
    </w:pPr>
    <w:rPr>
      <w:kern w:val="0"/>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locked/>
    <w:uiPriority w:val="0"/>
    <w:pPr>
      <w:widowControl/>
      <w:spacing w:before="100" w:beforeLines="0" w:beforeAutospacing="1" w:after="100" w:afterLines="0" w:afterAutospacing="1"/>
      <w:jc w:val="left"/>
    </w:pPr>
    <w:rPr>
      <w:rFonts w:ascii="宋体" w:hAnsi="宋体"/>
      <w:kern w:val="0"/>
      <w:sz w:val="24"/>
    </w:rPr>
  </w:style>
  <w:style w:type="character" w:styleId="9">
    <w:name w:val="page number"/>
    <w:qFormat/>
    <w:uiPriority w:val="99"/>
    <w:rPr>
      <w:rFonts w:cs="Times New Roman"/>
    </w:rPr>
  </w:style>
  <w:style w:type="character" w:customStyle="1" w:styleId="10">
    <w:name w:val="页脚 Char"/>
    <w:link w:val="4"/>
    <w:semiHidden/>
    <w:qFormat/>
    <w:locked/>
    <w:uiPriority w:val="99"/>
    <w:rPr>
      <w:rFonts w:cs="Times New Roman"/>
      <w:sz w:val="18"/>
      <w:szCs w:val="18"/>
    </w:rPr>
  </w:style>
  <w:style w:type="character" w:customStyle="1" w:styleId="11">
    <w:name w:val="页眉 Char"/>
    <w:link w:val="5"/>
    <w:qFormat/>
    <w:locked/>
    <w:uiPriority w:val="99"/>
    <w:rPr>
      <w:rFonts w:ascii="Calibri" w:hAnsi="Calibri" w:cs="Times New Roman"/>
      <w:kern w:val="2"/>
      <w:sz w:val="18"/>
      <w:szCs w:val="18"/>
    </w:rPr>
  </w:style>
  <w:style w:type="paragraph" w:customStyle="1" w:styleId="12">
    <w:name w:val="列出段落1"/>
    <w:basedOn w:val="1"/>
    <w:qFormat/>
    <w:uiPriority w:val="99"/>
    <w:pPr>
      <w:ind w:firstLine="420" w:firstLineChars="200"/>
    </w:pPr>
  </w:style>
  <w:style w:type="paragraph" w:styleId="13">
    <w:name w:val="List Paragraph"/>
    <w:basedOn w:val="1"/>
    <w:qFormat/>
    <w:uiPriority w:val="99"/>
    <w:pPr>
      <w:ind w:firstLine="420" w:firstLineChars="200"/>
    </w:pPr>
  </w:style>
  <w:style w:type="character" w:customStyle="1" w:styleId="14">
    <w:name w:val="批注框文本 Char"/>
    <w:link w:val="3"/>
    <w:semiHidden/>
    <w:qFormat/>
    <w:uiPriority w:val="99"/>
    <w:rPr>
      <w:sz w:val="0"/>
      <w:szCs w:val="0"/>
    </w:rPr>
  </w:style>
  <w:style w:type="character" w:customStyle="1" w:styleId="15">
    <w:name w:val="NormalCharacter"/>
    <w:semiHidden/>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337</Words>
  <Characters>368</Characters>
  <Lines>30</Lines>
  <Paragraphs>37</Paragraphs>
  <TotalTime>1</TotalTime>
  <ScaleCrop>false</ScaleCrop>
  <LinksUpToDate>false</LinksUpToDate>
  <CharactersWithSpaces>668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2019-03-25T09:48:00Z</dcterms:created>
  <dc:creator>白钰</dc:creator>
  <cp:lastModifiedBy>Administrator</cp:lastModifiedBy>
  <cp:lastPrinted>2020-06-16T08:46:00Z</cp:lastPrinted>
  <dcterms:modified xsi:type="dcterms:W3CDTF">2021-05-09T08:57:50Z</dcterms:modified>
  <dc:title>突发环境事件应急预案评审意见表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2B7971918F91443BAEA625F5F503B517</vt:lpwstr>
  </property>
</Properties>
</file>