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8"/>
        <w:adjustRightInd w:val="0"/>
        <w:snapToGrid w:val="0"/>
        <w:spacing w:before="37"/>
        <w:ind w:right="48"/>
        <w:jc w:val="right"/>
        <w:rPr>
          <w:rFonts w:hint="default" w:ascii="Times New Roman" w:hAnsi="Times New Roman" w:eastAsia="仿宋" w:cs="Times New Roman"/>
          <w:b/>
          <w:lang w:val="en-US" w:eastAsia="zh-CN"/>
        </w:rPr>
      </w:pPr>
      <w:bookmarkStart w:id="0" w:name="_Toc7207"/>
      <w:r>
        <w:rPr>
          <w:rFonts w:hint="default" w:ascii="Times New Roman" w:hAnsi="Times New Roman" w:eastAsia="仿宋" w:cs="Times New Roman"/>
          <w:b/>
        </w:rPr>
        <w:t>预</w:t>
      </w:r>
      <w:r>
        <w:rPr>
          <w:rFonts w:hint="default" w:ascii="Times New Roman" w:hAnsi="Times New Roman" w:eastAsia="仿宋" w:cs="Times New Roman"/>
          <w:b/>
          <w:u w:val="none"/>
        </w:rPr>
        <w:t>案编号：</w:t>
      </w:r>
      <w:r>
        <w:rPr>
          <w:rFonts w:hint="default" w:ascii="Times New Roman" w:hAnsi="Times New Roman" w:eastAsia="仿宋" w:cs="Times New Roman"/>
          <w:b/>
          <w:u w:val="none"/>
          <w:lang w:val="en-US" w:eastAsia="zh-CN"/>
        </w:rPr>
        <w:t>XYJXHJYJYA</w:t>
      </w:r>
      <w:r>
        <w:rPr>
          <w:rFonts w:hint="default" w:ascii="Times New Roman" w:hAnsi="Times New Roman" w:eastAsia="仿宋" w:cs="Times New Roman"/>
          <w:b/>
          <w:u w:val="none"/>
        </w:rPr>
        <w:t>-202</w:t>
      </w:r>
      <w:r>
        <w:rPr>
          <w:rFonts w:hint="default" w:ascii="Times New Roman" w:hAnsi="Times New Roman" w:eastAsia="仿宋" w:cs="Times New Roman"/>
          <w:b/>
          <w:u w:val="none"/>
          <w:lang w:val="en-US" w:eastAsia="zh-CN"/>
        </w:rPr>
        <w:t>1</w:t>
      </w:r>
      <w:r>
        <w:rPr>
          <w:rFonts w:hint="default" w:ascii="Times New Roman" w:hAnsi="Times New Roman" w:eastAsia="仿宋" w:cs="Times New Roman"/>
          <w:b/>
          <w:u w:val="none"/>
        </w:rPr>
        <w:t>-</w:t>
      </w:r>
      <w:r>
        <w:rPr>
          <w:rFonts w:hint="default" w:ascii="Times New Roman" w:hAnsi="Times New Roman" w:eastAsia="仿宋" w:cs="Times New Roman"/>
          <w:b/>
          <w:u w:val="none"/>
          <w:lang w:val="en-US" w:eastAsia="zh-CN"/>
        </w:rPr>
        <w:t>04</w:t>
      </w:r>
    </w:p>
    <w:p>
      <w:pPr>
        <w:pStyle w:val="8"/>
        <w:adjustRightInd w:val="0"/>
        <w:snapToGrid w:val="0"/>
        <w:spacing w:before="37"/>
        <w:ind w:right="48"/>
        <w:jc w:val="right"/>
        <w:rPr>
          <w:rFonts w:hint="default" w:ascii="Times New Roman" w:hAnsi="Times New Roman" w:eastAsia="仿宋" w:cs="Times New Roman"/>
          <w:b/>
        </w:rPr>
      </w:pPr>
      <w:r>
        <w:rPr>
          <w:rFonts w:hint="default" w:ascii="Times New Roman" w:hAnsi="Times New Roman" w:eastAsia="仿宋" w:cs="Times New Roman"/>
          <w:b/>
        </w:rPr>
        <w:t>预案版本号：</w:t>
      </w:r>
      <w:r>
        <w:rPr>
          <w:rFonts w:hint="default" w:ascii="Times New Roman" w:hAnsi="Times New Roman" w:eastAsia="仿宋" w:cs="Times New Roman"/>
          <w:b/>
          <w:u w:val="single"/>
        </w:rPr>
        <w:t>01</w:t>
      </w:r>
    </w:p>
    <w:p>
      <w:pPr>
        <w:pStyle w:val="27"/>
        <w:adjustRightInd w:val="0"/>
        <w:snapToGrid w:val="0"/>
        <w:spacing w:line="360" w:lineRule="auto"/>
        <w:ind w:firstLine="584"/>
        <w:rPr>
          <w:rFonts w:hint="default" w:ascii="Times New Roman" w:hAnsi="Times New Roman" w:eastAsia="仿宋" w:cs="Times New Roman"/>
          <w:bCs/>
          <w:spacing w:val="6"/>
          <w:sz w:val="28"/>
          <w:szCs w:val="28"/>
          <w:u w:val="single"/>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44"/>
          <w:szCs w:val="44"/>
          <w:lang w:val="en-US" w:eastAsia="zh-CN"/>
        </w:rPr>
      </w:pPr>
      <w:r>
        <w:rPr>
          <w:rFonts w:hint="default" w:ascii="Times New Roman" w:hAnsi="Times New Roman" w:eastAsia="仿宋" w:cs="Times New Roman"/>
          <w:b/>
          <w:kern w:val="2"/>
          <w:sz w:val="44"/>
          <w:szCs w:val="44"/>
          <w:lang w:val="en-US" w:eastAsia="zh-CN"/>
        </w:rPr>
        <w:t>咸阳鑫艺机械设备有限公司</w:t>
      </w: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44"/>
          <w:szCs w:val="44"/>
          <w:lang w:val="en-US" w:eastAsia="zh-CN"/>
        </w:rPr>
      </w:pPr>
      <w:r>
        <w:rPr>
          <w:rFonts w:hint="default" w:ascii="Times New Roman" w:hAnsi="Times New Roman" w:eastAsia="仿宋" w:cs="Times New Roman"/>
          <w:b/>
          <w:kern w:val="2"/>
          <w:sz w:val="44"/>
          <w:szCs w:val="44"/>
          <w:lang w:val="en-US" w:eastAsia="zh-CN"/>
        </w:rPr>
        <w:t>突发环境事件应急预案</w:t>
      </w: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rPr>
          <w:rFonts w:hint="default" w:ascii="Times New Roman" w:hAnsi="Times New Roman" w:eastAsia="仿宋" w:cs="Times New Roman"/>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firstLine="584"/>
        <w:rPr>
          <w:rFonts w:hint="default" w:ascii="Times New Roman" w:hAnsi="Times New Roman" w:eastAsia="仿宋" w:cs="Times New Roman"/>
          <w:bCs/>
          <w:spacing w:val="6"/>
          <w:sz w:val="28"/>
          <w:szCs w:val="28"/>
        </w:rPr>
      </w:pPr>
    </w:p>
    <w:p>
      <w:pPr>
        <w:pStyle w:val="27"/>
        <w:adjustRightInd w:val="0"/>
        <w:snapToGrid w:val="0"/>
        <w:spacing w:line="360" w:lineRule="auto"/>
        <w:ind w:left="0" w:leftChars="0" w:firstLine="0" w:firstLineChars="0"/>
        <w:rPr>
          <w:rFonts w:hint="default" w:ascii="Times New Roman" w:hAnsi="Times New Roman" w:eastAsia="仿宋" w:cs="Times New Roman"/>
          <w:bCs/>
          <w:spacing w:val="6"/>
          <w:sz w:val="28"/>
          <w:szCs w:val="28"/>
        </w:rPr>
      </w:pPr>
    </w:p>
    <w:p>
      <w:pPr>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pStyle w:val="17"/>
        <w:rPr>
          <w:rFonts w:hint="default" w:ascii="Times New Roman" w:hAnsi="Times New Roman" w:eastAsia="仿宋" w:cs="Times New Roman"/>
          <w:bCs/>
          <w:spacing w:val="6"/>
          <w:sz w:val="28"/>
          <w:szCs w:val="28"/>
        </w:rPr>
      </w:pPr>
    </w:p>
    <w:p>
      <w:pPr>
        <w:adjustRightInd w:val="0"/>
        <w:snapToGrid w:val="0"/>
        <w:spacing w:line="360" w:lineRule="auto"/>
        <w:ind w:firstLine="560" w:firstLineChars="200"/>
        <w:rPr>
          <w:rFonts w:hint="default" w:ascii="Times New Roman" w:hAnsi="Times New Roman" w:eastAsia="仿宋" w:cs="Times New Roman"/>
          <w:sz w:val="28"/>
        </w:rPr>
      </w:pP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32"/>
          <w:szCs w:val="32"/>
          <w:lang w:val="en-US" w:eastAsia="zh-CN"/>
        </w:rPr>
      </w:pPr>
      <w:r>
        <w:rPr>
          <w:rFonts w:hint="default" w:ascii="Times New Roman" w:hAnsi="Times New Roman" w:eastAsia="仿宋" w:cs="Times New Roman"/>
          <w:b/>
          <w:kern w:val="2"/>
          <w:sz w:val="32"/>
          <w:szCs w:val="32"/>
          <w:lang w:val="en-US" w:eastAsia="zh-CN"/>
        </w:rPr>
        <w:t>咸阳鑫艺机械设备有限公司</w:t>
      </w:r>
    </w:p>
    <w:p>
      <w:pPr>
        <w:pStyle w:val="13"/>
        <w:topLinePunct/>
        <w:autoSpaceDE/>
        <w:autoSpaceDN/>
        <w:adjustRightInd/>
        <w:spacing w:after="120" w:afterLines="50" w:line="360" w:lineRule="auto"/>
        <w:jc w:val="center"/>
        <w:rPr>
          <w:rFonts w:hint="default" w:ascii="Times New Roman" w:hAnsi="Times New Roman" w:eastAsia="仿宋" w:cs="Times New Roman"/>
          <w:b/>
          <w:kern w:val="2"/>
          <w:sz w:val="32"/>
          <w:szCs w:val="32"/>
          <w:lang w:val="en-US" w:eastAsia="zh-CN"/>
        </w:rPr>
      </w:pPr>
      <w:r>
        <w:rPr>
          <w:rFonts w:hint="default" w:ascii="Times New Roman" w:hAnsi="Times New Roman" w:eastAsia="仿宋" w:cs="Times New Roman"/>
          <w:b/>
          <w:kern w:val="2"/>
          <w:sz w:val="32"/>
          <w:szCs w:val="32"/>
          <w:lang w:val="en-US" w:eastAsia="zh-CN"/>
        </w:rPr>
        <w:t>二〇二一年四月</w:t>
      </w:r>
    </w:p>
    <w:p>
      <w:pPr>
        <w:pStyle w:val="49"/>
        <w:spacing w:line="360" w:lineRule="auto"/>
        <w:jc w:val="center"/>
        <w:rPr>
          <w:rFonts w:hint="default" w:ascii="Times New Roman" w:hAnsi="Times New Roman" w:eastAsia="仿宋" w:cs="Times New Roman"/>
          <w:b/>
          <w:color w:val="000000"/>
          <w:szCs w:val="28"/>
        </w:rPr>
      </w:pPr>
    </w:p>
    <w:p>
      <w:pPr>
        <w:pStyle w:val="49"/>
        <w:spacing w:line="360" w:lineRule="auto"/>
        <w:jc w:val="center"/>
        <w:rPr>
          <w:rFonts w:hint="default" w:ascii="Times New Roman" w:hAnsi="Times New Roman" w:eastAsia="仿宋" w:cs="Times New Roman"/>
          <w:b/>
          <w:color w:val="000000"/>
          <w:szCs w:val="28"/>
        </w:rPr>
      </w:pPr>
    </w:p>
    <w:bookmarkEnd w:id="0"/>
    <w:p>
      <w:pPr>
        <w:tabs>
          <w:tab w:val="left" w:pos="630"/>
          <w:tab w:val="right" w:leader="dot" w:pos="9064"/>
        </w:tabs>
        <w:spacing w:line="360" w:lineRule="auto"/>
        <w:jc w:val="center"/>
        <w:rPr>
          <w:rFonts w:hint="default" w:ascii="Times New Roman" w:hAnsi="Times New Roman" w:eastAsia="仿宋" w:cs="Times New Roman"/>
          <w:b/>
          <w:bCs/>
          <w:w w:val="95"/>
          <w:sz w:val="32"/>
          <w:szCs w:val="32"/>
          <w:lang w:val="en-US" w:eastAsia="zh-CN"/>
        </w:rPr>
        <w:sectPr>
          <w:headerReference r:id="rId4" w:type="first"/>
          <w:footerReference r:id="rId6" w:type="first"/>
          <w:headerReference r:id="rId3" w:type="default"/>
          <w:footerReference r:id="rId5" w:type="default"/>
          <w:pgSz w:w="11920" w:h="16840"/>
          <w:pgMar w:top="1418" w:right="1134" w:bottom="1134" w:left="1588" w:header="771" w:footer="981" w:gutter="0"/>
          <w:pgBorders>
            <w:top w:val="none" w:sz="0" w:space="0"/>
            <w:left w:val="none" w:sz="0" w:space="0"/>
            <w:bottom w:val="none" w:sz="0" w:space="0"/>
            <w:right w:val="none" w:sz="0" w:space="0"/>
          </w:pgBorders>
          <w:pgNumType w:fmt="decimal" w:start="0"/>
          <w:cols w:space="720" w:num="1"/>
          <w:titlePg/>
          <w:docGrid w:linePitch="286" w:charSpace="0"/>
        </w:sectPr>
      </w:pPr>
      <w:bookmarkStart w:id="1" w:name="_Toc25000"/>
      <w:bookmarkStart w:id="2" w:name="_Toc19211"/>
    </w:p>
    <w:p>
      <w:pPr>
        <w:pStyle w:val="19"/>
        <w:spacing w:line="360" w:lineRule="auto"/>
        <w:jc w:val="center"/>
        <w:rPr>
          <w:rFonts w:hint="default" w:ascii="Times New Roman" w:hAnsi="Times New Roman" w:eastAsia="仿宋" w:cs="Times New Roman"/>
          <w:b/>
          <w:w w:val="95"/>
          <w:kern w:val="2"/>
          <w:sz w:val="28"/>
          <w:szCs w:val="28"/>
          <w:lang w:val="en-US" w:eastAsia="zh-CN" w:bidi="ar-SA"/>
        </w:rPr>
      </w:pPr>
      <w:r>
        <w:rPr>
          <w:rFonts w:hint="default" w:ascii="Times New Roman" w:hAnsi="Times New Roman" w:eastAsia="仿宋" w:cs="Times New Roman"/>
          <w:b/>
          <w:bCs/>
          <w:w w:val="95"/>
          <w:sz w:val="32"/>
          <w:szCs w:val="32"/>
          <w:lang w:val="en-US" w:eastAsia="zh-CN"/>
        </w:rPr>
        <w:t>目  录</w:t>
      </w:r>
      <w:r>
        <w:rPr>
          <w:rFonts w:hint="default" w:ascii="Times New Roman" w:hAnsi="Times New Roman" w:eastAsia="仿宋" w:cs="Times New Roman"/>
          <w:b w:val="0"/>
          <w:w w:val="95"/>
          <w:sz w:val="28"/>
          <w:szCs w:val="28"/>
        </w:rPr>
        <w:fldChar w:fldCharType="begin"/>
      </w:r>
      <w:r>
        <w:rPr>
          <w:rFonts w:hint="default" w:ascii="Times New Roman" w:hAnsi="Times New Roman" w:eastAsia="仿宋" w:cs="Times New Roman"/>
          <w:b w:val="0"/>
          <w:w w:val="95"/>
          <w:sz w:val="28"/>
          <w:szCs w:val="28"/>
        </w:rPr>
        <w:instrText xml:space="preserve"> TOC \o "1-3" \h \z \u </w:instrText>
      </w:r>
      <w:r>
        <w:rPr>
          <w:rFonts w:hint="default" w:ascii="Times New Roman" w:hAnsi="Times New Roman" w:eastAsia="仿宋" w:cs="Times New Roman"/>
          <w:b w:val="0"/>
          <w:w w:val="95"/>
          <w:sz w:val="28"/>
          <w:szCs w:val="28"/>
        </w:rPr>
        <w:fldChar w:fldCharType="separate"/>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_Toc23615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1.总则</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_Toc23615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_Toc5652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1.1 编制目的</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_Toc5652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_Toc2490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 编制依据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_Toc2490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1.2.1法律法规、政策</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_Toc19276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1.2.2技术指南、标准规范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_Toc19276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_Toc14625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1.2.3其他资料</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_Toc14625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_Toc12856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1.3 环境突发事件分级标准</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_Toc12856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_Toc10974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1.3.1标准分级</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_Toc10974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_Toc21019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1.3.2本公司事件分级</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_Toc21019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_Toc12803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 xml:space="preserve">1.3.3 </w:t>
      </w:r>
      <w:r>
        <w:rPr>
          <w:rFonts w:hint="default" w:ascii="Times New Roman" w:hAnsi="Times New Roman" w:cs="Times New Roman"/>
          <w:sz w:val="24"/>
          <w:szCs w:val="24"/>
          <w:lang w:eastAsia="zh-CN"/>
        </w:rPr>
        <w:t>咸阳鑫艺机械设备有限公司</w:t>
      </w:r>
      <w:r>
        <w:rPr>
          <w:rFonts w:hint="default" w:ascii="Times New Roman" w:hAnsi="Times New Roman" w:eastAsia="仿宋" w:cs="Times New Roman"/>
          <w:sz w:val="24"/>
          <w:szCs w:val="24"/>
        </w:rPr>
        <w:t>事件等级确定</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_Toc12803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_Toc13792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1.4适用范围</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_Toc13792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_Toc4668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1.5预案体系</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_Toc4668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_Toc3396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1.5.1预案编制体系构成</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_Toc3396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_Toc21509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1.5.2应急预案关系说明</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_Toc21509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_Toc24481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1.6 应急工作原则</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_Toc24481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_Toc18147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2.企业概况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_Toc18147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_Toc13775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2.1 企业基本情况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_Toc13775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10</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_Toc29215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2.2 地理位置及厂区平面布置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_Toc29215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10</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_Toc31845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 周边自然环境状况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_Toc31845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_Toc20646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2.3.1地理位置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_Toc20646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_Toc10394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2.3.2地质地貌</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_Toc10394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_Toc22727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2.3.3水文</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_Toc22727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12</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_Toc15766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2.3.4气候</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_Toc15766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12</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_Toc5847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2.3.5动</w:t>
      </w:r>
      <w:r>
        <w:rPr>
          <w:rFonts w:hint="default" w:ascii="Times New Roman" w:hAnsi="Times New Roman" w:cs="Times New Roman"/>
          <w:sz w:val="24"/>
          <w:szCs w:val="24"/>
          <w:lang w:eastAsia="zh-CN"/>
        </w:rPr>
        <w:t>、</w:t>
      </w:r>
      <w:r>
        <w:rPr>
          <w:rFonts w:hint="default" w:ascii="Times New Roman" w:hAnsi="Times New Roman" w:eastAsia="仿宋" w:cs="Times New Roman"/>
          <w:sz w:val="24"/>
          <w:szCs w:val="24"/>
        </w:rPr>
        <w:t>植物</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_Toc5847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_Toc31994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 企业生产情况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_Toc31994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_Toc6665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2.4.1 产品产量情况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_Toc6665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_Toc9440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2.4.2 原辅材料情况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_Toc9440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_Toc11520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2.4.3 生产设备</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_Toc11520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_Toc28325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2.4.4 生产工艺</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_Toc28325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_Toc24538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2.5 污染物产生及处理情况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_Toc24538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_Toc23865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2.6环境功能区划</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_Toc23865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_Toc22483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2.7 企业周边环境风险受体情况</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_Toc22483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_Toc7888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3.应急组织体系</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_Toc7888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_Toc14506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3.1应急指挥机构</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_Toc14506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_Toc9503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3.2 职责</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_Toc9503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19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_Toc28820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3.2.1 应急指挥部职责</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_Toc28820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20</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_Toc4664 </w:instrText>
      </w:r>
      <w:r>
        <w:rPr>
          <w:rFonts w:hint="default" w:ascii="Times New Roman" w:hAnsi="Times New Roman" w:eastAsia="仿宋" w:cs="Times New Roman"/>
          <w:w w:val="95"/>
          <w:sz w:val="24"/>
          <w:szCs w:val="24"/>
        </w:rPr>
        <w:fldChar w:fldCharType="separate"/>
      </w:r>
      <w:r>
        <w:rPr>
          <w:rFonts w:hint="default" w:ascii="Times New Roman" w:hAnsi="Times New Roman" w:cs="Times New Roman"/>
          <w:sz w:val="24"/>
          <w:szCs w:val="24"/>
          <w:lang w:val="en-US" w:eastAsia="zh-CN"/>
        </w:rPr>
        <w:t>3.2.2 各应急救援组的职责</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_Toc4664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_Toc11809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 环境风险分析</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_Toc11809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_Toc31638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4.1 环境风险评价目的</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_Toc31638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_Toc1174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 环境风险识别</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_Toc1174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_Toc22186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4.2.1 风险物质识别</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_Toc22186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_Toc5537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4.2.2 风险单元识别</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_Toc5537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_Toc979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4.2.3环境风险目标</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_Toc979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_Toc6119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4.2.4环境事故类型</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_Toc6119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_Toc24541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5预防与预警</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_Toc24541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_Toc23256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5.1预防工作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_Toc23256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_Toc4865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5.1.1定期评估、排查</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_Toc4865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_Toc18985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5.1.2完善管理制度</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_Toc18985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_Toc13562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5.2环境风险源监控</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_Toc13562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_Toc30235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5.2.1监控方法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_Toc30235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_Toc22193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5.2.2监控措施</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_Toc22193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_Toc3828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5.3预警分级</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_Toc3828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_Toc17994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5.4预警启动条件</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_Toc17994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_Toc30044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5.5预警方式、方法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_Toc30044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_Toc18585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5.6预警解除</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_Toc18585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_Toc20088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 应急处置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_Toc20088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_Toc6987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6.1 应急预案启动</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_Toc6987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_Toc16883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6.2 信息报告</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_Toc16883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29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2"/>
        <w:tabs>
          <w:tab w:val="right" w:leader="dot" w:pos="9198"/>
        </w:tabs>
        <w:jc w:val="both"/>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_Toc27972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6.2.1 企业内部报告程序</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_Toc27972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29</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_Toc31075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6.2.2</w:t>
      </w:r>
      <w:r>
        <w:rPr>
          <w:rFonts w:hint="default" w:ascii="Times New Roman" w:hAnsi="Times New Roman" w:eastAsia="仿宋" w:cs="Times New Roman"/>
          <w:b w:val="0"/>
          <w:bCs/>
          <w:sz w:val="24"/>
          <w:szCs w:val="24"/>
          <w:lang w:val="en-US" w:eastAsia="zh-CN"/>
        </w:rPr>
        <w:t xml:space="preserve"> </w:t>
      </w:r>
      <w:r>
        <w:rPr>
          <w:rFonts w:hint="default" w:ascii="Times New Roman" w:hAnsi="Times New Roman" w:eastAsia="仿宋" w:cs="Times New Roman"/>
          <w:b w:val="0"/>
          <w:bCs/>
          <w:sz w:val="24"/>
          <w:szCs w:val="24"/>
        </w:rPr>
        <w:t>外部报告程序</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_Toc31075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30</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_Toc9987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6.2.3 事故报告内容</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_Toc9987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30</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_Toc29599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6.2.4 信息报告形式</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_Toc29599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31</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_Toc27400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6.2.5 通报受影响区域</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_Toc27400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31</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_Toc5125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6.2.6 24小时报警</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_Toc5125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32</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_Toc13972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6.3 分级响应</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_Toc13972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32</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_Toc21703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6.4 指挥与协调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_Toc21703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_Toc3385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6.5污染事故现场应急处置一般办法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_Toc3385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37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_Toc31921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6.5.1 事故处置原则</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_Toc31921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37</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_Toc11793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6.5.2 具体应急处置措施</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_Toc11793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37</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_Toc31750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6.5.3 扩大应急处理措施</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_Toc31750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39</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_Toc1948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6.5.4 事故保护目标应急措施</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_Toc1948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39</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_Toc29031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6.5.5 应急监测</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_Toc29031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40</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_Toc7911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6.5.6现场清洁净化和环境恢复</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_Toc7911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40</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_Toc3614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6.6信息发布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_Toc3614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_Toc6321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6.6.1 信息发布部门</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_Toc6321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41</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_Toc18560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6.6.2 信息公开原则</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_Toc18560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41</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_Toc493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6.6.3 信息公开方式</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_Toc493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41</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_Toc5318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6.6.4 信息公开内容和对象</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_Toc5318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41</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2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_Toc4555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6.7应急终止</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_Toc4555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42</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_Toc24893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6.7.1 应急终止的条件</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_Toc24893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42</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b w:val="0"/>
          <w:bCs/>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_Toc10711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6.7.2 应急终止的程序</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_Toc10711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42</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b w:val="0"/>
          <w:bCs/>
          <w:w w:val="95"/>
          <w:sz w:val="24"/>
          <w:szCs w:val="24"/>
        </w:rPr>
        <w:fldChar w:fldCharType="begin"/>
      </w:r>
      <w:r>
        <w:rPr>
          <w:rFonts w:hint="default" w:ascii="Times New Roman" w:hAnsi="Times New Roman" w:eastAsia="仿宋" w:cs="Times New Roman"/>
          <w:b w:val="0"/>
          <w:bCs/>
          <w:w w:val="95"/>
          <w:sz w:val="24"/>
          <w:szCs w:val="24"/>
        </w:rPr>
        <w:instrText xml:space="preserve"> HYPERLINK \l _Toc19433 </w:instrText>
      </w:r>
      <w:r>
        <w:rPr>
          <w:rFonts w:hint="default" w:ascii="Times New Roman" w:hAnsi="Times New Roman" w:eastAsia="仿宋" w:cs="Times New Roman"/>
          <w:b w:val="0"/>
          <w:bCs/>
          <w:w w:val="95"/>
          <w:sz w:val="24"/>
          <w:szCs w:val="24"/>
        </w:rPr>
        <w:fldChar w:fldCharType="separate"/>
      </w:r>
      <w:r>
        <w:rPr>
          <w:rFonts w:hint="default" w:ascii="Times New Roman" w:hAnsi="Times New Roman" w:eastAsia="仿宋" w:cs="Times New Roman"/>
          <w:b w:val="0"/>
          <w:bCs/>
          <w:sz w:val="24"/>
          <w:szCs w:val="24"/>
        </w:rPr>
        <w:t>6.7.3 应急终止后的行动</w:t>
      </w:r>
      <w:r>
        <w:rPr>
          <w:rFonts w:hint="default" w:ascii="Times New Roman" w:hAnsi="Times New Roman" w:cs="Times New Roman"/>
          <w:b w:val="0"/>
          <w:bCs/>
          <w:sz w:val="24"/>
          <w:szCs w:val="24"/>
        </w:rPr>
        <w:tab/>
      </w:r>
      <w:r>
        <w:rPr>
          <w:rFonts w:hint="default" w:ascii="Times New Roman" w:hAnsi="Times New Roman" w:cs="Times New Roman"/>
          <w:b w:val="0"/>
          <w:bCs/>
          <w:sz w:val="24"/>
          <w:szCs w:val="24"/>
        </w:rPr>
        <w:fldChar w:fldCharType="begin"/>
      </w:r>
      <w:r>
        <w:rPr>
          <w:rFonts w:hint="default" w:ascii="Times New Roman" w:hAnsi="Times New Roman" w:cs="Times New Roman"/>
          <w:b w:val="0"/>
          <w:bCs/>
          <w:sz w:val="24"/>
          <w:szCs w:val="24"/>
        </w:rPr>
        <w:instrText xml:space="preserve"> PAGEREF _Toc19433 </w:instrText>
      </w:r>
      <w:r>
        <w:rPr>
          <w:rFonts w:hint="default" w:ascii="Times New Roman" w:hAnsi="Times New Roman" w:cs="Times New Roman"/>
          <w:b w:val="0"/>
          <w:bCs/>
          <w:sz w:val="24"/>
          <w:szCs w:val="24"/>
        </w:rPr>
        <w:fldChar w:fldCharType="separate"/>
      </w:r>
      <w:r>
        <w:rPr>
          <w:rFonts w:hint="default" w:ascii="Times New Roman" w:hAnsi="Times New Roman" w:cs="Times New Roman"/>
          <w:b w:val="0"/>
          <w:bCs/>
          <w:sz w:val="24"/>
          <w:szCs w:val="24"/>
        </w:rPr>
        <w:t>42</w:t>
      </w:r>
      <w:r>
        <w:rPr>
          <w:rFonts w:hint="default" w:ascii="Times New Roman" w:hAnsi="Times New Roman" w:cs="Times New Roman"/>
          <w:b w:val="0"/>
          <w:bCs/>
          <w:sz w:val="24"/>
          <w:szCs w:val="24"/>
        </w:rPr>
        <w:fldChar w:fldCharType="end"/>
      </w:r>
      <w:r>
        <w:rPr>
          <w:rFonts w:hint="default" w:ascii="Times New Roman" w:hAnsi="Times New Roman" w:eastAsia="仿宋" w:cs="Times New Roman"/>
          <w:b w:val="0"/>
          <w:bCs/>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_Toc20486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7.后期处理</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_Toc20486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_Toc10978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7.1 善后处置</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_Toc10978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43</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_Toc12833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7.2 警戒与治安</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_Toc12833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_Toc11421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7.3 次生灾害防范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_Toc11421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_Toc17774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7.4 调查与评估</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_Toc17774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_Toc30559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7.5 生产秩序恢复重建</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_Toc30559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_Toc27854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8.应急保障措施</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_Toc27854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_Toc10607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8.1 人力资源保障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_Toc10607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_Toc8363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8.2 资金保障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_Toc8363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_Toc26571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8.3 物资及应急设施保障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_Toc26571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_Toc12133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8.4 医疗卫生保障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_Toc12133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_Toc22361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8.5 交通运输保障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_Toc22361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_Toc8741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8.6 治安维护</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_Toc8741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_Toc31995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8.7 通讯保障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_Toc31995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_Toc28986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8.8 应急资料</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_Toc28986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_Toc8942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9.监督与管理</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_Toc8942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_Toc19564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9.1 应急预案演练</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_Toc19564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_Toc5715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9.2 应急培训教育</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_Toc5715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48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_Toc7918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9.3 责任与奖惩</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_Toc7918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50</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_Toc26072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9.4 预案管理</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_Toc26072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_Toc29654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 附  则</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_Toc29654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_Toc21212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10.1 有关名词、术语</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_Toc21212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_Toc18233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10.2 预案管理与更新</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_Toc18233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54</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_Toc28804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10.3 地方沟通与协作</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_Toc28804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22"/>
        <w:tabs>
          <w:tab w:val="right" w:leader="dot" w:pos="9198"/>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_Toc29034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10.4 预案实施时间</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_Toc29034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55</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_Toc2199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1</w:t>
      </w:r>
      <w:r>
        <w:rPr>
          <w:rFonts w:hint="default" w:ascii="Times New Roman" w:hAnsi="Times New Roman" w:eastAsia="仿宋" w:cs="Times New Roman"/>
          <w:sz w:val="24"/>
          <w:szCs w:val="24"/>
        </w:rPr>
        <w:t xml:space="preserve"> 企业应急救援组织名单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_Toc2199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_Toc1255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lang w:val="en-US" w:eastAsia="zh-CN"/>
        </w:rPr>
        <w:t xml:space="preserve">附件2 </w:t>
      </w:r>
      <w:r>
        <w:rPr>
          <w:rFonts w:hint="default" w:ascii="Times New Roman" w:hAnsi="Times New Roman" w:eastAsia="仿宋" w:cs="Times New Roman"/>
          <w:sz w:val="24"/>
          <w:szCs w:val="24"/>
        </w:rPr>
        <w:t>消防</w:t>
      </w:r>
      <w:r>
        <w:rPr>
          <w:rFonts w:hint="default" w:ascii="Times New Roman" w:hAnsi="Times New Roman" w:eastAsia="仿宋" w:cs="Times New Roman"/>
          <w:sz w:val="24"/>
          <w:szCs w:val="24"/>
          <w:lang w:eastAsia="zh-CN"/>
        </w:rPr>
        <w:t>、</w:t>
      </w:r>
      <w:r>
        <w:rPr>
          <w:rFonts w:hint="default" w:ascii="Times New Roman" w:hAnsi="Times New Roman" w:eastAsia="仿宋" w:cs="Times New Roman"/>
          <w:sz w:val="24"/>
          <w:szCs w:val="24"/>
        </w:rPr>
        <w:t>应急</w:t>
      </w:r>
      <w:r>
        <w:rPr>
          <w:rFonts w:hint="default" w:ascii="Times New Roman" w:hAnsi="Times New Roman" w:eastAsia="仿宋" w:cs="Times New Roman"/>
          <w:sz w:val="24"/>
          <w:szCs w:val="24"/>
          <w:lang w:val="en-US" w:eastAsia="zh-CN"/>
        </w:rPr>
        <w:t>物资</w:t>
      </w:r>
      <w:r>
        <w:rPr>
          <w:rFonts w:hint="default" w:ascii="Times New Roman" w:hAnsi="Times New Roman" w:eastAsia="仿宋" w:cs="Times New Roman"/>
          <w:sz w:val="24"/>
          <w:szCs w:val="24"/>
        </w:rPr>
        <w:t>清单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_Toc1255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_Toc23580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lang w:val="en-US" w:eastAsia="zh-CN"/>
        </w:rPr>
        <w:t>附件3 外部应急救援组织及联系方法</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_Toc23580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56</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_Toc31996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4</w:t>
      </w:r>
      <w:r>
        <w:rPr>
          <w:rFonts w:hint="default" w:ascii="Times New Roman" w:hAnsi="Times New Roman" w:eastAsia="仿宋" w:cs="Times New Roman"/>
          <w:sz w:val="24"/>
          <w:szCs w:val="24"/>
        </w:rPr>
        <w:t xml:space="preserve"> 应急相应行动流程图</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_Toc31996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57</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_Toc17937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5</w:t>
      </w:r>
      <w:r>
        <w:rPr>
          <w:rFonts w:hint="default" w:ascii="Times New Roman" w:hAnsi="Times New Roman" w:eastAsia="仿宋" w:cs="Times New Roman"/>
          <w:sz w:val="24"/>
          <w:szCs w:val="24"/>
        </w:rPr>
        <w:t xml:space="preserve"> </w:t>
      </w:r>
      <w:r>
        <w:rPr>
          <w:rFonts w:hint="default" w:ascii="Times New Roman" w:hAnsi="Times New Roman" w:eastAsia="仿宋" w:cs="Times New Roman"/>
          <w:sz w:val="24"/>
          <w:szCs w:val="24"/>
          <w:lang w:val="en-US" w:eastAsia="zh-CN"/>
        </w:rPr>
        <w:t>企业</w:t>
      </w:r>
      <w:r>
        <w:rPr>
          <w:rFonts w:hint="default" w:ascii="Times New Roman" w:hAnsi="Times New Roman" w:eastAsia="仿宋" w:cs="Times New Roman"/>
          <w:sz w:val="24"/>
          <w:szCs w:val="24"/>
        </w:rPr>
        <w:t>地理位置图</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_Toc17937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58</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_Toc18977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附件6 企业四邻现状图</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_Toc18977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59</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_Toc14518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附件7企业监测点位</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_Toc14518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60</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_Toc29338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附件</w:t>
      </w:r>
      <w:r>
        <w:rPr>
          <w:rFonts w:hint="default" w:ascii="Times New Roman" w:hAnsi="Times New Roman" w:eastAsia="仿宋" w:cs="Times New Roman"/>
          <w:sz w:val="24"/>
          <w:szCs w:val="24"/>
          <w:lang w:val="en-US" w:eastAsia="zh-CN"/>
        </w:rPr>
        <w:t>8</w:t>
      </w:r>
      <w:r>
        <w:rPr>
          <w:rFonts w:hint="default" w:ascii="Times New Roman" w:hAnsi="Times New Roman" w:eastAsia="仿宋" w:cs="Times New Roman"/>
          <w:sz w:val="24"/>
          <w:szCs w:val="24"/>
        </w:rPr>
        <w:t>事故应急处置卡</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_Toc29338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61</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pStyle w:val="19"/>
        <w:tabs>
          <w:tab w:val="right" w:leader="dot" w:pos="9198"/>
          <w:tab w:val="clear" w:pos="630"/>
          <w:tab w:val="clear" w:pos="9064"/>
        </w:tabs>
        <w:rPr>
          <w:rFonts w:hint="default" w:ascii="Times New Roman" w:hAnsi="Times New Roman" w:cs="Times New Roman"/>
          <w:sz w:val="24"/>
          <w:szCs w:val="24"/>
        </w:rPr>
      </w:pPr>
      <w:r>
        <w:rPr>
          <w:rFonts w:hint="default" w:ascii="Times New Roman" w:hAnsi="Times New Roman" w:eastAsia="仿宋" w:cs="Times New Roman"/>
          <w:w w:val="95"/>
          <w:sz w:val="24"/>
          <w:szCs w:val="24"/>
        </w:rPr>
        <w:fldChar w:fldCharType="begin"/>
      </w:r>
      <w:r>
        <w:rPr>
          <w:rFonts w:hint="default" w:ascii="Times New Roman" w:hAnsi="Times New Roman" w:eastAsia="仿宋" w:cs="Times New Roman"/>
          <w:w w:val="95"/>
          <w:sz w:val="24"/>
          <w:szCs w:val="24"/>
        </w:rPr>
        <w:instrText xml:space="preserve"> HYPERLINK \l _Toc28910 </w:instrText>
      </w:r>
      <w:r>
        <w:rPr>
          <w:rFonts w:hint="default" w:ascii="Times New Roman" w:hAnsi="Times New Roman" w:eastAsia="仿宋" w:cs="Times New Roman"/>
          <w:w w:val="95"/>
          <w:sz w:val="24"/>
          <w:szCs w:val="24"/>
        </w:rPr>
        <w:fldChar w:fldCharType="separate"/>
      </w:r>
      <w:r>
        <w:rPr>
          <w:rFonts w:hint="default" w:ascii="Times New Roman" w:hAnsi="Times New Roman" w:eastAsia="仿宋" w:cs="Times New Roman"/>
          <w:sz w:val="24"/>
          <w:szCs w:val="24"/>
        </w:rPr>
        <w:t>附表 标准化格式文本</w:t>
      </w:r>
      <w:r>
        <w:rPr>
          <w:rFonts w:hint="default" w:ascii="Times New Roman" w:hAnsi="Times New Roman" w:cs="Times New Roman"/>
          <w:sz w:val="24"/>
          <w:szCs w:val="24"/>
        </w:rPr>
        <w:tab/>
      </w:r>
      <w:r>
        <w:rPr>
          <w:rFonts w:hint="default" w:ascii="Times New Roman" w:hAnsi="Times New Roman" w:cs="Times New Roman"/>
          <w:sz w:val="24"/>
          <w:szCs w:val="24"/>
        </w:rPr>
        <w:fldChar w:fldCharType="begin"/>
      </w:r>
      <w:r>
        <w:rPr>
          <w:rFonts w:hint="default" w:ascii="Times New Roman" w:hAnsi="Times New Roman" w:cs="Times New Roman"/>
          <w:sz w:val="24"/>
          <w:szCs w:val="24"/>
        </w:rPr>
        <w:instrText xml:space="preserve"> PAGEREF _Toc28910 </w:instrText>
      </w:r>
      <w:r>
        <w:rPr>
          <w:rFonts w:hint="default" w:ascii="Times New Roman" w:hAnsi="Times New Roman" w:cs="Times New Roman"/>
          <w:sz w:val="24"/>
          <w:szCs w:val="24"/>
        </w:rPr>
        <w:fldChar w:fldCharType="separate"/>
      </w:r>
      <w:r>
        <w:rPr>
          <w:rFonts w:hint="default" w:ascii="Times New Roman" w:hAnsi="Times New Roman" w:cs="Times New Roman"/>
          <w:sz w:val="24"/>
          <w:szCs w:val="24"/>
        </w:rPr>
        <w:t>62</w:t>
      </w:r>
      <w:r>
        <w:rPr>
          <w:rFonts w:hint="default" w:ascii="Times New Roman" w:hAnsi="Times New Roman" w:cs="Times New Roman"/>
          <w:sz w:val="24"/>
          <w:szCs w:val="24"/>
        </w:rPr>
        <w:fldChar w:fldCharType="end"/>
      </w:r>
      <w:r>
        <w:rPr>
          <w:rFonts w:hint="default" w:ascii="Times New Roman" w:hAnsi="Times New Roman" w:eastAsia="仿宋" w:cs="Times New Roman"/>
          <w:w w:val="95"/>
          <w:sz w:val="24"/>
          <w:szCs w:val="24"/>
        </w:rPr>
        <w:fldChar w:fldCharType="end"/>
      </w:r>
    </w:p>
    <w:p>
      <w:pPr>
        <w:tabs>
          <w:tab w:val="left" w:pos="630"/>
          <w:tab w:val="right" w:leader="dot" w:pos="9064"/>
        </w:tabs>
        <w:spacing w:line="360" w:lineRule="auto"/>
        <w:jc w:val="center"/>
        <w:rPr>
          <w:rFonts w:hint="default" w:ascii="Times New Roman" w:hAnsi="Times New Roman" w:eastAsia="仿宋" w:cs="Times New Roman"/>
          <w:b/>
          <w:w w:val="95"/>
          <w:sz w:val="28"/>
          <w:szCs w:val="28"/>
        </w:rPr>
      </w:pPr>
      <w:r>
        <w:rPr>
          <w:rFonts w:hint="default" w:ascii="Times New Roman" w:hAnsi="Times New Roman" w:eastAsia="仿宋" w:cs="Times New Roman"/>
          <w:b/>
          <w:w w:val="95"/>
          <w:sz w:val="28"/>
          <w:szCs w:val="28"/>
        </w:rPr>
        <w:fldChar w:fldCharType="end"/>
      </w:r>
    </w:p>
    <w:p>
      <w:pPr>
        <w:pStyle w:val="17"/>
        <w:rPr>
          <w:rFonts w:hint="default" w:ascii="Times New Roman" w:hAnsi="Times New Roman" w:eastAsia="仿宋" w:cs="Times New Roman"/>
          <w:b/>
          <w:w w:val="95"/>
          <w:sz w:val="28"/>
          <w:szCs w:val="28"/>
        </w:rPr>
        <w:sectPr>
          <w:footerReference r:id="rId9" w:type="first"/>
          <w:headerReference r:id="rId7" w:type="default"/>
          <w:footerReference r:id="rId8" w:type="default"/>
          <w:pgSz w:w="11920" w:h="16840"/>
          <w:pgMar w:top="1418" w:right="1134" w:bottom="1134" w:left="1588" w:header="771" w:footer="981" w:gutter="0"/>
          <w:pgBorders>
            <w:top w:val="none" w:sz="0" w:space="0"/>
            <w:left w:val="none" w:sz="0" w:space="0"/>
            <w:bottom w:val="none" w:sz="0" w:space="0"/>
            <w:right w:val="none" w:sz="0" w:space="0"/>
          </w:pgBorders>
          <w:pgNumType w:fmt="decimal" w:start="1"/>
          <w:cols w:space="720" w:num="1"/>
          <w:docGrid w:linePitch="286" w:charSpace="0"/>
        </w:sectPr>
      </w:pPr>
    </w:p>
    <w:p>
      <w:pPr>
        <w:pStyle w:val="19"/>
        <w:outlineLvl w:val="0"/>
        <w:rPr>
          <w:rFonts w:hint="default" w:ascii="Times New Roman" w:hAnsi="Times New Roman" w:eastAsia="仿宋" w:cs="Times New Roman"/>
          <w:sz w:val="36"/>
          <w:szCs w:val="36"/>
        </w:rPr>
      </w:pPr>
      <w:bookmarkStart w:id="3" w:name="_Toc54050835"/>
      <w:bookmarkStart w:id="4" w:name="_Toc23615"/>
      <w:r>
        <w:rPr>
          <w:rFonts w:hint="default" w:ascii="Times New Roman" w:hAnsi="Times New Roman" w:eastAsia="仿宋" w:cs="Times New Roman"/>
          <w:sz w:val="36"/>
          <w:szCs w:val="36"/>
        </w:rPr>
        <w:t>1.总则</w:t>
      </w:r>
      <w:bookmarkEnd w:id="1"/>
      <w:bookmarkEnd w:id="2"/>
      <w:bookmarkEnd w:id="3"/>
      <w:bookmarkEnd w:id="4"/>
    </w:p>
    <w:p>
      <w:pPr>
        <w:pStyle w:val="22"/>
        <w:ind w:left="0" w:leftChars="0"/>
        <w:outlineLvl w:val="1"/>
        <w:rPr>
          <w:rFonts w:hint="default" w:ascii="Times New Roman" w:hAnsi="Times New Roman" w:eastAsia="仿宋" w:cs="Times New Roman"/>
          <w:b/>
          <w:szCs w:val="28"/>
        </w:rPr>
      </w:pPr>
      <w:bookmarkStart w:id="5" w:name="_Toc22954"/>
      <w:bookmarkStart w:id="6" w:name="_Toc5652"/>
      <w:bookmarkStart w:id="7" w:name="_Toc54050836"/>
      <w:bookmarkStart w:id="8" w:name="_Toc18428"/>
      <w:r>
        <w:rPr>
          <w:rFonts w:hint="default" w:ascii="Times New Roman" w:hAnsi="Times New Roman" w:eastAsia="仿宋" w:cs="Times New Roman"/>
          <w:b/>
          <w:szCs w:val="28"/>
        </w:rPr>
        <w:t>1.1 编制目的</w:t>
      </w:r>
      <w:bookmarkEnd w:id="5"/>
      <w:bookmarkEnd w:id="6"/>
      <w:bookmarkEnd w:id="7"/>
      <w:bookmarkEnd w:id="8"/>
      <w:r>
        <w:rPr>
          <w:rFonts w:hint="default" w:ascii="Times New Roman" w:hAnsi="Times New Roman" w:eastAsia="仿宋" w:cs="Times New Roman"/>
          <w:b/>
          <w:szCs w:val="28"/>
        </w:rPr>
        <w:t xml:space="preserve"> </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为积极应对本公司突发环境事件，规范</w:t>
      </w:r>
      <w:r>
        <w:rPr>
          <w:rFonts w:hint="default" w:ascii="Times New Roman" w:hAnsi="Times New Roman" w:eastAsia="仿宋" w:cs="Times New Roman"/>
          <w:sz w:val="28"/>
          <w:szCs w:val="28"/>
          <w:lang w:val="en-US" w:eastAsia="zh-CN"/>
        </w:rPr>
        <w:t>厂区</w:t>
      </w:r>
      <w:r>
        <w:rPr>
          <w:rFonts w:hint="default" w:ascii="Times New Roman" w:hAnsi="Times New Roman" w:eastAsia="仿宋" w:cs="Times New Roman"/>
          <w:sz w:val="28"/>
          <w:szCs w:val="28"/>
        </w:rPr>
        <w:t>环境应急管理工作</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提高应对和防范突发环境事件能力</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在突发环境事件发生时，按照预定方案有条不紊地组织实施救援，最大限度减少人员伤亡和财产损失、降低环境损害和社会影响</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保障公众安全，维护社会稳定，促进经济社会全面、协调、可持续发展。</w:t>
      </w:r>
      <w:r>
        <w:rPr>
          <w:rFonts w:hint="default" w:ascii="Times New Roman" w:hAnsi="Times New Roman" w:eastAsia="仿宋" w:cs="Times New Roman"/>
          <w:sz w:val="28"/>
          <w:szCs w:val="28"/>
          <w:lang w:val="en-US" w:eastAsia="zh-CN"/>
        </w:rPr>
        <w:t>预案编制组</w:t>
      </w:r>
      <w:r>
        <w:rPr>
          <w:rFonts w:hint="default" w:ascii="Times New Roman" w:hAnsi="Times New Roman" w:eastAsia="仿宋" w:cs="Times New Roman"/>
          <w:sz w:val="28"/>
          <w:szCs w:val="28"/>
        </w:rPr>
        <w:t>结合本公司实际</w:t>
      </w:r>
      <w:r>
        <w:rPr>
          <w:rFonts w:hint="default" w:ascii="Times New Roman" w:hAnsi="Times New Roman" w:eastAsia="仿宋" w:cs="Times New Roman"/>
          <w:sz w:val="28"/>
          <w:szCs w:val="28"/>
          <w:lang w:val="en-US" w:eastAsia="zh-CN"/>
        </w:rPr>
        <w:t>情况</w:t>
      </w:r>
      <w:r>
        <w:rPr>
          <w:rFonts w:hint="default" w:ascii="Times New Roman" w:hAnsi="Times New Roman" w:eastAsia="仿宋" w:cs="Times New Roman"/>
          <w:sz w:val="28"/>
          <w:szCs w:val="28"/>
        </w:rPr>
        <w:t>编制</w:t>
      </w:r>
      <w:r>
        <w:rPr>
          <w:rFonts w:hint="default" w:ascii="Times New Roman" w:hAnsi="Times New Roman" w:eastAsia="仿宋" w:cs="Times New Roman"/>
          <w:sz w:val="28"/>
          <w:szCs w:val="28"/>
          <w:lang w:val="en-US" w:eastAsia="zh-CN"/>
        </w:rPr>
        <w:t>完成</w:t>
      </w:r>
      <w:r>
        <w:rPr>
          <w:rFonts w:hint="default" w:ascii="Times New Roman" w:hAnsi="Times New Roman" w:eastAsia="仿宋" w:cs="Times New Roman"/>
          <w:sz w:val="28"/>
          <w:szCs w:val="28"/>
        </w:rPr>
        <w:t>了</w:t>
      </w:r>
      <w:r>
        <w:rPr>
          <w:rFonts w:hint="default" w:ascii="Times New Roman" w:hAnsi="Times New Roman" w:eastAsia="仿宋" w:cs="Times New Roman"/>
          <w:sz w:val="28"/>
          <w:szCs w:val="28"/>
          <w:lang w:eastAsia="zh-CN"/>
        </w:rPr>
        <w:t>《咸阳鑫艺机械设备有限公司</w:t>
      </w:r>
      <w:r>
        <w:rPr>
          <w:rFonts w:hint="default" w:ascii="Times New Roman" w:hAnsi="Times New Roman" w:eastAsia="仿宋" w:cs="Times New Roman"/>
          <w:sz w:val="28"/>
          <w:szCs w:val="28"/>
        </w:rPr>
        <w:t>突发环境事件应急预案</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本预案编制目的如下：</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（1）全面调查</w:t>
      </w:r>
      <w:r>
        <w:rPr>
          <w:rFonts w:hint="default" w:ascii="Times New Roman" w:hAnsi="Times New Roman" w:eastAsia="仿宋" w:cs="Times New Roman"/>
          <w:sz w:val="28"/>
          <w:szCs w:val="28"/>
          <w:lang w:val="en-US" w:eastAsia="zh-CN"/>
        </w:rPr>
        <w:t>并掌握厂区</w:t>
      </w:r>
      <w:r>
        <w:rPr>
          <w:rFonts w:hint="default" w:ascii="Times New Roman" w:hAnsi="Times New Roman" w:eastAsia="仿宋" w:cs="Times New Roman"/>
          <w:sz w:val="28"/>
          <w:szCs w:val="28"/>
        </w:rPr>
        <w:t>突发环境事件的类型、危险源以及所造成的环境危害，评估公司的突发环境事件应急</w:t>
      </w:r>
      <w:r>
        <w:rPr>
          <w:rFonts w:hint="default" w:ascii="Times New Roman" w:hAnsi="Times New Roman" w:eastAsia="仿宋" w:cs="Times New Roman"/>
          <w:sz w:val="28"/>
          <w:szCs w:val="28"/>
          <w:lang w:val="en-US" w:eastAsia="zh-CN"/>
        </w:rPr>
        <w:t>处置</w:t>
      </w:r>
      <w:r>
        <w:rPr>
          <w:rFonts w:hint="default" w:ascii="Times New Roman" w:hAnsi="Times New Roman" w:eastAsia="仿宋" w:cs="Times New Roman"/>
          <w:sz w:val="28"/>
          <w:szCs w:val="28"/>
        </w:rPr>
        <w:t>能力；</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（2）加强公司对突发环境事件的管理，全面预防突发环境事件发生；</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（3）提高</w:t>
      </w:r>
      <w:r>
        <w:rPr>
          <w:rFonts w:hint="default" w:ascii="Times New Roman" w:hAnsi="Times New Roman" w:eastAsia="仿宋" w:cs="Times New Roman"/>
          <w:sz w:val="28"/>
          <w:szCs w:val="28"/>
          <w:lang w:val="en-US" w:eastAsia="zh-CN"/>
        </w:rPr>
        <w:t>厂区</w:t>
      </w:r>
      <w:r>
        <w:rPr>
          <w:rFonts w:hint="default" w:ascii="Times New Roman" w:hAnsi="Times New Roman" w:eastAsia="仿宋" w:cs="Times New Roman"/>
          <w:sz w:val="28"/>
          <w:szCs w:val="28"/>
        </w:rPr>
        <w:t>对突发环境事件的</w:t>
      </w:r>
      <w:r>
        <w:rPr>
          <w:rFonts w:hint="default" w:ascii="Times New Roman" w:hAnsi="Times New Roman" w:eastAsia="仿宋" w:cs="Times New Roman"/>
          <w:sz w:val="28"/>
          <w:szCs w:val="28"/>
          <w:lang w:val="en-US" w:eastAsia="zh-CN"/>
        </w:rPr>
        <w:t>应对</w:t>
      </w:r>
      <w:r>
        <w:rPr>
          <w:rFonts w:hint="default" w:ascii="Times New Roman" w:hAnsi="Times New Roman" w:eastAsia="仿宋" w:cs="Times New Roman"/>
          <w:sz w:val="28"/>
          <w:szCs w:val="28"/>
        </w:rPr>
        <w:t>应急能力，确保事故发生时能够及时、有效</w:t>
      </w:r>
      <w:r>
        <w:rPr>
          <w:rFonts w:hint="default" w:ascii="Times New Roman" w:hAnsi="Times New Roman" w:eastAsia="仿宋" w:cs="Times New Roman"/>
          <w:sz w:val="28"/>
          <w:szCs w:val="28"/>
          <w:lang w:val="en-US" w:eastAsia="zh-CN"/>
        </w:rPr>
        <w:t>的</w:t>
      </w:r>
      <w:r>
        <w:rPr>
          <w:rFonts w:hint="default" w:ascii="Times New Roman" w:hAnsi="Times New Roman" w:eastAsia="仿宋" w:cs="Times New Roman"/>
          <w:sz w:val="28"/>
          <w:szCs w:val="28"/>
        </w:rPr>
        <w:t>处理事故源，控制事故扩大，减小事故</w:t>
      </w:r>
      <w:r>
        <w:rPr>
          <w:rFonts w:hint="default" w:ascii="Times New Roman" w:hAnsi="Times New Roman" w:eastAsia="仿宋" w:cs="Times New Roman"/>
          <w:sz w:val="28"/>
          <w:szCs w:val="28"/>
          <w:lang w:val="en-US" w:eastAsia="zh-CN"/>
        </w:rPr>
        <w:t>的</w:t>
      </w:r>
      <w:r>
        <w:rPr>
          <w:rFonts w:hint="default" w:ascii="Times New Roman" w:hAnsi="Times New Roman" w:eastAsia="仿宋" w:cs="Times New Roman"/>
          <w:sz w:val="28"/>
          <w:szCs w:val="28"/>
        </w:rPr>
        <w:t>损失；</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（4）降低突发环境事件所造成的环境危害，通过突发环境事件的应急处理、环境应急监测、事故信息的及时发布、受影响人员迅速转移等措施，将事故所造成的危害降至最低；</w:t>
      </w:r>
    </w:p>
    <w:p>
      <w:pPr>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（5）明确本预案的责任主体为</w:t>
      </w:r>
      <w:r>
        <w:rPr>
          <w:rFonts w:hint="default" w:ascii="Times New Roman" w:hAnsi="Times New Roman" w:eastAsia="仿宋" w:cs="Times New Roman"/>
          <w:sz w:val="28"/>
          <w:szCs w:val="28"/>
          <w:lang w:eastAsia="zh-CN"/>
        </w:rPr>
        <w:t>咸阳鑫艺机械设备有限公司</w:t>
      </w:r>
      <w:r>
        <w:rPr>
          <w:rFonts w:hint="default" w:ascii="Times New Roman" w:hAnsi="Times New Roman" w:eastAsia="仿宋" w:cs="Times New Roman"/>
          <w:sz w:val="28"/>
          <w:szCs w:val="28"/>
        </w:rPr>
        <w:t>，对环境安全工作负直接责任，企业负责人是环境安全的第一责任人。</w:t>
      </w:r>
    </w:p>
    <w:p>
      <w:pPr>
        <w:pStyle w:val="22"/>
        <w:ind w:left="0" w:leftChars="0"/>
        <w:outlineLvl w:val="1"/>
        <w:rPr>
          <w:rFonts w:hint="default" w:ascii="Times New Roman" w:hAnsi="Times New Roman" w:eastAsia="仿宋" w:cs="Times New Roman"/>
          <w:b/>
          <w:szCs w:val="28"/>
        </w:rPr>
      </w:pPr>
      <w:bookmarkStart w:id="9" w:name="_Toc14979"/>
      <w:bookmarkStart w:id="10" w:name="_Toc31932"/>
      <w:bookmarkStart w:id="11" w:name="_Toc54050837"/>
      <w:bookmarkStart w:id="12" w:name="_Toc2490"/>
      <w:r>
        <w:rPr>
          <w:rFonts w:hint="default" w:ascii="Times New Roman" w:hAnsi="Times New Roman" w:eastAsia="仿宋" w:cs="Times New Roman"/>
          <w:b/>
          <w:szCs w:val="28"/>
        </w:rPr>
        <w:t>1.2 编制依据</w:t>
      </w:r>
      <w:bookmarkEnd w:id="9"/>
      <w:bookmarkEnd w:id="10"/>
      <w:bookmarkEnd w:id="11"/>
      <w:bookmarkEnd w:id="12"/>
    </w:p>
    <w:p>
      <w:pPr>
        <w:pStyle w:val="8"/>
        <w:spacing w:line="360" w:lineRule="auto"/>
        <w:ind w:left="101" w:right="102" w:firstLine="559"/>
        <w:rPr>
          <w:rFonts w:hint="default" w:ascii="Times New Roman" w:hAnsi="Times New Roman" w:eastAsia="仿宋" w:cs="Times New Roman"/>
        </w:rPr>
      </w:pPr>
      <w:r>
        <w:rPr>
          <w:rFonts w:hint="default" w:ascii="Times New Roman" w:hAnsi="Times New Roman" w:eastAsia="仿宋" w:cs="Times New Roman"/>
        </w:rPr>
        <w:t>本预案所用到的法律法规和方法标准根据国家发布的最新标准执行， 若引用的相关法律版本有所更新，则相应更新本预案所引用的标准。</w:t>
      </w:r>
    </w:p>
    <w:p>
      <w:pPr>
        <w:pStyle w:val="12"/>
        <w:jc w:val="both"/>
        <w:rPr>
          <w:rFonts w:hint="default" w:ascii="Times New Roman" w:hAnsi="Times New Roman" w:eastAsia="仿宋" w:cs="Times New Roman"/>
        </w:rPr>
      </w:pPr>
      <w:bookmarkStart w:id="13" w:name="_Toc9"/>
      <w:bookmarkStart w:id="14" w:name="_Toc54050838"/>
      <w:bookmarkStart w:id="15" w:name="_Toc57036081"/>
      <w:bookmarkStart w:id="16" w:name="_Toc57039840"/>
      <w:r>
        <w:rPr>
          <w:rFonts w:hint="default" w:ascii="Times New Roman" w:hAnsi="Times New Roman" w:eastAsia="仿宋" w:cs="Times New Roman"/>
        </w:rPr>
        <w:t>1.2.1法律法规、政策</w:t>
      </w:r>
      <w:bookmarkEnd w:id="13"/>
      <w:bookmarkEnd w:id="14"/>
      <w:bookmarkEnd w:id="15"/>
      <w:bookmarkEnd w:id="16"/>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（1）《中华人民共和国环境保护法》（2015年1月1日）；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（2）《中华人民共和国水污染防治法》（2018年1月1日）；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（3）《中华人民共和国固体废物污染环境防治法》（</w:t>
      </w:r>
      <w:r>
        <w:rPr>
          <w:rFonts w:hint="default" w:ascii="Times New Roman" w:hAnsi="Times New Roman" w:eastAsia="仿宋" w:cs="Times New Roman"/>
          <w:sz w:val="28"/>
          <w:szCs w:val="28"/>
          <w:lang w:val="en-US" w:eastAsia="zh-CN"/>
        </w:rPr>
        <w:t>2020年9月1日起实施</w:t>
      </w:r>
      <w:r>
        <w:rPr>
          <w:rFonts w:hint="default" w:ascii="Times New Roman" w:hAnsi="Times New Roman" w:eastAsia="仿宋" w:cs="Times New Roman"/>
          <w:sz w:val="28"/>
          <w:szCs w:val="28"/>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（4）《中华人民共和国大气污染防治法》（2018年10月26日）；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（5）《中华人民共和国突发事件应对法》（2012年10月1日）；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（6）《中华人民共和国消防法》（2019 年4 月23 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（7）《企业事业单位突发环境事件应急预案备案管理办法（试行）》（环发〔2015〕4号）；</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（8）《突发环境事件应急管理办法》（环保部部令第34号，2015年6月5日）；</w:t>
      </w:r>
    </w:p>
    <w:p>
      <w:pPr>
        <w:pStyle w:val="49"/>
        <w:spacing w:line="360" w:lineRule="auto"/>
        <w:ind w:firstLine="560"/>
        <w:rPr>
          <w:rFonts w:hint="default" w:ascii="Times New Roman" w:hAnsi="Times New Roman" w:eastAsia="仿宋" w:cs="Times New Roman"/>
          <w:szCs w:val="28"/>
        </w:rPr>
      </w:pPr>
      <w:bookmarkStart w:id="17" w:name="_Toc5787"/>
      <w:r>
        <w:rPr>
          <w:rFonts w:hint="default" w:ascii="Times New Roman" w:hAnsi="Times New Roman" w:eastAsia="仿宋" w:cs="Times New Roman"/>
          <w:szCs w:val="28"/>
        </w:rPr>
        <w:t>（9）</w:t>
      </w:r>
      <w:r>
        <w:rPr>
          <w:rFonts w:hint="default" w:ascii="Times New Roman" w:hAnsi="Times New Roman" w:eastAsia="仿宋" w:cs="Times New Roman"/>
          <w:bCs/>
          <w:szCs w:val="28"/>
        </w:rPr>
        <w:t>《国务院办公厅关于印发国家突发环境事件应急预案的通知》（</w:t>
      </w:r>
      <w:r>
        <w:rPr>
          <w:rFonts w:hint="default" w:ascii="Times New Roman" w:hAnsi="Times New Roman" w:eastAsia="仿宋" w:cs="Times New Roman"/>
          <w:szCs w:val="28"/>
        </w:rPr>
        <w:t>国办函[2014]119号，2014年12月29日</w:t>
      </w:r>
      <w:r>
        <w:rPr>
          <w:rFonts w:hint="default" w:ascii="Times New Roman" w:hAnsi="Times New Roman" w:eastAsia="仿宋" w:cs="Times New Roman"/>
          <w:bCs/>
          <w:szCs w:val="28"/>
        </w:rPr>
        <w:t>）</w:t>
      </w:r>
      <w:r>
        <w:rPr>
          <w:rFonts w:hint="default" w:ascii="Times New Roman" w:hAnsi="Times New Roman" w:eastAsia="仿宋" w:cs="Times New Roman"/>
          <w:szCs w:val="28"/>
        </w:rPr>
        <w:t>；</w:t>
      </w:r>
      <w:bookmarkEnd w:id="17"/>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（10）《突发环境事件调查处理办法》（环境保护部令第34号、2015年4月16日）；</w:t>
      </w:r>
    </w:p>
    <w:p>
      <w:pPr>
        <w:spacing w:line="360" w:lineRule="auto"/>
        <w:ind w:firstLine="560" w:firstLineChars="200"/>
        <w:rPr>
          <w:rFonts w:hint="default" w:ascii="Times New Roman" w:hAnsi="Times New Roman" w:eastAsia="仿宋" w:cs="Times New Roman"/>
          <w:spacing w:val="-3"/>
          <w:sz w:val="28"/>
          <w:szCs w:val="28"/>
        </w:rPr>
      </w:pPr>
      <w:r>
        <w:rPr>
          <w:rFonts w:hint="default" w:ascii="Times New Roman" w:hAnsi="Times New Roman" w:eastAsia="仿宋" w:cs="Times New Roman"/>
          <w:kern w:val="0"/>
          <w:sz w:val="28"/>
          <w:szCs w:val="28"/>
        </w:rPr>
        <w:t>（11）《陕西省突发环境事件应急预案编制要点》（陕环办发</w:t>
      </w:r>
      <w:r>
        <w:rPr>
          <w:rFonts w:hint="default" w:ascii="Times New Roman" w:hAnsi="Times New Roman" w:eastAsia="仿宋" w:cs="Times New Roman"/>
          <w:sz w:val="28"/>
          <w:szCs w:val="28"/>
        </w:rPr>
        <w:t>〔</w:t>
      </w:r>
      <w:r>
        <w:rPr>
          <w:rFonts w:hint="default" w:ascii="Times New Roman" w:hAnsi="Times New Roman" w:eastAsia="仿宋" w:cs="Times New Roman"/>
          <w:kern w:val="0"/>
          <w:sz w:val="28"/>
          <w:szCs w:val="28"/>
        </w:rPr>
        <w:t>2012</w:t>
      </w:r>
      <w:r>
        <w:rPr>
          <w:rFonts w:hint="default" w:ascii="Times New Roman" w:hAnsi="Times New Roman" w:eastAsia="仿宋" w:cs="Times New Roman"/>
          <w:sz w:val="28"/>
          <w:szCs w:val="28"/>
        </w:rPr>
        <w:t>〕</w:t>
      </w:r>
      <w:r>
        <w:rPr>
          <w:rFonts w:hint="default" w:ascii="Times New Roman" w:hAnsi="Times New Roman" w:eastAsia="仿宋" w:cs="Times New Roman"/>
          <w:kern w:val="0"/>
          <w:sz w:val="28"/>
          <w:szCs w:val="28"/>
        </w:rPr>
        <w:t>126号）</w:t>
      </w:r>
    </w:p>
    <w:p>
      <w:pPr>
        <w:pStyle w:val="43"/>
        <w:tabs>
          <w:tab w:val="left" w:pos="1502"/>
        </w:tabs>
        <w:spacing w:line="360" w:lineRule="auto"/>
        <w:ind w:left="0" w:firstLine="548" w:firstLineChars="200"/>
        <w:rPr>
          <w:rFonts w:hint="default" w:ascii="Times New Roman" w:hAnsi="Times New Roman" w:eastAsia="仿宋" w:cs="Times New Roman"/>
          <w:sz w:val="28"/>
          <w:szCs w:val="28"/>
        </w:rPr>
      </w:pPr>
      <w:r>
        <w:rPr>
          <w:rFonts w:hint="default" w:ascii="Times New Roman" w:hAnsi="Times New Roman" w:eastAsia="仿宋" w:cs="Times New Roman"/>
          <w:spacing w:val="-3"/>
          <w:sz w:val="28"/>
          <w:szCs w:val="28"/>
        </w:rPr>
        <w:t>（12）《危险化学品安全管理条例》</w:t>
      </w:r>
      <w:r>
        <w:rPr>
          <w:rFonts w:hint="default" w:ascii="Times New Roman" w:hAnsi="Times New Roman" w:eastAsia="仿宋" w:cs="Times New Roman"/>
          <w:sz w:val="28"/>
          <w:szCs w:val="28"/>
        </w:rPr>
        <w:t>（2013 年 12 月 7 日）；</w:t>
      </w:r>
    </w:p>
    <w:p>
      <w:pPr>
        <w:pStyle w:val="43"/>
        <w:tabs>
          <w:tab w:val="left" w:pos="1502"/>
        </w:tabs>
        <w:spacing w:line="360" w:lineRule="auto"/>
        <w:ind w:left="0" w:firstLine="548" w:firstLineChars="200"/>
        <w:rPr>
          <w:rFonts w:hint="default" w:ascii="Times New Roman" w:hAnsi="Times New Roman" w:eastAsia="仿宋" w:cs="Times New Roman"/>
          <w:sz w:val="28"/>
          <w:szCs w:val="28"/>
        </w:rPr>
      </w:pPr>
      <w:r>
        <w:rPr>
          <w:rFonts w:hint="default" w:ascii="Times New Roman" w:hAnsi="Times New Roman" w:eastAsia="仿宋" w:cs="Times New Roman"/>
          <w:spacing w:val="-3"/>
          <w:sz w:val="28"/>
          <w:szCs w:val="28"/>
        </w:rPr>
        <w:t>（13）《突发环境事件信息报告方法》</w:t>
      </w:r>
      <w:r>
        <w:rPr>
          <w:rFonts w:hint="default" w:ascii="Times New Roman" w:hAnsi="Times New Roman" w:eastAsia="仿宋" w:cs="Times New Roman"/>
          <w:sz w:val="28"/>
          <w:szCs w:val="28"/>
        </w:rPr>
        <w:t>（2011 年 5</w:t>
      </w:r>
      <w:r>
        <w:rPr>
          <w:rFonts w:hint="default" w:ascii="Times New Roman" w:hAnsi="Times New Roman" w:eastAsia="仿宋" w:cs="Times New Roman"/>
          <w:spacing w:val="-2"/>
          <w:sz w:val="28"/>
          <w:szCs w:val="28"/>
        </w:rPr>
        <w:t xml:space="preserve"> 月 </w:t>
      </w:r>
      <w:r>
        <w:rPr>
          <w:rFonts w:hint="default" w:ascii="Times New Roman" w:hAnsi="Times New Roman" w:eastAsia="仿宋" w:cs="Times New Roman"/>
          <w:sz w:val="28"/>
          <w:szCs w:val="28"/>
        </w:rPr>
        <w:t>1 日）；</w:t>
      </w:r>
    </w:p>
    <w:p>
      <w:pPr>
        <w:pStyle w:val="43"/>
        <w:tabs>
          <w:tab w:val="left" w:pos="1511"/>
        </w:tabs>
        <w:spacing w:line="360" w:lineRule="auto"/>
        <w:ind w:left="0"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（14）《陕西省环境保护厅办公室关于进一步加强突发环境事件应急</w:t>
      </w:r>
      <w:r>
        <w:rPr>
          <w:rFonts w:hint="default" w:ascii="Times New Roman" w:hAnsi="Times New Roman" w:eastAsia="仿宋" w:cs="Times New Roman"/>
          <w:spacing w:val="-3"/>
          <w:sz w:val="28"/>
          <w:szCs w:val="28"/>
        </w:rPr>
        <w:t>预案工作的通知》</w:t>
      </w:r>
      <w:r>
        <w:rPr>
          <w:rFonts w:hint="default" w:ascii="Times New Roman" w:hAnsi="Times New Roman" w:eastAsia="仿宋" w:cs="Times New Roman"/>
          <w:sz w:val="28"/>
          <w:szCs w:val="28"/>
        </w:rPr>
        <w:t>（</w:t>
      </w:r>
      <w:r>
        <w:rPr>
          <w:rFonts w:hint="default" w:ascii="Times New Roman" w:hAnsi="Times New Roman" w:eastAsia="仿宋" w:cs="Times New Roman"/>
          <w:spacing w:val="-3"/>
          <w:sz w:val="28"/>
          <w:szCs w:val="28"/>
        </w:rPr>
        <w:t>陕环办发〔</w:t>
      </w:r>
      <w:r>
        <w:rPr>
          <w:rFonts w:hint="default" w:ascii="Times New Roman" w:hAnsi="Times New Roman" w:eastAsia="仿宋" w:cs="Times New Roman"/>
          <w:sz w:val="28"/>
          <w:szCs w:val="28"/>
        </w:rPr>
        <w:t>2012〕126</w:t>
      </w:r>
      <w:r>
        <w:rPr>
          <w:rFonts w:hint="default" w:ascii="Times New Roman" w:hAnsi="Times New Roman" w:eastAsia="仿宋" w:cs="Times New Roman"/>
          <w:spacing w:val="-36"/>
          <w:sz w:val="28"/>
          <w:szCs w:val="28"/>
        </w:rPr>
        <w:t xml:space="preserve"> 号</w:t>
      </w:r>
      <w:r>
        <w:rPr>
          <w:rFonts w:hint="default" w:ascii="Times New Roman" w:hAnsi="Times New Roman" w:eastAsia="仿宋" w:cs="Times New Roman"/>
          <w:sz w:val="28"/>
          <w:szCs w:val="28"/>
        </w:rPr>
        <w:t>）；</w:t>
      </w:r>
    </w:p>
    <w:p>
      <w:pPr>
        <w:pStyle w:val="43"/>
        <w:tabs>
          <w:tab w:val="left" w:pos="1502"/>
        </w:tabs>
        <w:spacing w:line="360" w:lineRule="auto"/>
        <w:ind w:left="0"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（15）《陕西省突发环境事件应急预案管理暂行办法》（陕环发 2011 88</w:t>
      </w:r>
      <w:r>
        <w:rPr>
          <w:rFonts w:hint="default" w:ascii="Times New Roman" w:hAnsi="Times New Roman" w:eastAsia="仿宋" w:cs="Times New Roman"/>
          <w:kern w:val="0"/>
          <w:sz w:val="28"/>
          <w:szCs w:val="28"/>
        </w:rPr>
        <w:t xml:space="preserve"> 号）；</w:t>
      </w:r>
    </w:p>
    <w:p>
      <w:pPr>
        <w:pStyle w:val="12"/>
        <w:jc w:val="both"/>
        <w:rPr>
          <w:rFonts w:hint="default" w:ascii="Times New Roman" w:hAnsi="Times New Roman" w:eastAsia="仿宋" w:cs="Times New Roman"/>
        </w:rPr>
      </w:pPr>
      <w:bookmarkStart w:id="18" w:name="_Toc57036082"/>
      <w:bookmarkStart w:id="19" w:name="_Toc57039841"/>
      <w:bookmarkStart w:id="20" w:name="_Toc19276"/>
      <w:bookmarkStart w:id="21" w:name="_Toc54050839"/>
      <w:r>
        <w:rPr>
          <w:rFonts w:hint="default" w:ascii="Times New Roman" w:hAnsi="Times New Roman" w:eastAsia="仿宋" w:cs="Times New Roman"/>
        </w:rPr>
        <w:t>1.2.2技术指南、标准规范</w:t>
      </w:r>
      <w:bookmarkEnd w:id="18"/>
      <w:bookmarkEnd w:id="19"/>
      <w:bookmarkEnd w:id="20"/>
      <w:bookmarkEnd w:id="21"/>
      <w:r>
        <w:rPr>
          <w:rFonts w:hint="default" w:ascii="Times New Roman" w:hAnsi="Times New Roman" w:eastAsia="仿宋" w:cs="Times New Roman"/>
        </w:rPr>
        <w:t xml:space="preserve">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（1）《建设项目环境风险评价技术导则》（HJ169-2018）；</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w:t>
      </w:r>
      <w:r>
        <w:rPr>
          <w:rFonts w:hint="default" w:ascii="Times New Roman" w:hAnsi="Times New Roman" w:eastAsia="仿宋" w:cs="Times New Roman"/>
          <w:sz w:val="28"/>
          <w:szCs w:val="28"/>
          <w:lang w:bidi="en-US"/>
        </w:rPr>
        <w:t>《国家危险废物名录》（2016年版）；</w:t>
      </w:r>
    </w:p>
    <w:p>
      <w:pPr>
        <w:spacing w:line="360" w:lineRule="auto"/>
        <w:ind w:firstLine="560" w:firstLineChars="200"/>
        <w:rPr>
          <w:rFonts w:hint="default" w:ascii="Times New Roman" w:hAnsi="Times New Roman" w:eastAsia="仿宋" w:cs="Times New Roman"/>
          <w:sz w:val="28"/>
          <w:szCs w:val="28"/>
          <w:lang w:eastAsia="zh-CN"/>
        </w:rPr>
      </w:pPr>
      <w:r>
        <w:rPr>
          <w:rFonts w:hint="default" w:ascii="Times New Roman" w:hAnsi="Times New Roman" w:eastAsia="仿宋" w:cs="Times New Roman"/>
          <w:sz w:val="28"/>
          <w:szCs w:val="28"/>
        </w:rPr>
        <w:t>（3）《危险化学品目录》</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2015年</w:t>
      </w:r>
      <w:r>
        <w:rPr>
          <w:rFonts w:hint="default" w:ascii="Times New Roman" w:hAnsi="Times New Roman" w:eastAsia="仿宋" w:cs="Times New Roman"/>
          <w:sz w:val="28"/>
          <w:szCs w:val="28"/>
          <w:lang w:val="en-US" w:eastAsia="zh-CN"/>
        </w:rPr>
        <w:t>版</w:t>
      </w:r>
      <w:r>
        <w:rPr>
          <w:rFonts w:hint="default" w:ascii="Times New Roman" w:hAnsi="Times New Roman" w:eastAsia="仿宋" w:cs="Times New Roman"/>
          <w:sz w:val="28"/>
          <w:szCs w:val="28"/>
          <w:lang w:eastAsia="zh-CN"/>
        </w:rPr>
        <w:t>）；</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（4）《化学品分类、警示标签和警示性说明安全规程》（GB20576-GB20602）；</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（5）《危险货物品名表》（GB12268-2012）；</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（6）《危险废物贮存污染控制标准》（GB18597-2001）（2013年修订）；</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（7）《大气污染物综合排放标准》（GB16297-1996）；</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（8）《环境空气质量标准》（GB3095-2012）；</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rPr>
        <w:t>（9）</w:t>
      </w:r>
      <w:r>
        <w:rPr>
          <w:rFonts w:hint="default" w:ascii="Times New Roman" w:hAnsi="Times New Roman" w:eastAsia="仿宋" w:cs="Times New Roman"/>
          <w:sz w:val="28"/>
          <w:szCs w:val="28"/>
          <w:lang w:bidi="en-US"/>
        </w:rPr>
        <w:t>《地下水质量标准》（GB/T14848-2017）；</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（10）</w:t>
      </w:r>
      <w:r>
        <w:rPr>
          <w:rFonts w:hint="default" w:ascii="Times New Roman" w:hAnsi="Times New Roman" w:eastAsia="仿宋" w:cs="Times New Roman"/>
          <w:sz w:val="28"/>
          <w:szCs w:val="28"/>
          <w:lang w:bidi="en-US"/>
        </w:rPr>
        <w:t>《地表水环境质量标准》（GB3838-2002）；</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 xml:space="preserve">（11）《一般工业固体废物贮存、处置场污染控制标准》（GB18599-2001）；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（12）《企业突发环境事件风险分级方法》</w:t>
      </w:r>
      <w:r>
        <w:rPr>
          <w:rFonts w:hint="default" w:ascii="Times New Roman" w:hAnsi="Times New Roman" w:eastAsia="仿宋" w:cs="Times New Roman"/>
          <w:sz w:val="28"/>
          <w:szCs w:val="28"/>
          <w:lang w:bidi="en-US"/>
        </w:rPr>
        <w:t>（HJ/941-2018）；</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（13）《环境风险评价实用技术和方法》</w:t>
      </w:r>
      <w:r>
        <w:rPr>
          <w:rFonts w:hint="default" w:ascii="Times New Roman" w:hAnsi="Times New Roman" w:eastAsia="仿宋" w:cs="Times New Roman"/>
          <w:sz w:val="28"/>
          <w:szCs w:val="28"/>
          <w:lang w:bidi="en-US"/>
        </w:rPr>
        <w:t>（</w:t>
      </w:r>
      <w:r>
        <w:rPr>
          <w:rFonts w:hint="default" w:ascii="Times New Roman" w:hAnsi="Times New Roman" w:eastAsia="仿宋" w:cs="Times New Roman"/>
          <w:sz w:val="28"/>
          <w:szCs w:val="28"/>
        </w:rPr>
        <w:t>胡二邦主编，中国环境出版社</w:t>
      </w:r>
      <w:r>
        <w:rPr>
          <w:rFonts w:hint="default" w:ascii="Times New Roman" w:hAnsi="Times New Roman" w:eastAsia="仿宋" w:cs="Times New Roman"/>
          <w:sz w:val="28"/>
          <w:szCs w:val="28"/>
          <w:lang w:bidi="en-US"/>
        </w:rPr>
        <w:t>）</w:t>
      </w:r>
      <w:r>
        <w:rPr>
          <w:rFonts w:hint="default" w:ascii="Times New Roman" w:hAnsi="Times New Roman" w:eastAsia="仿宋" w:cs="Times New Roman"/>
          <w:sz w:val="28"/>
          <w:szCs w:val="28"/>
        </w:rPr>
        <w:t>；</w:t>
      </w:r>
    </w:p>
    <w:p>
      <w:pPr>
        <w:pStyle w:val="10"/>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（14）《企业突发环境事件隐患排查和治理工作指南（试行）》（环保部公告2016年第74号）；</w:t>
      </w:r>
    </w:p>
    <w:p>
      <w:pPr>
        <w:pStyle w:val="10"/>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（15）《环境应急资源调查指南（试行）》（环办应急[2019]17号）；</w:t>
      </w:r>
    </w:p>
    <w:p>
      <w:pPr>
        <w:pStyle w:val="10"/>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（16）《企业突发环境事件风险评估指南（试行）》（环办[2014]34号）。</w:t>
      </w:r>
    </w:p>
    <w:p>
      <w:pPr>
        <w:pStyle w:val="12"/>
        <w:jc w:val="both"/>
        <w:rPr>
          <w:rFonts w:hint="default" w:ascii="Times New Roman" w:hAnsi="Times New Roman" w:eastAsia="仿宋" w:cs="Times New Roman"/>
        </w:rPr>
      </w:pPr>
      <w:bookmarkStart w:id="22" w:name="_Toc14052"/>
      <w:bookmarkStart w:id="23" w:name="_Toc57039842"/>
      <w:bookmarkStart w:id="24" w:name="_Toc20075"/>
      <w:bookmarkStart w:id="25" w:name="_Toc14625"/>
      <w:bookmarkStart w:id="26" w:name="_Toc54050840"/>
      <w:bookmarkStart w:id="27" w:name="_Toc663"/>
      <w:bookmarkStart w:id="28" w:name="_Toc57036083"/>
      <w:bookmarkStart w:id="29" w:name="_Toc497"/>
      <w:bookmarkStart w:id="30" w:name="_Toc5645"/>
      <w:r>
        <w:rPr>
          <w:rFonts w:hint="default" w:ascii="Times New Roman" w:hAnsi="Times New Roman" w:eastAsia="仿宋" w:cs="Times New Roman"/>
        </w:rPr>
        <w:t>1.2.3其他资料</w:t>
      </w:r>
      <w:bookmarkEnd w:id="22"/>
      <w:bookmarkEnd w:id="23"/>
      <w:bookmarkEnd w:id="24"/>
      <w:bookmarkEnd w:id="25"/>
      <w:bookmarkEnd w:id="26"/>
      <w:bookmarkEnd w:id="27"/>
      <w:bookmarkEnd w:id="28"/>
      <w:bookmarkEnd w:id="29"/>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根据企业提供的</w:t>
      </w:r>
      <w:r>
        <w:rPr>
          <w:rFonts w:hint="default" w:ascii="Times New Roman" w:hAnsi="Times New Roman" w:eastAsia="仿宋" w:cs="Times New Roman"/>
          <w:sz w:val="28"/>
          <w:szCs w:val="28"/>
          <w:lang w:val="en-US" w:eastAsia="zh-CN"/>
        </w:rPr>
        <w:t>其它</w:t>
      </w:r>
      <w:r>
        <w:rPr>
          <w:rFonts w:hint="default" w:ascii="Times New Roman" w:hAnsi="Times New Roman" w:eastAsia="仿宋" w:cs="Times New Roman"/>
          <w:sz w:val="28"/>
          <w:szCs w:val="28"/>
        </w:rPr>
        <w:t>相应资料。</w:t>
      </w:r>
    </w:p>
    <w:p>
      <w:pPr>
        <w:pStyle w:val="22"/>
        <w:ind w:left="0" w:leftChars="0"/>
        <w:outlineLvl w:val="1"/>
        <w:rPr>
          <w:rFonts w:hint="default" w:ascii="Times New Roman" w:hAnsi="Times New Roman" w:eastAsia="仿宋" w:cs="Times New Roman"/>
          <w:b/>
          <w:szCs w:val="28"/>
        </w:rPr>
      </w:pPr>
      <w:bookmarkStart w:id="31" w:name="_Toc21859"/>
      <w:bookmarkStart w:id="32" w:name="_Toc12856"/>
      <w:bookmarkStart w:id="33" w:name="_Toc54050841"/>
      <w:r>
        <w:rPr>
          <w:rFonts w:hint="default" w:ascii="Times New Roman" w:hAnsi="Times New Roman" w:eastAsia="仿宋" w:cs="Times New Roman"/>
          <w:b/>
          <w:szCs w:val="28"/>
        </w:rPr>
        <w:t>1.3 环境突发事件分级标准</w:t>
      </w:r>
      <w:bookmarkEnd w:id="30"/>
      <w:bookmarkEnd w:id="31"/>
      <w:bookmarkEnd w:id="32"/>
      <w:bookmarkEnd w:id="33"/>
    </w:p>
    <w:p>
      <w:pPr>
        <w:pStyle w:val="12"/>
        <w:jc w:val="both"/>
        <w:rPr>
          <w:rFonts w:hint="default" w:ascii="Times New Roman" w:hAnsi="Times New Roman" w:eastAsia="仿宋" w:cs="Times New Roman"/>
        </w:rPr>
      </w:pPr>
      <w:bookmarkStart w:id="34" w:name="_Toc54050842"/>
      <w:bookmarkStart w:id="35" w:name="_Toc57036085"/>
      <w:bookmarkStart w:id="36" w:name="_Toc57039844"/>
      <w:bookmarkStart w:id="37" w:name="_Toc10974"/>
      <w:r>
        <w:rPr>
          <w:rFonts w:hint="default" w:ascii="Times New Roman" w:hAnsi="Times New Roman" w:eastAsia="仿宋" w:cs="Times New Roman"/>
        </w:rPr>
        <w:t>1.3.1标准分级</w:t>
      </w:r>
      <w:bookmarkEnd w:id="34"/>
      <w:bookmarkEnd w:id="35"/>
      <w:bookmarkEnd w:id="36"/>
      <w:bookmarkEnd w:id="37"/>
      <w:r>
        <w:rPr>
          <w:rFonts w:hint="default" w:ascii="Times New Roman" w:hAnsi="Times New Roman" w:eastAsia="仿宋" w:cs="Times New Roman"/>
        </w:rPr>
        <w:t xml:space="preserve">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根据《国家突发环境事件应急预案》（国办函〔2014〕119号）附件1中规定突发环境事故等级划分如下：</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按照突发事件严重性和紧急程度，突发环境事件分为特别重大突发环境事件（Ⅰ级）、重大突发环境事件（Ⅱ级）、较大环突发境事件（Ⅲ级）和一般突发环境事件（Ⅳ级）四级，具体分级标准见表1.3-1。</w:t>
      </w:r>
      <w:bookmarkStart w:id="38" w:name="_Toc16159"/>
    </w:p>
    <w:p>
      <w:pPr>
        <w:pStyle w:val="39"/>
        <w:rPr>
          <w:rFonts w:hint="default" w:ascii="Times New Roman" w:hAnsi="Times New Roman" w:eastAsia="仿宋" w:cs="Times New Roman"/>
          <w:sz w:val="24"/>
          <w:szCs w:val="24"/>
        </w:rPr>
      </w:pPr>
    </w:p>
    <w:p>
      <w:pPr>
        <w:pStyle w:val="39"/>
        <w:rPr>
          <w:rFonts w:hint="default" w:ascii="Times New Roman" w:hAnsi="Times New Roman" w:eastAsia="仿宋" w:cs="Times New Roman"/>
          <w:sz w:val="24"/>
          <w:szCs w:val="24"/>
        </w:rPr>
      </w:pPr>
    </w:p>
    <w:p>
      <w:pPr>
        <w:pStyle w:val="39"/>
        <w:rPr>
          <w:rFonts w:hint="default" w:ascii="Times New Roman" w:hAnsi="Times New Roman" w:eastAsia="仿宋" w:cs="Times New Roman"/>
          <w:sz w:val="24"/>
          <w:szCs w:val="24"/>
        </w:rPr>
      </w:pPr>
    </w:p>
    <w:p>
      <w:pPr>
        <w:pStyle w:val="39"/>
        <w:rPr>
          <w:rFonts w:hint="default" w:ascii="Times New Roman" w:hAnsi="Times New Roman" w:eastAsia="仿宋" w:cs="Times New Roman"/>
          <w:sz w:val="24"/>
          <w:szCs w:val="24"/>
        </w:rPr>
      </w:pPr>
    </w:p>
    <w:p>
      <w:pPr>
        <w:pStyle w:val="39"/>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表1.3-1   突发环境事件分级标准一览表</w:t>
      </w:r>
    </w:p>
    <w:bookmarkEnd w:id="38"/>
    <w:tbl>
      <w:tblPr>
        <w:tblStyle w:val="2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57" w:type="dxa"/>
          <w:left w:w="108" w:type="dxa"/>
          <w:bottom w:w="57" w:type="dxa"/>
          <w:right w:w="108" w:type="dxa"/>
        </w:tblCellMar>
      </w:tblPr>
      <w:tblGrid>
        <w:gridCol w:w="1183"/>
        <w:gridCol w:w="7339"/>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129" w:hRule="atLeast"/>
          <w:tblHeader/>
        </w:trPr>
        <w:tc>
          <w:tcPr>
            <w:tcW w:w="694" w:type="pct"/>
            <w:vAlign w:val="center"/>
          </w:tcPr>
          <w:p>
            <w:pPr>
              <w:spacing w:line="240" w:lineRule="auto"/>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事件分级</w:t>
            </w:r>
          </w:p>
        </w:tc>
        <w:tc>
          <w:tcPr>
            <w:tcW w:w="4306" w:type="pct"/>
            <w:vAlign w:val="center"/>
          </w:tcPr>
          <w:p>
            <w:pPr>
              <w:spacing w:line="240" w:lineRule="auto"/>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具体情形</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1804"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特别重大突发环境事件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（1）因环境污染直接导致30人以上死亡或100人以上中毒或重伤的；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（2）因环境污染疏散、转移人员5万人以上的；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（3）因环境污染造成直接经济损失1亿元以上的；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（4）因环境污染造成区域生态功能丧失或该区域国家重点保护物种灭绝的；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（5）因环境污染造成设区的市级以上城市集中式饮用水水源地取水中断的；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（6）造成重大跨国境影响的境内突发环境事件。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2094"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重大突发环境事件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（1）因环境污染直接导致10人以上30人以下死亡或50人以上100人以下中毒或重伤的；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（2）因环境污染疏散、转移人员1万人以上5万人以下的；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（3）因环境污染造成直接经济损失2000万元以上1亿元以下的；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（4）因环境污染造成区域生态功能部分丧失或该区域国家重点保护野生动植物种群大批死亡的；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（5）因环境污染造成县级城市集中式饮用水水源地取水中断的；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（6）造成跨省级行政区域影响的突发环境事件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1799"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较大突发环境事件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（1）因环境污染直接导致3人以上10人以下死亡或10人以上50人以下中毒或重伤的；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（2）因环境污染疏散、转移人员5000人以上1万人以下的；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（3）因环境污染造成直接经济损失500万元以上2000万元以下的；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（4）因环境污染造成国家重点保护的动植物物种受到破坏的；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（5）因环境污染造成乡镇集中式饮用水水源地取水中断的；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（6）造成跨设区的市级行政区域影响的突发环境事件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910" w:hRule="atLeast"/>
        </w:trPr>
        <w:tc>
          <w:tcPr>
            <w:tcW w:w="694"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一般突发环境事件</w:t>
            </w:r>
          </w:p>
        </w:tc>
        <w:tc>
          <w:tcPr>
            <w:tcW w:w="4306" w:type="pct"/>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（1）因环境污染直接导致3人以下死亡或10人以下中毒或重伤的；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（2）因环境污染疏散、转移人员5000人以下的；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（3）因环境污染造成直接经济损失500万元以下的；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（4）因环境污染造成跨县级行政区域纠纷，引起一般性群体影响的；</w:t>
            </w:r>
          </w:p>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（5）对环境造成一定影响，尚未达到较大突发环境事件级别的</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57" w:type="dxa"/>
            <w:left w:w="108" w:type="dxa"/>
            <w:bottom w:w="57" w:type="dxa"/>
            <w:right w:w="108" w:type="dxa"/>
          </w:tblCellMar>
        </w:tblPrEx>
        <w:trPr>
          <w:trHeight w:val="90" w:hRule="atLeast"/>
        </w:trPr>
        <w:tc>
          <w:tcPr>
            <w:tcW w:w="5000" w:type="pct"/>
            <w:gridSpan w:val="2"/>
            <w:vAlign w:val="center"/>
          </w:tcPr>
          <w:p>
            <w:pPr>
              <w:spacing w:line="24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注：上述分级标准有关数量的表述中，“以上”含本数，“以下”不含本数。</w:t>
            </w:r>
          </w:p>
        </w:tc>
      </w:tr>
    </w:tbl>
    <w:p>
      <w:pPr>
        <w:pStyle w:val="12"/>
        <w:jc w:val="both"/>
        <w:rPr>
          <w:rFonts w:hint="default" w:ascii="Times New Roman" w:hAnsi="Times New Roman" w:eastAsia="仿宋" w:cs="Times New Roman"/>
        </w:rPr>
      </w:pPr>
      <w:bookmarkStart w:id="39" w:name="_Toc54050843"/>
      <w:bookmarkStart w:id="40" w:name="_Toc57039845"/>
      <w:bookmarkStart w:id="41" w:name="_Toc57036086"/>
      <w:bookmarkStart w:id="42" w:name="_Toc21019"/>
      <w:r>
        <w:rPr>
          <w:rFonts w:hint="default" w:ascii="Times New Roman" w:hAnsi="Times New Roman" w:eastAsia="仿宋" w:cs="Times New Roman"/>
        </w:rPr>
        <w:t>1.3.2本公司事件分级</w:t>
      </w:r>
      <w:bookmarkEnd w:id="39"/>
      <w:bookmarkEnd w:id="40"/>
      <w:bookmarkEnd w:id="41"/>
      <w:bookmarkEnd w:id="42"/>
    </w:p>
    <w:p>
      <w:pPr>
        <w:pStyle w:val="8"/>
        <w:spacing w:line="360" w:lineRule="auto"/>
        <w:ind w:left="101" w:right="102" w:firstLine="559"/>
        <w:rPr>
          <w:rFonts w:hint="default" w:ascii="Times New Roman" w:hAnsi="Times New Roman" w:eastAsia="仿宋" w:cs="Times New Roman"/>
        </w:rPr>
      </w:pPr>
      <w:bookmarkStart w:id="43" w:name="_Toc2439"/>
      <w:bookmarkStart w:id="44" w:name="_Toc24164"/>
      <w:r>
        <w:rPr>
          <w:rFonts w:hint="default" w:ascii="Times New Roman" w:hAnsi="Times New Roman" w:eastAsia="仿宋" w:cs="Times New Roman"/>
        </w:rPr>
        <w:t>本预案所指突发环境事件是指突然发生，造成环境污染及人员伤亡、财产损失，对企业乃至经济社会稳定构成威胁和损害，有社会影响的环境事件。根据《国家突发环境事件应急预案》、《突发环境事件信息报告办法》（环保部第</w:t>
      </w:r>
      <w:r>
        <w:rPr>
          <w:rFonts w:hint="default" w:ascii="Times New Roman" w:hAnsi="Times New Roman" w:eastAsia="仿宋" w:cs="Times New Roman"/>
          <w:lang w:val="en-US" w:eastAsia="zh-CN"/>
        </w:rPr>
        <w:t>17</w:t>
      </w:r>
      <w:r>
        <w:rPr>
          <w:rFonts w:hint="default" w:ascii="Times New Roman" w:hAnsi="Times New Roman" w:eastAsia="仿宋" w:cs="Times New Roman"/>
        </w:rPr>
        <w:t>号令），结合公司现状及潜在、紧急情况发生以下突发环境事件可能造成的损失和影响范围，将</w:t>
      </w:r>
      <w:r>
        <w:rPr>
          <w:rFonts w:hint="default" w:ascii="Times New Roman" w:hAnsi="Times New Roman" w:eastAsia="仿宋" w:cs="Times New Roman"/>
          <w:lang w:eastAsia="zh-CN"/>
        </w:rPr>
        <w:t>咸阳鑫艺机械设备有限公司</w:t>
      </w:r>
      <w:r>
        <w:rPr>
          <w:rFonts w:hint="default" w:ascii="Times New Roman" w:hAnsi="Times New Roman" w:eastAsia="仿宋" w:cs="Times New Roman"/>
        </w:rPr>
        <w:t>的突发环境事件划分为两级。</w:t>
      </w:r>
    </w:p>
    <w:p>
      <w:pPr>
        <w:pStyle w:val="17"/>
        <w:spacing w:line="360" w:lineRule="auto"/>
        <w:ind w:firstLine="560" w:firstLineChars="200"/>
        <w:rPr>
          <w:rFonts w:hint="default" w:ascii="Times New Roman" w:hAnsi="Times New Roman" w:eastAsia="仿宋" w:cs="Times New Roman"/>
          <w:bCs/>
          <w:color w:val="000000" w:themeColor="text1"/>
          <w:kern w:val="2"/>
          <w:sz w:val="28"/>
          <w:szCs w:val="32"/>
          <w:lang w:bidi="en-US"/>
          <w14:textFill>
            <w14:solidFill>
              <w14:schemeClr w14:val="tx1"/>
            </w14:solidFill>
          </w14:textFill>
        </w:rPr>
      </w:pPr>
      <w:bookmarkStart w:id="45" w:name="_Toc54050844"/>
      <w:r>
        <w:rPr>
          <w:rFonts w:hint="default" w:ascii="Times New Roman" w:hAnsi="Times New Roman" w:eastAsia="仿宋" w:cs="Times New Roman"/>
          <w:bCs/>
          <w:color w:val="000000" w:themeColor="text1"/>
          <w:kern w:val="2"/>
          <w:sz w:val="28"/>
          <w:szCs w:val="32"/>
          <w:lang w:bidi="en-US"/>
          <w14:textFill>
            <w14:solidFill>
              <w14:schemeClr w14:val="tx1"/>
            </w14:solidFill>
          </w14:textFill>
        </w:rPr>
        <w:t>（1）社会级应急响应：指当</w:t>
      </w:r>
      <w:r>
        <w:rPr>
          <w:rFonts w:hint="default" w:ascii="Times New Roman" w:hAnsi="Times New Roman" w:eastAsia="仿宋" w:cs="Times New Roman"/>
          <w:bCs/>
          <w:color w:val="000000" w:themeColor="text1"/>
          <w:kern w:val="2"/>
          <w:sz w:val="28"/>
          <w:szCs w:val="32"/>
          <w:lang w:val="en-US" w:eastAsia="zh-CN" w:bidi="en-US"/>
          <w14:textFill>
            <w14:solidFill>
              <w14:schemeClr w14:val="tx1"/>
            </w14:solidFill>
          </w14:textFill>
        </w:rPr>
        <w:t>发生重大火灾事故</w:t>
      </w:r>
      <w:r>
        <w:rPr>
          <w:rFonts w:hint="default" w:ascii="Times New Roman" w:hAnsi="Times New Roman" w:eastAsia="仿宋" w:cs="Times New Roman"/>
          <w:bCs/>
          <w:color w:val="000000" w:themeColor="text1"/>
          <w:kern w:val="2"/>
          <w:sz w:val="28"/>
          <w:szCs w:val="32"/>
          <w:lang w:bidi="en-US"/>
          <w14:textFill>
            <w14:solidFill>
              <w14:schemeClr w14:val="tx1"/>
            </w14:solidFill>
          </w14:textFill>
        </w:rPr>
        <w:t>时</w:t>
      </w:r>
      <w:r>
        <w:rPr>
          <w:rFonts w:hint="default" w:ascii="Times New Roman" w:hAnsi="Times New Roman" w:eastAsia="仿宋" w:cs="Times New Roman"/>
          <w:bCs/>
          <w:color w:val="000000" w:themeColor="text1"/>
          <w:sz w:val="28"/>
          <w:szCs w:val="32"/>
          <w:lang w:bidi="en-US"/>
          <w14:textFill>
            <w14:solidFill>
              <w14:schemeClr w14:val="tx1"/>
            </w14:solidFill>
          </w14:textFill>
        </w:rPr>
        <w:t>，实施社会级应急响应。社会级应急响应行动：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①发现人第一时间向</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指挥部报告，指挥部接到报告后，立即组织安排部署应急处置工作，应急救援专业队伍所有成员必须立即进入工作岗位。</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②指挥部应立即上报当地消防</w:t>
      </w:r>
      <w:r>
        <w:rPr>
          <w:rFonts w:hint="default" w:ascii="Times New Roman" w:hAnsi="Times New Roman" w:eastAsia="仿宋" w:cs="Times New Roman"/>
          <w:bCs/>
          <w:color w:val="000000" w:themeColor="text1"/>
          <w:sz w:val="28"/>
          <w:szCs w:val="32"/>
          <w:lang w:eastAsia="zh-CN" w:bidi="en-US"/>
          <w14:textFill>
            <w14:solidFill>
              <w14:schemeClr w14:val="tx1"/>
            </w14:solidFill>
          </w14:textFill>
        </w:rPr>
        <w:t>、</w:t>
      </w:r>
      <w:r>
        <w:rPr>
          <w:rFonts w:hint="default" w:ascii="Times New Roman" w:hAnsi="Times New Roman" w:eastAsia="仿宋" w:cs="Times New Roman"/>
          <w:bCs/>
          <w:color w:val="000000" w:themeColor="text1"/>
          <w:sz w:val="28"/>
          <w:szCs w:val="32"/>
          <w:lang w:bidi="en-US"/>
          <w14:textFill>
            <w14:solidFill>
              <w14:schemeClr w14:val="tx1"/>
            </w14:solidFill>
          </w14:textFill>
        </w:rPr>
        <w:t>安全、环保部门等政府机构，请求应急救援工作。</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③对环境风险范围内居民、企事业单位员工进行疏散，必要时，立即通知撤离。</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（2）企业级应急响应：</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企业员工</w:t>
      </w:r>
      <w:r>
        <w:rPr>
          <w:rFonts w:hint="default" w:ascii="Times New Roman" w:hAnsi="Times New Roman" w:eastAsia="仿宋" w:cs="Times New Roman"/>
          <w:color w:val="000000" w:themeColor="text1"/>
          <w:kern w:val="0"/>
          <w:sz w:val="28"/>
          <w:szCs w:val="28"/>
          <w14:textFill>
            <w14:solidFill>
              <w14:schemeClr w14:val="tx1"/>
            </w14:solidFill>
          </w14:textFill>
        </w:rPr>
        <w:t>发现</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初期火情</w:t>
      </w:r>
      <w:r>
        <w:rPr>
          <w:rFonts w:hint="default" w:ascii="Times New Roman" w:hAnsi="Times New Roman" w:eastAsia="仿宋" w:cs="Times New Roman"/>
          <w:color w:val="000000" w:themeColor="text1"/>
          <w:kern w:val="0"/>
          <w:sz w:val="28"/>
          <w:szCs w:val="28"/>
          <w14:textFill>
            <w14:solidFill>
              <w14:schemeClr w14:val="tx1"/>
            </w14:solidFill>
          </w14:textFill>
        </w:rPr>
        <w:t>可能引起火灾时，经初步评估并确认事件</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未</w:t>
      </w:r>
      <w:r>
        <w:rPr>
          <w:rFonts w:hint="default" w:ascii="Times New Roman" w:hAnsi="Times New Roman" w:eastAsia="仿宋" w:cs="Times New Roman"/>
          <w:color w:val="000000" w:themeColor="text1"/>
          <w:kern w:val="0"/>
          <w:sz w:val="28"/>
          <w:szCs w:val="28"/>
          <w14:textFill>
            <w14:solidFill>
              <w14:schemeClr w14:val="tx1"/>
            </w14:solidFill>
          </w14:textFill>
        </w:rPr>
        <w:t>超出本</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公司</w:t>
      </w:r>
      <w:r>
        <w:rPr>
          <w:rFonts w:hint="default" w:ascii="Times New Roman" w:hAnsi="Times New Roman" w:eastAsia="仿宋" w:cs="Times New Roman"/>
          <w:color w:val="000000" w:themeColor="text1"/>
          <w:kern w:val="0"/>
          <w:sz w:val="28"/>
          <w:szCs w:val="28"/>
          <w14:textFill>
            <w14:solidFill>
              <w14:schemeClr w14:val="tx1"/>
            </w14:solidFill>
          </w14:textFill>
        </w:rPr>
        <w:t>应急救援能力，</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不</w:t>
      </w:r>
      <w:r>
        <w:rPr>
          <w:rFonts w:hint="default" w:ascii="Times New Roman" w:hAnsi="Times New Roman" w:eastAsia="仿宋" w:cs="Times New Roman"/>
          <w:color w:val="000000" w:themeColor="text1"/>
          <w:kern w:val="0"/>
          <w:sz w:val="28"/>
          <w:szCs w:val="28"/>
          <w14:textFill>
            <w14:solidFill>
              <w14:schemeClr w14:val="tx1"/>
            </w14:solidFill>
          </w14:textFill>
        </w:rPr>
        <w:t>需要借助外部救援时</w:t>
      </w:r>
      <w:r>
        <w:rPr>
          <w:rFonts w:hint="default" w:ascii="Times New Roman" w:hAnsi="Times New Roman" w:eastAsia="仿宋" w:cs="Times New Roman"/>
          <w:bCs/>
          <w:color w:val="000000" w:themeColor="text1"/>
          <w:sz w:val="28"/>
          <w:szCs w:val="32"/>
          <w:lang w:bidi="en-US"/>
          <w14:textFill>
            <w14:solidFill>
              <w14:schemeClr w14:val="tx1"/>
            </w14:solidFill>
          </w14:textFill>
        </w:rPr>
        <w:t>，实施企业级应急响应。企业级应急响应行动：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①发现人第一时间</w:t>
      </w:r>
      <w:r>
        <w:rPr>
          <w:rFonts w:hint="default" w:ascii="Times New Roman" w:hAnsi="Times New Roman" w:eastAsia="仿宋" w:cs="Times New Roman"/>
          <w:bCs/>
          <w:color w:val="000000" w:themeColor="text1"/>
          <w:sz w:val="28"/>
          <w:szCs w:val="32"/>
          <w:lang w:val="en-US" w:eastAsia="zh-CN" w:bidi="en-US"/>
          <w14:textFill>
            <w14:solidFill>
              <w14:schemeClr w14:val="tx1"/>
            </w14:solidFill>
          </w14:textFill>
        </w:rPr>
        <w:t>使用现场应急物资，如车间内灭火器材等控制火源。并同时</w:t>
      </w:r>
      <w:r>
        <w:rPr>
          <w:rFonts w:hint="default" w:ascii="Times New Roman" w:hAnsi="Times New Roman" w:eastAsia="仿宋" w:cs="Times New Roman"/>
          <w:bCs/>
          <w:color w:val="000000" w:themeColor="text1"/>
          <w:sz w:val="28"/>
          <w:szCs w:val="32"/>
          <w:lang w:bidi="en-US"/>
          <w14:textFill>
            <w14:solidFill>
              <w14:schemeClr w14:val="tx1"/>
            </w14:solidFill>
          </w14:textFill>
        </w:rPr>
        <w:t>向</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指挥部报告，指挥部接到报告后，立即组织安排部署应急</w:t>
      </w:r>
      <w:r>
        <w:rPr>
          <w:rFonts w:hint="default" w:ascii="Times New Roman" w:hAnsi="Times New Roman" w:eastAsia="仿宋" w:cs="Times New Roman"/>
          <w:bCs/>
          <w:color w:val="000000" w:themeColor="text1"/>
          <w:sz w:val="28"/>
          <w:szCs w:val="32"/>
          <w:lang w:val="en-US" w:eastAsia="zh-CN" w:bidi="en-US"/>
          <w14:textFill>
            <w14:solidFill>
              <w14:schemeClr w14:val="tx1"/>
            </w14:solidFill>
          </w14:textFill>
        </w:rPr>
        <w:t>救援</w:t>
      </w:r>
      <w:r>
        <w:rPr>
          <w:rFonts w:hint="default" w:ascii="Times New Roman" w:hAnsi="Times New Roman" w:eastAsia="仿宋" w:cs="Times New Roman"/>
          <w:bCs/>
          <w:color w:val="000000" w:themeColor="text1"/>
          <w:sz w:val="28"/>
          <w:szCs w:val="32"/>
          <w:lang w:bidi="en-US"/>
          <w14:textFill>
            <w14:solidFill>
              <w14:schemeClr w14:val="tx1"/>
            </w14:solidFill>
          </w14:textFill>
        </w:rPr>
        <w:t>处置工作，应急救援专业队伍按照</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突发环境事件应急预案相应程序，全力组织污染现场的先期控制，根据需要做好人员和设备</w:t>
      </w:r>
      <w:r>
        <w:rPr>
          <w:rFonts w:hint="default" w:ascii="Times New Roman" w:hAnsi="Times New Roman" w:eastAsia="仿宋" w:cs="Times New Roman"/>
          <w:bCs/>
          <w:color w:val="000000" w:themeColor="text1"/>
          <w:sz w:val="28"/>
          <w:szCs w:val="32"/>
          <w:lang w:val="en-US" w:eastAsia="zh-CN" w:bidi="en-US"/>
          <w14:textFill>
            <w14:solidFill>
              <w14:schemeClr w14:val="tx1"/>
            </w14:solidFill>
          </w14:textFill>
        </w:rPr>
        <w:t>设施</w:t>
      </w:r>
      <w:r>
        <w:rPr>
          <w:rFonts w:hint="default" w:ascii="Times New Roman" w:hAnsi="Times New Roman" w:eastAsia="仿宋" w:cs="Times New Roman"/>
          <w:bCs/>
          <w:color w:val="000000" w:themeColor="text1"/>
          <w:sz w:val="28"/>
          <w:szCs w:val="32"/>
          <w:lang w:bidi="en-US"/>
          <w14:textFill>
            <w14:solidFill>
              <w14:schemeClr w14:val="tx1"/>
            </w14:solidFill>
          </w14:textFill>
        </w:rPr>
        <w:t>的准备工作；</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②在事件处理过程中，根据现场</w:t>
      </w:r>
      <w:r>
        <w:rPr>
          <w:rFonts w:hint="default" w:ascii="Times New Roman" w:hAnsi="Times New Roman" w:eastAsia="仿宋" w:cs="Times New Roman"/>
          <w:bCs/>
          <w:color w:val="000000" w:themeColor="text1"/>
          <w:sz w:val="28"/>
          <w:szCs w:val="32"/>
          <w:lang w:val="en-US" w:eastAsia="zh-CN" w:bidi="en-US"/>
          <w14:textFill>
            <w14:solidFill>
              <w14:schemeClr w14:val="tx1"/>
            </w14:solidFill>
          </w14:textFill>
        </w:rPr>
        <w:t>情况</w:t>
      </w:r>
      <w:r>
        <w:rPr>
          <w:rFonts w:hint="default" w:ascii="Times New Roman" w:hAnsi="Times New Roman" w:eastAsia="仿宋" w:cs="Times New Roman"/>
          <w:bCs/>
          <w:color w:val="000000" w:themeColor="text1"/>
          <w:sz w:val="28"/>
          <w:szCs w:val="32"/>
          <w:lang w:bidi="en-US"/>
          <w14:textFill>
            <w14:solidFill>
              <w14:schemeClr w14:val="tx1"/>
            </w14:solidFill>
          </w14:textFill>
        </w:rPr>
        <w:t>做出判断，是否有必要对环境风险范围内居民、企事业单位员工进行</w:t>
      </w:r>
      <w:r>
        <w:rPr>
          <w:rFonts w:hint="default" w:ascii="Times New Roman" w:hAnsi="Times New Roman" w:eastAsia="仿宋" w:cs="Times New Roman"/>
          <w:bCs/>
          <w:color w:val="000000" w:themeColor="text1"/>
          <w:sz w:val="28"/>
          <w:szCs w:val="32"/>
          <w:lang w:val="en-US" w:eastAsia="zh-CN" w:bidi="en-US"/>
          <w14:textFill>
            <w14:solidFill>
              <w14:schemeClr w14:val="tx1"/>
            </w14:solidFill>
          </w14:textFill>
        </w:rPr>
        <w:t>告知</w:t>
      </w:r>
      <w:r>
        <w:rPr>
          <w:rFonts w:hint="default" w:ascii="Times New Roman" w:hAnsi="Times New Roman" w:eastAsia="仿宋" w:cs="Times New Roman"/>
          <w:bCs/>
          <w:color w:val="000000" w:themeColor="text1"/>
          <w:sz w:val="28"/>
          <w:szCs w:val="32"/>
          <w:lang w:bidi="en-US"/>
          <w14:textFill>
            <w14:solidFill>
              <w14:schemeClr w14:val="tx1"/>
            </w14:solidFill>
          </w14:textFill>
        </w:rPr>
        <w:t>，必要时，立即通知</w:t>
      </w:r>
      <w:r>
        <w:rPr>
          <w:rFonts w:hint="default" w:ascii="Times New Roman" w:hAnsi="Times New Roman" w:eastAsia="仿宋" w:cs="Times New Roman"/>
          <w:bCs/>
          <w:color w:val="000000" w:themeColor="text1"/>
          <w:sz w:val="28"/>
          <w:szCs w:val="32"/>
          <w:lang w:val="en-US" w:eastAsia="zh-CN" w:bidi="en-US"/>
          <w14:textFill>
            <w14:solidFill>
              <w14:schemeClr w14:val="tx1"/>
            </w14:solidFill>
          </w14:textFill>
        </w:rPr>
        <w:t>周边居民、单位人员</w:t>
      </w:r>
      <w:r>
        <w:rPr>
          <w:rFonts w:hint="default" w:ascii="Times New Roman" w:hAnsi="Times New Roman" w:eastAsia="仿宋" w:cs="Times New Roman"/>
          <w:bCs/>
          <w:color w:val="000000" w:themeColor="text1"/>
          <w:sz w:val="28"/>
          <w:szCs w:val="32"/>
          <w:lang w:bidi="en-US"/>
          <w14:textFill>
            <w14:solidFill>
              <w14:schemeClr w14:val="tx1"/>
            </w14:solidFill>
          </w14:textFill>
        </w:rPr>
        <w:t>撤离。</w:t>
      </w:r>
    </w:p>
    <w:p>
      <w:pPr>
        <w:pStyle w:val="12"/>
        <w:jc w:val="both"/>
        <w:rPr>
          <w:rFonts w:hint="default" w:ascii="Times New Roman" w:hAnsi="Times New Roman" w:eastAsia="仿宋" w:cs="Times New Roman"/>
        </w:rPr>
      </w:pPr>
      <w:bookmarkStart w:id="46" w:name="_Toc57036087"/>
      <w:bookmarkStart w:id="47" w:name="_Toc12803"/>
      <w:bookmarkStart w:id="48" w:name="_Toc57039846"/>
      <w:r>
        <w:rPr>
          <w:rFonts w:hint="default" w:ascii="Times New Roman" w:hAnsi="Times New Roman" w:eastAsia="仿宋" w:cs="Times New Roman"/>
        </w:rPr>
        <w:t xml:space="preserve">1.3.3 </w:t>
      </w:r>
      <w:r>
        <w:rPr>
          <w:rFonts w:hint="default" w:ascii="Times New Roman" w:hAnsi="Times New Roman" w:cs="Times New Roman"/>
          <w:lang w:eastAsia="zh-CN"/>
        </w:rPr>
        <w:t>咸阳鑫艺机械设备有限公司</w:t>
      </w:r>
      <w:r>
        <w:rPr>
          <w:rFonts w:hint="default" w:ascii="Times New Roman" w:hAnsi="Times New Roman" w:eastAsia="仿宋" w:cs="Times New Roman"/>
        </w:rPr>
        <w:t>事件等级确定</w:t>
      </w:r>
      <w:bookmarkEnd w:id="45"/>
      <w:bookmarkEnd w:id="46"/>
      <w:bookmarkEnd w:id="47"/>
      <w:bookmarkEnd w:id="48"/>
    </w:p>
    <w:p>
      <w:pPr>
        <w:spacing w:line="360" w:lineRule="auto"/>
        <w:ind w:firstLine="560" w:firstLineChars="200"/>
        <w:rPr>
          <w:rFonts w:hint="default" w:ascii="Times New Roman" w:hAnsi="Times New Roman" w:eastAsia="仿宋" w:cs="Times New Roman"/>
          <w:b/>
          <w:bCs/>
          <w:color w:val="000000" w:themeColor="text1"/>
          <w:spacing w:val="-3"/>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根据《国务院办公厅关于印发国家突发环境事件应急预案的通知》国办函〔2014〕119号附件1以及《企业突发环境事件风险分级方法》（HJ941-2018），对突发环境事件分级并结合</w:t>
      </w:r>
      <w:r>
        <w:rPr>
          <w:rFonts w:hint="default" w:ascii="Times New Roman" w:hAnsi="Times New Roman" w:eastAsia="仿宋" w:cs="Times New Roman"/>
          <w:color w:val="000000" w:themeColor="text1"/>
          <w:sz w:val="28"/>
          <w:szCs w:val="28"/>
          <w:lang w:eastAsia="zh-CN"/>
          <w14:textFill>
            <w14:solidFill>
              <w14:schemeClr w14:val="tx1"/>
            </w14:solidFill>
          </w14:textFill>
        </w:rPr>
        <w:t>咸阳鑫艺机械设备有限公司</w:t>
      </w:r>
      <w:r>
        <w:rPr>
          <w:rFonts w:hint="default" w:ascii="Times New Roman" w:hAnsi="Times New Roman" w:eastAsia="仿宋" w:cs="Times New Roman"/>
          <w:color w:val="000000" w:themeColor="text1"/>
          <w:sz w:val="28"/>
          <w:szCs w:val="28"/>
          <w14:textFill>
            <w14:solidFill>
              <w14:schemeClr w14:val="tx1"/>
            </w14:solidFill>
          </w14:textFill>
        </w:rPr>
        <w:t>实际情况</w:t>
      </w:r>
      <w:r>
        <w:rPr>
          <w:rStyle w:val="31"/>
          <w:rFonts w:hint="default" w:ascii="Times New Roman" w:hAnsi="Times New Roman" w:eastAsia="仿宋" w:cs="Times New Roman"/>
          <w:b w:val="0"/>
          <w:color w:val="000000" w:themeColor="text1"/>
          <w:sz w:val="28"/>
          <w:szCs w:val="28"/>
          <w14:textFill>
            <w14:solidFill>
              <w14:schemeClr w14:val="tx1"/>
            </w14:solidFill>
          </w14:textFill>
        </w:rPr>
        <w:t>进行分级</w:t>
      </w:r>
      <w:r>
        <w:rPr>
          <w:rFonts w:hint="default" w:ascii="Times New Roman" w:hAnsi="Times New Roman" w:eastAsia="仿宋" w:cs="Times New Roman"/>
          <w:color w:val="000000" w:themeColor="text1"/>
          <w:sz w:val="28"/>
          <w:szCs w:val="28"/>
          <w14:textFill>
            <w14:solidFill>
              <w14:schemeClr w14:val="tx1"/>
            </w14:solidFill>
          </w14:textFill>
        </w:rPr>
        <w:t>，</w:t>
      </w:r>
      <w:r>
        <w:rPr>
          <w:rFonts w:hint="default" w:ascii="Times New Roman" w:hAnsi="Times New Roman" w:eastAsia="仿宋" w:cs="Times New Roman"/>
          <w:color w:val="000000" w:themeColor="text1"/>
          <w:sz w:val="28"/>
          <w:szCs w:val="28"/>
          <w:lang w:eastAsia="zh-CN"/>
          <w14:textFill>
            <w14:solidFill>
              <w14:schemeClr w14:val="tx1"/>
            </w14:solidFill>
          </w14:textFill>
        </w:rPr>
        <w:t>咸阳鑫艺机械设备有限公司</w:t>
      </w:r>
      <w:r>
        <w:rPr>
          <w:rFonts w:hint="default" w:ascii="Times New Roman" w:hAnsi="Times New Roman" w:eastAsia="仿宋" w:cs="Times New Roman"/>
          <w:color w:val="000000" w:themeColor="text1"/>
          <w:sz w:val="28"/>
          <w:szCs w:val="28"/>
          <w14:textFill>
            <w14:solidFill>
              <w14:schemeClr w14:val="tx1"/>
            </w14:solidFill>
          </w14:textFill>
        </w:rPr>
        <w:t>突发环境事件</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风险</w:t>
      </w:r>
      <w:r>
        <w:rPr>
          <w:rFonts w:hint="default" w:ascii="Times New Roman" w:hAnsi="Times New Roman" w:eastAsia="仿宋" w:cs="Times New Roman"/>
          <w:color w:val="000000" w:themeColor="text1"/>
          <w:sz w:val="28"/>
          <w:szCs w:val="28"/>
          <w14:textFill>
            <w14:solidFill>
              <w14:schemeClr w14:val="tx1"/>
            </w14:solidFill>
          </w14:textFill>
        </w:rPr>
        <w:t>等级为一般环境风险。</w:t>
      </w:r>
    </w:p>
    <w:p>
      <w:pPr>
        <w:pStyle w:val="22"/>
        <w:ind w:left="0" w:leftChars="0"/>
        <w:outlineLvl w:val="1"/>
        <w:rPr>
          <w:rFonts w:hint="default" w:ascii="Times New Roman" w:hAnsi="Times New Roman" w:eastAsia="仿宋" w:cs="Times New Roman"/>
          <w:b/>
          <w:szCs w:val="28"/>
        </w:rPr>
      </w:pPr>
      <w:bookmarkStart w:id="49" w:name="_Toc13792"/>
      <w:bookmarkStart w:id="50" w:name="_Toc54050845"/>
      <w:r>
        <w:rPr>
          <w:rFonts w:hint="default" w:ascii="Times New Roman" w:hAnsi="Times New Roman" w:eastAsia="仿宋" w:cs="Times New Roman"/>
          <w:b/>
          <w:szCs w:val="28"/>
        </w:rPr>
        <w:t>1.4适用范围</w:t>
      </w:r>
      <w:bookmarkEnd w:id="43"/>
      <w:bookmarkEnd w:id="44"/>
      <w:bookmarkEnd w:id="49"/>
      <w:bookmarkEnd w:id="50"/>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本预案适用于</w:t>
      </w:r>
      <w:r>
        <w:rPr>
          <w:rFonts w:hint="default" w:ascii="Times New Roman" w:hAnsi="Times New Roman" w:eastAsia="仿宋" w:cs="Times New Roman"/>
          <w:sz w:val="28"/>
          <w:szCs w:val="28"/>
          <w:lang w:eastAsia="zh-CN"/>
        </w:rPr>
        <w:t>咸阳鑫艺机械设备有限公司</w:t>
      </w:r>
      <w:r>
        <w:rPr>
          <w:rFonts w:hint="default" w:ascii="Times New Roman" w:hAnsi="Times New Roman" w:eastAsia="仿宋" w:cs="Times New Roman"/>
          <w:sz w:val="28"/>
          <w:szCs w:val="28"/>
        </w:rPr>
        <w:t>在经营活动中由于污染物排放或因自然灾害、生产安全事故等因素，引发的污染物进入环境介质，突然造成或者可能造成的环境质量下降，危及公众身体健康和财产安全，生态环境破坏以及造成重大社会影响的需要</w:t>
      </w:r>
      <w:r>
        <w:rPr>
          <w:rFonts w:hint="default" w:ascii="Times New Roman" w:hAnsi="Times New Roman" w:eastAsia="仿宋" w:cs="Times New Roman"/>
          <w:sz w:val="28"/>
          <w:szCs w:val="28"/>
          <w:lang w:val="en-US" w:eastAsia="zh-CN"/>
        </w:rPr>
        <w:t>而</w:t>
      </w:r>
      <w:r>
        <w:rPr>
          <w:rFonts w:hint="default" w:ascii="Times New Roman" w:hAnsi="Times New Roman" w:eastAsia="仿宋" w:cs="Times New Roman"/>
          <w:sz w:val="28"/>
          <w:szCs w:val="28"/>
        </w:rPr>
        <w:t>采取紧急措施予以应对的突发事件。</w:t>
      </w:r>
    </w:p>
    <w:p>
      <w:pPr>
        <w:pStyle w:val="22"/>
        <w:ind w:left="0" w:leftChars="0"/>
        <w:outlineLvl w:val="1"/>
        <w:rPr>
          <w:rFonts w:hint="default" w:ascii="Times New Roman" w:hAnsi="Times New Roman" w:eastAsia="仿宋" w:cs="Times New Roman"/>
          <w:b/>
          <w:szCs w:val="28"/>
        </w:rPr>
      </w:pPr>
      <w:bookmarkStart w:id="51" w:name="_Toc6816"/>
      <w:bookmarkStart w:id="52" w:name="_Toc54050846"/>
      <w:bookmarkStart w:id="53" w:name="_Toc4668"/>
      <w:bookmarkStart w:id="54" w:name="_Toc22482"/>
      <w:r>
        <w:rPr>
          <w:rFonts w:hint="default" w:ascii="Times New Roman" w:hAnsi="Times New Roman" w:eastAsia="仿宋" w:cs="Times New Roman"/>
          <w:b/>
          <w:szCs w:val="28"/>
        </w:rPr>
        <w:t>1.5预案体系</w:t>
      </w:r>
      <w:bookmarkEnd w:id="51"/>
      <w:bookmarkEnd w:id="52"/>
      <w:bookmarkEnd w:id="53"/>
    </w:p>
    <w:p>
      <w:pPr>
        <w:pStyle w:val="12"/>
        <w:jc w:val="both"/>
        <w:rPr>
          <w:rFonts w:hint="default" w:ascii="Times New Roman" w:hAnsi="Times New Roman" w:eastAsia="仿宋" w:cs="Times New Roman"/>
        </w:rPr>
      </w:pPr>
      <w:bookmarkStart w:id="55" w:name="_Toc57039849"/>
      <w:bookmarkStart w:id="56" w:name="_Toc54050847"/>
      <w:bookmarkStart w:id="57" w:name="_Toc3396"/>
      <w:bookmarkStart w:id="58" w:name="_Toc57036090"/>
      <w:r>
        <w:rPr>
          <w:rFonts w:hint="default" w:ascii="Times New Roman" w:hAnsi="Times New Roman" w:eastAsia="仿宋" w:cs="Times New Roman"/>
        </w:rPr>
        <w:t>1.5.1预案编制体系构成</w:t>
      </w:r>
      <w:bookmarkEnd w:id="55"/>
      <w:bookmarkEnd w:id="56"/>
      <w:bookmarkEnd w:id="57"/>
      <w:bookmarkEnd w:id="58"/>
    </w:p>
    <w:p>
      <w:pPr>
        <w:spacing w:line="360" w:lineRule="auto"/>
        <w:ind w:firstLine="565" w:firstLineChars="202"/>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本公司突发环境事件应急预案是本公司综合</w:t>
      </w:r>
      <w:r>
        <w:rPr>
          <w:rFonts w:hint="default" w:ascii="Times New Roman" w:hAnsi="Times New Roman" w:eastAsia="仿宋" w:cs="Times New Roman"/>
          <w:sz w:val="28"/>
          <w:szCs w:val="28"/>
          <w:lang w:val="en-US" w:eastAsia="zh-CN"/>
        </w:rPr>
        <w:t>性</w:t>
      </w:r>
      <w:r>
        <w:rPr>
          <w:rFonts w:hint="default" w:ascii="Times New Roman" w:hAnsi="Times New Roman" w:eastAsia="仿宋" w:cs="Times New Roman"/>
          <w:sz w:val="28"/>
          <w:szCs w:val="28"/>
        </w:rPr>
        <w:t>环境应急预案。综合环境应急预案包括本公司的环境风险源分析评价、应急组织机构及其职责、预案体系及响应程序、事件预防及应急保障、应急措施、应急监测、事故后期处置、应急培训及预案演练等内容。</w:t>
      </w:r>
    </w:p>
    <w:p>
      <w:pPr>
        <w:pStyle w:val="12"/>
        <w:jc w:val="both"/>
        <w:rPr>
          <w:rFonts w:hint="default" w:ascii="Times New Roman" w:hAnsi="Times New Roman" w:eastAsia="仿宋" w:cs="Times New Roman"/>
        </w:rPr>
      </w:pPr>
      <w:bookmarkStart w:id="59" w:name="_Toc21509"/>
      <w:bookmarkStart w:id="60" w:name="_Toc57036091"/>
      <w:bookmarkStart w:id="61" w:name="_Toc54050848"/>
      <w:bookmarkStart w:id="62" w:name="_Toc57039850"/>
      <w:r>
        <w:rPr>
          <w:rFonts w:hint="default" w:ascii="Times New Roman" w:hAnsi="Times New Roman" w:eastAsia="仿宋" w:cs="Times New Roman"/>
        </w:rPr>
        <w:t>1.5.2</w:t>
      </w:r>
      <w:bookmarkStart w:id="63" w:name="_Toc29691"/>
      <w:r>
        <w:rPr>
          <w:rFonts w:hint="default" w:ascii="Times New Roman" w:hAnsi="Times New Roman" w:eastAsia="仿宋" w:cs="Times New Roman"/>
        </w:rPr>
        <w:t>应急预案关系说明</w:t>
      </w:r>
      <w:bookmarkEnd w:id="59"/>
      <w:bookmarkEnd w:id="60"/>
      <w:bookmarkEnd w:id="61"/>
      <w:bookmarkEnd w:id="62"/>
    </w:p>
    <w:p>
      <w:pPr>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本预案为突发环境事件应急预案，是预案体系中的一部分，与</w:t>
      </w:r>
      <w:r>
        <w:rPr>
          <w:rFonts w:hint="default" w:ascii="Times New Roman" w:hAnsi="Times New Roman" w:eastAsia="仿宋" w:cs="Times New Roman"/>
          <w:sz w:val="28"/>
          <w:szCs w:val="28"/>
          <w:lang w:eastAsia="zh-CN"/>
        </w:rPr>
        <w:t>《咸阳鑫艺机械设备有限公司</w:t>
      </w:r>
      <w:r>
        <w:rPr>
          <w:rFonts w:hint="default" w:ascii="Times New Roman" w:hAnsi="Times New Roman" w:eastAsia="仿宋" w:cs="Times New Roman"/>
          <w:sz w:val="28"/>
          <w:szCs w:val="28"/>
        </w:rPr>
        <w:t>生产安全事故应急预案</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相互支持，与西咸新区秦汉新城生态环境局突发环境事件应急预案有机衔接，预案衔接关系图如下：</w:t>
      </w:r>
    </w:p>
    <w:p>
      <w:pPr>
        <w:pStyle w:val="17"/>
        <w:rPr>
          <w:rFonts w:hint="default" w:ascii="Times New Roman" w:hAnsi="Times New Roman" w:eastAsia="仿宋" w:cs="Times New Roman"/>
        </w:rPr>
      </w:pPr>
      <w:r>
        <w:rPr>
          <w:rFonts w:hint="default" w:ascii="Times New Roman" w:hAnsi="Times New Roman" w:cs="Times New Roman"/>
          <w:sz w:val="18"/>
        </w:rPr>
        <mc:AlternateContent>
          <mc:Choice Requires="wpg">
            <w:drawing>
              <wp:anchor distT="0" distB="0" distL="114300" distR="114300" simplePos="0" relativeHeight="251665408" behindDoc="0" locked="0" layoutInCell="1" allowOverlap="1">
                <wp:simplePos x="0" y="0"/>
                <wp:positionH relativeFrom="column">
                  <wp:posOffset>744855</wp:posOffset>
                </wp:positionH>
                <wp:positionV relativeFrom="paragraph">
                  <wp:posOffset>5080</wp:posOffset>
                </wp:positionV>
                <wp:extent cx="4650740" cy="2109470"/>
                <wp:effectExtent l="4445" t="4445" r="12065" b="19685"/>
                <wp:wrapNone/>
                <wp:docPr id="6" name="组合 6"/>
                <wp:cNvGraphicFramePr/>
                <a:graphic xmlns:a="http://schemas.openxmlformats.org/drawingml/2006/main">
                  <a:graphicData uri="http://schemas.microsoft.com/office/word/2010/wordprocessingGroup">
                    <wpg:wgp>
                      <wpg:cNvGrpSpPr/>
                      <wpg:grpSpPr>
                        <a:xfrm>
                          <a:off x="0" y="0"/>
                          <a:ext cx="4650740" cy="2109470"/>
                          <a:chOff x="6822" y="225405"/>
                          <a:chExt cx="7324" cy="3322"/>
                        </a:xfrm>
                      </wpg:grpSpPr>
                      <wps:wsp>
                        <wps:cNvPr id="63" name="自选图形 13"/>
                        <wps:cNvCnPr/>
                        <wps:spPr>
                          <a:xfrm>
                            <a:off x="9872" y="227706"/>
                            <a:ext cx="0" cy="251"/>
                          </a:xfrm>
                          <a:prstGeom prst="straightConnector1">
                            <a:avLst/>
                          </a:prstGeom>
                          <a:ln w="9525" cap="flat" cmpd="sng">
                            <a:solidFill>
                              <a:srgbClr val="000000"/>
                            </a:solidFill>
                            <a:prstDash val="solid"/>
                            <a:headEnd type="none" w="med" len="med"/>
                            <a:tailEnd type="triangle" w="med" len="med"/>
                          </a:ln>
                        </wps:spPr>
                        <wps:bodyPr/>
                      </wps:wsp>
                      <wpg:grpSp>
                        <wpg:cNvPr id="2" name="组合 2"/>
                        <wpg:cNvGrpSpPr/>
                        <wpg:grpSpPr>
                          <a:xfrm>
                            <a:off x="6822" y="225405"/>
                            <a:ext cx="7324" cy="3322"/>
                            <a:chOff x="6822" y="225405"/>
                            <a:chExt cx="7324" cy="3322"/>
                          </a:xfrm>
                        </wpg:grpSpPr>
                        <wps:wsp>
                          <wps:cNvPr id="62" name="自选图形 12"/>
                          <wps:cNvCnPr/>
                          <wps:spPr>
                            <a:xfrm>
                              <a:off x="12645" y="227438"/>
                              <a:ext cx="0" cy="268"/>
                            </a:xfrm>
                            <a:prstGeom prst="straightConnector1">
                              <a:avLst/>
                            </a:prstGeom>
                            <a:ln w="9525" cap="flat" cmpd="sng">
                              <a:solidFill>
                                <a:srgbClr val="000000"/>
                              </a:solidFill>
                              <a:prstDash val="solid"/>
                              <a:headEnd type="none" w="med" len="med"/>
                              <a:tailEnd type="triangle" w="med" len="med"/>
                            </a:ln>
                          </wps:spPr>
                          <wps:bodyPr/>
                        </wps:wsp>
                        <wpg:grpSp>
                          <wpg:cNvPr id="73" name="组合 2"/>
                          <wpg:cNvGrpSpPr/>
                          <wpg:grpSpPr>
                            <a:xfrm>
                              <a:off x="6822" y="225405"/>
                              <a:ext cx="7324" cy="3322"/>
                              <a:chOff x="5889" y="180728"/>
                              <a:chExt cx="7188" cy="3322"/>
                            </a:xfrm>
                          </wpg:grpSpPr>
                          <wps:wsp>
                            <wps:cNvPr id="64" name="文本框 3"/>
                            <wps:cNvSpPr txBox="1"/>
                            <wps:spPr>
                              <a:xfrm>
                                <a:off x="6342" y="180728"/>
                                <a:ext cx="3019" cy="77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仿宋" w:hAnsi="仿宋" w:eastAsia="仿宋"/>
                                      <w:sz w:val="24"/>
                                      <w:szCs w:val="24"/>
                                    </w:rPr>
                                  </w:pPr>
                                  <w:r>
                                    <w:rPr>
                                      <w:rFonts w:ascii="仿宋" w:hAnsi="仿宋" w:eastAsia="仿宋"/>
                                      <w:sz w:val="24"/>
                                      <w:szCs w:val="24"/>
                                    </w:rPr>
                                    <w:t>西咸新区生态环境局</w:t>
                                  </w:r>
                                </w:p>
                                <w:p>
                                  <w:pPr>
                                    <w:jc w:val="center"/>
                                    <w:rPr>
                                      <w:sz w:val="24"/>
                                      <w:szCs w:val="24"/>
                                    </w:rPr>
                                  </w:pPr>
                                  <w:r>
                                    <w:rPr>
                                      <w:rFonts w:hint="eastAsia" w:ascii="仿宋" w:hAnsi="仿宋" w:eastAsia="仿宋"/>
                                      <w:sz w:val="24"/>
                                      <w:szCs w:val="24"/>
                                    </w:rPr>
                                    <w:t>突发环境事件应急预案</w:t>
                                  </w:r>
                                </w:p>
                              </w:txbxContent>
                            </wps:txbx>
                            <wps:bodyPr upright="1"/>
                          </wps:wsp>
                          <wps:wsp>
                            <wps:cNvPr id="65" name="文本框 4"/>
                            <wps:cNvSpPr txBox="1"/>
                            <wps:spPr>
                              <a:xfrm>
                                <a:off x="5889" y="181990"/>
                                <a:ext cx="3906" cy="77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仿宋" w:hAnsi="仿宋" w:eastAsia="仿宋"/>
                                      <w:sz w:val="24"/>
                                      <w:szCs w:val="24"/>
                                    </w:rPr>
                                  </w:pPr>
                                  <w:r>
                                    <w:rPr>
                                      <w:rFonts w:hint="eastAsia" w:ascii="仿宋" w:hAnsi="仿宋" w:eastAsia="仿宋"/>
                                      <w:sz w:val="24"/>
                                      <w:szCs w:val="24"/>
                                      <w:lang w:eastAsia="zh-CN"/>
                                    </w:rPr>
                                    <w:t>秦汉新城</w:t>
                                  </w:r>
                                  <w:r>
                                    <w:rPr>
                                      <w:rFonts w:ascii="仿宋" w:hAnsi="仿宋" w:eastAsia="仿宋"/>
                                      <w:sz w:val="24"/>
                                      <w:szCs w:val="24"/>
                                    </w:rPr>
                                    <w:t>生态环境局</w:t>
                                  </w:r>
                                </w:p>
                                <w:p>
                                  <w:pPr>
                                    <w:jc w:val="center"/>
                                    <w:rPr>
                                      <w:sz w:val="24"/>
                                      <w:szCs w:val="24"/>
                                    </w:rPr>
                                  </w:pPr>
                                  <w:r>
                                    <w:rPr>
                                      <w:rFonts w:hint="eastAsia" w:ascii="仿宋" w:hAnsi="仿宋" w:eastAsia="仿宋"/>
                                      <w:sz w:val="24"/>
                                      <w:szCs w:val="24"/>
                                    </w:rPr>
                                    <w:t>突发环境事件应急预案</w:t>
                                  </w:r>
                                </w:p>
                              </w:txbxContent>
                            </wps:txbx>
                            <wps:bodyPr upright="1"/>
                          </wps:wsp>
                          <wps:wsp>
                            <wps:cNvPr id="66" name="自选图形 5"/>
                            <wps:cNvCnPr/>
                            <wps:spPr>
                              <a:xfrm>
                                <a:off x="7859" y="181499"/>
                                <a:ext cx="0" cy="491"/>
                              </a:xfrm>
                              <a:prstGeom prst="straightConnector1">
                                <a:avLst/>
                              </a:prstGeom>
                              <a:ln w="9525" cap="flat" cmpd="sng">
                                <a:solidFill>
                                  <a:srgbClr val="000000"/>
                                </a:solidFill>
                                <a:prstDash val="solid"/>
                                <a:headEnd type="none" w="med" len="med"/>
                                <a:tailEnd type="triangle" w="med" len="med"/>
                              </a:ln>
                            </wps:spPr>
                            <wps:bodyPr/>
                          </wps:wsp>
                          <wps:wsp>
                            <wps:cNvPr id="67" name="自选图形 6"/>
                            <wps:cNvCnPr/>
                            <wps:spPr>
                              <a:xfrm>
                                <a:off x="7859" y="182761"/>
                                <a:ext cx="0" cy="491"/>
                              </a:xfrm>
                              <a:prstGeom prst="straightConnector1">
                                <a:avLst/>
                              </a:prstGeom>
                              <a:ln w="9525" cap="flat" cmpd="sng">
                                <a:solidFill>
                                  <a:srgbClr val="000000"/>
                                </a:solidFill>
                                <a:prstDash val="solid"/>
                                <a:headEnd type="none" w="med" len="med"/>
                                <a:tailEnd type="triangle" w="med" len="med"/>
                              </a:ln>
                            </wps:spPr>
                            <wps:bodyPr/>
                          </wps:wsp>
                          <wps:wsp>
                            <wps:cNvPr id="68" name="文本框 7"/>
                            <wps:cNvSpPr txBox="1"/>
                            <wps:spPr>
                              <a:xfrm>
                                <a:off x="6345" y="183252"/>
                                <a:ext cx="2992" cy="77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sz w:val="24"/>
                                      <w:szCs w:val="24"/>
                                      <w:lang w:eastAsia="zh-CN"/>
                                    </w:rPr>
                                  </w:pPr>
                                  <w:r>
                                    <w:rPr>
                                      <w:rFonts w:hint="eastAsia" w:ascii="仿宋" w:hAnsi="仿宋" w:eastAsia="仿宋"/>
                                      <w:sz w:val="24"/>
                                      <w:szCs w:val="24"/>
                                      <w:lang w:eastAsia="zh-CN"/>
                                    </w:rPr>
                                    <w:t>咸阳鑫艺机械设备有限公司</w:t>
                                  </w:r>
                                  <w:r>
                                    <w:rPr>
                                      <w:rFonts w:hint="eastAsia" w:ascii="仿宋" w:hAnsi="仿宋" w:eastAsia="仿宋"/>
                                      <w:sz w:val="24"/>
                                      <w:szCs w:val="24"/>
                                    </w:rPr>
                                    <w:t>突发环境事件应急预案</w:t>
                                  </w:r>
                                </w:p>
                                <w:p>
                                  <w:pPr>
                                    <w:jc w:val="center"/>
                                    <w:rPr>
                                      <w:sz w:val="24"/>
                                      <w:szCs w:val="24"/>
                                    </w:rPr>
                                  </w:pPr>
                                  <w:r>
                                    <w:rPr>
                                      <w:rFonts w:hint="eastAsia" w:ascii="仿宋" w:hAnsi="仿宋" w:eastAsia="仿宋"/>
                                      <w:sz w:val="24"/>
                                      <w:szCs w:val="24"/>
                                    </w:rPr>
                                    <w:t>突发环境事件应急预案</w:t>
                                  </w:r>
                                </w:p>
                              </w:txbxContent>
                            </wps:txbx>
                            <wps:bodyPr upright="1"/>
                          </wps:wsp>
                          <wps:wsp>
                            <wps:cNvPr id="69" name="文本框 8"/>
                            <wps:cNvSpPr txBox="1"/>
                            <wps:spPr>
                              <a:xfrm>
                                <a:off x="10178" y="181990"/>
                                <a:ext cx="2899" cy="77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ascii="仿宋" w:hAnsi="仿宋" w:eastAsia="仿宋"/>
                                      <w:sz w:val="24"/>
                                      <w:szCs w:val="24"/>
                                    </w:rPr>
                                  </w:pPr>
                                  <w:r>
                                    <w:rPr>
                                      <w:rFonts w:hint="eastAsia" w:ascii="仿宋" w:hAnsi="仿宋" w:eastAsia="仿宋"/>
                                      <w:sz w:val="24"/>
                                      <w:szCs w:val="24"/>
                                    </w:rPr>
                                    <w:t>上级主管单位</w:t>
                                  </w:r>
                                </w:p>
                                <w:p>
                                  <w:pPr>
                                    <w:jc w:val="center"/>
                                    <w:rPr>
                                      <w:sz w:val="24"/>
                                      <w:szCs w:val="24"/>
                                    </w:rPr>
                                  </w:pPr>
                                  <w:r>
                                    <w:rPr>
                                      <w:rFonts w:hint="eastAsia" w:ascii="仿宋" w:hAnsi="仿宋" w:eastAsia="仿宋"/>
                                      <w:sz w:val="24"/>
                                      <w:szCs w:val="24"/>
                                    </w:rPr>
                                    <w:t>突发环境事件应急预案</w:t>
                                  </w:r>
                                </w:p>
                              </w:txbxContent>
                            </wps:txbx>
                            <wps:bodyPr upright="1"/>
                          </wps:wsp>
                          <wps:wsp>
                            <wps:cNvPr id="70" name="自选图形 9"/>
                            <wps:cNvCnPr/>
                            <wps:spPr>
                              <a:xfrm>
                                <a:off x="8881" y="183029"/>
                                <a:ext cx="2695" cy="0"/>
                              </a:xfrm>
                              <a:prstGeom prst="straightConnector1">
                                <a:avLst/>
                              </a:prstGeom>
                              <a:ln w="9525" cap="flat" cmpd="sng">
                                <a:solidFill>
                                  <a:srgbClr val="000000"/>
                                </a:solidFill>
                                <a:prstDash val="solid"/>
                                <a:headEnd type="none" w="med" len="med"/>
                                <a:tailEnd type="none" w="med" len="med"/>
                              </a:ln>
                            </wps:spPr>
                            <wps:bodyPr/>
                          </wps:wsp>
                          <wps:wsp>
                            <wps:cNvPr id="71" name="自选图形 10"/>
                            <wps:cNvCnPr/>
                            <wps:spPr>
                              <a:xfrm>
                                <a:off x="9361" y="183677"/>
                                <a:ext cx="387" cy="0"/>
                              </a:xfrm>
                              <a:prstGeom prst="straightConnector1">
                                <a:avLst/>
                              </a:prstGeom>
                              <a:ln w="9525" cap="flat" cmpd="sng">
                                <a:solidFill>
                                  <a:srgbClr val="000000"/>
                                </a:solidFill>
                                <a:prstDash val="solid"/>
                                <a:headEnd type="triangle" w="med" len="med"/>
                                <a:tailEnd type="triangle" w="med" len="med"/>
                              </a:ln>
                            </wps:spPr>
                            <wps:bodyPr/>
                          </wps:wsp>
                          <wps:wsp>
                            <wps:cNvPr id="72" name="文本框 11"/>
                            <wps:cNvSpPr txBox="1"/>
                            <wps:spPr>
                              <a:xfrm>
                                <a:off x="9795" y="183280"/>
                                <a:ext cx="3282" cy="771"/>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sz w:val="24"/>
                                      <w:szCs w:val="24"/>
                                      <w:lang w:eastAsia="zh-CN"/>
                                    </w:rPr>
                                  </w:pPr>
                                  <w:r>
                                    <w:rPr>
                                      <w:rFonts w:hint="eastAsia" w:ascii="仿宋" w:hAnsi="仿宋" w:eastAsia="仿宋"/>
                                      <w:sz w:val="24"/>
                                      <w:szCs w:val="24"/>
                                      <w:lang w:eastAsia="zh-CN"/>
                                    </w:rPr>
                                    <w:t>咸阳鑫艺机械设备有限公司</w:t>
                                  </w:r>
                                </w:p>
                                <w:p>
                                  <w:pPr>
                                    <w:jc w:val="center"/>
                                    <w:rPr>
                                      <w:sz w:val="24"/>
                                      <w:szCs w:val="24"/>
                                    </w:rPr>
                                  </w:pPr>
                                  <w:r>
                                    <w:rPr>
                                      <w:rFonts w:hint="eastAsia" w:ascii="仿宋" w:hAnsi="仿宋" w:eastAsia="仿宋"/>
                                      <w:sz w:val="24"/>
                                      <w:szCs w:val="24"/>
                                    </w:rPr>
                                    <w:t>生产安全事故应急预案</w:t>
                                  </w:r>
                                </w:p>
                                <w:p>
                                  <w:pPr>
                                    <w:rPr>
                                      <w:szCs w:val="24"/>
                                    </w:rPr>
                                  </w:pPr>
                                </w:p>
                              </w:txbxContent>
                            </wps:txbx>
                            <wps:bodyPr upright="1"/>
                          </wps:wsp>
                        </wpg:grpSp>
                      </wpg:grpSp>
                    </wpg:wgp>
                  </a:graphicData>
                </a:graphic>
              </wp:anchor>
            </w:drawing>
          </mc:Choice>
          <mc:Fallback>
            <w:pict>
              <v:group id="_x0000_s1026" o:spid="_x0000_s1026" o:spt="203" style="position:absolute;left:0pt;margin-left:58.65pt;margin-top:0.4pt;height:166.1pt;width:366.2pt;z-index:251665408;mso-width-relative:page;mso-height-relative:page;" coordorigin="6822,225405" coordsize="7324,3322" o:gfxdata="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">
                <o:lock v:ext="edit" aspectratio="f"/>
                <v:shape id="自选图形 13" o:spid="_x0000_s1026" o:spt="32" type="#_x0000_t32" style="position:absolute;left:9872;top:227706;height:251;width:0;" filled="f" stroked="t" coordsize="21600,21600" o:gfxdata="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LdYBPC/&#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group id="_x0000_s1026" o:spid="_x0000_s1026" o:spt="203" style="position:absolute;left:6822;top:225405;height:3322;width:7324;" coordorigin="6822,225405" coordsize="7324,3322" o:gfxdata="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Psb0Q+7AAAA2gAAAA8AAAAAAAAAAQAgAAAAIgAAAGRycy9kb3ducmV2LnhtbFBL&#10;AQIUABQAAAAIAIdO4kAzLwWeOwAAADkAAAAVAAAAAAAAAAEAIAAAAAoBAABkcnMvZ3JvdXBzaGFw&#10;ZXhtbC54bWxQSwUGAAAAAAYABgBgAQAAxwMAAAAA&#10;">
                  <o:lock v:ext="edit" aspectratio="f"/>
                  <v:shape id="自选图形 12" o:spid="_x0000_s1026" o:spt="32" type="#_x0000_t32" style="position:absolute;left:12645;top:227438;height:268;width:0;" filled="f" stroked="t" coordsize="21600,21600" o:gfxdata="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YFKFrvQAA&#10;ANs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group id="组合 2" o:spid="_x0000_s1026" o:spt="203" style="position:absolute;left:6822;top:225405;height:3322;width:7324;" coordorigin="5889,180728" coordsize="7188,3322" o:gfxdata="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wPqwr0AAADbAAAADwAAAAAAAAABACAAAAAiAAAAZHJzL2Rvd25yZXYueG1s&#10;UEsBAhQAFAAAAAgAh07iQDMvBZ47AAAAOQAAABUAAAAAAAAAAQAgAAAADAEAAGRycy9ncm91cHNo&#10;YXBleG1sLnhtbFBLBQYAAAAABgAGAGABAADJAwAAAAA=&#10;">
                    <o:lock v:ext="edit" aspectratio="f"/>
                    <v:shape id="文本框 3" o:spid="_x0000_s1026" o:spt="202" type="#_x0000_t202" style="position:absolute;left:6342;top:180728;height:771;width:3019;" fillcolor="#FFFFFF" filled="t" stroked="t" coordsize="21600,21600" o:gfxdata="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nmqp7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ascii="仿宋" w:hAnsi="仿宋" w:eastAsia="仿宋"/>
                                <w:sz w:val="24"/>
                                <w:szCs w:val="24"/>
                              </w:rPr>
                            </w:pPr>
                            <w:r>
                              <w:rPr>
                                <w:rFonts w:ascii="仿宋" w:hAnsi="仿宋" w:eastAsia="仿宋"/>
                                <w:sz w:val="24"/>
                                <w:szCs w:val="24"/>
                              </w:rPr>
                              <w:t>西咸新区生态环境局</w:t>
                            </w:r>
                          </w:p>
                          <w:p>
                            <w:pPr>
                              <w:jc w:val="center"/>
                              <w:rPr>
                                <w:sz w:val="24"/>
                                <w:szCs w:val="24"/>
                              </w:rPr>
                            </w:pPr>
                            <w:r>
                              <w:rPr>
                                <w:rFonts w:hint="eastAsia" w:ascii="仿宋" w:hAnsi="仿宋" w:eastAsia="仿宋"/>
                                <w:sz w:val="24"/>
                                <w:szCs w:val="24"/>
                              </w:rPr>
                              <w:t>突发环境事件应急预案</w:t>
                            </w:r>
                          </w:p>
                        </w:txbxContent>
                      </v:textbox>
                    </v:shape>
                    <v:shape id="文本框 4" o:spid="_x0000_s1026" o:spt="202" type="#_x0000_t202" style="position:absolute;left:5889;top:181990;height:771;width:3906;" fillcolor="#FFFFFF" filled="t" stroked="t" coordsize="21600,21600" o:gfxdata="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TUPPL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ascii="仿宋" w:hAnsi="仿宋" w:eastAsia="仿宋"/>
                                <w:sz w:val="24"/>
                                <w:szCs w:val="24"/>
                              </w:rPr>
                            </w:pPr>
                            <w:r>
                              <w:rPr>
                                <w:rFonts w:hint="eastAsia" w:ascii="仿宋" w:hAnsi="仿宋" w:eastAsia="仿宋"/>
                                <w:sz w:val="24"/>
                                <w:szCs w:val="24"/>
                                <w:lang w:eastAsia="zh-CN"/>
                              </w:rPr>
                              <w:t>秦汉新城</w:t>
                            </w:r>
                            <w:r>
                              <w:rPr>
                                <w:rFonts w:ascii="仿宋" w:hAnsi="仿宋" w:eastAsia="仿宋"/>
                                <w:sz w:val="24"/>
                                <w:szCs w:val="24"/>
                              </w:rPr>
                              <w:t>生态环境局</w:t>
                            </w:r>
                          </w:p>
                          <w:p>
                            <w:pPr>
                              <w:jc w:val="center"/>
                              <w:rPr>
                                <w:sz w:val="24"/>
                                <w:szCs w:val="24"/>
                              </w:rPr>
                            </w:pPr>
                            <w:r>
                              <w:rPr>
                                <w:rFonts w:hint="eastAsia" w:ascii="仿宋" w:hAnsi="仿宋" w:eastAsia="仿宋"/>
                                <w:sz w:val="24"/>
                                <w:szCs w:val="24"/>
                              </w:rPr>
                              <w:t>突发环境事件应急预案</w:t>
                            </w:r>
                          </w:p>
                        </w:txbxContent>
                      </v:textbox>
                    </v:shape>
                    <v:shape id="自选图形 5" o:spid="_x0000_s1026" o:spt="32" type="#_x0000_t32" style="position:absolute;left:7859;top:181499;height:491;width:0;" filled="f" stroked="t" coordsize="21600,21600" o:gfxdata="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y+naL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自选图形 6" o:spid="_x0000_s1026" o:spt="32" type="#_x0000_t32" style="position:absolute;left:7859;top:182761;height:491;width:0;" filled="f" stroked="t" coordsize="21600,21600" o:gfxdata="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MhjAvO/&#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文本框 7" o:spid="_x0000_s1026" o:spt="202" type="#_x0000_t202" style="position:absolute;left:6345;top:183252;height:771;width:2992;" fillcolor="#FFFFFF" filled="t" stroked="t" coordsize="21600,21600" o:gfxdata="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3zSgorsAAADb&#10;AAAADwAAAAAAAAABACAAAAAiAAAAZHJzL2Rvd25yZXYueG1sUEsBAhQAFAAAAAgAh07iQDMvBZ47&#10;AAAAOQAAABAAAAAAAAAAAQAgAAAACgEAAGRycy9zaGFwZXhtbC54bWxQSwUGAAAAAAYABgBbAQAA&#10;tAMAAAAA&#10;">
                      <v:fill on="t" focussize="0,0"/>
                      <v:stroke color="#000000" joinstyle="miter"/>
                      <v:imagedata o:title=""/>
                      <o:lock v:ext="edit" aspectratio="f"/>
                      <v:textbox>
                        <w:txbxContent>
                          <w:p>
                            <w:pPr>
                              <w:jc w:val="center"/>
                              <w:rPr>
                                <w:rFonts w:hint="eastAsia" w:ascii="仿宋" w:hAnsi="仿宋" w:eastAsia="仿宋"/>
                                <w:sz w:val="24"/>
                                <w:szCs w:val="24"/>
                                <w:lang w:eastAsia="zh-CN"/>
                              </w:rPr>
                            </w:pPr>
                            <w:r>
                              <w:rPr>
                                <w:rFonts w:hint="eastAsia" w:ascii="仿宋" w:hAnsi="仿宋" w:eastAsia="仿宋"/>
                                <w:sz w:val="24"/>
                                <w:szCs w:val="24"/>
                                <w:lang w:eastAsia="zh-CN"/>
                              </w:rPr>
                              <w:t>咸阳鑫艺机械设备有限公司</w:t>
                            </w:r>
                            <w:r>
                              <w:rPr>
                                <w:rFonts w:hint="eastAsia" w:ascii="仿宋" w:hAnsi="仿宋" w:eastAsia="仿宋"/>
                                <w:sz w:val="24"/>
                                <w:szCs w:val="24"/>
                              </w:rPr>
                              <w:t>突发环境事件应急预案</w:t>
                            </w:r>
                          </w:p>
                          <w:p>
                            <w:pPr>
                              <w:jc w:val="center"/>
                              <w:rPr>
                                <w:sz w:val="24"/>
                                <w:szCs w:val="24"/>
                              </w:rPr>
                            </w:pPr>
                            <w:r>
                              <w:rPr>
                                <w:rFonts w:hint="eastAsia" w:ascii="仿宋" w:hAnsi="仿宋" w:eastAsia="仿宋"/>
                                <w:sz w:val="24"/>
                                <w:szCs w:val="24"/>
                              </w:rPr>
                              <w:t>突发环境事件应急预案</w:t>
                            </w:r>
                          </w:p>
                        </w:txbxContent>
                      </v:textbox>
                    </v:shape>
                    <v:shape id="文本框 8" o:spid="_x0000_s1026" o:spt="202" type="#_x0000_t202" style="position:absolute;left:10178;top:181990;height:771;width:2899;" fillcolor="#FFFFFF" filled="t" stroked="t" coordsize="21600,21600" o:gfxdata="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HgFOb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ascii="仿宋" w:hAnsi="仿宋" w:eastAsia="仿宋"/>
                                <w:sz w:val="24"/>
                                <w:szCs w:val="24"/>
                              </w:rPr>
                            </w:pPr>
                            <w:r>
                              <w:rPr>
                                <w:rFonts w:hint="eastAsia" w:ascii="仿宋" w:hAnsi="仿宋" w:eastAsia="仿宋"/>
                                <w:sz w:val="24"/>
                                <w:szCs w:val="24"/>
                              </w:rPr>
                              <w:t>上级主管单位</w:t>
                            </w:r>
                          </w:p>
                          <w:p>
                            <w:pPr>
                              <w:jc w:val="center"/>
                              <w:rPr>
                                <w:sz w:val="24"/>
                                <w:szCs w:val="24"/>
                              </w:rPr>
                            </w:pPr>
                            <w:r>
                              <w:rPr>
                                <w:rFonts w:hint="eastAsia" w:ascii="仿宋" w:hAnsi="仿宋" w:eastAsia="仿宋"/>
                                <w:sz w:val="24"/>
                                <w:szCs w:val="24"/>
                              </w:rPr>
                              <w:t>突发环境事件应急预案</w:t>
                            </w:r>
                          </w:p>
                        </w:txbxContent>
                      </v:textbox>
                    </v:shape>
                    <v:shape id="自选图形 9" o:spid="_x0000_s1026" o:spt="32" type="#_x0000_t32" style="position:absolute;left:8881;top:183029;height:0;width:2695;" filled="f" stroked="t" coordsize="21600,21600" o:gfxdata="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RlzPAugAAANsA&#10;AAAPAAAAAAAAAAEAIAAAACIAAABkcnMvZG93bnJldi54bWxQSwECFAAUAAAACACHTuJAMy8FnjsA&#10;AAA5AAAAEAAAAAAAAAABACAAAAAJAQAAZHJzL3NoYXBleG1sLnhtbFBLBQYAAAAABgAGAFsBAACz&#10;AwAAAAA=&#10;">
                      <v:fill on="f" focussize="0,0"/>
                      <v:stroke color="#000000" joinstyle="round"/>
                      <v:imagedata o:title=""/>
                      <o:lock v:ext="edit" aspectratio="f"/>
                    </v:shape>
                    <v:shape id="自选图形 10" o:spid="_x0000_s1026" o:spt="32" type="#_x0000_t32" style="position:absolute;left:9361;top:183677;height:0;width:387;" filled="f" stroked="t" coordsize="21600,21600" o:gfxdata="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TmtVmvQAA&#10;ANsAAAAPAAAAAAAAAAEAIAAAACIAAABkcnMvZG93bnJldi54bWxQSwECFAAUAAAACACHTuJAMy8F&#10;njsAAAA5AAAAEAAAAAAAAAABACAAAAAMAQAAZHJzL3NoYXBleG1sLnhtbFBLBQYAAAAABgAGAFsB&#10;AAC2AwAAAAA=&#10;">
                      <v:fill on="f" focussize="0,0"/>
                      <v:stroke color="#000000" joinstyle="round" startarrow="block" endarrow="block"/>
                      <v:imagedata o:title=""/>
                      <o:lock v:ext="edit" aspectratio="f"/>
                    </v:shape>
                    <v:shape id="文本框 11" o:spid="_x0000_s1026" o:spt="202" type="#_x0000_t202" style="position:absolute;left:9795;top:183280;height:771;width:3282;" fillcolor="#FFFFFF" filled="t" stroked="t" coordsize="21600,21600" o:gfxdata="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sFAZW/&#10;AAAA2wAAAA8AAAAAAAAAAQAgAAAAIgAAAGRycy9kb3ducmV2LnhtbFBLAQIUABQAAAAIAIdO4kAz&#10;LwWeOwAAADkAAAAQAAAAAAAAAAEAIAAAAA4BAABkcnMvc2hhcGV4bWwueG1sUEsFBgAAAAAGAAYA&#10;WwEAALgDAAAAAA==&#10;">
                      <v:fill on="t" focussize="0,0"/>
                      <v:stroke color="#000000" joinstyle="miter"/>
                      <v:imagedata o:title=""/>
                      <o:lock v:ext="edit" aspectratio="f"/>
                      <v:textbox>
                        <w:txbxContent>
                          <w:p>
                            <w:pPr>
                              <w:jc w:val="center"/>
                              <w:rPr>
                                <w:rFonts w:hint="eastAsia" w:ascii="仿宋" w:hAnsi="仿宋" w:eastAsia="仿宋"/>
                                <w:sz w:val="24"/>
                                <w:szCs w:val="24"/>
                                <w:lang w:eastAsia="zh-CN"/>
                              </w:rPr>
                            </w:pPr>
                            <w:r>
                              <w:rPr>
                                <w:rFonts w:hint="eastAsia" w:ascii="仿宋" w:hAnsi="仿宋" w:eastAsia="仿宋"/>
                                <w:sz w:val="24"/>
                                <w:szCs w:val="24"/>
                                <w:lang w:eastAsia="zh-CN"/>
                              </w:rPr>
                              <w:t>咸阳鑫艺机械设备有限公司</w:t>
                            </w:r>
                          </w:p>
                          <w:p>
                            <w:pPr>
                              <w:jc w:val="center"/>
                              <w:rPr>
                                <w:sz w:val="24"/>
                                <w:szCs w:val="24"/>
                              </w:rPr>
                            </w:pPr>
                            <w:r>
                              <w:rPr>
                                <w:rFonts w:hint="eastAsia" w:ascii="仿宋" w:hAnsi="仿宋" w:eastAsia="仿宋"/>
                                <w:sz w:val="24"/>
                                <w:szCs w:val="24"/>
                              </w:rPr>
                              <w:t>生产安全事故应急预案</w:t>
                            </w:r>
                          </w:p>
                          <w:p>
                            <w:pPr>
                              <w:rPr>
                                <w:szCs w:val="24"/>
                              </w:rPr>
                            </w:pPr>
                          </w:p>
                        </w:txbxContent>
                      </v:textbox>
                    </v:shape>
                  </v:group>
                </v:group>
              </v:group>
            </w:pict>
          </mc:Fallback>
        </mc:AlternateContent>
      </w: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widowControl/>
        <w:adjustRightInd w:val="0"/>
        <w:snapToGrid w:val="0"/>
        <w:spacing w:beforeLines="50" w:line="360" w:lineRule="auto"/>
        <w:jc w:val="center"/>
        <w:rPr>
          <w:rFonts w:hint="default" w:ascii="Times New Roman" w:hAnsi="Times New Roman" w:eastAsia="仿宋" w:cs="Times New Roman"/>
          <w:b/>
          <w:kern w:val="0"/>
          <w:sz w:val="24"/>
          <w:szCs w:val="24"/>
        </w:rPr>
      </w:pPr>
      <w:r>
        <w:rPr>
          <w:rFonts w:hint="default" w:ascii="Times New Roman" w:hAnsi="Times New Roman" w:eastAsia="仿宋" w:cs="Times New Roman"/>
          <w:b/>
          <w:kern w:val="0"/>
          <w:sz w:val="24"/>
          <w:szCs w:val="24"/>
        </w:rPr>
        <w:t>图1.5-1    突发环境事件应急预案衔接关系图</w:t>
      </w:r>
    </w:p>
    <w:p>
      <w:pPr>
        <w:pStyle w:val="17"/>
        <w:adjustRightInd w:val="0"/>
        <w:spacing w:line="360" w:lineRule="auto"/>
        <w:ind w:firstLine="560" w:firstLineChars="200"/>
        <w:rPr>
          <w:rFonts w:hint="default" w:ascii="Times New Roman" w:hAnsi="Times New Roman" w:eastAsia="仿宋" w:cs="Times New Roman"/>
          <w:kern w:val="2"/>
          <w:sz w:val="28"/>
          <w:szCs w:val="28"/>
        </w:rPr>
      </w:pPr>
      <w:r>
        <w:rPr>
          <w:rFonts w:hint="default" w:ascii="Times New Roman" w:hAnsi="Times New Roman" w:eastAsia="仿宋" w:cs="Times New Roman"/>
          <w:kern w:val="2"/>
          <w:sz w:val="28"/>
          <w:szCs w:val="28"/>
        </w:rPr>
        <w:t>应急预案体系应符合“横向到边，纵向到底，区域联动”的基本原则，即：横向涵盖各类突发环境事件，纵向涵盖</w:t>
      </w:r>
      <w:r>
        <w:rPr>
          <w:rFonts w:hint="default" w:ascii="Times New Roman" w:hAnsi="Times New Roman" w:eastAsia="仿宋" w:cs="Times New Roman"/>
          <w:kern w:val="2"/>
          <w:sz w:val="28"/>
          <w:szCs w:val="28"/>
          <w:lang w:val="en-US" w:eastAsia="zh-CN"/>
        </w:rPr>
        <w:t>厂区各</w:t>
      </w:r>
      <w:r>
        <w:rPr>
          <w:rFonts w:hint="default" w:ascii="Times New Roman" w:hAnsi="Times New Roman" w:eastAsia="仿宋" w:cs="Times New Roman"/>
          <w:kern w:val="2"/>
          <w:sz w:val="28"/>
          <w:szCs w:val="28"/>
        </w:rPr>
        <w:t>部门，区域涵盖周边危险源。</w:t>
      </w:r>
    </w:p>
    <w:p>
      <w:pPr>
        <w:adjustRightInd w:val="0"/>
        <w:snapToGrid w:val="0"/>
        <w:spacing w:line="360" w:lineRule="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（1）与地方政府应急预案的关系</w:t>
      </w:r>
    </w:p>
    <w:p>
      <w:pPr>
        <w:adjustRightInd w:val="0"/>
        <w:snapToGrid w:val="0"/>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企业突发环境事件应急预案是地方政府部门和环保部门突发环境事件应急预案</w:t>
      </w:r>
      <w:r>
        <w:rPr>
          <w:rFonts w:hint="default" w:ascii="Times New Roman" w:hAnsi="Times New Roman" w:eastAsia="仿宋" w:cs="Times New Roman"/>
          <w:sz w:val="28"/>
          <w:szCs w:val="28"/>
          <w:lang w:val="en-US" w:eastAsia="zh-CN"/>
        </w:rPr>
        <w:t>中</w:t>
      </w:r>
      <w:r>
        <w:rPr>
          <w:rFonts w:hint="default" w:ascii="Times New Roman" w:hAnsi="Times New Roman" w:eastAsia="仿宋" w:cs="Times New Roman"/>
          <w:sz w:val="28"/>
          <w:szCs w:val="28"/>
        </w:rPr>
        <w:t>的一个单元，也是区域性应急体系的有机组成部分之一。本预案接受上级地方政府部门和环保部门的应急领导和指挥，属于上下衔接、被包含的关系。</w:t>
      </w:r>
    </w:p>
    <w:p>
      <w:pPr>
        <w:adjustRightInd w:val="0"/>
        <w:snapToGrid w:val="0"/>
        <w:spacing w:line="360" w:lineRule="auto"/>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（2）与企业其他应急预案的关系</w:t>
      </w:r>
    </w:p>
    <w:p>
      <w:pPr>
        <w:adjustRightInd w:val="0"/>
        <w:snapToGrid w:val="0"/>
        <w:spacing w:line="360" w:lineRule="auto"/>
        <w:ind w:firstLine="560" w:firstLineChars="200"/>
        <w:rPr>
          <w:rFonts w:hint="default" w:ascii="Times New Roman" w:hAnsi="Times New Roman" w:eastAsia="仿宋" w:cs="Times New Roman"/>
          <w:sz w:val="28"/>
          <w:szCs w:val="28"/>
        </w:rPr>
      </w:pPr>
      <w:bookmarkStart w:id="64" w:name="_Toc54049850"/>
      <w:bookmarkStart w:id="65" w:name="_Toc54049011"/>
      <w:bookmarkStart w:id="66" w:name="_Toc54049147"/>
      <w:bookmarkStart w:id="67" w:name="_Toc57036092"/>
      <w:bookmarkStart w:id="68" w:name="_Toc54049423"/>
      <w:bookmarkStart w:id="69" w:name="_Toc57039851"/>
      <w:bookmarkStart w:id="70" w:name="_Toc54049284"/>
      <w:bookmarkStart w:id="71" w:name="_Toc54049571"/>
      <w:bookmarkStart w:id="72" w:name="_Toc54049710"/>
      <w:bookmarkStart w:id="73" w:name="_Toc54050849"/>
      <w:bookmarkStart w:id="74" w:name="_Toc48811788"/>
      <w:r>
        <w:rPr>
          <w:rFonts w:hint="default" w:ascii="Times New Roman" w:hAnsi="Times New Roman" w:eastAsia="仿宋" w:cs="Times New Roman"/>
          <w:sz w:val="28"/>
          <w:szCs w:val="28"/>
        </w:rPr>
        <w:t>企业突发环境事件应急预案与企业安全生产应急救援预案是相辅相应、相互依赖、相互协作的关系，是企业应急体系的两大支柱。本应急预案与周边企业应急预案是相互协调，相互联动的关系。</w:t>
      </w:r>
      <w:bookmarkEnd w:id="64"/>
      <w:bookmarkEnd w:id="65"/>
      <w:bookmarkEnd w:id="66"/>
      <w:bookmarkEnd w:id="67"/>
      <w:bookmarkEnd w:id="68"/>
      <w:bookmarkEnd w:id="69"/>
      <w:bookmarkEnd w:id="70"/>
      <w:bookmarkEnd w:id="71"/>
      <w:bookmarkEnd w:id="72"/>
      <w:bookmarkEnd w:id="73"/>
      <w:bookmarkEnd w:id="74"/>
    </w:p>
    <w:p>
      <w:pPr>
        <w:pStyle w:val="22"/>
        <w:ind w:left="0" w:leftChars="0"/>
        <w:outlineLvl w:val="1"/>
        <w:rPr>
          <w:rFonts w:hint="default" w:ascii="Times New Roman" w:hAnsi="Times New Roman" w:eastAsia="仿宋" w:cs="Times New Roman"/>
          <w:b/>
          <w:szCs w:val="28"/>
        </w:rPr>
      </w:pPr>
      <w:bookmarkStart w:id="75" w:name="_Toc24481"/>
      <w:bookmarkStart w:id="76" w:name="_Toc54050850"/>
      <w:r>
        <w:rPr>
          <w:rFonts w:hint="default" w:ascii="Times New Roman" w:hAnsi="Times New Roman" w:eastAsia="仿宋" w:cs="Times New Roman"/>
          <w:b/>
          <w:szCs w:val="28"/>
        </w:rPr>
        <w:t>1.6 应急工作原则</w:t>
      </w:r>
      <w:bookmarkEnd w:id="54"/>
      <w:bookmarkEnd w:id="63"/>
      <w:bookmarkEnd w:id="75"/>
      <w:bookmarkEnd w:id="76"/>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注重环境保护，坚持绿色发展、科学发展，坚持“以人为本，预防为主，科学应对，高效处置”为基本工作原则，全面提升本公司应对突发环境事件的能力。</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以人为本。事故应急救援工作要始终把保障人民群众的生命安全和身体健康放在首位，切实加强应急救援人员的安全防护，在处理突发事件过程中，做到以人为本，最大限度地减少事故造成的人员伤亡和危害。</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预防为主。贯彻落实“安全第一，预防为主，综合治理”的方针，坚持事故应急与预防相结合。按照长期准备、重点建设的要求，做好应对突发事件应急救援的思想准备、预案准备、物资和经费准备、工作准备，加强培训演练，做到常备不懈。将日常管理工作和应急救援工作相结合，充分利用现有专业力量，努力实现一队多能，培养兼职应急救援力量并发挥其作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（3）科学应对。遵循科学原理，充分发挥专家的作用，实现科学民主决策。依靠科技进步，不断改进和完善应急救援的装备、设施和手段。依法规范应急救援工作，确保预案的科学性、权威性和可操作性。</w:t>
      </w:r>
    </w:p>
    <w:p>
      <w:pPr>
        <w:spacing w:line="360" w:lineRule="auto"/>
        <w:ind w:firstLine="560" w:firstLineChars="200"/>
        <w:rPr>
          <w:rFonts w:hint="default" w:ascii="Times New Roman" w:hAnsi="Times New Roman" w:eastAsia="仿宋" w:cs="Times New Roman"/>
          <w:sz w:val="28"/>
          <w:szCs w:val="28"/>
          <w:lang w:eastAsia="zh-CN" w:bidi="en-US"/>
        </w:rPr>
      </w:pPr>
      <w:r>
        <w:rPr>
          <w:rFonts w:hint="default" w:ascii="Times New Roman" w:hAnsi="Times New Roman" w:eastAsia="仿宋" w:cs="Times New Roman"/>
          <w:sz w:val="28"/>
          <w:szCs w:val="28"/>
          <w:lang w:bidi="en-US"/>
        </w:rPr>
        <w:t>（4）高效处置。加强以本公司为主的应急救援队伍建设，同时建立社会联动协调制度。将企业重点危险源、应急队伍、应急物资、道路交通等基本情况向当地政府报告，加强与社会联系，组织建立企业与政府、企业与企业、企业与关联单位之间的应急联动机制，形成统一指挥、相互支持、密切配合、协同应对各类突发事件的合力，协调有序地开展应急管理工作</w:t>
      </w:r>
      <w:r>
        <w:rPr>
          <w:rFonts w:hint="default" w:ascii="Times New Roman" w:hAnsi="Times New Roman" w:eastAsia="仿宋" w:cs="Times New Roman"/>
          <w:sz w:val="28"/>
          <w:szCs w:val="28"/>
          <w:lang w:eastAsia="zh-CN" w:bidi="en-US"/>
        </w:rPr>
        <w:t>。</w:t>
      </w:r>
      <w:bookmarkStart w:id="77" w:name="_Toc15223"/>
      <w:bookmarkStart w:id="78" w:name="_Toc17002"/>
      <w:bookmarkStart w:id="79" w:name="_Toc54050851"/>
    </w:p>
    <w:p>
      <w:pPr>
        <w:pStyle w:val="19"/>
        <w:outlineLvl w:val="0"/>
        <w:rPr>
          <w:rFonts w:hint="default" w:ascii="Times New Roman" w:hAnsi="Times New Roman" w:eastAsia="仿宋" w:cs="Times New Roman"/>
          <w:sz w:val="36"/>
          <w:szCs w:val="36"/>
        </w:rPr>
      </w:pPr>
      <w:bookmarkStart w:id="80" w:name="_Toc18147"/>
      <w:r>
        <w:rPr>
          <w:rFonts w:hint="default" w:ascii="Times New Roman" w:hAnsi="Times New Roman" w:eastAsia="仿宋" w:cs="Times New Roman"/>
          <w:sz w:val="36"/>
          <w:szCs w:val="36"/>
        </w:rPr>
        <w:t>2.企业概况</w:t>
      </w:r>
      <w:bookmarkEnd w:id="77"/>
      <w:bookmarkEnd w:id="78"/>
      <w:bookmarkEnd w:id="79"/>
      <w:bookmarkEnd w:id="80"/>
    </w:p>
    <w:p>
      <w:pPr>
        <w:pStyle w:val="22"/>
        <w:ind w:left="0" w:leftChars="0"/>
        <w:outlineLvl w:val="1"/>
        <w:rPr>
          <w:rFonts w:hint="default" w:ascii="Times New Roman" w:hAnsi="Times New Roman" w:eastAsia="仿宋" w:cs="Times New Roman"/>
          <w:b/>
          <w:szCs w:val="28"/>
        </w:rPr>
      </w:pPr>
      <w:bookmarkStart w:id="81" w:name="_Toc372016747"/>
      <w:bookmarkStart w:id="82" w:name="_Toc29224"/>
      <w:bookmarkStart w:id="83" w:name="_Toc15695"/>
      <w:bookmarkStart w:id="84" w:name="_Toc472345899"/>
      <w:bookmarkStart w:id="85" w:name="_Toc2720"/>
      <w:bookmarkStart w:id="86" w:name="_Toc54050852"/>
      <w:bookmarkStart w:id="87" w:name="_Toc25241947"/>
      <w:bookmarkStart w:id="88" w:name="_Toc13775"/>
      <w:r>
        <w:rPr>
          <w:rFonts w:hint="default" w:ascii="Times New Roman" w:hAnsi="Times New Roman" w:eastAsia="仿宋" w:cs="Times New Roman"/>
          <w:b/>
          <w:szCs w:val="28"/>
        </w:rPr>
        <w:t>2.1 企业</w:t>
      </w:r>
      <w:bookmarkEnd w:id="81"/>
      <w:bookmarkEnd w:id="82"/>
      <w:bookmarkEnd w:id="83"/>
      <w:bookmarkEnd w:id="84"/>
      <w:bookmarkEnd w:id="85"/>
      <w:r>
        <w:rPr>
          <w:rFonts w:hint="default" w:ascii="Times New Roman" w:hAnsi="Times New Roman" w:eastAsia="仿宋" w:cs="Times New Roman"/>
          <w:b/>
          <w:szCs w:val="28"/>
        </w:rPr>
        <w:t>基本情况</w:t>
      </w:r>
      <w:bookmarkEnd w:id="86"/>
      <w:bookmarkEnd w:id="87"/>
      <w:bookmarkEnd w:id="88"/>
    </w:p>
    <w:p>
      <w:pPr>
        <w:pStyle w:val="39"/>
        <w:spacing w:line="240" w:lineRule="auto"/>
        <w:ind w:firstLine="560" w:firstLineChars="200"/>
        <w:jc w:val="both"/>
        <w:rPr>
          <w:rFonts w:hint="default" w:ascii="Times New Roman" w:hAnsi="Times New Roman" w:eastAsia="仿宋" w:cs="Times New Roman"/>
          <w:b w:val="0"/>
          <w:kern w:val="2"/>
          <w:sz w:val="28"/>
          <w:szCs w:val="28"/>
          <w:lang w:val="en-US" w:eastAsia="zh-CN" w:bidi="en-US"/>
        </w:rPr>
      </w:pPr>
      <w:bookmarkStart w:id="89" w:name="_Hlk526863978"/>
      <w:r>
        <w:rPr>
          <w:rFonts w:hint="default" w:ascii="Times New Roman" w:hAnsi="Times New Roman" w:eastAsia="仿宋" w:cs="Times New Roman"/>
          <w:b w:val="0"/>
          <w:kern w:val="2"/>
          <w:sz w:val="28"/>
          <w:szCs w:val="28"/>
          <w:lang w:val="en-US" w:eastAsia="zh-CN" w:bidi="en-US"/>
        </w:rPr>
        <w:t>咸阳鑫艺机械设备有限公司位于西咸新区秦汉新城周陵街道办黄家窑村佳美面粉厂东北库，坐标：108°41′16.81″E、34°22′19.42″N，项目地北侧和东侧为内部道路，西邻库房，南邻空厂房。项目厂区分为生产区、组装区、仓库和办公生活区，办公区位于厂房南侧，仓库位于厂房的西北侧，组装区位于厂房北侧。</w:t>
      </w:r>
    </w:p>
    <w:bookmarkEnd w:id="89"/>
    <w:p>
      <w:pPr>
        <w:pStyle w:val="39"/>
        <w:spacing w:line="240" w:lineRule="auto"/>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表</w:t>
      </w:r>
      <w:r>
        <w:rPr>
          <w:rFonts w:hint="default" w:ascii="Times New Roman" w:hAnsi="Times New Roman" w:eastAsia="仿宋" w:cs="Times New Roman"/>
          <w:bCs/>
          <w:sz w:val="24"/>
          <w:szCs w:val="24"/>
        </w:rPr>
        <w:t>2.1-1</w:t>
      </w:r>
      <w:r>
        <w:rPr>
          <w:rFonts w:hint="default" w:ascii="Times New Roman" w:hAnsi="Times New Roman" w:eastAsia="仿宋" w:cs="Times New Roman"/>
          <w:sz w:val="24"/>
          <w:szCs w:val="24"/>
        </w:rPr>
        <w:t xml:space="preserve">   企业基本情况信息汇总表</w:t>
      </w:r>
    </w:p>
    <w:tbl>
      <w:tblPr>
        <w:tblStyle w:val="28"/>
        <w:tblW w:w="5264"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520"/>
        <w:gridCol w:w="2071"/>
        <w:gridCol w:w="1680"/>
        <w:gridCol w:w="370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jc w:val="center"/>
        </w:trPr>
        <w:tc>
          <w:tcPr>
            <w:tcW w:w="847" w:type="pct"/>
            <w:tcBorders>
              <w:top w:val="single" w:color="auto" w:sz="12"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bookmarkStart w:id="90" w:name="_Hlk526865874"/>
            <w:r>
              <w:rPr>
                <w:rFonts w:hint="default" w:ascii="Times New Roman" w:hAnsi="Times New Roman" w:eastAsia="仿宋" w:cs="Times New Roman"/>
                <w:b/>
                <w:sz w:val="24"/>
                <w:szCs w:val="24"/>
              </w:rPr>
              <w:t>单位名称</w:t>
            </w:r>
          </w:p>
        </w:tc>
        <w:tc>
          <w:tcPr>
            <w:tcW w:w="4152" w:type="pct"/>
            <w:gridSpan w:val="3"/>
            <w:tcBorders>
              <w:top w:val="single" w:color="auto" w:sz="12"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咸阳鑫艺机械设备有限公司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58"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单位地址</w:t>
            </w:r>
          </w:p>
        </w:tc>
        <w:tc>
          <w:tcPr>
            <w:tcW w:w="415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西咸新区秦汉新城周陵街道办黄家窑村佳美面粉厂东北库</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20"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企业类型</w:t>
            </w:r>
          </w:p>
        </w:tc>
        <w:tc>
          <w:tcPr>
            <w:tcW w:w="415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民营企业</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85"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法人代表</w:t>
            </w:r>
          </w:p>
        </w:tc>
        <w:tc>
          <w:tcPr>
            <w:tcW w:w="1154"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郭红梅</w:t>
            </w:r>
          </w:p>
        </w:tc>
        <w:tc>
          <w:tcPr>
            <w:tcW w:w="936"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lang w:val="en-US" w:eastAsia="zh-CN"/>
              </w:rPr>
              <w:t>社会信用</w:t>
            </w:r>
            <w:r>
              <w:rPr>
                <w:rFonts w:hint="default" w:ascii="Times New Roman" w:hAnsi="Times New Roman" w:eastAsia="仿宋" w:cs="Times New Roman"/>
                <w:b/>
                <w:sz w:val="24"/>
                <w:szCs w:val="24"/>
              </w:rPr>
              <w:t>代码</w:t>
            </w:r>
          </w:p>
        </w:tc>
        <w:tc>
          <w:tcPr>
            <w:tcW w:w="2061"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916111036679702165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5"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联系人</w:t>
            </w:r>
          </w:p>
        </w:tc>
        <w:tc>
          <w:tcPr>
            <w:tcW w:w="1154"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李亚丽</w:t>
            </w:r>
          </w:p>
        </w:tc>
        <w:tc>
          <w:tcPr>
            <w:tcW w:w="936"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联系电话</w:t>
            </w:r>
          </w:p>
        </w:tc>
        <w:tc>
          <w:tcPr>
            <w:tcW w:w="2061"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lang w:eastAsia="zh-CN"/>
              </w:rPr>
              <w:t>13892022873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35"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职工人数</w:t>
            </w:r>
          </w:p>
        </w:tc>
        <w:tc>
          <w:tcPr>
            <w:tcW w:w="1154"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7</w:t>
            </w:r>
            <w:r>
              <w:rPr>
                <w:rFonts w:hint="default" w:ascii="Times New Roman" w:hAnsi="Times New Roman" w:eastAsia="仿宋" w:cs="Times New Roman"/>
                <w:sz w:val="24"/>
                <w:szCs w:val="24"/>
              </w:rPr>
              <w:t>人</w:t>
            </w:r>
          </w:p>
        </w:tc>
        <w:tc>
          <w:tcPr>
            <w:tcW w:w="936"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所属行业</w:t>
            </w:r>
          </w:p>
        </w:tc>
        <w:tc>
          <w:tcPr>
            <w:tcW w:w="2061"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 xml:space="preserve">机械零部件加工（C3484） </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5"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经度坐标</w:t>
            </w:r>
          </w:p>
        </w:tc>
        <w:tc>
          <w:tcPr>
            <w:tcW w:w="1154"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108°41′16.81″E</w:t>
            </w:r>
          </w:p>
        </w:tc>
        <w:tc>
          <w:tcPr>
            <w:tcW w:w="936" w:type="pct"/>
            <w:tcBorders>
              <w:top w:val="single" w:color="auto" w:sz="4" w:space="0"/>
              <w:left w:val="single" w:color="auto" w:sz="4"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纬度坐标</w:t>
            </w:r>
          </w:p>
        </w:tc>
        <w:tc>
          <w:tcPr>
            <w:tcW w:w="2061" w:type="pct"/>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34°22′19.42″N</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10"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企业规模</w:t>
            </w:r>
          </w:p>
        </w:tc>
        <w:tc>
          <w:tcPr>
            <w:tcW w:w="415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年产切管机5台、弯管机5台、缩管扩管机5台、倒角机4台和磨齿机4台</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5"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历史事故</w:t>
            </w:r>
          </w:p>
        </w:tc>
        <w:tc>
          <w:tcPr>
            <w:tcW w:w="415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937" w:hRule="exact"/>
          <w:jc w:val="center"/>
        </w:trPr>
        <w:tc>
          <w:tcPr>
            <w:tcW w:w="847" w:type="pct"/>
            <w:tcBorders>
              <w:top w:val="single" w:color="auto" w:sz="4" w:space="0"/>
              <w:left w:val="single" w:color="auto" w:sz="12" w:space="0"/>
              <w:bottom w:val="single" w:color="auto" w:sz="4"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环保手续履行情况</w:t>
            </w:r>
          </w:p>
        </w:tc>
        <w:tc>
          <w:tcPr>
            <w:tcW w:w="4152" w:type="pct"/>
            <w:gridSpan w:val="3"/>
            <w:tcBorders>
              <w:top w:val="single" w:color="auto" w:sz="4" w:space="0"/>
              <w:left w:val="single" w:color="auto" w:sz="4" w:space="0"/>
              <w:bottom w:val="single" w:color="auto" w:sz="4" w:space="0"/>
              <w:right w:val="single" w:color="auto" w:sz="12" w:space="0"/>
            </w:tcBorders>
            <w:vAlign w:val="center"/>
          </w:tcPr>
          <w:p>
            <w:pPr>
              <w:adjustRightInd w:val="0"/>
              <w:snapToGrid w:val="0"/>
              <w:ind w:firstLine="480" w:firstLineChars="20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lang w:val="en-US" w:eastAsia="zh-CN"/>
              </w:rPr>
              <w:t>咸阳鑫艺机械设备有限公司自动化机械设备加工项目于2019年6月由重庆大润环境科学研究院有限公司完成环境影响报告表的编制工作，2019年7月24日由西咸新区秦汉新城行政审批与政务服务局对该项目的环境影响报告表进行了审批（秦汉审服准【2019】157号）。该项目于2019年1月开工建设，2019年2月建成投产。2019年9月19日进行竣工环境保护验收。</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35" w:hRule="exact"/>
          <w:jc w:val="center"/>
        </w:trPr>
        <w:tc>
          <w:tcPr>
            <w:tcW w:w="847" w:type="pct"/>
            <w:tcBorders>
              <w:top w:val="single" w:color="auto" w:sz="4" w:space="0"/>
              <w:left w:val="single" w:color="auto" w:sz="12" w:space="0"/>
              <w:bottom w:val="single" w:color="auto" w:sz="12" w:space="0"/>
              <w:right w:val="single" w:color="auto" w:sz="4" w:space="0"/>
            </w:tcBorders>
            <w:vAlign w:val="center"/>
          </w:tcPr>
          <w:p>
            <w:pPr>
              <w:adjustRightInd w:val="0"/>
              <w:snapToGrid w:val="0"/>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污染防治措施落实情况</w:t>
            </w:r>
          </w:p>
        </w:tc>
        <w:tc>
          <w:tcPr>
            <w:tcW w:w="4152" w:type="pct"/>
            <w:gridSpan w:val="3"/>
            <w:tcBorders>
              <w:top w:val="single" w:color="auto" w:sz="4" w:space="0"/>
              <w:left w:val="single" w:color="auto" w:sz="4" w:space="0"/>
              <w:bottom w:val="single" w:color="auto" w:sz="12" w:space="0"/>
              <w:right w:val="single" w:color="auto" w:sz="12" w:space="0"/>
            </w:tcBorders>
            <w:vAlign w:val="center"/>
          </w:tcPr>
          <w:p>
            <w:pPr>
              <w:adjustRightInd w:val="0"/>
              <w:snapToGrid w:val="0"/>
              <w:jc w:val="left"/>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企业现场污染防制措施按照环评要求已落实</w:t>
            </w:r>
            <w:r>
              <w:rPr>
                <w:rFonts w:hint="default" w:ascii="Times New Roman" w:hAnsi="Times New Roman" w:eastAsia="仿宋" w:cs="Times New Roman"/>
                <w:sz w:val="24"/>
                <w:szCs w:val="24"/>
                <w:lang w:eastAsia="zh-CN"/>
              </w:rPr>
              <w:t>。</w:t>
            </w:r>
          </w:p>
        </w:tc>
      </w:tr>
      <w:bookmarkEnd w:id="90"/>
    </w:tbl>
    <w:p>
      <w:pPr>
        <w:pStyle w:val="22"/>
        <w:ind w:left="0" w:leftChars="0"/>
        <w:outlineLvl w:val="1"/>
        <w:rPr>
          <w:rFonts w:hint="default" w:ascii="Times New Roman" w:hAnsi="Times New Roman" w:eastAsia="仿宋" w:cs="Times New Roman"/>
          <w:b/>
          <w:szCs w:val="28"/>
        </w:rPr>
      </w:pPr>
      <w:bookmarkStart w:id="91" w:name="_Toc29215"/>
      <w:bookmarkStart w:id="92" w:name="_Toc54050853"/>
      <w:r>
        <w:rPr>
          <w:rFonts w:hint="default" w:ascii="Times New Roman" w:hAnsi="Times New Roman" w:eastAsia="仿宋" w:cs="Times New Roman"/>
          <w:b/>
          <w:szCs w:val="28"/>
        </w:rPr>
        <w:t>2.2 地理位置及厂区平面布置</w:t>
      </w:r>
      <w:bookmarkEnd w:id="91"/>
      <w:bookmarkEnd w:id="92"/>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bCs/>
          <w:sz w:val="28"/>
          <w:szCs w:val="28"/>
          <w:lang w:eastAsia="zh-CN"/>
        </w:rPr>
        <w:t>咸阳鑫艺机械设备有限公司</w:t>
      </w:r>
      <w:r>
        <w:rPr>
          <w:rFonts w:hint="default" w:ascii="Times New Roman" w:hAnsi="Times New Roman" w:eastAsia="仿宋" w:cs="Times New Roman"/>
          <w:bCs/>
          <w:sz w:val="28"/>
          <w:szCs w:val="28"/>
        </w:rPr>
        <w:t>位于</w:t>
      </w:r>
      <w:r>
        <w:rPr>
          <w:rFonts w:hint="default" w:ascii="Times New Roman" w:hAnsi="Times New Roman" w:eastAsia="仿宋" w:cs="Times New Roman"/>
          <w:bCs/>
          <w:sz w:val="28"/>
          <w:szCs w:val="28"/>
          <w:lang w:val="en-US" w:eastAsia="zh-CN"/>
        </w:rPr>
        <w:t>西咸新区秦汉新城周陵街道办黄家窑村佳美面粉厂东北库</w:t>
      </w:r>
      <w:r>
        <w:rPr>
          <w:rFonts w:hint="default" w:ascii="Times New Roman" w:hAnsi="Times New Roman" w:eastAsia="仿宋" w:cs="Times New Roman"/>
          <w:sz w:val="28"/>
          <w:lang w:val="en-US" w:eastAsia="zh-CN"/>
        </w:rPr>
        <w:t>，项目地理位置见图2-1，项目四邻关系见图2-2。公司</w:t>
      </w:r>
      <w:r>
        <w:rPr>
          <w:rFonts w:hint="default" w:ascii="Times New Roman" w:hAnsi="Times New Roman" w:eastAsia="仿宋" w:cs="Times New Roman"/>
          <w:sz w:val="28"/>
        </w:rPr>
        <w:t>所在地交通十分便利。</w:t>
      </w:r>
      <w:r>
        <w:rPr>
          <w:rFonts w:hint="default" w:ascii="Times New Roman" w:hAnsi="Times New Roman" w:eastAsia="仿宋" w:cs="Times New Roman"/>
          <w:sz w:val="28"/>
          <w:szCs w:val="28"/>
        </w:rPr>
        <w:t>本公司</w:t>
      </w:r>
      <w:r>
        <w:rPr>
          <w:rFonts w:hint="default" w:ascii="Times New Roman" w:hAnsi="Times New Roman" w:eastAsia="仿宋" w:cs="Times New Roman"/>
          <w:sz w:val="28"/>
          <w:szCs w:val="28"/>
          <w:lang w:val="en-US" w:eastAsia="zh-CN"/>
        </w:rPr>
        <w:t>厂区</w:t>
      </w:r>
      <w:r>
        <w:rPr>
          <w:rFonts w:hint="default" w:ascii="Times New Roman" w:hAnsi="Times New Roman" w:eastAsia="仿宋" w:cs="Times New Roman"/>
          <w:sz w:val="28"/>
          <w:szCs w:val="28"/>
        </w:rPr>
        <w:t>总平面布置见下图2-</w:t>
      </w:r>
      <w:r>
        <w:rPr>
          <w:rFonts w:hint="default" w:ascii="Times New Roman" w:hAnsi="Times New Roman" w:eastAsia="仿宋" w:cs="Times New Roman"/>
          <w:sz w:val="28"/>
          <w:szCs w:val="28"/>
          <w:lang w:val="en-US" w:eastAsia="zh-CN"/>
        </w:rPr>
        <w:t>3</w:t>
      </w:r>
      <w:r>
        <w:rPr>
          <w:rFonts w:hint="default" w:ascii="Times New Roman" w:hAnsi="Times New Roman" w:eastAsia="仿宋" w:cs="Times New Roman"/>
          <w:sz w:val="28"/>
          <w:szCs w:val="28"/>
        </w:rPr>
        <w:t>。</w:t>
      </w:r>
    </w:p>
    <w:p>
      <w:pPr>
        <w:bidi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drawing>
          <wp:inline distT="0" distB="0" distL="114300" distR="114300">
            <wp:extent cx="5274310" cy="3538855"/>
            <wp:effectExtent l="0" t="0" r="2540" b="4445"/>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3"/>
                    <a:stretch>
                      <a:fillRect/>
                    </a:stretch>
                  </pic:blipFill>
                  <pic:spPr>
                    <a:xfrm>
                      <a:off x="0" y="0"/>
                      <a:ext cx="5274310" cy="3538855"/>
                    </a:xfrm>
                    <a:prstGeom prst="rect">
                      <a:avLst/>
                    </a:prstGeom>
                    <a:noFill/>
                    <a:ln>
                      <a:noFill/>
                    </a:ln>
                  </pic:spPr>
                </pic:pic>
              </a:graphicData>
            </a:graphic>
          </wp:inline>
        </w:drawing>
      </w:r>
    </w:p>
    <w:p>
      <w:pPr>
        <w:spacing w:line="360" w:lineRule="auto"/>
        <w:jc w:val="center"/>
        <w:rPr>
          <w:rFonts w:hint="default" w:ascii="Times New Roman" w:hAnsi="Times New Roman" w:eastAsia="仿宋" w:cs="Times New Roman"/>
          <w:b/>
          <w:bCs/>
          <w:sz w:val="28"/>
          <w:lang w:val="en-US" w:eastAsia="zh-CN"/>
        </w:rPr>
      </w:pPr>
      <w:r>
        <w:rPr>
          <w:rFonts w:hint="default" w:ascii="Times New Roman" w:hAnsi="Times New Roman" w:eastAsia="仿宋" w:cs="Times New Roman"/>
          <w:b/>
          <w:bCs/>
          <w:sz w:val="28"/>
          <w:lang w:val="en-US" w:eastAsia="zh-CN"/>
        </w:rPr>
        <w:t>图2-1  项目地理位置图</w:t>
      </w:r>
    </w:p>
    <w:p>
      <w:pPr>
        <w:bidi w:val="0"/>
        <w:jc w:val="center"/>
        <w:rPr>
          <w:rFonts w:hint="default" w:ascii="Times New Roman" w:hAnsi="Times New Roman" w:cs="Times New Roman"/>
          <w:b/>
          <w:bCs/>
          <w:sz w:val="24"/>
          <w:szCs w:val="24"/>
        </w:rPr>
      </w:pPr>
      <w:r>
        <w:rPr>
          <w:rFonts w:hint="default" w:ascii="Times New Roman" w:hAnsi="Times New Roman" w:cs="Times New Roman"/>
          <w:b/>
          <w:bCs/>
          <w:sz w:val="24"/>
          <w:szCs w:val="24"/>
        </w:rPr>
        <w:drawing>
          <wp:inline distT="0" distB="0" distL="114300" distR="114300">
            <wp:extent cx="5271770" cy="3830955"/>
            <wp:effectExtent l="0" t="0" r="5080" b="17145"/>
            <wp:docPr id="10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2"/>
                    <pic:cNvPicPr>
                      <a:picLocks noChangeAspect="1"/>
                    </pic:cNvPicPr>
                  </pic:nvPicPr>
                  <pic:blipFill>
                    <a:blip r:embed="rId14"/>
                    <a:stretch>
                      <a:fillRect/>
                    </a:stretch>
                  </pic:blipFill>
                  <pic:spPr>
                    <a:xfrm>
                      <a:off x="0" y="0"/>
                      <a:ext cx="5271770" cy="3830955"/>
                    </a:xfrm>
                    <a:prstGeom prst="rect">
                      <a:avLst/>
                    </a:prstGeom>
                    <a:noFill/>
                    <a:ln>
                      <a:noFill/>
                    </a:ln>
                  </pic:spPr>
                </pic:pic>
              </a:graphicData>
            </a:graphic>
          </wp:inline>
        </w:drawing>
      </w:r>
    </w:p>
    <w:p>
      <w:pPr>
        <w:spacing w:line="360" w:lineRule="auto"/>
        <w:jc w:val="center"/>
        <w:rPr>
          <w:rFonts w:hint="default" w:ascii="Times New Roman" w:hAnsi="Times New Roman" w:eastAsia="仿宋" w:cs="Times New Roman"/>
          <w:b/>
          <w:bCs/>
          <w:sz w:val="28"/>
          <w:lang w:val="en-US" w:eastAsia="zh-CN"/>
        </w:rPr>
      </w:pPr>
      <w:r>
        <w:rPr>
          <w:rFonts w:hint="default" w:ascii="Times New Roman" w:hAnsi="Times New Roman" w:eastAsia="仿宋" w:cs="Times New Roman"/>
          <w:b/>
          <w:bCs/>
          <w:sz w:val="28"/>
          <w:lang w:val="en-US" w:eastAsia="zh-CN"/>
        </w:rPr>
        <w:t>图2-2  项目四邻关系图</w:t>
      </w:r>
    </w:p>
    <w:p>
      <w:pPr>
        <w:bidi w:val="0"/>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drawing>
          <wp:inline distT="0" distB="0" distL="114300" distR="114300">
            <wp:extent cx="5255260" cy="3768725"/>
            <wp:effectExtent l="0" t="0" r="3175" b="2540"/>
            <wp:docPr id="105" name="图片 1" descr="F:\Asummering\1、环评\15、咸阳 自动化机械设备加工项目\2、资料\平面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 descr="F:\Asummering\1、环评\15、咸阳 自动化机械设备加工项目\2、资料\平面图.jpg"/>
                    <pic:cNvPicPr>
                      <a:picLocks noChangeAspect="1" noChangeArrowheads="1"/>
                    </pic:cNvPicPr>
                  </pic:nvPicPr>
                  <pic:blipFill>
                    <a:blip r:embed="rId15" cstate="print"/>
                    <a:srcRect l="7304" t="25988" r="10097" b="26748"/>
                    <a:stretch>
                      <a:fillRect/>
                    </a:stretch>
                  </pic:blipFill>
                  <pic:spPr>
                    <a:xfrm rot="16200000">
                      <a:off x="0" y="0"/>
                      <a:ext cx="5255260" cy="3768725"/>
                    </a:xfrm>
                    <a:prstGeom prst="rect">
                      <a:avLst/>
                    </a:prstGeom>
                    <a:noFill/>
                    <a:ln w="9525">
                      <a:noFill/>
                      <a:miter lim="800000"/>
                      <a:headEnd/>
                      <a:tailEnd/>
                    </a:ln>
                  </pic:spPr>
                </pic:pic>
              </a:graphicData>
            </a:graphic>
          </wp:inline>
        </w:drawing>
      </w:r>
    </w:p>
    <w:p>
      <w:pPr>
        <w:bidi w:val="0"/>
        <w:jc w:val="center"/>
        <w:rPr>
          <w:rFonts w:hint="default" w:ascii="Times New Roman" w:hAnsi="Times New Roman" w:eastAsia="仿宋" w:cs="Times New Roman"/>
          <w:b/>
          <w:bCs/>
          <w:sz w:val="24"/>
          <w:szCs w:val="24"/>
          <w:lang w:val="en-US" w:eastAsia="zh-CN"/>
        </w:rPr>
      </w:pPr>
      <w:r>
        <w:rPr>
          <w:rFonts w:hint="default" w:ascii="Times New Roman" w:hAnsi="Times New Roman" w:eastAsia="仿宋" w:cs="Times New Roman"/>
          <w:b/>
          <w:bCs/>
          <w:sz w:val="24"/>
          <w:szCs w:val="24"/>
          <w:lang w:val="en-US" w:eastAsia="zh-CN"/>
        </w:rPr>
        <mc:AlternateContent>
          <mc:Choice Requires="wps">
            <w:drawing>
              <wp:anchor distT="0" distB="0" distL="114300" distR="114300" simplePos="0" relativeHeight="251663360" behindDoc="0" locked="0" layoutInCell="1" allowOverlap="1">
                <wp:simplePos x="0" y="0"/>
                <wp:positionH relativeFrom="column">
                  <wp:posOffset>5600065</wp:posOffset>
                </wp:positionH>
                <wp:positionV relativeFrom="paragraph">
                  <wp:posOffset>-1270</wp:posOffset>
                </wp:positionV>
                <wp:extent cx="452755" cy="2207895"/>
                <wp:effectExtent l="0" t="0" r="0" b="0"/>
                <wp:wrapNone/>
                <wp:docPr id="61" name="矩形 14"/>
                <wp:cNvGraphicFramePr/>
                <a:graphic xmlns:a="http://schemas.openxmlformats.org/drawingml/2006/main">
                  <a:graphicData uri="http://schemas.microsoft.com/office/word/2010/wordprocessingShape">
                    <wps:wsp>
                      <wps:cNvSpPr/>
                      <wps:spPr>
                        <a:xfrm>
                          <a:off x="0" y="0"/>
                          <a:ext cx="452755" cy="2207895"/>
                        </a:xfrm>
                        <a:prstGeom prst="rect">
                          <a:avLst/>
                        </a:prstGeom>
                        <a:noFill/>
                        <a:ln>
                          <a:noFill/>
                        </a:ln>
                      </wps:spPr>
                      <wps:txbx>
                        <w:txbxContent>
                          <w:p/>
                        </w:txbxContent>
                      </wps:txbx>
                      <wps:bodyPr upright="1"/>
                    </wps:wsp>
                  </a:graphicData>
                </a:graphic>
              </wp:anchor>
            </w:drawing>
          </mc:Choice>
          <mc:Fallback>
            <w:pict>
              <v:rect id="矩形 14" o:spid="_x0000_s1026" o:spt="1" style="position:absolute;left:0pt;margin-left:440.95pt;margin-top:-0.1pt;height:173.85pt;width:35.65pt;z-index:251663360;mso-width-relative:page;mso-height-relative:page;" filled="f" stroked="f" coordsize="21600,21600" o:gfxdata="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7LbgvtsAAAAJAQAA&#10;DwAAAAAAAAABACAAAAAiAAAAZHJzL2Rvd25yZXYueG1sUEsBAhQAFAAAAAgAh07iQN2FJmWkAQAA&#10;QwMAAA4AAAAAAAAAAQAgAAAAKgEAAGRycy9lMm9Eb2MueG1sUEsFBgAAAAAGAAYAWQEAAEAFAAAA&#10;AA==&#10;">
                <v:fill on="f" focussize="0,0"/>
                <v:stroke on="f"/>
                <v:imagedata o:title=""/>
                <o:lock v:ext="edit" aspectratio="f"/>
                <v:textbox>
                  <w:txbxContent>
                    <w:p/>
                  </w:txbxContent>
                </v:textbox>
              </v:rect>
            </w:pict>
          </mc:Fallback>
        </mc:AlternateContent>
      </w:r>
      <w:r>
        <w:rPr>
          <w:rFonts w:hint="default" w:ascii="Times New Roman" w:hAnsi="Times New Roman" w:eastAsia="仿宋" w:cs="Times New Roman"/>
          <w:b/>
          <w:bCs/>
          <w:sz w:val="24"/>
          <w:szCs w:val="24"/>
          <w:lang w:val="en-US" w:eastAsia="zh-CN"/>
        </w:rPr>
        <w:t>图2-3  项目总平面布置图</w:t>
      </w:r>
    </w:p>
    <w:p>
      <w:pPr>
        <w:pStyle w:val="22"/>
        <w:ind w:left="0" w:leftChars="0"/>
        <w:outlineLvl w:val="1"/>
        <w:rPr>
          <w:rFonts w:hint="default" w:ascii="Times New Roman" w:hAnsi="Times New Roman" w:eastAsia="仿宋" w:cs="Times New Roman"/>
          <w:b/>
          <w:szCs w:val="28"/>
        </w:rPr>
      </w:pPr>
      <w:bookmarkStart w:id="93" w:name="_Toc12548"/>
      <w:bookmarkStart w:id="94" w:name="_Toc26350"/>
      <w:bookmarkStart w:id="95" w:name="_Toc31845"/>
      <w:bookmarkStart w:id="96" w:name="_Toc54050854"/>
      <w:r>
        <w:rPr>
          <w:rFonts w:hint="default" w:ascii="Times New Roman" w:hAnsi="Times New Roman" w:eastAsia="仿宋" w:cs="Times New Roman"/>
          <w:b/>
          <w:szCs w:val="28"/>
        </w:rPr>
        <w:t xml:space="preserve">2.3 </w:t>
      </w:r>
      <w:bookmarkEnd w:id="93"/>
      <w:bookmarkEnd w:id="94"/>
      <w:r>
        <w:rPr>
          <w:rFonts w:hint="default" w:ascii="Times New Roman" w:hAnsi="Times New Roman" w:eastAsia="仿宋" w:cs="Times New Roman"/>
          <w:b/>
          <w:szCs w:val="28"/>
        </w:rPr>
        <w:t>周边自然环境状况</w:t>
      </w:r>
      <w:bookmarkEnd w:id="95"/>
      <w:bookmarkEnd w:id="96"/>
    </w:p>
    <w:p>
      <w:pPr>
        <w:pStyle w:val="12"/>
        <w:jc w:val="both"/>
        <w:rPr>
          <w:rFonts w:hint="default" w:ascii="Times New Roman" w:hAnsi="Times New Roman" w:eastAsia="仿宋" w:cs="Times New Roman"/>
        </w:rPr>
      </w:pPr>
      <w:bookmarkStart w:id="97" w:name="_Toc57039857"/>
      <w:bookmarkStart w:id="98" w:name="_Toc57036098"/>
      <w:bookmarkStart w:id="99" w:name="_Toc20646"/>
      <w:bookmarkStart w:id="100" w:name="_Toc54050855"/>
      <w:r>
        <w:rPr>
          <w:rFonts w:hint="default" w:ascii="Times New Roman" w:hAnsi="Times New Roman" w:eastAsia="仿宋" w:cs="Times New Roman"/>
        </w:rPr>
        <w:t>2.3.1地理位置</w:t>
      </w:r>
      <w:bookmarkEnd w:id="97"/>
      <w:bookmarkEnd w:id="98"/>
      <w:bookmarkEnd w:id="99"/>
      <w:bookmarkEnd w:id="100"/>
    </w:p>
    <w:p>
      <w:pPr>
        <w:adjustRightInd w:val="0"/>
        <w:snapToGrid w:val="0"/>
        <w:spacing w:line="360" w:lineRule="auto"/>
        <w:ind w:firstLine="560" w:firstLineChars="200"/>
        <w:rPr>
          <w:rFonts w:hint="default" w:ascii="Times New Roman" w:hAnsi="Times New Roman" w:eastAsia="仿宋" w:cs="Times New Roman"/>
          <w:color w:val="FF0000"/>
          <w:sz w:val="28"/>
        </w:rPr>
      </w:pPr>
      <w:r>
        <w:rPr>
          <w:rFonts w:hint="default" w:ascii="Times New Roman" w:hAnsi="Times New Roman" w:eastAsia="仿宋" w:cs="Times New Roman"/>
          <w:sz w:val="28"/>
        </w:rPr>
        <w:t>秦汉新城位于西咸新区的几何中心，是西咸新区五大功能组团的核心区域，是面积最大的文化新城，位于西安、咸阳两市主城区以北，规划范围包括渭城区的正阳、窑店、渭城、周陵镇福银高速以南的区域，秦都区的双照镇，兴平市茂陵的周边区域</w:t>
      </w:r>
      <w:r>
        <w:rPr>
          <w:rFonts w:hint="default" w:ascii="Times New Roman" w:hAnsi="Times New Roman" w:eastAsia="仿宋" w:cs="Times New Roman"/>
          <w:sz w:val="28"/>
          <w:lang w:eastAsia="zh-CN"/>
        </w:rPr>
        <w:t>，</w:t>
      </w:r>
      <w:r>
        <w:rPr>
          <w:rFonts w:hint="default" w:ascii="Times New Roman" w:hAnsi="Times New Roman" w:eastAsia="仿宋" w:cs="Times New Roman"/>
          <w:sz w:val="28"/>
        </w:rPr>
        <w:t>泾阳县的高庄镇（部分）</w:t>
      </w:r>
      <w:r>
        <w:rPr>
          <w:rFonts w:hint="default" w:ascii="Times New Roman" w:hAnsi="Times New Roman" w:eastAsia="仿宋" w:cs="Times New Roman"/>
          <w:sz w:val="28"/>
          <w:lang w:eastAsia="zh-CN"/>
        </w:rPr>
        <w:t>。</w:t>
      </w:r>
      <w:r>
        <w:rPr>
          <w:rFonts w:hint="default" w:ascii="Times New Roman" w:hAnsi="Times New Roman" w:eastAsia="仿宋" w:cs="Times New Roman"/>
          <w:sz w:val="28"/>
        </w:rPr>
        <w:t>总面积291平方公里，其中建设用地50平方公里，遗址保护区面积104平方公里。</w:t>
      </w:r>
    </w:p>
    <w:p>
      <w:pPr>
        <w:pStyle w:val="12"/>
        <w:jc w:val="both"/>
        <w:rPr>
          <w:rFonts w:hint="default" w:ascii="Times New Roman" w:hAnsi="Times New Roman" w:eastAsia="仿宋" w:cs="Times New Roman"/>
        </w:rPr>
      </w:pPr>
      <w:bookmarkStart w:id="101" w:name="_Toc54050856"/>
      <w:bookmarkStart w:id="102" w:name="_Toc10394"/>
      <w:bookmarkStart w:id="103" w:name="_Toc57039858"/>
      <w:bookmarkStart w:id="104" w:name="_Toc57036099"/>
      <w:r>
        <w:rPr>
          <w:rFonts w:hint="default" w:ascii="Times New Roman" w:hAnsi="Times New Roman" w:eastAsia="仿宋" w:cs="Times New Roman"/>
        </w:rPr>
        <w:t>2.3.2地质地貌</w:t>
      </w:r>
      <w:bookmarkEnd w:id="101"/>
      <w:bookmarkEnd w:id="102"/>
      <w:bookmarkEnd w:id="103"/>
      <w:bookmarkEnd w:id="104"/>
    </w:p>
    <w:p>
      <w:pPr>
        <w:adjustRightInd w:val="0"/>
        <w:snapToGrid w:val="0"/>
        <w:spacing w:line="360" w:lineRule="auto"/>
        <w:ind w:firstLine="420" w:firstLineChars="200"/>
        <w:rPr>
          <w:rFonts w:hint="default" w:ascii="Times New Roman" w:hAnsi="Times New Roman" w:eastAsia="仿宋" w:cs="Times New Roman"/>
          <w:sz w:val="28"/>
        </w:rPr>
      </w:pPr>
      <w:r>
        <w:rPr>
          <w:rFonts w:hint="default" w:ascii="Times New Roman" w:hAnsi="Times New Roman" w:eastAsia="仿宋" w:cs="Times New Roman"/>
          <w:color w:val="000000"/>
          <w:szCs w:val="21"/>
          <w:shd w:val="clear" w:color="auto" w:fill="FFFFFF"/>
        </w:rPr>
        <w:t> </w:t>
      </w:r>
      <w:r>
        <w:rPr>
          <w:rFonts w:hint="default" w:ascii="Times New Roman" w:hAnsi="Times New Roman" w:eastAsia="仿宋" w:cs="Times New Roman"/>
          <w:sz w:val="28"/>
        </w:rPr>
        <w:t>秦汉新城位于渭河地堑北缘中段，岐山至富平断裂带两侧。地势西北高、东南低。东西长约20km，南北约15km，项目位于秦汉新城西部，标高在410m-490m之间。秦汉新城地貌类型由北向南划分为三类；北部为泾河冲积平原，中部黄土台塬，南部为渭河冲积平原。中部黄土台塬大致以宝鸡峡高干渠以及渭城区与泾阳县分界的台塬为界，根据地形高差又可分为一级台塬地和二级台塬地。区内地势中部高，南北两侧低，由南、北两侧向中部呈阶梯状倾斜。</w:t>
      </w:r>
    </w:p>
    <w:p>
      <w:pPr>
        <w:pStyle w:val="12"/>
        <w:jc w:val="both"/>
        <w:rPr>
          <w:rFonts w:hint="default" w:ascii="Times New Roman" w:hAnsi="Times New Roman" w:eastAsia="仿宋" w:cs="Times New Roman"/>
        </w:rPr>
      </w:pPr>
      <w:bookmarkStart w:id="105" w:name="_Toc57036100"/>
      <w:bookmarkStart w:id="106" w:name="_Toc57039859"/>
      <w:bookmarkStart w:id="107" w:name="_Toc54050857"/>
      <w:bookmarkStart w:id="108" w:name="_Toc22727"/>
      <w:r>
        <w:rPr>
          <w:rFonts w:hint="default" w:ascii="Times New Roman" w:hAnsi="Times New Roman" w:eastAsia="仿宋" w:cs="Times New Roman"/>
        </w:rPr>
        <w:t>2.3.3水文</w:t>
      </w:r>
      <w:bookmarkEnd w:id="105"/>
      <w:bookmarkEnd w:id="106"/>
      <w:bookmarkEnd w:id="107"/>
      <w:bookmarkEnd w:id="108"/>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秦汉新城境内有泾河、渭河两条过境河流，均属渭河水系。</w:t>
      </w:r>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渭河为本区最大的地表水系。为黄河的一级支流，发源于甘肃渭源县。经甘肃陇西、天水流入陕西省，穿越宝鸡、咸阳、西安及渭南部分县（区）后在潼关县注入黄河。全长818km，流域面积46827km</w:t>
      </w:r>
      <w:r>
        <w:rPr>
          <w:rFonts w:hint="default" w:ascii="Times New Roman" w:hAnsi="Times New Roman" w:eastAsia="仿宋" w:cs="Times New Roman"/>
          <w:sz w:val="28"/>
          <w:vertAlign w:val="superscript"/>
        </w:rPr>
        <w:t>2</w:t>
      </w:r>
      <w:r>
        <w:rPr>
          <w:rFonts w:hint="default" w:ascii="Times New Roman" w:hAnsi="Times New Roman" w:eastAsia="仿宋" w:cs="Times New Roman"/>
          <w:sz w:val="28"/>
        </w:rPr>
        <w:t>。</w:t>
      </w:r>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渭河自西向东沿泾渭新城南缘流过，境内长度约10km。水量季节性变化大，最大流量6220m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/s，最小流量3.4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/s，平均流量173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/s。百年一遇洪水流量9920m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相应水位386.5m（铁路桥处）；河床宽浅，平水期水深3.0m，河床比降约千分之一，河流南岸有沣河等支流汇入。泾河是渭河一级支流，泾河发源于宁夏回族自治区泾源县，河流不断向右侵蚀，几处河段紧贴南部黄土台塬，在右岸造成大小不等的窄长河漫滩，左岸形成最大洪峰流量9200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/s，最小枯水流量0.7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/s，年输沙量2.74亿m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，平均含沙量141公斤/ m</w:t>
      </w:r>
      <w:r>
        <w:rPr>
          <w:rFonts w:hint="default" w:ascii="Times New Roman" w:hAnsi="Times New Roman" w:eastAsia="仿宋" w:cs="Times New Roman"/>
          <w:sz w:val="28"/>
          <w:vertAlign w:val="superscript"/>
        </w:rPr>
        <w:t>3</w:t>
      </w:r>
      <w:r>
        <w:rPr>
          <w:rFonts w:hint="default" w:ascii="Times New Roman" w:hAnsi="Times New Roman" w:eastAsia="仿宋" w:cs="Times New Roman"/>
          <w:sz w:val="28"/>
        </w:rPr>
        <w:t>。</w:t>
      </w:r>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lang w:val="en-US" w:eastAsia="zh-CN"/>
        </w:rPr>
        <w:t>项目最近地表水系为渭河，</w:t>
      </w:r>
      <w:r>
        <w:rPr>
          <w:rFonts w:hint="default" w:ascii="Times New Roman" w:hAnsi="Times New Roman" w:eastAsia="仿宋" w:cs="Times New Roman"/>
          <w:sz w:val="28"/>
        </w:rPr>
        <w:t>渭河</w:t>
      </w:r>
      <w:r>
        <w:rPr>
          <w:rFonts w:hint="default" w:ascii="Times New Roman" w:hAnsi="Times New Roman" w:eastAsia="仿宋" w:cs="Times New Roman"/>
          <w:sz w:val="28"/>
          <w:lang w:val="en-US" w:eastAsia="zh-CN"/>
        </w:rPr>
        <w:t>位于</w:t>
      </w:r>
      <w:r>
        <w:rPr>
          <w:rFonts w:hint="default" w:ascii="Times New Roman" w:hAnsi="Times New Roman" w:eastAsia="仿宋" w:cs="Times New Roman"/>
          <w:sz w:val="28"/>
        </w:rPr>
        <w:t>本项目</w:t>
      </w:r>
      <w:r>
        <w:rPr>
          <w:rFonts w:hint="default" w:ascii="Times New Roman" w:hAnsi="Times New Roman" w:eastAsia="仿宋" w:cs="Times New Roman"/>
          <w:sz w:val="28"/>
          <w:lang w:val="en-US" w:eastAsia="zh-CN"/>
        </w:rPr>
        <w:t>东南侧</w:t>
      </w:r>
      <w:r>
        <w:rPr>
          <w:rFonts w:hint="default" w:ascii="Times New Roman" w:hAnsi="Times New Roman" w:eastAsia="仿宋" w:cs="Times New Roman"/>
          <w:sz w:val="28"/>
        </w:rPr>
        <w:t>5</w:t>
      </w:r>
      <w:r>
        <w:rPr>
          <w:rFonts w:hint="default" w:ascii="Times New Roman" w:hAnsi="Times New Roman" w:eastAsia="仿宋" w:cs="Times New Roman"/>
          <w:sz w:val="28"/>
          <w:lang w:val="en-US" w:eastAsia="zh-CN"/>
        </w:rPr>
        <w:t xml:space="preserve">.0 </w:t>
      </w:r>
      <w:r>
        <w:rPr>
          <w:rFonts w:hint="default" w:ascii="Times New Roman" w:hAnsi="Times New Roman" w:eastAsia="仿宋" w:cs="Times New Roman"/>
          <w:sz w:val="28"/>
        </w:rPr>
        <w:t>km处。</w:t>
      </w:r>
    </w:p>
    <w:p>
      <w:pPr>
        <w:pStyle w:val="12"/>
        <w:jc w:val="both"/>
        <w:rPr>
          <w:rFonts w:hint="default" w:ascii="Times New Roman" w:hAnsi="Times New Roman" w:eastAsia="仿宋" w:cs="Times New Roman"/>
        </w:rPr>
      </w:pPr>
      <w:bookmarkStart w:id="109" w:name="_Toc54050858"/>
      <w:bookmarkStart w:id="110" w:name="_Toc15766"/>
      <w:bookmarkStart w:id="111" w:name="_Toc57039860"/>
      <w:bookmarkStart w:id="112" w:name="_Toc57036101"/>
      <w:r>
        <w:rPr>
          <w:rFonts w:hint="default" w:ascii="Times New Roman" w:hAnsi="Times New Roman" w:eastAsia="仿宋" w:cs="Times New Roman"/>
        </w:rPr>
        <w:t>2.3.4气候</w:t>
      </w:r>
      <w:bookmarkEnd w:id="109"/>
      <w:bookmarkEnd w:id="110"/>
      <w:bookmarkEnd w:id="111"/>
      <w:bookmarkEnd w:id="112"/>
    </w:p>
    <w:p>
      <w:pPr>
        <w:adjustRightInd w:val="0"/>
        <w:snapToGrid w:val="0"/>
        <w:spacing w:line="360" w:lineRule="auto"/>
        <w:ind w:firstLine="560" w:firstLineChars="200"/>
        <w:rPr>
          <w:rFonts w:hint="default" w:ascii="Times New Roman" w:hAnsi="Times New Roman" w:eastAsia="仿宋" w:cs="Times New Roman"/>
          <w:sz w:val="28"/>
        </w:rPr>
      </w:pPr>
      <w:r>
        <w:rPr>
          <w:rFonts w:hint="default" w:ascii="Times New Roman" w:hAnsi="Times New Roman" w:eastAsia="仿宋" w:cs="Times New Roman"/>
          <w:sz w:val="28"/>
        </w:rPr>
        <w:t>秦汉新城地处内陆中纬度地带，属暖温带大陆季风气候。年平均气温9.0℃-13.2℃，最热月（7月）平均气温21.0-26.5℃，最冷月（1月）气温-0.5—0.9℃，极端最高气温42℃，极端最低气温-19.7℃；湿度南高北低；全年太阳辐射4.61×109-4.99×109J/m</w:t>
      </w:r>
      <w:r>
        <w:rPr>
          <w:rFonts w:hint="default" w:ascii="Times New Roman" w:hAnsi="Times New Roman" w:eastAsia="仿宋" w:cs="Times New Roman"/>
          <w:sz w:val="28"/>
          <w:vertAlign w:val="superscript"/>
        </w:rPr>
        <w:t>2</w:t>
      </w:r>
      <w:r>
        <w:rPr>
          <w:rFonts w:hint="default" w:ascii="Times New Roman" w:hAnsi="Times New Roman" w:eastAsia="仿宋" w:cs="Times New Roman"/>
          <w:sz w:val="28"/>
        </w:rPr>
        <w:t>，年累积光照时数2017.2-2346.9h，6、7、8三个月的日照时数约占全年32%；多年平均降雨量577mm，主要集中在7-9月，占总量的50-60%；受季风环境影响，冬季多北风和西北风，夏季多南风和东南风，市区全年的主导风向为东北风，频率16.2%，次主导风向为北风，频率14.4%，静风频率23%，年平均风速1.9m/s；全年无霜期208天。</w:t>
      </w:r>
    </w:p>
    <w:p>
      <w:pPr>
        <w:pStyle w:val="12"/>
        <w:jc w:val="both"/>
        <w:rPr>
          <w:rFonts w:hint="default" w:ascii="Times New Roman" w:hAnsi="Times New Roman" w:eastAsia="仿宋" w:cs="Times New Roman"/>
          <w:sz w:val="28"/>
          <w:szCs w:val="28"/>
        </w:rPr>
      </w:pPr>
      <w:bookmarkStart w:id="113" w:name="_Toc54050859"/>
      <w:bookmarkStart w:id="114" w:name="_Toc5847"/>
      <w:bookmarkStart w:id="115" w:name="_Toc57036102"/>
      <w:bookmarkStart w:id="116" w:name="_Toc57039861"/>
      <w:r>
        <w:rPr>
          <w:rFonts w:hint="default" w:ascii="Times New Roman" w:hAnsi="Times New Roman" w:eastAsia="仿宋" w:cs="Times New Roman"/>
          <w:sz w:val="28"/>
          <w:szCs w:val="28"/>
        </w:rPr>
        <w:t>2.3.5</w:t>
      </w:r>
      <w:bookmarkEnd w:id="113"/>
      <w:r>
        <w:rPr>
          <w:rFonts w:hint="default" w:ascii="Times New Roman" w:hAnsi="Times New Roman" w:eastAsia="仿宋" w:cs="Times New Roman"/>
          <w:sz w:val="28"/>
          <w:szCs w:val="28"/>
        </w:rPr>
        <w:t>动</w:t>
      </w:r>
      <w:r>
        <w:rPr>
          <w:rFonts w:hint="default" w:ascii="Times New Roman" w:hAnsi="Times New Roman" w:cs="Times New Roman"/>
          <w:sz w:val="28"/>
          <w:szCs w:val="28"/>
          <w:lang w:eastAsia="zh-CN"/>
        </w:rPr>
        <w:t>、</w:t>
      </w:r>
      <w:r>
        <w:rPr>
          <w:rFonts w:hint="default" w:ascii="Times New Roman" w:hAnsi="Times New Roman" w:eastAsia="仿宋" w:cs="Times New Roman"/>
          <w:sz w:val="28"/>
          <w:szCs w:val="28"/>
        </w:rPr>
        <w:t>植物</w:t>
      </w:r>
      <w:bookmarkEnd w:id="114"/>
      <w:bookmarkEnd w:id="115"/>
      <w:bookmarkEnd w:id="116"/>
    </w:p>
    <w:p>
      <w:pPr>
        <w:pStyle w:val="17"/>
        <w:adjustRightInd w:val="0"/>
        <w:spacing w:line="360" w:lineRule="auto"/>
        <w:ind w:firstLine="560" w:firstLineChars="200"/>
        <w:rPr>
          <w:rFonts w:hint="default" w:ascii="Times New Roman" w:hAnsi="Times New Roman" w:eastAsia="仿宋" w:cs="Times New Roman"/>
          <w:kern w:val="2"/>
          <w:sz w:val="28"/>
          <w:szCs w:val="22"/>
          <w:lang w:val="en-US" w:eastAsia="zh-CN" w:bidi="ar-SA"/>
        </w:rPr>
      </w:pPr>
      <w:r>
        <w:rPr>
          <w:rFonts w:hint="default" w:ascii="Times New Roman" w:hAnsi="Times New Roman" w:eastAsia="仿宋" w:cs="Times New Roman"/>
          <w:kern w:val="2"/>
          <w:sz w:val="28"/>
          <w:szCs w:val="22"/>
          <w:lang w:val="en-US" w:eastAsia="zh-CN" w:bidi="ar-SA"/>
        </w:rPr>
        <w:t>区域内植被均为栽培植被与绿化树木，呈现城镇农村生态系统特点，仅有零星的小片人工园林及路旁、田间地头树木，树种有泡桐、梧桐、杨树、柳树、刺槐等。属非生态敏感区。野生动物类有野兔、田鼠、麻雀、鸽子和淡水鱼类，畜禽主要有牛、马、骡、猪等。</w:t>
      </w:r>
    </w:p>
    <w:p>
      <w:pPr>
        <w:pStyle w:val="22"/>
        <w:ind w:left="0" w:leftChars="0"/>
        <w:outlineLvl w:val="1"/>
        <w:rPr>
          <w:rFonts w:hint="default" w:ascii="Times New Roman" w:hAnsi="Times New Roman" w:eastAsia="仿宋" w:cs="Times New Roman"/>
          <w:b/>
          <w:szCs w:val="28"/>
        </w:rPr>
      </w:pPr>
      <w:bookmarkStart w:id="117" w:name="_Toc795"/>
      <w:bookmarkStart w:id="118" w:name="_Toc18947"/>
      <w:bookmarkStart w:id="119" w:name="_Toc31994"/>
      <w:bookmarkStart w:id="120" w:name="_Toc533370898"/>
      <w:bookmarkStart w:id="121" w:name="_Toc54050860"/>
      <w:bookmarkStart w:id="122" w:name="_Toc419624135"/>
      <w:bookmarkStart w:id="123" w:name="_Toc419315269"/>
      <w:r>
        <w:rPr>
          <w:rFonts w:hint="default" w:ascii="Times New Roman" w:hAnsi="Times New Roman" w:eastAsia="仿宋" w:cs="Times New Roman"/>
          <w:b/>
          <w:szCs w:val="28"/>
        </w:rPr>
        <w:t>2.</w:t>
      </w:r>
      <w:bookmarkEnd w:id="117"/>
      <w:bookmarkEnd w:id="118"/>
      <w:r>
        <w:rPr>
          <w:rFonts w:hint="default" w:ascii="Times New Roman" w:hAnsi="Times New Roman" w:eastAsia="仿宋" w:cs="Times New Roman"/>
          <w:b/>
          <w:szCs w:val="28"/>
        </w:rPr>
        <w:t>4 企业生产情况</w:t>
      </w:r>
      <w:bookmarkEnd w:id="119"/>
      <w:bookmarkEnd w:id="120"/>
      <w:bookmarkEnd w:id="121"/>
      <w:bookmarkEnd w:id="122"/>
      <w:bookmarkEnd w:id="123"/>
    </w:p>
    <w:p>
      <w:pPr>
        <w:pStyle w:val="12"/>
        <w:jc w:val="both"/>
        <w:rPr>
          <w:rFonts w:hint="default" w:ascii="Times New Roman" w:hAnsi="Times New Roman" w:eastAsia="仿宋" w:cs="Times New Roman"/>
        </w:rPr>
      </w:pPr>
      <w:bookmarkStart w:id="124" w:name="_Toc57039863"/>
      <w:bookmarkStart w:id="125" w:name="_Toc54050861"/>
      <w:bookmarkStart w:id="126" w:name="_Toc57036104"/>
      <w:bookmarkStart w:id="127" w:name="_Toc533370899"/>
      <w:bookmarkStart w:id="128" w:name="_Toc6665"/>
      <w:bookmarkStart w:id="129" w:name="_Toc453923321"/>
      <w:bookmarkStart w:id="130" w:name="_Toc448478390"/>
      <w:r>
        <w:rPr>
          <w:rFonts w:hint="default" w:ascii="Times New Roman" w:hAnsi="Times New Roman" w:eastAsia="仿宋" w:cs="Times New Roman"/>
        </w:rPr>
        <w:t>2.4.1 产品产量情况</w:t>
      </w:r>
      <w:bookmarkEnd w:id="124"/>
      <w:bookmarkEnd w:id="125"/>
      <w:bookmarkEnd w:id="126"/>
      <w:bookmarkEnd w:id="127"/>
      <w:bookmarkEnd w:id="128"/>
      <w:bookmarkEnd w:id="129"/>
      <w:bookmarkEnd w:id="130"/>
    </w:p>
    <w:p>
      <w:pPr>
        <w:pStyle w:val="17"/>
        <w:adjustRightInd w:val="0"/>
        <w:spacing w:line="360" w:lineRule="auto"/>
        <w:ind w:firstLine="560" w:firstLineChars="200"/>
        <w:rPr>
          <w:rFonts w:hint="default" w:ascii="Times New Roman" w:hAnsi="Times New Roman" w:eastAsia="仿宋" w:cs="Times New Roman"/>
          <w:kern w:val="2"/>
          <w:sz w:val="28"/>
          <w:szCs w:val="22"/>
          <w:lang w:val="en-US" w:eastAsia="zh-CN" w:bidi="ar-SA"/>
        </w:rPr>
      </w:pPr>
      <w:bookmarkStart w:id="131" w:name="_Toc16386"/>
      <w:bookmarkStart w:id="132" w:name="_Toc54050862"/>
      <w:bookmarkStart w:id="133" w:name="_Toc533370900"/>
      <w:bookmarkStart w:id="134" w:name="_Toc57036105"/>
      <w:bookmarkStart w:id="135" w:name="_Toc57039864"/>
      <w:r>
        <w:rPr>
          <w:rFonts w:hint="default" w:ascii="Times New Roman" w:hAnsi="Times New Roman" w:eastAsia="仿宋" w:cs="Times New Roman"/>
          <w:kern w:val="2"/>
          <w:sz w:val="28"/>
          <w:szCs w:val="22"/>
          <w:lang w:val="en-US" w:eastAsia="zh-CN" w:bidi="ar-SA"/>
        </w:rPr>
        <w:t>咸阳鑫艺机械设备有限公司占地面积800m</w:t>
      </w:r>
      <w:r>
        <w:rPr>
          <w:rFonts w:hint="default" w:ascii="Times New Roman" w:hAnsi="Times New Roman" w:eastAsia="仿宋" w:cs="Times New Roman"/>
          <w:kern w:val="2"/>
          <w:sz w:val="28"/>
          <w:szCs w:val="22"/>
          <w:vertAlign w:val="superscript"/>
          <w:lang w:val="en-US" w:eastAsia="zh-CN" w:bidi="ar-SA"/>
        </w:rPr>
        <w:t>2</w:t>
      </w:r>
      <w:r>
        <w:rPr>
          <w:rFonts w:hint="default" w:ascii="Times New Roman" w:hAnsi="Times New Roman" w:eastAsia="仿宋" w:cs="Times New Roman"/>
          <w:kern w:val="2"/>
          <w:sz w:val="28"/>
          <w:szCs w:val="22"/>
          <w:lang w:val="en-US" w:eastAsia="zh-CN" w:bidi="ar-SA"/>
        </w:rPr>
        <w:t>，建设机械设备加工生产线一条，主要生产切管机、弯管机、缩管扩管机、倒角机和磨齿机，年产切管机5台、弯管机5台、缩管扩管机5台、倒角机4台和磨齿机4台。总投资300万元，其中环保投资8.55万元，占比2.85%。</w:t>
      </w:r>
    </w:p>
    <w:p>
      <w:pPr>
        <w:pStyle w:val="39"/>
        <w:spacing w:line="240" w:lineRule="auto"/>
        <w:rPr>
          <w:rStyle w:val="31"/>
          <w:rFonts w:hint="default" w:ascii="Times New Roman" w:hAnsi="Times New Roman" w:eastAsia="仿宋" w:cs="Times New Roman"/>
          <w:b/>
          <w:sz w:val="24"/>
          <w:szCs w:val="24"/>
        </w:rPr>
      </w:pPr>
      <w:r>
        <w:rPr>
          <w:rStyle w:val="31"/>
          <w:rFonts w:hint="default" w:ascii="Times New Roman" w:hAnsi="Times New Roman" w:eastAsia="仿宋" w:cs="Times New Roman"/>
          <w:b/>
          <w:sz w:val="24"/>
          <w:szCs w:val="24"/>
        </w:rPr>
        <w:t xml:space="preserve">表2.4-1 </w:t>
      </w:r>
      <w:r>
        <w:rPr>
          <w:rStyle w:val="31"/>
          <w:rFonts w:hint="default" w:ascii="Times New Roman" w:hAnsi="Times New Roman" w:eastAsia="仿宋" w:cs="Times New Roman"/>
          <w:b/>
          <w:sz w:val="24"/>
          <w:szCs w:val="24"/>
          <w:lang w:val="en-US" w:eastAsia="zh-CN"/>
        </w:rPr>
        <w:t xml:space="preserve"> </w:t>
      </w:r>
      <w:r>
        <w:rPr>
          <w:rStyle w:val="31"/>
          <w:rFonts w:hint="default" w:ascii="Times New Roman" w:hAnsi="Times New Roman" w:eastAsia="仿宋" w:cs="Times New Roman"/>
          <w:b/>
          <w:sz w:val="24"/>
          <w:szCs w:val="24"/>
        </w:rPr>
        <w:t>主要产品一览表</w:t>
      </w:r>
    </w:p>
    <w:tbl>
      <w:tblPr>
        <w:tblStyle w:val="28"/>
        <w:tblW w:w="8419"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06"/>
        <w:gridCol w:w="3945"/>
        <w:gridCol w:w="3368"/>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0" w:hRule="atLeast"/>
          <w:jc w:val="center"/>
        </w:trPr>
        <w:tc>
          <w:tcPr>
            <w:tcW w:w="1106" w:type="dxa"/>
            <w:tcBorders>
              <w:tl2br w:val="nil"/>
              <w:tr2bl w:val="nil"/>
            </w:tcBorders>
            <w:vAlign w:val="center"/>
          </w:tcPr>
          <w:p>
            <w:pPr>
              <w:widowControl/>
              <w:jc w:val="center"/>
              <w:textAlignment w:val="bottom"/>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序号</w:t>
            </w:r>
          </w:p>
        </w:tc>
        <w:tc>
          <w:tcPr>
            <w:tcW w:w="3945" w:type="dxa"/>
            <w:tcBorders>
              <w:tl2br w:val="nil"/>
              <w:tr2bl w:val="nil"/>
            </w:tcBorders>
            <w:vAlign w:val="center"/>
          </w:tcPr>
          <w:p>
            <w:pPr>
              <w:widowControl/>
              <w:jc w:val="center"/>
              <w:textAlignment w:val="bottom"/>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产品名称</w:t>
            </w:r>
          </w:p>
        </w:tc>
        <w:tc>
          <w:tcPr>
            <w:tcW w:w="3368" w:type="dxa"/>
            <w:tcBorders>
              <w:tl2br w:val="nil"/>
              <w:tr2bl w:val="nil"/>
            </w:tcBorders>
            <w:vAlign w:val="center"/>
          </w:tcPr>
          <w:p>
            <w:pPr>
              <w:widowControl/>
              <w:jc w:val="center"/>
              <w:textAlignment w:val="bottom"/>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数量</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1106"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3945"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切管机</w:t>
            </w:r>
          </w:p>
        </w:tc>
        <w:tc>
          <w:tcPr>
            <w:tcW w:w="3368"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5台（2.5t）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1106"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p>
        </w:tc>
        <w:tc>
          <w:tcPr>
            <w:tcW w:w="3945"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弯管机</w:t>
            </w:r>
          </w:p>
        </w:tc>
        <w:tc>
          <w:tcPr>
            <w:tcW w:w="3368"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5台（10t）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1106"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3</w:t>
            </w:r>
          </w:p>
        </w:tc>
        <w:tc>
          <w:tcPr>
            <w:tcW w:w="3945"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缩管扩管机</w:t>
            </w:r>
          </w:p>
        </w:tc>
        <w:tc>
          <w:tcPr>
            <w:tcW w:w="3368"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5台（10t）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55" w:hRule="atLeast"/>
          <w:jc w:val="center"/>
        </w:trPr>
        <w:tc>
          <w:tcPr>
            <w:tcW w:w="1106"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w:t>
            </w:r>
          </w:p>
        </w:tc>
        <w:tc>
          <w:tcPr>
            <w:tcW w:w="3945"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倒角机</w:t>
            </w:r>
          </w:p>
        </w:tc>
        <w:tc>
          <w:tcPr>
            <w:tcW w:w="3368"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4台（4t）</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77" w:hRule="atLeast"/>
          <w:jc w:val="center"/>
        </w:trPr>
        <w:tc>
          <w:tcPr>
            <w:tcW w:w="1106"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5</w:t>
            </w:r>
          </w:p>
        </w:tc>
        <w:tc>
          <w:tcPr>
            <w:tcW w:w="3945"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磨齿机</w:t>
            </w:r>
          </w:p>
        </w:tc>
        <w:tc>
          <w:tcPr>
            <w:tcW w:w="3368" w:type="dxa"/>
            <w:tcBorders>
              <w:tl2br w:val="nil"/>
              <w:tr2bl w:val="nil"/>
            </w:tcBorders>
            <w:vAlign w:val="center"/>
          </w:tcPr>
          <w:p>
            <w:pPr>
              <w:widowControl/>
              <w:jc w:val="center"/>
              <w:textAlignment w:val="bottom"/>
              <w:rPr>
                <w:rFonts w:hint="default" w:ascii="Times New Roman" w:hAnsi="Times New Roman" w:eastAsia="仿宋" w:cs="Times New Roman"/>
                <w:sz w:val="24"/>
                <w:szCs w:val="24"/>
              </w:rPr>
            </w:pPr>
            <w:r>
              <w:rPr>
                <w:rFonts w:hint="default" w:ascii="Times New Roman" w:hAnsi="Times New Roman" w:eastAsia="仿宋" w:cs="Times New Roman"/>
                <w:sz w:val="24"/>
                <w:szCs w:val="24"/>
              </w:rPr>
              <w:t>4台（2.8t）</w:t>
            </w:r>
          </w:p>
        </w:tc>
      </w:tr>
    </w:tbl>
    <w:p>
      <w:pPr>
        <w:pStyle w:val="12"/>
        <w:jc w:val="both"/>
        <w:rPr>
          <w:rFonts w:hint="default" w:ascii="Times New Roman" w:hAnsi="Times New Roman" w:eastAsia="仿宋" w:cs="Times New Roman"/>
        </w:rPr>
      </w:pPr>
      <w:bookmarkStart w:id="136" w:name="_Toc9440"/>
      <w:r>
        <w:rPr>
          <w:rFonts w:hint="default" w:ascii="Times New Roman" w:hAnsi="Times New Roman" w:eastAsia="仿宋" w:cs="Times New Roman"/>
        </w:rPr>
        <w:t>2.4.</w:t>
      </w:r>
      <w:bookmarkEnd w:id="131"/>
      <w:r>
        <w:rPr>
          <w:rFonts w:hint="default" w:ascii="Times New Roman" w:hAnsi="Times New Roman" w:eastAsia="仿宋" w:cs="Times New Roman"/>
        </w:rPr>
        <w:t>2 原辅材料情况</w:t>
      </w:r>
      <w:bookmarkEnd w:id="132"/>
      <w:bookmarkEnd w:id="133"/>
      <w:bookmarkEnd w:id="134"/>
      <w:bookmarkEnd w:id="135"/>
      <w:bookmarkEnd w:id="136"/>
    </w:p>
    <w:p>
      <w:pPr>
        <w:autoSpaceDE w:val="0"/>
        <w:autoSpaceDN w:val="0"/>
        <w:adjustRightInd w:val="0"/>
        <w:snapToGrid w:val="0"/>
        <w:spacing w:beforeLines="50" w:line="360" w:lineRule="auto"/>
        <w:ind w:firstLine="560" w:firstLineChars="200"/>
        <w:rPr>
          <w:rFonts w:hint="default" w:ascii="Times New Roman" w:hAnsi="Times New Roman" w:eastAsia="仿宋" w:cs="Times New Roman"/>
          <w:b/>
          <w:kern w:val="0"/>
          <w:sz w:val="24"/>
          <w:szCs w:val="24"/>
          <w:lang w:bidi="en-US"/>
        </w:rPr>
      </w:pPr>
      <w:bookmarkStart w:id="137" w:name="_Toc16455"/>
      <w:bookmarkStart w:id="138" w:name="_Toc54050863"/>
      <w:bookmarkStart w:id="139" w:name="_Toc533370901"/>
      <w:bookmarkStart w:id="140" w:name="_Toc57036106"/>
      <w:bookmarkStart w:id="141" w:name="_Toc57039865"/>
      <w:r>
        <w:rPr>
          <w:rFonts w:hint="default" w:ascii="Times New Roman" w:hAnsi="Times New Roman" w:eastAsia="仿宋" w:cs="Times New Roman"/>
          <w:bCs/>
          <w:sz w:val="28"/>
          <w:szCs w:val="28"/>
          <w:lang w:eastAsia="zh-CN"/>
        </w:rPr>
        <w:t>咸阳鑫艺机械设备有限公司</w:t>
      </w:r>
      <w:r>
        <w:rPr>
          <w:rFonts w:hint="default" w:ascii="Times New Roman" w:hAnsi="Times New Roman" w:eastAsia="仿宋" w:cs="Times New Roman"/>
          <w:sz w:val="28"/>
          <w:szCs w:val="28"/>
        </w:rPr>
        <w:t>主要原辅材料使用情况见表2.4-2。</w:t>
      </w:r>
    </w:p>
    <w:p>
      <w:pPr>
        <w:pStyle w:val="39"/>
        <w:spacing w:line="240" w:lineRule="auto"/>
        <w:rPr>
          <w:rStyle w:val="31"/>
          <w:rFonts w:hint="default" w:ascii="Times New Roman" w:hAnsi="Times New Roman" w:eastAsia="仿宋" w:cs="Times New Roman"/>
          <w:b/>
          <w:sz w:val="24"/>
          <w:szCs w:val="24"/>
        </w:rPr>
      </w:pPr>
      <w:r>
        <w:rPr>
          <w:rStyle w:val="31"/>
          <w:rFonts w:hint="default" w:ascii="Times New Roman" w:hAnsi="Times New Roman" w:eastAsia="仿宋" w:cs="Times New Roman"/>
          <w:b/>
          <w:sz w:val="24"/>
          <w:szCs w:val="24"/>
        </w:rPr>
        <w:t>表2.4-2 原辅材料使用情况一览表</w:t>
      </w:r>
    </w:p>
    <w:tbl>
      <w:tblPr>
        <w:tblStyle w:val="28"/>
        <w:tblW w:w="8500" w:type="dxa"/>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0" w:type="dxa"/>
          <w:bottom w:w="0" w:type="dxa"/>
          <w:right w:w="0" w:type="dxa"/>
        </w:tblCellMar>
      </w:tblPr>
      <w:tblGrid>
        <w:gridCol w:w="660"/>
        <w:gridCol w:w="1349"/>
        <w:gridCol w:w="1920"/>
        <w:gridCol w:w="1439"/>
        <w:gridCol w:w="1620"/>
        <w:gridCol w:w="750"/>
        <w:gridCol w:w="762"/>
      </w:tblGrid>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10"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序号</w:t>
            </w:r>
          </w:p>
        </w:tc>
        <w:tc>
          <w:tcPr>
            <w:tcW w:w="1349"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名称</w:t>
            </w:r>
          </w:p>
        </w:tc>
        <w:tc>
          <w:tcPr>
            <w:tcW w:w="192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年使用量</w:t>
            </w:r>
          </w:p>
        </w:tc>
        <w:tc>
          <w:tcPr>
            <w:tcW w:w="1439"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最大存储量</w:t>
            </w:r>
          </w:p>
        </w:tc>
        <w:tc>
          <w:tcPr>
            <w:tcW w:w="162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规格</w:t>
            </w:r>
          </w:p>
        </w:tc>
        <w:tc>
          <w:tcPr>
            <w:tcW w:w="75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形状</w:t>
            </w:r>
          </w:p>
        </w:tc>
        <w:tc>
          <w:tcPr>
            <w:tcW w:w="762"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b/>
                <w:color w:val="000000" w:themeColor="text1"/>
                <w:spacing w:val="8"/>
                <w:kern w:val="24"/>
                <w:sz w:val="24"/>
                <w:szCs w:val="24"/>
                <w14:textFill>
                  <w14:solidFill>
                    <w14:schemeClr w14:val="tx1"/>
                  </w14:solidFill>
                </w14:textFill>
              </w:rPr>
            </w:pPr>
            <w:r>
              <w:rPr>
                <w:rFonts w:hint="default" w:ascii="Times New Roman" w:hAnsi="Times New Roman" w:eastAsia="仿宋" w:cs="Times New Roman"/>
                <w:b/>
                <w:color w:val="000000" w:themeColor="text1"/>
                <w:spacing w:val="8"/>
                <w:kern w:val="24"/>
                <w:sz w:val="24"/>
                <w:szCs w:val="24"/>
                <w14:textFill>
                  <w14:solidFill>
                    <w14:schemeClr w14:val="tx1"/>
                  </w14:solidFill>
                </w14:textFill>
              </w:rPr>
              <w:t>来源</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钢板</w:t>
            </w:r>
          </w:p>
        </w:tc>
        <w:tc>
          <w:tcPr>
            <w:tcW w:w="19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30t/a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2t/a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固体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2</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圆钢</w:t>
            </w:r>
          </w:p>
        </w:tc>
        <w:tc>
          <w:tcPr>
            <w:tcW w:w="19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20t/a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2t/a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固体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3</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焊丝</w:t>
            </w:r>
          </w:p>
        </w:tc>
        <w:tc>
          <w:tcPr>
            <w:tcW w:w="19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0.5t/a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10kg</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φ1.2mm</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固体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4</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CO</w:t>
            </w:r>
            <w:r>
              <w:rPr>
                <w:rFonts w:hint="default" w:ascii="Times New Roman" w:hAnsi="Times New Roman" w:eastAsia="仿宋" w:cs="Times New Roman"/>
                <w:color w:val="000000" w:themeColor="text1"/>
                <w:sz w:val="24"/>
                <w:szCs w:val="24"/>
                <w:vertAlign w:val="subscript"/>
                <w14:textFill>
                  <w14:solidFill>
                    <w14:schemeClr w14:val="tx1"/>
                  </w14:solidFill>
                </w14:textFill>
              </w:rPr>
              <w:t>2</w:t>
            </w:r>
          </w:p>
        </w:tc>
        <w:tc>
          <w:tcPr>
            <w:tcW w:w="19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5瓶</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2瓶</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15kg/瓶</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液态</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5</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切削液</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0.17t/a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0.17t/a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170kg/桶</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液体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6</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抗磨液压油</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0.17t/a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即用即卖</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170kg/桶</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液体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7</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润滑油</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20kg/a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20kg/a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20kg/桶</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液体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8</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砂轮</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5片（12.5kg）</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5片</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250mm×25mm</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固体</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9</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断路器</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60只/a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10只/a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DZ47-60</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10</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断路器</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50只/a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20只/a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DZ108-20</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11</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交流接触器</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80只/a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8只/a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CJⅩ2-0910</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12</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交流接触器</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80只/a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8只/a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CJX2-1210</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13</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交流接触器</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30只/a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6只/a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CJX2-1810</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14</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中间继电器</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50只/a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10只/a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JZX-22</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15</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按钮</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60只/a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12只/a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LAY39A-11BN</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16</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信号灯</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40只/a</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5只/a</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ND16-22</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外购</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289"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17</w:t>
            </w:r>
          </w:p>
        </w:tc>
        <w:tc>
          <w:tcPr>
            <w:tcW w:w="134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水</w:t>
            </w:r>
          </w:p>
        </w:tc>
        <w:tc>
          <w:tcPr>
            <w:tcW w:w="19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108.4m</w:t>
            </w:r>
            <w:r>
              <w:rPr>
                <w:rFonts w:hint="default" w:ascii="Times New Roman" w:hAnsi="Times New Roman" w:eastAsia="仿宋" w:cs="Times New Roman"/>
                <w:color w:val="000000" w:themeColor="text1"/>
                <w:sz w:val="24"/>
                <w:szCs w:val="24"/>
                <w:vertAlign w:val="superscript"/>
                <w14:textFill>
                  <w14:solidFill>
                    <w14:schemeClr w14:val="tx1"/>
                  </w14:solidFill>
                </w14:textFill>
              </w:rPr>
              <w:t>3</w:t>
            </w:r>
            <w:r>
              <w:rPr>
                <w:rFonts w:hint="default" w:ascii="Times New Roman" w:hAnsi="Times New Roman" w:eastAsia="仿宋" w:cs="Times New Roman"/>
                <w:color w:val="000000" w:themeColor="text1"/>
                <w:sz w:val="24"/>
                <w:szCs w:val="24"/>
                <w14:textFill>
                  <w14:solidFill>
                    <w14:schemeClr w14:val="tx1"/>
                  </w14:solidFill>
                </w14:textFill>
              </w:rPr>
              <w:t>/a</w:t>
            </w:r>
          </w:p>
        </w:tc>
        <w:tc>
          <w:tcPr>
            <w:tcW w:w="1439"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162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50"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市政</w:t>
            </w:r>
          </w:p>
        </w:tc>
      </w:tr>
      <w:tr>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0" w:type="dxa"/>
            <w:bottom w:w="0" w:type="dxa"/>
            <w:right w:w="0" w:type="dxa"/>
          </w:tblCellMar>
        </w:tblPrEx>
        <w:trPr>
          <w:trHeight w:val="320" w:hRule="atLeast"/>
          <w:jc w:val="center"/>
        </w:trPr>
        <w:tc>
          <w:tcPr>
            <w:tcW w:w="66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18</w:t>
            </w:r>
          </w:p>
        </w:tc>
        <w:tc>
          <w:tcPr>
            <w:tcW w:w="1349"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kern w:val="24"/>
                <w:sz w:val="24"/>
                <w:szCs w:val="24"/>
                <w14:textFill>
                  <w14:solidFill>
                    <w14:schemeClr w14:val="tx1"/>
                  </w14:solidFill>
                </w14:textFill>
              </w:rPr>
            </w:pPr>
            <w:r>
              <w:rPr>
                <w:rFonts w:hint="default" w:ascii="Times New Roman" w:hAnsi="Times New Roman" w:eastAsia="仿宋" w:cs="Times New Roman"/>
                <w:color w:val="000000" w:themeColor="text1"/>
                <w:kern w:val="24"/>
                <w:sz w:val="24"/>
                <w:szCs w:val="24"/>
                <w14:textFill>
                  <w14:solidFill>
                    <w14:schemeClr w14:val="tx1"/>
                  </w14:solidFill>
                </w14:textFill>
              </w:rPr>
              <w:t>电</w:t>
            </w:r>
          </w:p>
        </w:tc>
        <w:tc>
          <w:tcPr>
            <w:tcW w:w="1920" w:type="dxa"/>
            <w:tcBorders>
              <w:tl2br w:val="nil"/>
              <w:tr2bl w:val="nil"/>
            </w:tcBorders>
            <w:vAlign w:val="center"/>
          </w:tcPr>
          <w:p>
            <w:pPr>
              <w:autoSpaceDE w:val="0"/>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10万度</w:t>
            </w:r>
          </w:p>
        </w:tc>
        <w:tc>
          <w:tcPr>
            <w:tcW w:w="1439"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162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50"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w:t>
            </w:r>
          </w:p>
        </w:tc>
        <w:tc>
          <w:tcPr>
            <w:tcW w:w="762" w:type="dxa"/>
            <w:tcBorders>
              <w:tl2br w:val="nil"/>
              <w:tr2bl w:val="nil"/>
            </w:tcBorders>
            <w:vAlign w:val="center"/>
          </w:tcPr>
          <w:p>
            <w:pPr>
              <w:autoSpaceDN w:val="0"/>
              <w:spacing w:line="240" w:lineRule="auto"/>
              <w:jc w:val="center"/>
              <w:rPr>
                <w:rFonts w:hint="default" w:ascii="Times New Roman" w:hAnsi="Times New Roman" w:eastAsia="仿宋" w:cs="Times New Roman"/>
                <w:color w:val="000000" w:themeColor="text1"/>
                <w:sz w:val="24"/>
                <w:szCs w:val="24"/>
                <w14:textFill>
                  <w14:solidFill>
                    <w14:schemeClr w14:val="tx1"/>
                  </w14:solidFill>
                </w14:textFill>
              </w:rPr>
            </w:pPr>
            <w:r>
              <w:rPr>
                <w:rFonts w:hint="default" w:ascii="Times New Roman" w:hAnsi="Times New Roman" w:eastAsia="仿宋" w:cs="Times New Roman"/>
                <w:color w:val="000000" w:themeColor="text1"/>
                <w:sz w:val="24"/>
                <w:szCs w:val="24"/>
                <w14:textFill>
                  <w14:solidFill>
                    <w14:schemeClr w14:val="tx1"/>
                  </w14:solidFill>
                </w14:textFill>
              </w:rPr>
              <w:t>市政</w:t>
            </w:r>
          </w:p>
        </w:tc>
      </w:tr>
    </w:tbl>
    <w:p>
      <w:pPr>
        <w:pStyle w:val="12"/>
        <w:jc w:val="both"/>
        <w:rPr>
          <w:rFonts w:hint="default" w:ascii="Times New Roman" w:hAnsi="Times New Roman" w:eastAsia="仿宋" w:cs="Times New Roman"/>
        </w:rPr>
      </w:pPr>
      <w:bookmarkStart w:id="142" w:name="_Toc11520"/>
      <w:r>
        <w:rPr>
          <w:rFonts w:hint="default" w:ascii="Times New Roman" w:hAnsi="Times New Roman" w:eastAsia="仿宋" w:cs="Times New Roman"/>
        </w:rPr>
        <w:t>2.4.</w:t>
      </w:r>
      <w:bookmarkEnd w:id="137"/>
      <w:r>
        <w:rPr>
          <w:rFonts w:hint="default" w:ascii="Times New Roman" w:hAnsi="Times New Roman" w:eastAsia="仿宋" w:cs="Times New Roman"/>
        </w:rPr>
        <w:t>3 生产设备</w:t>
      </w:r>
      <w:bookmarkEnd w:id="138"/>
      <w:bookmarkEnd w:id="139"/>
      <w:bookmarkEnd w:id="140"/>
      <w:bookmarkEnd w:id="141"/>
      <w:bookmarkEnd w:id="142"/>
    </w:p>
    <w:p>
      <w:pPr>
        <w:spacing w:beforeLines="50" w:line="360" w:lineRule="auto"/>
        <w:ind w:firstLine="560" w:firstLineChars="200"/>
        <w:rPr>
          <w:rFonts w:hint="default" w:ascii="Times New Roman" w:hAnsi="Times New Roman" w:eastAsia="仿宋" w:cs="Times New Roman"/>
          <w:b/>
          <w:kern w:val="0"/>
          <w:sz w:val="24"/>
          <w:szCs w:val="24"/>
          <w:lang w:bidi="en-US"/>
        </w:rPr>
      </w:pPr>
      <w:r>
        <w:rPr>
          <w:rFonts w:hint="default" w:ascii="Times New Roman" w:hAnsi="Times New Roman" w:eastAsia="仿宋" w:cs="Times New Roman"/>
          <w:bCs/>
          <w:sz w:val="28"/>
          <w:szCs w:val="28"/>
          <w:lang w:eastAsia="zh-CN"/>
        </w:rPr>
        <w:t>公司</w:t>
      </w:r>
      <w:r>
        <w:rPr>
          <w:rFonts w:hint="default" w:ascii="Times New Roman" w:hAnsi="Times New Roman" w:eastAsia="仿宋" w:cs="Times New Roman"/>
          <w:sz w:val="28"/>
          <w:szCs w:val="28"/>
        </w:rPr>
        <w:t>现有的主要生产设备及其基本情况见表2.4-3。</w:t>
      </w:r>
    </w:p>
    <w:p>
      <w:pPr>
        <w:widowControl/>
        <w:adjustRightInd w:val="0"/>
        <w:spacing w:line="240" w:lineRule="auto"/>
        <w:jc w:val="center"/>
        <w:rPr>
          <w:rFonts w:hint="default" w:ascii="Times New Roman" w:hAnsi="Times New Roman" w:eastAsia="仿宋" w:cs="Times New Roman"/>
          <w:b/>
          <w:kern w:val="0"/>
          <w:sz w:val="24"/>
          <w:szCs w:val="24"/>
          <w:lang w:bidi="en-US"/>
        </w:rPr>
      </w:pPr>
      <w:r>
        <w:rPr>
          <w:rFonts w:hint="default" w:ascii="Times New Roman" w:hAnsi="Times New Roman" w:eastAsia="仿宋" w:cs="Times New Roman"/>
          <w:b/>
          <w:kern w:val="0"/>
          <w:sz w:val="24"/>
          <w:szCs w:val="24"/>
          <w:lang w:bidi="en-US"/>
        </w:rPr>
        <w:t xml:space="preserve">表2.4-3 </w:t>
      </w:r>
      <w:r>
        <w:rPr>
          <w:rFonts w:hint="default" w:ascii="Times New Roman" w:hAnsi="Times New Roman" w:eastAsia="仿宋" w:cs="Times New Roman"/>
          <w:b/>
          <w:kern w:val="0"/>
          <w:sz w:val="24"/>
          <w:szCs w:val="24"/>
          <w:lang w:val="en-US" w:eastAsia="zh-CN" w:bidi="en-US"/>
        </w:rPr>
        <w:t xml:space="preserve"> </w:t>
      </w:r>
      <w:r>
        <w:rPr>
          <w:rFonts w:hint="default" w:ascii="Times New Roman" w:hAnsi="Times New Roman" w:eastAsia="仿宋" w:cs="Times New Roman"/>
          <w:b/>
          <w:kern w:val="0"/>
          <w:sz w:val="24"/>
          <w:szCs w:val="24"/>
          <w:lang w:bidi="en-US"/>
        </w:rPr>
        <w:t>公司现有的主要设备一览表</w:t>
      </w:r>
    </w:p>
    <w:tbl>
      <w:tblPr>
        <w:tblStyle w:val="29"/>
        <w:tblW w:w="4984"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10"/>
        <w:gridCol w:w="2553"/>
        <w:gridCol w:w="1978"/>
        <w:gridCol w:w="26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序号</w:t>
            </w:r>
          </w:p>
        </w:tc>
        <w:tc>
          <w:tcPr>
            <w:tcW w:w="1502" w:type="pct"/>
            <w:vAlign w:val="center"/>
          </w:tcPr>
          <w:p>
            <w:pPr>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设备名称</w:t>
            </w:r>
          </w:p>
        </w:tc>
        <w:tc>
          <w:tcPr>
            <w:tcW w:w="1164" w:type="pct"/>
            <w:vAlign w:val="center"/>
          </w:tcPr>
          <w:p>
            <w:pPr>
              <w:jc w:val="center"/>
              <w:rPr>
                <w:rFonts w:hint="default" w:ascii="Times New Roman" w:hAnsi="Times New Roman" w:eastAsia="仿宋" w:cs="Times New Roman"/>
                <w:b/>
                <w:bCs/>
                <w:color w:val="000000"/>
                <w:sz w:val="24"/>
                <w:szCs w:val="24"/>
                <w:lang w:val="en-US" w:eastAsia="zh-CN"/>
              </w:rPr>
            </w:pPr>
            <w:r>
              <w:rPr>
                <w:rFonts w:hint="default" w:ascii="Times New Roman" w:hAnsi="Times New Roman" w:eastAsia="仿宋" w:cs="Times New Roman"/>
                <w:b/>
                <w:bCs/>
                <w:color w:val="000000"/>
                <w:sz w:val="24"/>
                <w:szCs w:val="24"/>
                <w:lang w:val="en-US" w:eastAsia="zh-CN"/>
              </w:rPr>
              <w:t>规格</w:t>
            </w:r>
          </w:p>
        </w:tc>
        <w:tc>
          <w:tcPr>
            <w:tcW w:w="1561" w:type="pct"/>
            <w:vAlign w:val="center"/>
          </w:tcPr>
          <w:p>
            <w:pPr>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数量（台/套）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外圆磨</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 xml:space="preserve">ME/332A </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磨床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M71200</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3</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摇臂钻</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Z3050×16</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4</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台钻</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5</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小台钻</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立钻</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立式升降式铣床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B1-400K</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8</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立式升降式铣床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X5032</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9</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卧式万能升降台铣床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X62W</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6" w:hRule="atLeast"/>
        </w:trPr>
        <w:tc>
          <w:tcPr>
            <w:tcW w:w="771"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10</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卧式万能升降台铣床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X62W</w:t>
            </w:r>
          </w:p>
        </w:tc>
        <w:tc>
          <w:tcPr>
            <w:tcW w:w="1561"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bookmarkStart w:id="143" w:name="_Toc54050864"/>
            <w:bookmarkStart w:id="144" w:name="_Toc57039866"/>
            <w:bookmarkStart w:id="145" w:name="_Toc57036107"/>
            <w:bookmarkStart w:id="146" w:name="_Toc533370902"/>
            <w:bookmarkStart w:id="147" w:name="_Toc28325"/>
            <w:r>
              <w:rPr>
                <w:rFonts w:hint="default" w:ascii="Times New Roman" w:hAnsi="Times New Roman" w:eastAsia="仿宋" w:cs="Times New Roman"/>
                <w:color w:val="000000"/>
                <w:sz w:val="24"/>
                <w:szCs w:val="24"/>
                <w:lang w:val="en-US" w:eastAsia="zh-CN"/>
              </w:rPr>
              <w:t>11</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工具铣</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12</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车床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CS6140</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13</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车床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CS61504</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14</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车床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CS6150B</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15</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车床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CS6250B</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16</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车床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CY6150/1000</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17</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锯床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18</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二保焊机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NBC-500C</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19</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二保焊机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NBC-500C</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20</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焊接烟尘净化器</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21</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台式攻丝机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SW1-16</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22</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手动校直机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tabs>
                <w:tab w:val="left" w:pos="441"/>
              </w:tabs>
              <w:jc w:val="left"/>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eastAsia="zh-CN"/>
              </w:rPr>
              <w:tab/>
            </w:r>
            <w:r>
              <w:rPr>
                <w:rFonts w:hint="default" w:ascii="Times New Roman" w:hAnsi="Times New Roman" w:eastAsia="仿宋" w:cs="Times New Roman"/>
                <w:color w:val="000000"/>
                <w:sz w:val="24"/>
                <w:szCs w:val="24"/>
                <w:lang w:val="en-US" w:eastAsia="zh-CN"/>
              </w:rPr>
              <w:t>23</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单注液压机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YHD41-100</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24</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砂轮机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25</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加工中心</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ZH1YUAN</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26</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雕刻机</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JZ-1080</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7"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27</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镗床</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400毫米双柱</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6" w:hRule="atLeast"/>
        </w:trPr>
        <w:tc>
          <w:tcPr>
            <w:tcW w:w="771" w:type="pct"/>
            <w:vAlign w:val="center"/>
          </w:tcPr>
          <w:p>
            <w:pPr>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lang w:val="en-US" w:eastAsia="zh-CN"/>
              </w:rPr>
              <w:t>28</w:t>
            </w:r>
          </w:p>
        </w:tc>
        <w:tc>
          <w:tcPr>
            <w:tcW w:w="1502"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外圆磨</w:t>
            </w:r>
          </w:p>
        </w:tc>
        <w:tc>
          <w:tcPr>
            <w:tcW w:w="1164" w:type="pct"/>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 xml:space="preserve">ME/332A </w:t>
            </w:r>
          </w:p>
        </w:tc>
        <w:tc>
          <w:tcPr>
            <w:tcW w:w="1561" w:type="pct"/>
            <w:vAlign w:val="center"/>
          </w:tcPr>
          <w:p>
            <w:pPr>
              <w:spacing w:line="240" w:lineRule="auto"/>
              <w:jc w:val="center"/>
              <w:rPr>
                <w:rFonts w:hint="default" w:ascii="Times New Roman" w:hAnsi="Times New Roman" w:eastAsia="仿宋" w:cs="Times New Roman"/>
                <w:color w:val="000000"/>
                <w:sz w:val="24"/>
                <w:szCs w:val="24"/>
                <w:lang w:val="en-US" w:eastAsia="zh-CN"/>
              </w:rPr>
            </w:pPr>
            <w:r>
              <w:rPr>
                <w:rFonts w:hint="default" w:ascii="Times New Roman" w:hAnsi="Times New Roman" w:eastAsia="仿宋" w:cs="Times New Roman"/>
                <w:color w:val="000000"/>
                <w:sz w:val="24"/>
                <w:szCs w:val="24"/>
              </w:rPr>
              <w:t>2</w:t>
            </w:r>
          </w:p>
        </w:tc>
      </w:tr>
    </w:tbl>
    <w:p>
      <w:pPr>
        <w:pStyle w:val="12"/>
        <w:jc w:val="both"/>
        <w:rPr>
          <w:rFonts w:hint="default" w:ascii="Times New Roman" w:hAnsi="Times New Roman" w:eastAsia="仿宋" w:cs="Times New Roman"/>
        </w:rPr>
      </w:pPr>
      <w:r>
        <w:rPr>
          <w:rFonts w:hint="default" w:ascii="Times New Roman" w:hAnsi="Times New Roman" w:eastAsia="仿宋" w:cs="Times New Roman"/>
        </w:rPr>
        <w:t>2.4.4 生产工艺</w:t>
      </w:r>
      <w:bookmarkEnd w:id="143"/>
      <w:bookmarkEnd w:id="144"/>
      <w:bookmarkEnd w:id="145"/>
      <w:bookmarkEnd w:id="146"/>
      <w:bookmarkEnd w:id="147"/>
    </w:p>
    <w:p>
      <w:pPr>
        <w:spacing w:line="360" w:lineRule="auto"/>
        <w:ind w:firstLine="560" w:firstLineChars="200"/>
        <w:rPr>
          <w:rFonts w:hint="default" w:ascii="Times New Roman" w:hAnsi="Times New Roman" w:eastAsia="仿宋" w:cs="Times New Roman"/>
          <w:sz w:val="28"/>
          <w:szCs w:val="28"/>
          <w:lang w:eastAsia="zh-CN"/>
        </w:rPr>
      </w:pPr>
      <w:r>
        <w:rPr>
          <w:rFonts w:hint="default" w:ascii="Times New Roman" w:hAnsi="Times New Roman" w:eastAsia="仿宋" w:cs="Times New Roman"/>
          <w:sz w:val="28"/>
          <w:szCs w:val="28"/>
        </w:rPr>
        <w:t>本</w:t>
      </w:r>
      <w:r>
        <w:rPr>
          <w:rFonts w:hint="default" w:ascii="Times New Roman" w:hAnsi="Times New Roman" w:eastAsia="仿宋" w:cs="Times New Roman"/>
          <w:sz w:val="28"/>
          <w:szCs w:val="28"/>
          <w:lang w:val="en-US" w:eastAsia="zh-CN"/>
        </w:rPr>
        <w:t>公司</w:t>
      </w:r>
      <w:r>
        <w:rPr>
          <w:rFonts w:hint="default" w:ascii="Times New Roman" w:hAnsi="Times New Roman" w:eastAsia="仿宋" w:cs="Times New Roman"/>
          <w:sz w:val="28"/>
          <w:szCs w:val="28"/>
        </w:rPr>
        <w:t>生产的产品主要包括切管机、弯管机、缩管扩管机、倒角机和磨齿机，其工艺流程基本一致，生产工艺流程及产污环节图如下</w:t>
      </w:r>
      <w:r>
        <w:rPr>
          <w:rFonts w:hint="default" w:ascii="Times New Roman" w:hAnsi="Times New Roman" w:eastAsia="仿宋" w:cs="Times New Roman"/>
          <w:sz w:val="28"/>
          <w:szCs w:val="28"/>
          <w:lang w:eastAsia="zh-CN"/>
        </w:rPr>
        <w:t>：</w:t>
      </w:r>
    </w:p>
    <w:p>
      <w:pPr>
        <w:jc w:val="center"/>
        <w:rPr>
          <w:rFonts w:hint="default" w:ascii="Times New Roman" w:hAnsi="Times New Roman" w:cs="Times New Roman"/>
          <w:b/>
          <w:sz w:val="24"/>
          <w:szCs w:val="24"/>
        </w:rPr>
      </w:pPr>
      <w:bookmarkStart w:id="148" w:name="_Toc23655"/>
      <w:bookmarkStart w:id="149" w:name="_Toc533370903"/>
      <w:bookmarkStart w:id="150" w:name="_Toc54050865"/>
      <w:bookmarkStart w:id="151" w:name="_Toc16231"/>
      <w:r>
        <w:rPr>
          <w:rFonts w:hint="default" w:ascii="Times New Roman" w:hAnsi="Times New Roman" w:cs="Times New Roman"/>
        </w:rPr>
        <w:drawing>
          <wp:inline distT="0" distB="0" distL="114300" distR="114300">
            <wp:extent cx="3896360" cy="2986405"/>
            <wp:effectExtent l="0" t="0" r="8890" b="4445"/>
            <wp:docPr id="11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3"/>
                    <pic:cNvPicPr>
                      <a:picLocks noChangeAspect="1"/>
                    </pic:cNvPicPr>
                  </pic:nvPicPr>
                  <pic:blipFill>
                    <a:blip r:embed="rId16"/>
                    <a:stretch>
                      <a:fillRect/>
                    </a:stretch>
                  </pic:blipFill>
                  <pic:spPr>
                    <a:xfrm>
                      <a:off x="0" y="0"/>
                      <a:ext cx="3896360" cy="2986405"/>
                    </a:xfrm>
                    <a:prstGeom prst="rect">
                      <a:avLst/>
                    </a:prstGeom>
                    <a:noFill/>
                    <a:ln>
                      <a:noFill/>
                    </a:ln>
                  </pic:spPr>
                </pic:pic>
              </a:graphicData>
            </a:graphic>
          </wp:inline>
        </w:drawing>
      </w:r>
      <w:r>
        <w:rPr>
          <w:rFonts w:hint="default" w:ascii="Times New Roman" w:hAnsi="Times New Roman" w:cs="Times New Roman"/>
          <w:color w:val="000000"/>
        </w:rPr>
        <w:drawing>
          <wp:anchor distT="0" distB="0" distL="114300" distR="114300" simplePos="0" relativeHeight="251671552" behindDoc="1" locked="0" layoutInCell="1" allowOverlap="1">
            <wp:simplePos x="0" y="0"/>
            <wp:positionH relativeFrom="column">
              <wp:posOffset>2179320</wp:posOffset>
            </wp:positionH>
            <wp:positionV relativeFrom="paragraph">
              <wp:posOffset>5681345</wp:posOffset>
            </wp:positionV>
            <wp:extent cx="4039235" cy="3648075"/>
            <wp:effectExtent l="0" t="0" r="18415" b="0"/>
            <wp:wrapNone/>
            <wp:docPr id="1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6"/>
                    <pic:cNvPicPr>
                      <a:picLocks noChangeAspect="1"/>
                    </pic:cNvPicPr>
                  </pic:nvPicPr>
                  <pic:blipFill>
                    <a:blip r:embed="rId17"/>
                    <a:stretch>
                      <a:fillRect/>
                    </a:stretch>
                  </pic:blipFill>
                  <pic:spPr>
                    <a:xfrm>
                      <a:off x="0" y="0"/>
                      <a:ext cx="4039235" cy="3648075"/>
                    </a:xfrm>
                    <a:prstGeom prst="rect">
                      <a:avLst/>
                    </a:prstGeom>
                    <a:noFill/>
                    <a:ln>
                      <a:noFill/>
                    </a:ln>
                  </pic:spPr>
                </pic:pic>
              </a:graphicData>
            </a:graphic>
          </wp:anchor>
        </w:drawing>
      </w:r>
      <w:r>
        <w:rPr>
          <w:rFonts w:hint="default" w:ascii="Times New Roman" w:hAnsi="Times New Roman" w:cs="Times New Roman"/>
          <w:color w:val="000000"/>
        </w:rPr>
        <w:drawing>
          <wp:anchor distT="0" distB="0" distL="114300" distR="114300" simplePos="0" relativeHeight="251670528" behindDoc="1" locked="0" layoutInCell="1" allowOverlap="1">
            <wp:simplePos x="0" y="0"/>
            <wp:positionH relativeFrom="column">
              <wp:posOffset>2026920</wp:posOffset>
            </wp:positionH>
            <wp:positionV relativeFrom="paragraph">
              <wp:posOffset>5528945</wp:posOffset>
            </wp:positionV>
            <wp:extent cx="4039235" cy="3648075"/>
            <wp:effectExtent l="0" t="0" r="18415" b="0"/>
            <wp:wrapNone/>
            <wp:docPr id="10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5"/>
                    <pic:cNvPicPr>
                      <a:picLocks noChangeAspect="1"/>
                    </pic:cNvPicPr>
                  </pic:nvPicPr>
                  <pic:blipFill>
                    <a:blip r:embed="rId17"/>
                    <a:stretch>
                      <a:fillRect/>
                    </a:stretch>
                  </pic:blipFill>
                  <pic:spPr>
                    <a:xfrm>
                      <a:off x="0" y="0"/>
                      <a:ext cx="4039235" cy="3648075"/>
                    </a:xfrm>
                    <a:prstGeom prst="rect">
                      <a:avLst/>
                    </a:prstGeom>
                    <a:noFill/>
                    <a:ln>
                      <a:noFill/>
                    </a:ln>
                  </pic:spPr>
                </pic:pic>
              </a:graphicData>
            </a:graphic>
          </wp:anchor>
        </w:drawing>
      </w:r>
      <w:r>
        <w:rPr>
          <w:rFonts w:hint="default" w:ascii="Times New Roman" w:hAnsi="Times New Roman" w:cs="Times New Roman"/>
          <w:color w:val="000000"/>
        </w:rPr>
        <w:drawing>
          <wp:anchor distT="0" distB="0" distL="114300" distR="114300" simplePos="0" relativeHeight="251669504" behindDoc="1" locked="0" layoutInCell="1" allowOverlap="1">
            <wp:simplePos x="0" y="0"/>
            <wp:positionH relativeFrom="column">
              <wp:posOffset>1874520</wp:posOffset>
            </wp:positionH>
            <wp:positionV relativeFrom="paragraph">
              <wp:posOffset>5376545</wp:posOffset>
            </wp:positionV>
            <wp:extent cx="4039235" cy="3648075"/>
            <wp:effectExtent l="0" t="0" r="18415" b="0"/>
            <wp:wrapNone/>
            <wp:docPr id="10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4"/>
                    <pic:cNvPicPr>
                      <a:picLocks noChangeAspect="1"/>
                    </pic:cNvPicPr>
                  </pic:nvPicPr>
                  <pic:blipFill>
                    <a:blip r:embed="rId17"/>
                    <a:stretch>
                      <a:fillRect/>
                    </a:stretch>
                  </pic:blipFill>
                  <pic:spPr>
                    <a:xfrm>
                      <a:off x="0" y="0"/>
                      <a:ext cx="4039235" cy="3648075"/>
                    </a:xfrm>
                    <a:prstGeom prst="rect">
                      <a:avLst/>
                    </a:prstGeom>
                    <a:noFill/>
                    <a:ln>
                      <a:noFill/>
                    </a:ln>
                  </pic:spPr>
                </pic:pic>
              </a:graphicData>
            </a:graphic>
          </wp:anchor>
        </w:drawing>
      </w:r>
      <w:r>
        <w:rPr>
          <w:rFonts w:hint="default" w:ascii="Times New Roman" w:hAnsi="Times New Roman" w:cs="Times New Roman"/>
          <w:color w:val="000000"/>
        </w:rPr>
        <w:drawing>
          <wp:anchor distT="0" distB="0" distL="114300" distR="114300" simplePos="0" relativeHeight="251668480" behindDoc="1" locked="0" layoutInCell="1" allowOverlap="1">
            <wp:simplePos x="0" y="0"/>
            <wp:positionH relativeFrom="column">
              <wp:posOffset>1722120</wp:posOffset>
            </wp:positionH>
            <wp:positionV relativeFrom="paragraph">
              <wp:posOffset>5224145</wp:posOffset>
            </wp:positionV>
            <wp:extent cx="4039235" cy="3648075"/>
            <wp:effectExtent l="0" t="0" r="18415" b="0"/>
            <wp:wrapNone/>
            <wp:docPr id="10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3"/>
                    <pic:cNvPicPr>
                      <a:picLocks noChangeAspect="1"/>
                    </pic:cNvPicPr>
                  </pic:nvPicPr>
                  <pic:blipFill>
                    <a:blip r:embed="rId17"/>
                    <a:stretch>
                      <a:fillRect/>
                    </a:stretch>
                  </pic:blipFill>
                  <pic:spPr>
                    <a:xfrm>
                      <a:off x="0" y="0"/>
                      <a:ext cx="4039235" cy="3648075"/>
                    </a:xfrm>
                    <a:prstGeom prst="rect">
                      <a:avLst/>
                    </a:prstGeom>
                    <a:noFill/>
                    <a:ln>
                      <a:noFill/>
                    </a:ln>
                  </pic:spPr>
                </pic:pic>
              </a:graphicData>
            </a:graphic>
          </wp:anchor>
        </w:drawing>
      </w:r>
    </w:p>
    <w:p>
      <w:pPr>
        <w:jc w:val="center"/>
        <w:rPr>
          <w:rFonts w:hint="default" w:ascii="Times New Roman" w:hAnsi="Times New Roman" w:cs="Times New Roman"/>
          <w:b/>
          <w:bCs/>
          <w:sz w:val="24"/>
        </w:rPr>
      </w:pPr>
      <w:r>
        <w:rPr>
          <w:rFonts w:hint="default" w:ascii="Times New Roman" w:hAnsi="Times New Roman" w:cs="Times New Roman"/>
          <w:b/>
          <w:sz w:val="24"/>
          <w:szCs w:val="24"/>
        </w:rPr>
        <w:t xml:space="preserve">图2.4-1 </w:t>
      </w:r>
      <w:r>
        <w:rPr>
          <w:rFonts w:hint="default" w:ascii="Times New Roman" w:hAnsi="Times New Roman" w:cs="Times New Roman"/>
          <w:b/>
          <w:sz w:val="24"/>
          <w:szCs w:val="24"/>
          <w:lang w:val="en-US" w:eastAsia="zh-CN"/>
        </w:rPr>
        <w:t xml:space="preserve"> </w:t>
      </w:r>
      <w:r>
        <w:rPr>
          <w:rFonts w:hint="default" w:ascii="Times New Roman" w:hAnsi="Times New Roman" w:cs="Times New Roman"/>
          <w:b/>
          <w:bCs/>
          <w:sz w:val="24"/>
        </w:rPr>
        <w:t>项目生产工艺及产污节点图</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工艺流程简述：</w:t>
      </w:r>
    </w:p>
    <w:p>
      <w:pPr>
        <w:spacing w:line="360" w:lineRule="auto"/>
        <w:ind w:firstLine="560" w:firstLineChars="200"/>
        <w:rPr>
          <w:rFonts w:hint="default" w:ascii="Times New Roman" w:hAnsi="Times New Roman" w:eastAsia="仿宋" w:cs="Times New Roman"/>
          <w:sz w:val="28"/>
          <w:szCs w:val="28"/>
        </w:rPr>
      </w:pPr>
      <w:bookmarkStart w:id="152" w:name="_Toc24538"/>
      <w:r>
        <w:rPr>
          <w:rFonts w:hint="default" w:ascii="Times New Roman" w:hAnsi="Times New Roman" w:eastAsia="仿宋" w:cs="Times New Roman"/>
          <w:sz w:val="28"/>
          <w:szCs w:val="28"/>
          <w:lang w:val="en-US" w:eastAsia="zh-CN"/>
        </w:rPr>
        <w:t>公司</w:t>
      </w:r>
      <w:r>
        <w:rPr>
          <w:rFonts w:hint="default" w:ascii="Times New Roman" w:hAnsi="Times New Roman" w:eastAsia="仿宋" w:cs="Times New Roman"/>
          <w:sz w:val="28"/>
          <w:szCs w:val="28"/>
        </w:rPr>
        <w:t>机械加工生产的设备主要由外壳、配套金属零件以及关键零部件组成，</w:t>
      </w:r>
      <w:r>
        <w:rPr>
          <w:rFonts w:hint="eastAsia" w:eastAsia="仿宋" w:cs="Times New Roman"/>
          <w:sz w:val="28"/>
          <w:szCs w:val="28"/>
          <w:lang w:val="en-US" w:eastAsia="zh-CN"/>
        </w:rPr>
        <w:t>公司</w:t>
      </w:r>
      <w:r>
        <w:rPr>
          <w:rFonts w:hint="default" w:ascii="Times New Roman" w:hAnsi="Times New Roman" w:eastAsia="仿宋" w:cs="Times New Roman"/>
          <w:sz w:val="28"/>
          <w:szCs w:val="28"/>
        </w:rPr>
        <w:t>只进行外壳以及配套金属零件的机械加工，其关键零部件（轴承、电机、齿轮等）均为外购，在厂区组装完成检验合格后即外售。</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（1）剪板：</w:t>
      </w:r>
      <w:bookmarkStart w:id="153" w:name="OLE_LINK17"/>
      <w:bookmarkStart w:id="154" w:name="OLE_LINK16"/>
      <w:r>
        <w:rPr>
          <w:rFonts w:hint="default" w:ascii="Times New Roman" w:hAnsi="Times New Roman" w:eastAsia="仿宋" w:cs="Times New Roman"/>
          <w:sz w:val="28"/>
          <w:szCs w:val="28"/>
        </w:rPr>
        <w:t>根据客户要求形状和尺寸对外购的钢板和钢管进行</w:t>
      </w:r>
      <w:bookmarkEnd w:id="153"/>
      <w:bookmarkEnd w:id="154"/>
      <w:r>
        <w:rPr>
          <w:rFonts w:hint="default" w:ascii="Times New Roman" w:hAnsi="Times New Roman" w:eastAsia="仿宋" w:cs="Times New Roman"/>
          <w:sz w:val="28"/>
          <w:szCs w:val="28"/>
        </w:rPr>
        <w:t>下料后，外壳外协进行表面喷涂，其余进行机械加工成配套零件。机械加工过程中会产生废边角料（S1）和设备运行噪声（N）。</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机加工：下料后的部分材料利用车床、钻床、磨床和铣床等进行配套金属零件的加工。机械加工过程中会产生打磨粉尘（G1）、废边角料（S2）、切削渣（S3）、废砂轮（S4）和设备运行噪声（N）。打磨粉尘主要来自砂轮打磨零件表面产生的废气；磨床加工零件是加入切削液起到冷却和润滑的作用，切削液经过滤后循环使用，因此会产生切削渣。</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（3）焊接：用CO2保护焊机将板材焊接成外壳，此过程主要产生焊接烟尘（G2）和焊渣（S5）。</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（4）组装：将外壳、加工的金属部件和外购零部件组装成成品。</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（5）检验、出厂：组装好的产品经检验合格后出厂。</w:t>
      </w:r>
    </w:p>
    <w:p>
      <w:pPr>
        <w:pStyle w:val="22"/>
        <w:ind w:left="0" w:leftChars="0"/>
        <w:outlineLvl w:val="1"/>
        <w:rPr>
          <w:rFonts w:hint="default" w:ascii="Times New Roman" w:hAnsi="Times New Roman" w:eastAsia="仿宋" w:cs="Times New Roman"/>
          <w:b/>
          <w:szCs w:val="28"/>
          <w:lang w:val="en-US" w:eastAsia="zh-CN"/>
        </w:rPr>
      </w:pPr>
      <w:r>
        <w:rPr>
          <w:rFonts w:hint="default" w:ascii="Times New Roman" w:hAnsi="Times New Roman" w:eastAsia="仿宋" w:cs="Times New Roman"/>
          <w:b/>
          <w:szCs w:val="28"/>
          <w:lang w:val="en-US" w:eastAsia="zh-CN"/>
        </w:rPr>
        <w:t>2.5 污染物产生及处理情况</w:t>
      </w:r>
      <w:bookmarkEnd w:id="148"/>
      <w:bookmarkEnd w:id="149"/>
      <w:bookmarkEnd w:id="150"/>
      <w:bookmarkEnd w:id="152"/>
    </w:p>
    <w:bookmarkEnd w:id="151"/>
    <w:p>
      <w:pPr>
        <w:spacing w:line="360" w:lineRule="auto"/>
        <w:ind w:firstLine="560" w:firstLineChars="200"/>
        <w:rPr>
          <w:rFonts w:hint="default" w:ascii="Times New Roman" w:hAnsi="Times New Roman" w:eastAsia="仿宋" w:cs="Times New Roman"/>
          <w:sz w:val="28"/>
          <w:szCs w:val="28"/>
        </w:rPr>
      </w:pPr>
      <w:bookmarkStart w:id="155" w:name="_Toc54050868"/>
      <w:bookmarkStart w:id="156" w:name="_Toc27261"/>
      <w:bookmarkStart w:id="157" w:name="_Toc13240"/>
      <w:r>
        <w:rPr>
          <w:rFonts w:hint="default" w:ascii="Times New Roman" w:hAnsi="Times New Roman" w:eastAsia="仿宋" w:cs="Times New Roman"/>
          <w:sz w:val="28"/>
          <w:szCs w:val="28"/>
        </w:rPr>
        <w:t>（1）水污染物</w:t>
      </w:r>
    </w:p>
    <w:p>
      <w:pPr>
        <w:spacing w:line="360" w:lineRule="auto"/>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rPr>
        <w:t>项目运营期间无生产废水产生，主要废水是生活污水。生活废水依托佳美面粉厂化粪池收集后经市政污水管网排入朝阳污水处理厂。</w:t>
      </w:r>
    </w:p>
    <w:p>
      <w:pPr>
        <w:numPr>
          <w:ilvl w:val="0"/>
          <w:numId w:val="1"/>
        </w:num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大气污染物</w:t>
      </w:r>
      <w:r>
        <w:rPr>
          <w:rFonts w:hint="eastAsia" w:ascii="Times New Roman" w:hAnsi="Times New Roman" w:eastAsia="仿宋" w:cs="Times New Roman"/>
          <w:sz w:val="28"/>
          <w:szCs w:val="28"/>
          <w:lang w:val="en-US" w:eastAsia="zh-CN"/>
        </w:rPr>
        <w:t>：</w:t>
      </w:r>
      <w:r>
        <w:rPr>
          <w:rFonts w:hint="default" w:ascii="Times New Roman" w:hAnsi="Times New Roman" w:eastAsia="仿宋" w:cs="Times New Roman"/>
          <w:sz w:val="28"/>
          <w:szCs w:val="28"/>
        </w:rPr>
        <w:t>项目废气为焊接烟尘和打磨粉尘。</w:t>
      </w:r>
    </w:p>
    <w:p>
      <w:pPr>
        <w:spacing w:line="240" w:lineRule="auto"/>
        <w:ind w:firstLine="560"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（1）焊接烟尘</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项目运营期间焊接工序会产生焊接烟尘，建设单位在厂区设置有移动式焊烟净化器，焊接烟尘经移动式焊烟净化器处理后无组织排放。</w:t>
      </w:r>
    </w:p>
    <w:p>
      <w:pPr>
        <w:bidi w:val="0"/>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lang w:val="en-US" w:eastAsia="zh-CN"/>
        </w:rPr>
        <w:t>2</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打磨粉尘</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项目营运期间用砂轮打磨零件表面时会产生粉尘，主要是金属屑和砂轮颗粒，建设单位在砂轮机设置有集气罩处理后在厂房内无组织排放。</w:t>
      </w:r>
    </w:p>
    <w:p>
      <w:pPr>
        <w:bidi w:val="0"/>
        <w:jc w:val="center"/>
        <w:rPr>
          <w:rFonts w:hint="default" w:ascii="Times New Roman" w:hAnsi="Times New Roman" w:eastAsia="仿宋" w:cs="Times New Roman"/>
          <w:sz w:val="28"/>
          <w:szCs w:val="28"/>
        </w:rPr>
      </w:pPr>
      <w:r>
        <w:rPr>
          <w:rFonts w:hint="default" w:ascii="Times New Roman" w:hAnsi="Times New Roman" w:eastAsia="仿宋" w:cs="Times New Roman"/>
          <w:sz w:val="22"/>
        </w:rPr>
        <mc:AlternateContent>
          <mc:Choice Requires="wps">
            <w:drawing>
              <wp:anchor distT="0" distB="0" distL="114300" distR="114300" simplePos="0" relativeHeight="251666432" behindDoc="0" locked="0" layoutInCell="1" allowOverlap="1">
                <wp:simplePos x="0" y="0"/>
                <wp:positionH relativeFrom="column">
                  <wp:posOffset>3192780</wp:posOffset>
                </wp:positionH>
                <wp:positionV relativeFrom="paragraph">
                  <wp:posOffset>1633220</wp:posOffset>
                </wp:positionV>
                <wp:extent cx="1149985" cy="269875"/>
                <wp:effectExtent l="4445" t="4445" r="7620" b="11430"/>
                <wp:wrapNone/>
                <wp:docPr id="99" name="文本框 99"/>
                <wp:cNvGraphicFramePr/>
                <a:graphic xmlns:a="http://schemas.openxmlformats.org/drawingml/2006/main">
                  <a:graphicData uri="http://schemas.microsoft.com/office/word/2010/wordprocessingShape">
                    <wps:wsp>
                      <wps:cNvSpPr txBox="1"/>
                      <wps:spPr>
                        <a:xfrm>
                          <a:off x="0" y="0"/>
                          <a:ext cx="1149985" cy="2698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eastAsia="宋体"/>
                                <w:b/>
                                <w:bCs/>
                                <w:lang w:val="en-US" w:eastAsia="zh-CN"/>
                              </w:rPr>
                            </w:pPr>
                            <w:r>
                              <w:rPr>
                                <w:rFonts w:hint="eastAsia"/>
                                <w:b/>
                                <w:bCs/>
                                <w:szCs w:val="21"/>
                                <w:lang w:val="en-US" w:eastAsia="zh-CN"/>
                              </w:rPr>
                              <w:t>双臂焊烟净化器</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51.4pt;margin-top:128.6pt;height:21.25pt;width:90.55pt;z-index:251666432;mso-width-relative:page;mso-height-relative:page;" fillcolor="#FFFFFF [3201]" filled="t" stroked="t" coordsize="21600,21600" o:gfxdata="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">
                <v:fill on="t" focussize="0,0"/>
                <v:stroke weight="0.5pt" color="#000000 [3204]" joinstyle="round"/>
                <v:imagedata o:title=""/>
                <o:lock v:ext="edit" aspectratio="f"/>
                <v:textbox>
                  <w:txbxContent>
                    <w:p>
                      <w:pPr>
                        <w:jc w:val="center"/>
                        <w:rPr>
                          <w:rFonts w:hint="eastAsia" w:eastAsia="宋体"/>
                          <w:b/>
                          <w:bCs/>
                          <w:lang w:val="en-US" w:eastAsia="zh-CN"/>
                        </w:rPr>
                      </w:pPr>
                      <w:r>
                        <w:rPr>
                          <w:rFonts w:hint="eastAsia"/>
                          <w:b/>
                          <w:bCs/>
                          <w:szCs w:val="21"/>
                          <w:lang w:val="en-US" w:eastAsia="zh-CN"/>
                        </w:rPr>
                        <w:t>双臂焊烟净化器</w:t>
                      </w:r>
                    </w:p>
                  </w:txbxContent>
                </v:textbox>
              </v:shape>
            </w:pict>
          </mc:Fallback>
        </mc:AlternateContent>
      </w:r>
      <w:r>
        <w:rPr>
          <w:rFonts w:hint="default" w:ascii="Times New Roman" w:hAnsi="Times New Roman" w:eastAsia="仿宋" w:cs="Times New Roman"/>
          <w:szCs w:val="21"/>
        </w:rPr>
        <w:drawing>
          <wp:inline distT="0" distB="0" distL="0" distR="0">
            <wp:extent cx="3387725" cy="1812925"/>
            <wp:effectExtent l="15875" t="15875" r="25400" b="19050"/>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pic:cNvPicPr>
                      <a:picLocks noChangeAspect="1" noChangeArrowheads="1"/>
                    </pic:cNvPicPr>
                  </pic:nvPicPr>
                  <pic:blipFill>
                    <a:blip r:embed="rId18" cstate="print"/>
                    <a:srcRect/>
                    <a:stretch>
                      <a:fillRect/>
                    </a:stretch>
                  </pic:blipFill>
                  <pic:spPr>
                    <a:xfrm>
                      <a:off x="0" y="0"/>
                      <a:ext cx="3387725" cy="1812925"/>
                    </a:xfrm>
                    <a:prstGeom prst="rect">
                      <a:avLst/>
                    </a:prstGeom>
                    <a:noFill/>
                    <a:ln w="15875" cmpd="sng">
                      <a:solidFill>
                        <a:schemeClr val="accent1">
                          <a:shade val="50000"/>
                        </a:schemeClr>
                      </a:solidFill>
                      <a:prstDash val="solid"/>
                      <a:miter lim="800000"/>
                      <a:headEnd/>
                      <a:tailEnd/>
                    </a:ln>
                  </pic:spPr>
                </pic:pic>
              </a:graphicData>
            </a:graphic>
          </wp:inline>
        </w:drawing>
      </w:r>
    </w:p>
    <w:p>
      <w:pPr>
        <w:spacing w:line="240" w:lineRule="auto"/>
        <w:ind w:firstLine="560" w:firstLineChars="200"/>
        <w:jc w:val="left"/>
        <w:rPr>
          <w:rFonts w:hint="default" w:ascii="Times New Roman" w:hAnsi="Times New Roman" w:eastAsia="仿宋" w:cs="Times New Roman"/>
          <w:sz w:val="28"/>
          <w:szCs w:val="28"/>
          <w:lang w:val="en-US" w:eastAsia="zh-CN"/>
        </w:rPr>
      </w:pPr>
      <w:r>
        <w:rPr>
          <w:rFonts w:hint="default" w:ascii="Times New Roman" w:hAnsi="Times New Roman" w:eastAsia="仿宋" w:cs="Times New Roman"/>
          <w:sz w:val="28"/>
          <w:szCs w:val="28"/>
          <w:lang w:val="en-US" w:eastAsia="zh-CN"/>
        </w:rPr>
        <w:t>（3）噪声：项目噪声污染源主要来源于生产过中机械设备，主要包括铣床、钻床等生产设备运行时产生的噪声，噪声值为75~90dB（A）。运行期间主要噪声源，源强及治理措施见下表3-2。</w:t>
      </w:r>
    </w:p>
    <w:p>
      <w:pPr>
        <w:spacing w:line="240" w:lineRule="auto"/>
        <w:jc w:val="center"/>
        <w:rPr>
          <w:rFonts w:hint="default" w:ascii="Times New Roman" w:hAnsi="Times New Roman" w:eastAsia="仿宋" w:cs="Times New Roman"/>
          <w:b/>
          <w:bCs/>
          <w:sz w:val="21"/>
          <w:szCs w:val="21"/>
        </w:rPr>
      </w:pPr>
      <w:r>
        <w:rPr>
          <w:rFonts w:hint="default" w:ascii="Times New Roman" w:hAnsi="Times New Roman" w:eastAsia="仿宋" w:cs="Times New Roman"/>
          <w:b/>
          <w:bCs/>
          <w:sz w:val="21"/>
          <w:szCs w:val="21"/>
        </w:rPr>
        <w:t>表3-2  主要噪声源强</w:t>
      </w:r>
    </w:p>
    <w:tbl>
      <w:tblPr>
        <w:tblStyle w:val="28"/>
        <w:tblW w:w="8720" w:type="dxa"/>
        <w:jc w:val="center"/>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023"/>
        <w:gridCol w:w="2429"/>
        <w:gridCol w:w="864"/>
        <w:gridCol w:w="1942"/>
        <w:gridCol w:w="2462"/>
      </w:tblGrid>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14"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序号</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设备名称</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数量</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噪声值</w:t>
            </w:r>
            <w:r>
              <w:rPr>
                <w:rFonts w:hint="default" w:ascii="Times New Roman" w:hAnsi="Times New Roman" w:eastAsia="仿宋" w:cs="Times New Roman"/>
                <w:b/>
                <w:bCs/>
                <w:color w:val="000000"/>
                <w:sz w:val="24"/>
                <w:szCs w:val="24"/>
              </w:rPr>
              <w:t>dB（A）</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b/>
                <w:color w:val="000000"/>
                <w:sz w:val="24"/>
                <w:szCs w:val="24"/>
              </w:rPr>
            </w:pPr>
            <w:r>
              <w:rPr>
                <w:rFonts w:hint="default" w:ascii="Times New Roman" w:hAnsi="Times New Roman" w:eastAsia="仿宋" w:cs="Times New Roman"/>
                <w:b/>
                <w:color w:val="000000"/>
                <w:sz w:val="24"/>
                <w:szCs w:val="24"/>
              </w:rPr>
              <w:t>治理措施</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2429" w:type="dxa"/>
            <w:tcBorders>
              <w:tl2br w:val="nil"/>
              <w:tr2bl w:val="nil"/>
            </w:tcBorders>
            <w:tcMar>
              <w:top w:w="0" w:type="dxa"/>
              <w:left w:w="108" w:type="dxa"/>
              <w:bottom w:w="0" w:type="dxa"/>
              <w:right w:w="108" w:type="dxa"/>
            </w:tcMar>
            <w:vAlign w:val="center"/>
          </w:tcPr>
          <w:p>
            <w:pPr>
              <w:spacing w:line="240" w:lineRule="auto"/>
              <w:jc w:val="center"/>
              <w:textAlignment w:val="center"/>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外圆磨</w:t>
            </w:r>
          </w:p>
        </w:tc>
        <w:tc>
          <w:tcPr>
            <w:tcW w:w="864" w:type="dxa"/>
            <w:tcBorders>
              <w:tl2br w:val="nil"/>
              <w:tr2bl w:val="nil"/>
            </w:tcBorders>
            <w:tcMar>
              <w:top w:w="0" w:type="dxa"/>
              <w:left w:w="108" w:type="dxa"/>
              <w:bottom w:w="0" w:type="dxa"/>
              <w:right w:w="108" w:type="dxa"/>
            </w:tcMar>
            <w:vAlign w:val="center"/>
          </w:tcPr>
          <w:p>
            <w:pPr>
              <w:spacing w:line="240" w:lineRule="auto"/>
              <w:jc w:val="center"/>
              <w:textAlignment w:val="center"/>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2429" w:type="dxa"/>
            <w:tcBorders>
              <w:tl2br w:val="nil"/>
              <w:tr2bl w:val="nil"/>
            </w:tcBorders>
            <w:tcMar>
              <w:top w:w="0" w:type="dxa"/>
              <w:left w:w="108" w:type="dxa"/>
              <w:bottom w:w="0" w:type="dxa"/>
              <w:right w:w="108" w:type="dxa"/>
            </w:tcMar>
            <w:vAlign w:val="center"/>
          </w:tcPr>
          <w:p>
            <w:pPr>
              <w:spacing w:line="240" w:lineRule="auto"/>
              <w:jc w:val="center"/>
              <w:textAlignment w:val="center"/>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磨床</w:t>
            </w:r>
          </w:p>
        </w:tc>
        <w:tc>
          <w:tcPr>
            <w:tcW w:w="864" w:type="dxa"/>
            <w:tcBorders>
              <w:tl2br w:val="nil"/>
              <w:tr2bl w:val="nil"/>
            </w:tcBorders>
            <w:tcMar>
              <w:top w:w="0" w:type="dxa"/>
              <w:left w:w="108" w:type="dxa"/>
              <w:bottom w:w="0" w:type="dxa"/>
              <w:right w:w="108" w:type="dxa"/>
            </w:tcMar>
            <w:vAlign w:val="center"/>
          </w:tcPr>
          <w:p>
            <w:pPr>
              <w:spacing w:line="240" w:lineRule="auto"/>
              <w:jc w:val="center"/>
              <w:textAlignment w:val="center"/>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3</w:t>
            </w:r>
          </w:p>
        </w:tc>
        <w:tc>
          <w:tcPr>
            <w:tcW w:w="2429" w:type="dxa"/>
            <w:tcBorders>
              <w:tl2br w:val="nil"/>
              <w:tr2bl w:val="nil"/>
            </w:tcBorders>
            <w:tcMar>
              <w:top w:w="0" w:type="dxa"/>
              <w:left w:w="108" w:type="dxa"/>
              <w:bottom w:w="0" w:type="dxa"/>
              <w:right w:w="108" w:type="dxa"/>
            </w:tcMar>
            <w:vAlign w:val="center"/>
          </w:tcPr>
          <w:p>
            <w:pPr>
              <w:spacing w:line="240" w:lineRule="auto"/>
              <w:jc w:val="center"/>
              <w:textAlignment w:val="center"/>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摇臂钻</w:t>
            </w:r>
          </w:p>
        </w:tc>
        <w:tc>
          <w:tcPr>
            <w:tcW w:w="864" w:type="dxa"/>
            <w:tcBorders>
              <w:tl2br w:val="nil"/>
              <w:tr2bl w:val="nil"/>
            </w:tcBorders>
            <w:tcMar>
              <w:top w:w="0" w:type="dxa"/>
              <w:left w:w="108" w:type="dxa"/>
              <w:bottom w:w="0" w:type="dxa"/>
              <w:right w:w="108" w:type="dxa"/>
            </w:tcMar>
            <w:vAlign w:val="center"/>
          </w:tcPr>
          <w:p>
            <w:pPr>
              <w:spacing w:line="240" w:lineRule="auto"/>
              <w:jc w:val="center"/>
              <w:textAlignment w:val="center"/>
              <w:rPr>
                <w:rFonts w:hint="default" w:ascii="Times New Roman" w:hAnsi="Times New Roman" w:eastAsia="仿宋" w:cs="Times New Roman"/>
                <w:color w:val="000000"/>
                <w:sz w:val="24"/>
                <w:szCs w:val="24"/>
              </w:rPr>
            </w:pPr>
            <w:r>
              <w:rPr>
                <w:rFonts w:hint="default" w:ascii="Times New Roman" w:hAnsi="Times New Roman" w:eastAsia="仿宋" w:cs="Times New Roman"/>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4</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台钻</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5</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小台钻</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3</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立钻</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立式升降式铣床</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277"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8</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卧式万能升降台铣床</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3</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9</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工具铣</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10</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车床</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11</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锯床</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12</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二保焊机</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13</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焊接烟尘净化器</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14</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台式攻丝机</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15</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手动校直机</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16</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单注液压机</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75~85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17</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砂轮机</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65~75</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18</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加工中心</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09"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19</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雕刻机</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r>
        <w:tblPrEx>
          <w:tblBorders>
            <w:top w:val="single" w:color="000000" w:sz="12" w:space="0"/>
            <w:left w:val="none" w:color="auto" w:sz="0" w:space="0"/>
            <w:bottom w:val="single" w:color="000000" w:sz="12"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38" w:hRule="atLeast"/>
          <w:jc w:val="center"/>
        </w:trPr>
        <w:tc>
          <w:tcPr>
            <w:tcW w:w="1023"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20</w:t>
            </w:r>
          </w:p>
        </w:tc>
        <w:tc>
          <w:tcPr>
            <w:tcW w:w="2429"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镗床</w:t>
            </w:r>
          </w:p>
        </w:tc>
        <w:tc>
          <w:tcPr>
            <w:tcW w:w="864"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1</w:t>
            </w:r>
          </w:p>
        </w:tc>
        <w:tc>
          <w:tcPr>
            <w:tcW w:w="194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70~80</w:t>
            </w:r>
          </w:p>
        </w:tc>
        <w:tc>
          <w:tcPr>
            <w:tcW w:w="2462" w:type="dxa"/>
            <w:tcBorders>
              <w:tl2br w:val="nil"/>
              <w:tr2bl w:val="nil"/>
            </w:tcBorders>
            <w:tcMar>
              <w:top w:w="0" w:type="dxa"/>
              <w:left w:w="108" w:type="dxa"/>
              <w:bottom w:w="0" w:type="dxa"/>
              <w:right w:w="108" w:type="dxa"/>
            </w:tcMar>
            <w:vAlign w:val="center"/>
          </w:tcPr>
          <w:p>
            <w:pPr>
              <w:spacing w:line="240" w:lineRule="auto"/>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厂房隔声、基础减振</w:t>
            </w:r>
          </w:p>
        </w:tc>
      </w:tr>
    </w:tbl>
    <w:p>
      <w:pPr>
        <w:spacing w:line="360" w:lineRule="auto"/>
        <w:ind w:firstLine="560" w:firstLineChars="200"/>
        <w:rPr>
          <w:rFonts w:hint="default" w:ascii="Times New Roman" w:hAnsi="Times New Roman" w:eastAsia="仿宋" w:cs="Times New Roman"/>
          <w:b/>
          <w:bCs/>
          <w:sz w:val="28"/>
          <w:szCs w:val="28"/>
        </w:rPr>
      </w:pPr>
      <w:r>
        <w:rPr>
          <w:rFonts w:hint="default" w:ascii="Times New Roman" w:hAnsi="Times New Roman" w:eastAsia="仿宋" w:cs="Times New Roman"/>
          <w:sz w:val="28"/>
          <w:szCs w:val="28"/>
        </w:rPr>
        <w:t>建设单位</w:t>
      </w:r>
      <w:r>
        <w:rPr>
          <w:rFonts w:hint="default" w:ascii="Times New Roman" w:hAnsi="Times New Roman" w:eastAsia="仿宋" w:cs="Times New Roman"/>
          <w:color w:val="000000"/>
          <w:sz w:val="28"/>
          <w:szCs w:val="28"/>
        </w:rPr>
        <w:t>将产噪设备置于厂房内、基础减振、加强设备维护等措施</w:t>
      </w:r>
      <w:r>
        <w:rPr>
          <w:rFonts w:hint="default" w:ascii="Times New Roman" w:hAnsi="Times New Roman" w:eastAsia="仿宋" w:cs="Times New Roman"/>
          <w:sz w:val="28"/>
          <w:szCs w:val="28"/>
        </w:rPr>
        <w:t>的方式隔声降噪，确保厂界噪声达标排放。</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w:t>
      </w:r>
      <w:r>
        <w:rPr>
          <w:rFonts w:hint="eastAsia" w:ascii="Times New Roman" w:hAnsi="Times New Roman" w:eastAsia="仿宋" w:cs="Times New Roman"/>
          <w:sz w:val="28"/>
          <w:szCs w:val="28"/>
          <w:lang w:val="en-US" w:eastAsia="zh-CN"/>
        </w:rPr>
        <w:t>4</w:t>
      </w:r>
      <w:r>
        <w:rPr>
          <w:rFonts w:hint="default" w:ascii="Times New Roman" w:hAnsi="Times New Roman" w:eastAsia="仿宋" w:cs="Times New Roman"/>
          <w:sz w:val="28"/>
          <w:szCs w:val="28"/>
        </w:rPr>
        <w:t>）固体废物</w:t>
      </w:r>
    </w:p>
    <w:p>
      <w:pPr>
        <w:bidi w:val="0"/>
        <w:ind w:firstLine="560" w:firstLineChars="200"/>
        <w:jc w:val="left"/>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项目营运过程中产生的固体废物主要是机械加工过程中产生的废边角料、切削渣、废砂轮、焊渣、机械维修产生废润滑油和废含油棉纱以及员工生活垃圾。废边角料、废砂轮和焊渣收集后暂存于固废暂存间定期外售综合利用；切削液、废润滑油和废含油棉纱应严格按照危险废物的储存、处置要求，采用专用容器分类收集在危废暂存间后定期交有资质单位处理；生活垃圾收集后委托环卫部门定期清运。采取以上措施后，固体废物对周围的环境影响较小。</w:t>
      </w:r>
    </w:p>
    <w:p>
      <w:pPr>
        <w:bidi w:val="0"/>
        <w:ind w:firstLine="440" w:firstLineChars="200"/>
        <w:jc w:val="center"/>
        <w:rPr>
          <w:rFonts w:hint="default" w:ascii="Times New Roman" w:hAnsi="Times New Roman" w:cs="Times New Roman"/>
        </w:rPr>
      </w:pPr>
      <w:r>
        <w:rPr>
          <w:rFonts w:hint="default" w:ascii="Times New Roman" w:hAnsi="Times New Roman" w:cs="Times New Roman"/>
          <w:sz w:val="22"/>
        </w:rPr>
        <mc:AlternateContent>
          <mc:Choice Requires="wps">
            <w:drawing>
              <wp:anchor distT="0" distB="0" distL="114300" distR="114300" simplePos="0" relativeHeight="251667456" behindDoc="0" locked="0" layoutInCell="1" allowOverlap="1">
                <wp:simplePos x="0" y="0"/>
                <wp:positionH relativeFrom="column">
                  <wp:posOffset>3077845</wp:posOffset>
                </wp:positionH>
                <wp:positionV relativeFrom="paragraph">
                  <wp:posOffset>1845945</wp:posOffset>
                </wp:positionV>
                <wp:extent cx="868680" cy="269875"/>
                <wp:effectExtent l="4445" t="4445" r="22225" b="11430"/>
                <wp:wrapNone/>
                <wp:docPr id="101" name="文本框 101"/>
                <wp:cNvGraphicFramePr/>
                <a:graphic xmlns:a="http://schemas.openxmlformats.org/drawingml/2006/main">
                  <a:graphicData uri="http://schemas.microsoft.com/office/word/2010/wordprocessingShape">
                    <wps:wsp>
                      <wps:cNvSpPr txBox="1"/>
                      <wps:spPr>
                        <a:xfrm>
                          <a:off x="0" y="0"/>
                          <a:ext cx="868680" cy="269875"/>
                        </a:xfrm>
                        <a:prstGeom prst="rect">
                          <a:avLst/>
                        </a:prstGeom>
                        <a:solidFill>
                          <a:schemeClr val="lt1"/>
                        </a:solidFill>
                        <a:ln w="6350">
                          <a:solidFill>
                            <a:prstClr val="black"/>
                          </a:solidFill>
                        </a:ln>
                      </wps:spPr>
                      <wps:style>
                        <a:lnRef idx="0">
                          <a:schemeClr val="accent1"/>
                        </a:lnRef>
                        <a:fillRef idx="0">
                          <a:schemeClr val="accent1"/>
                        </a:fillRef>
                        <a:effectRef idx="0">
                          <a:schemeClr val="accent1"/>
                        </a:effectRef>
                        <a:fontRef idx="minor">
                          <a:schemeClr val="dk1"/>
                        </a:fontRef>
                      </wps:style>
                      <wps:txbx>
                        <w:txbxContent>
                          <w:p>
                            <w:pPr>
                              <w:jc w:val="center"/>
                              <w:rPr>
                                <w:rFonts w:hint="eastAsia"/>
                                <w:b/>
                                <w:bCs/>
                                <w:szCs w:val="21"/>
                                <w:lang w:val="en-US" w:eastAsia="zh-CN"/>
                              </w:rPr>
                            </w:pPr>
                            <w:r>
                              <w:rPr>
                                <w:rFonts w:hint="eastAsia"/>
                                <w:b/>
                                <w:bCs/>
                                <w:szCs w:val="21"/>
                                <w:lang w:val="en-US" w:eastAsia="zh-CN"/>
                              </w:rPr>
                              <w:t>危废暂存间</w:t>
                            </w:r>
                          </w:p>
                          <w:p>
                            <w:pPr>
                              <w:rPr>
                                <w:rFonts w:hint="eastAsia"/>
                                <w:b/>
                                <w:bCs/>
                                <w:szCs w:val="21"/>
                                <w:lang w:val="en-US"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42.35pt;margin-top:145.35pt;height:21.25pt;width:68.4pt;z-index:251667456;mso-width-relative:page;mso-height-relative:page;" fillcolor="#FFFFFF [3201]" filled="t" stroked="t" coordsize="21600,21600" o:gfxdata="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">
                <v:fill on="t" focussize="0,0"/>
                <v:stroke weight="0.5pt" color="#000000 [3204]" joinstyle="round"/>
                <v:imagedata o:title=""/>
                <o:lock v:ext="edit" aspectratio="f"/>
                <v:textbox>
                  <w:txbxContent>
                    <w:p>
                      <w:pPr>
                        <w:jc w:val="center"/>
                        <w:rPr>
                          <w:rFonts w:hint="eastAsia"/>
                          <w:b/>
                          <w:bCs/>
                          <w:szCs w:val="21"/>
                          <w:lang w:val="en-US" w:eastAsia="zh-CN"/>
                        </w:rPr>
                      </w:pPr>
                      <w:r>
                        <w:rPr>
                          <w:rFonts w:hint="eastAsia"/>
                          <w:b/>
                          <w:bCs/>
                          <w:szCs w:val="21"/>
                          <w:lang w:val="en-US" w:eastAsia="zh-CN"/>
                        </w:rPr>
                        <w:t>危废暂存间</w:t>
                      </w:r>
                    </w:p>
                    <w:p>
                      <w:pPr>
                        <w:rPr>
                          <w:rFonts w:hint="eastAsia"/>
                          <w:b/>
                          <w:bCs/>
                          <w:szCs w:val="21"/>
                          <w:lang w:val="en-US" w:eastAsia="zh-CN"/>
                        </w:rPr>
                      </w:pPr>
                    </w:p>
                  </w:txbxContent>
                </v:textbox>
              </v:shape>
            </w:pict>
          </mc:Fallback>
        </mc:AlternateContent>
      </w:r>
      <w:r>
        <w:rPr>
          <w:rFonts w:hint="eastAsia" w:ascii="宋体" w:hAnsi="宋体" w:cs="宋体"/>
          <w:b/>
          <w:bCs/>
          <w:szCs w:val="24"/>
        </w:rPr>
        <w:drawing>
          <wp:inline distT="0" distB="0" distL="114300" distR="114300">
            <wp:extent cx="2355850" cy="2078990"/>
            <wp:effectExtent l="0" t="0" r="6350" b="16510"/>
            <wp:docPr id="1" name="图片 1" descr="2b03fc3bf4948a5241d0be7d87a0b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b03fc3bf4948a5241d0be7d87a0b99"/>
                    <pic:cNvPicPr>
                      <a:picLocks noChangeAspect="1"/>
                    </pic:cNvPicPr>
                  </pic:nvPicPr>
                  <pic:blipFill>
                    <a:blip r:embed="rId19" cstate="print"/>
                    <a:srcRect t="7175" b="28382"/>
                    <a:stretch>
                      <a:fillRect/>
                    </a:stretch>
                  </pic:blipFill>
                  <pic:spPr>
                    <a:xfrm>
                      <a:off x="0" y="0"/>
                      <a:ext cx="2355850" cy="2078990"/>
                    </a:xfrm>
                    <a:prstGeom prst="rect">
                      <a:avLst/>
                    </a:prstGeom>
                  </pic:spPr>
                </pic:pic>
              </a:graphicData>
            </a:graphic>
          </wp:inline>
        </w:drawing>
      </w:r>
    </w:p>
    <w:p>
      <w:pPr>
        <w:pStyle w:val="22"/>
        <w:ind w:left="0" w:leftChars="0"/>
        <w:outlineLvl w:val="1"/>
        <w:rPr>
          <w:rFonts w:hint="default" w:ascii="Times New Roman" w:hAnsi="Times New Roman" w:eastAsia="仿宋" w:cs="Times New Roman"/>
          <w:b/>
          <w:szCs w:val="28"/>
        </w:rPr>
      </w:pPr>
      <w:bookmarkStart w:id="158" w:name="_Toc57367902"/>
      <w:bookmarkStart w:id="159" w:name="_Toc23865"/>
      <w:r>
        <w:rPr>
          <w:rFonts w:hint="default" w:ascii="Times New Roman" w:hAnsi="Times New Roman" w:eastAsia="仿宋" w:cs="Times New Roman"/>
          <w:b/>
          <w:szCs w:val="28"/>
        </w:rPr>
        <w:t>2.6环境功能区划</w:t>
      </w:r>
      <w:bookmarkEnd w:id="158"/>
      <w:bookmarkEnd w:id="159"/>
    </w:p>
    <w:p>
      <w:pPr>
        <w:pStyle w:val="8"/>
        <w:spacing w:line="360" w:lineRule="auto"/>
        <w:ind w:firstLine="560" w:firstLineChars="200"/>
        <w:rPr>
          <w:rFonts w:hint="default" w:ascii="Times New Roman" w:hAnsi="Times New Roman" w:eastAsia="仿宋" w:cs="Times New Roman"/>
          <w:b/>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公司周边环境功能区划如下表2.6-1：</w:t>
      </w:r>
    </w:p>
    <w:p>
      <w:pPr>
        <w:widowControl/>
        <w:jc w:val="center"/>
        <w:rPr>
          <w:rFonts w:hint="default" w:ascii="Times New Roman" w:hAnsi="Times New Roman" w:eastAsia="仿宋" w:cs="Times New Roman"/>
          <w:b/>
          <w:color w:val="000000" w:themeColor="text1"/>
          <w:sz w:val="24"/>
          <w:szCs w:val="24"/>
          <w14:textFill>
            <w14:solidFill>
              <w14:schemeClr w14:val="tx1"/>
            </w14:solidFill>
          </w14:textFill>
        </w:rPr>
      </w:pPr>
      <w:r>
        <w:rPr>
          <w:rFonts w:hint="default" w:ascii="Times New Roman" w:hAnsi="Times New Roman" w:eastAsia="仿宋" w:cs="Times New Roman"/>
          <w:b/>
          <w:color w:val="000000" w:themeColor="text1"/>
          <w:sz w:val="24"/>
          <w:szCs w:val="24"/>
          <w14:textFill>
            <w14:solidFill>
              <w14:schemeClr w14:val="tx1"/>
            </w14:solidFill>
          </w14:textFill>
        </w:rPr>
        <w:t>表 2.6-1 公司周边环境功能区划</w:t>
      </w:r>
    </w:p>
    <w:tbl>
      <w:tblPr>
        <w:tblStyle w:val="28"/>
        <w:tblW w:w="5222"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316"/>
        <w:gridCol w:w="7365"/>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02" w:hRule="atLeast"/>
          <w:jc w:val="center"/>
        </w:trPr>
        <w:tc>
          <w:tcPr>
            <w:tcW w:w="758"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环境空气</w:t>
            </w:r>
          </w:p>
        </w:tc>
        <w:tc>
          <w:tcPr>
            <w:tcW w:w="4241" w:type="pct"/>
            <w:vAlign w:val="center"/>
          </w:tcPr>
          <w:p>
            <w:pPr>
              <w:jc w:val="left"/>
              <w:rPr>
                <w:rFonts w:hint="default"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《环境空气质量标准》（GB3095-2012）二级标准</w:t>
            </w:r>
            <w:r>
              <w:rPr>
                <w:rFonts w:hint="default" w:ascii="Times New Roman" w:hAnsi="Times New Roman" w:eastAsia="仿宋" w:cs="Times New Roman"/>
                <w:color w:val="000000"/>
                <w:sz w:val="24"/>
                <w:szCs w:val="24"/>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66" w:hRule="atLeast"/>
          <w:jc w:val="center"/>
        </w:trPr>
        <w:tc>
          <w:tcPr>
            <w:tcW w:w="758"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水环境</w:t>
            </w:r>
          </w:p>
        </w:tc>
        <w:tc>
          <w:tcPr>
            <w:tcW w:w="4241" w:type="pct"/>
            <w:vAlign w:val="center"/>
          </w:tcPr>
          <w:p>
            <w:pPr>
              <w:jc w:val="left"/>
              <w:rPr>
                <w:rFonts w:hint="default"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《地下水质量标准》（GB/T14848-2017）中Ⅲ类标准执行</w:t>
            </w:r>
            <w:r>
              <w:rPr>
                <w:rFonts w:hint="default" w:ascii="Times New Roman" w:hAnsi="Times New Roman" w:eastAsia="仿宋" w:cs="Times New Roman"/>
                <w:color w:val="000000"/>
                <w:sz w:val="24"/>
                <w:szCs w:val="24"/>
                <w:lang w:eastAsia="zh-CN"/>
              </w:rPr>
              <w:t>；</w:t>
            </w:r>
          </w:p>
          <w:p>
            <w:pPr>
              <w:jc w:val="left"/>
              <w:rPr>
                <w:rFonts w:hint="default"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《地表水环境质量标准》（GB3838-2002）中Ⅲ类标准</w:t>
            </w:r>
            <w:r>
              <w:rPr>
                <w:rFonts w:hint="default" w:ascii="Times New Roman" w:hAnsi="Times New Roman" w:eastAsia="仿宋" w:cs="Times New Roman"/>
                <w:color w:val="000000"/>
                <w:sz w:val="24"/>
                <w:szCs w:val="24"/>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jc w:val="center"/>
        </w:trPr>
        <w:tc>
          <w:tcPr>
            <w:tcW w:w="758" w:type="pct"/>
            <w:vAlign w:val="center"/>
          </w:tcPr>
          <w:p>
            <w:pPr>
              <w:jc w:val="center"/>
              <w:rPr>
                <w:rFonts w:hint="eastAsia"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噪声</w:t>
            </w:r>
          </w:p>
        </w:tc>
        <w:tc>
          <w:tcPr>
            <w:tcW w:w="4241" w:type="pct"/>
            <w:vAlign w:val="center"/>
          </w:tcPr>
          <w:p>
            <w:pPr>
              <w:jc w:val="left"/>
              <w:rPr>
                <w:rFonts w:hint="eastAsia"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《声环境质量标准》（GB3096-2008）2类区标准</w:t>
            </w:r>
            <w:r>
              <w:rPr>
                <w:rFonts w:hint="eastAsia" w:ascii="Times New Roman" w:hAnsi="Times New Roman" w:eastAsia="仿宋" w:cs="Times New Roman"/>
                <w:color w:val="000000"/>
                <w:sz w:val="24"/>
                <w:szCs w:val="24"/>
                <w:lang w:eastAsia="zh-CN"/>
              </w:rPr>
              <w:t>；</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 w:hRule="atLeast"/>
          <w:jc w:val="center"/>
        </w:trPr>
        <w:tc>
          <w:tcPr>
            <w:tcW w:w="758" w:type="pct"/>
            <w:vAlign w:val="center"/>
          </w:tcPr>
          <w:p>
            <w:pPr>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土壤</w:t>
            </w:r>
          </w:p>
        </w:tc>
        <w:tc>
          <w:tcPr>
            <w:tcW w:w="4241" w:type="pct"/>
            <w:vAlign w:val="center"/>
          </w:tcPr>
          <w:p>
            <w:pPr>
              <w:jc w:val="left"/>
              <w:rPr>
                <w:rFonts w:hint="default"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 土壤环境质量建设用地污染污染风险管控标准 》（GB36600-2018）执行标准</w:t>
            </w:r>
            <w:r>
              <w:rPr>
                <w:rFonts w:hint="default" w:ascii="Times New Roman" w:hAnsi="Times New Roman" w:eastAsia="仿宋" w:cs="Times New Roman"/>
                <w:color w:val="000000"/>
                <w:sz w:val="24"/>
                <w:szCs w:val="24"/>
                <w:lang w:eastAsia="zh-CN"/>
              </w:rPr>
              <w:t>。</w:t>
            </w:r>
          </w:p>
        </w:tc>
      </w:tr>
    </w:tbl>
    <w:p>
      <w:pPr>
        <w:pStyle w:val="22"/>
        <w:ind w:left="0" w:leftChars="0"/>
        <w:outlineLvl w:val="1"/>
        <w:rPr>
          <w:rFonts w:hint="default" w:ascii="Times New Roman" w:hAnsi="Times New Roman" w:eastAsia="仿宋" w:cs="Times New Roman"/>
          <w:b/>
          <w:szCs w:val="28"/>
        </w:rPr>
      </w:pPr>
      <w:bookmarkStart w:id="160" w:name="_Toc57367903"/>
      <w:bookmarkStart w:id="161" w:name="_Toc22483"/>
      <w:r>
        <w:rPr>
          <w:rFonts w:hint="default" w:ascii="Times New Roman" w:hAnsi="Times New Roman" w:eastAsia="仿宋" w:cs="Times New Roman"/>
          <w:b/>
          <w:szCs w:val="28"/>
        </w:rPr>
        <w:t>2.7 企业周边环境风险受体情况</w:t>
      </w:r>
      <w:bookmarkEnd w:id="160"/>
      <w:bookmarkEnd w:id="161"/>
    </w:p>
    <w:p>
      <w:pPr>
        <w:autoSpaceDE w:val="0"/>
        <w:autoSpaceDN w:val="0"/>
        <w:adjustRightInd w:val="0"/>
        <w:snapToGrid w:val="0"/>
        <w:spacing w:beforeLines="50"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根据《企业突发环境事件风险分级方法》HJ941-2018规定，环境风险受体指在突发环境事件中可能受到危害的企业外部人群</w:t>
      </w:r>
      <w:r>
        <w:rPr>
          <w:rFonts w:hint="eastAsia" w:ascii="Times New Roman" w:hAnsi="Times New Roman" w:eastAsia="仿宋" w:cs="Times New Roman"/>
          <w:sz w:val="28"/>
          <w:szCs w:val="28"/>
          <w:lang w:val="en-US" w:eastAsia="zh-CN"/>
        </w:rPr>
        <w:t>，</w:t>
      </w:r>
      <w:r>
        <w:rPr>
          <w:rFonts w:hint="default" w:ascii="Times New Roman" w:hAnsi="Times New Roman" w:eastAsia="仿宋" w:cs="Times New Roman"/>
          <w:sz w:val="28"/>
          <w:szCs w:val="28"/>
        </w:rPr>
        <w:t>具有一定社会价值或生态环境功能的单位或区域等。</w:t>
      </w:r>
    </w:p>
    <w:p>
      <w:pPr>
        <w:autoSpaceDE w:val="0"/>
        <w:autoSpaceDN w:val="0"/>
        <w:adjustRightInd w:val="0"/>
        <w:snapToGrid w:val="0"/>
        <w:spacing w:beforeLines="50"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sz w:val="28"/>
          <w:szCs w:val="28"/>
          <w:lang w:val="en-US" w:eastAsia="zh-CN"/>
        </w:rPr>
        <w:t>本</w:t>
      </w:r>
      <w:r>
        <w:rPr>
          <w:rFonts w:hint="default" w:ascii="Times New Roman" w:hAnsi="Times New Roman" w:eastAsia="仿宋" w:cs="Times New Roman"/>
          <w:sz w:val="28"/>
          <w:szCs w:val="28"/>
        </w:rPr>
        <w:t>公司位于西咸新区秦汉新城周陵街道办黄家窑村咸阳佳美面粉厂</w:t>
      </w:r>
      <w:r>
        <w:rPr>
          <w:rFonts w:hint="eastAsia" w:ascii="Times New Roman" w:hAnsi="Times New Roman" w:eastAsia="仿宋" w:cs="Times New Roman"/>
          <w:sz w:val="28"/>
          <w:szCs w:val="28"/>
          <w:lang w:val="en-US" w:eastAsia="zh-CN"/>
        </w:rPr>
        <w:t>东北库</w:t>
      </w:r>
      <w:r>
        <w:rPr>
          <w:rFonts w:hint="default" w:ascii="Times New Roman" w:hAnsi="Times New Roman" w:eastAsia="仿宋" w:cs="Times New Roman"/>
          <w:sz w:val="28"/>
          <w:szCs w:val="28"/>
        </w:rPr>
        <w:t>，结合公司运营及危险物质储存情况</w:t>
      </w:r>
      <w:r>
        <w:rPr>
          <w:rFonts w:hint="eastAsia" w:eastAsia="仿宋" w:cs="Times New Roman"/>
          <w:sz w:val="28"/>
          <w:szCs w:val="28"/>
          <w:lang w:eastAsia="zh-CN"/>
        </w:rPr>
        <w:t>，</w:t>
      </w:r>
      <w:r>
        <w:rPr>
          <w:rFonts w:hint="default" w:ascii="Times New Roman" w:hAnsi="Times New Roman" w:eastAsia="仿宋" w:cs="Times New Roman"/>
          <w:sz w:val="28"/>
          <w:szCs w:val="28"/>
        </w:rPr>
        <w:t>可能发生的突发环境事件为</w:t>
      </w:r>
      <w:r>
        <w:rPr>
          <w:rFonts w:hint="eastAsia" w:ascii="Times New Roman" w:hAnsi="Times New Roman" w:eastAsia="仿宋" w:cs="Times New Roman"/>
          <w:sz w:val="28"/>
          <w:szCs w:val="28"/>
          <w:lang w:val="en-US" w:eastAsia="zh-CN"/>
        </w:rPr>
        <w:t>切削液、打磨液压油、润滑油等</w:t>
      </w:r>
      <w:r>
        <w:rPr>
          <w:rFonts w:hint="default" w:ascii="Times New Roman" w:hAnsi="Times New Roman" w:eastAsia="仿宋" w:cs="Times New Roman"/>
          <w:sz w:val="28"/>
          <w:szCs w:val="28"/>
        </w:rPr>
        <w:t>原料桶泄露、原辅材料、成品包装材料等可能引发的火灾，产生的CO</w:t>
      </w:r>
      <w:r>
        <w:rPr>
          <w:rFonts w:hint="eastAsia" w:eastAsia="仿宋" w:cs="Times New Roman"/>
          <w:sz w:val="28"/>
          <w:szCs w:val="28"/>
          <w:lang w:eastAsia="zh-CN"/>
        </w:rPr>
        <w:t>、</w:t>
      </w:r>
      <w:r>
        <w:rPr>
          <w:rFonts w:hint="eastAsia" w:eastAsia="仿宋" w:cs="Times New Roman"/>
          <w:sz w:val="28"/>
          <w:szCs w:val="28"/>
          <w:lang w:val="en-US" w:eastAsia="zh-CN"/>
        </w:rPr>
        <w:t>VOCs</w:t>
      </w:r>
      <w:r>
        <w:rPr>
          <w:rFonts w:hint="default" w:ascii="Times New Roman" w:hAnsi="Times New Roman" w:eastAsia="仿宋" w:cs="Times New Roman"/>
          <w:sz w:val="28"/>
          <w:szCs w:val="28"/>
        </w:rPr>
        <w:t>等污染物</w:t>
      </w:r>
      <w:r>
        <w:rPr>
          <w:rFonts w:hint="eastAsia" w:ascii="Times New Roman" w:hAnsi="Times New Roman" w:eastAsia="仿宋" w:cs="Times New Roman"/>
          <w:sz w:val="28"/>
          <w:szCs w:val="28"/>
          <w:lang w:eastAsia="zh-CN"/>
        </w:rPr>
        <w:t>，</w:t>
      </w:r>
      <w:r>
        <w:rPr>
          <w:rFonts w:hint="default" w:ascii="Times New Roman" w:hAnsi="Times New Roman" w:eastAsia="仿宋" w:cs="Times New Roman"/>
          <w:sz w:val="28"/>
          <w:szCs w:val="28"/>
        </w:rPr>
        <w:t>污染受体情况调查汇表详见</w:t>
      </w:r>
      <w:r>
        <w:rPr>
          <w:rFonts w:hint="default" w:ascii="Times New Roman" w:hAnsi="Times New Roman" w:eastAsia="仿宋" w:cs="Times New Roman"/>
          <w:color w:val="000000" w:themeColor="text1"/>
          <w:sz w:val="28"/>
          <w:szCs w:val="28"/>
          <w14:textFill>
            <w14:solidFill>
              <w14:schemeClr w14:val="tx1"/>
            </w14:solidFill>
          </w14:textFill>
        </w:rPr>
        <w:t>表2.7-1。</w:t>
      </w:r>
    </w:p>
    <w:p>
      <w:pPr>
        <w:spacing w:line="360" w:lineRule="auto"/>
        <w:ind w:firstLine="482" w:firstLineChars="200"/>
        <w:jc w:val="center"/>
        <w:rPr>
          <w:rFonts w:hint="default" w:ascii="Times New Roman" w:hAnsi="Times New Roman" w:eastAsia="仿宋" w:cs="Times New Roman"/>
          <w:b/>
          <w:bCs/>
          <w:sz w:val="24"/>
          <w:szCs w:val="24"/>
        </w:rPr>
      </w:pPr>
      <w:r>
        <w:rPr>
          <w:rFonts w:hint="default" w:ascii="Times New Roman" w:hAnsi="Times New Roman" w:eastAsia="仿宋" w:cs="Times New Roman"/>
          <w:b/>
          <w:bCs/>
          <w:sz w:val="24"/>
          <w:szCs w:val="24"/>
        </w:rPr>
        <w:t>表2.7-1  1</w:t>
      </w:r>
      <w:r>
        <w:rPr>
          <w:rFonts w:hint="eastAsia" w:ascii="Times New Roman" w:hAnsi="Times New Roman" w:eastAsia="仿宋" w:cs="Times New Roman"/>
          <w:b/>
          <w:bCs/>
          <w:sz w:val="24"/>
          <w:szCs w:val="24"/>
          <w:lang w:val="en-US" w:eastAsia="zh-CN"/>
        </w:rPr>
        <w:t>.0 k</w:t>
      </w:r>
      <w:r>
        <w:rPr>
          <w:rFonts w:hint="default" w:ascii="Times New Roman" w:hAnsi="Times New Roman" w:eastAsia="仿宋" w:cs="Times New Roman"/>
          <w:b/>
          <w:bCs/>
          <w:sz w:val="24"/>
          <w:szCs w:val="24"/>
        </w:rPr>
        <w:t>m范围内大气环境风险受体情况一览表</w:t>
      </w:r>
    </w:p>
    <w:tbl>
      <w:tblPr>
        <w:tblStyle w:val="28"/>
        <w:tblW w:w="5000"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428"/>
        <w:gridCol w:w="1456"/>
        <w:gridCol w:w="1275"/>
        <w:gridCol w:w="1365"/>
        <w:gridCol w:w="720"/>
        <w:gridCol w:w="698"/>
        <w:gridCol w:w="808"/>
        <w:gridCol w:w="799"/>
        <w:gridCol w:w="97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restart"/>
            <w:tcBorders>
              <w:top w:val="single" w:color="auto" w:sz="12" w:space="0"/>
              <w:left w:val="single" w:color="auto" w:sz="12"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类别</w:t>
            </w:r>
          </w:p>
        </w:tc>
        <w:tc>
          <w:tcPr>
            <w:tcW w:w="854" w:type="pct"/>
            <w:vMerge w:val="restart"/>
            <w:tcBorders>
              <w:top w:val="single" w:color="auto" w:sz="12" w:space="0"/>
              <w:left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名称</w:t>
            </w:r>
          </w:p>
        </w:tc>
        <w:tc>
          <w:tcPr>
            <w:tcW w:w="1548" w:type="pct"/>
            <w:gridSpan w:val="2"/>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坐标/m</w:t>
            </w:r>
          </w:p>
        </w:tc>
        <w:tc>
          <w:tcPr>
            <w:tcW w:w="422" w:type="pct"/>
            <w:vMerge w:val="restart"/>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保护对象</w:t>
            </w:r>
          </w:p>
        </w:tc>
        <w:tc>
          <w:tcPr>
            <w:tcW w:w="409" w:type="pct"/>
            <w:vMerge w:val="restart"/>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保护内容</w:t>
            </w:r>
          </w:p>
        </w:tc>
        <w:tc>
          <w:tcPr>
            <w:tcW w:w="474" w:type="pct"/>
            <w:vMerge w:val="restart"/>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环境功能区</w:t>
            </w:r>
          </w:p>
        </w:tc>
        <w:tc>
          <w:tcPr>
            <w:tcW w:w="468" w:type="pct"/>
            <w:vMerge w:val="restart"/>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相对厂址方位</w:t>
            </w:r>
          </w:p>
        </w:tc>
        <w:tc>
          <w:tcPr>
            <w:tcW w:w="570" w:type="pct"/>
            <w:vMerge w:val="restart"/>
            <w:tcBorders>
              <w:top w:val="single" w:color="auto" w:sz="12" w:space="0"/>
              <w:left w:val="single" w:color="auto" w:sz="4" w:space="0"/>
              <w:bottom w:val="single" w:color="auto" w:sz="4" w:space="0"/>
              <w:right w:val="single" w:color="auto" w:sz="12" w:space="0"/>
            </w:tcBorders>
            <w:noWrap w:val="0"/>
            <w:vAlign w:val="center"/>
          </w:tcPr>
          <w:p>
            <w:pPr>
              <w:widowControl/>
              <w:jc w:val="center"/>
              <w:rPr>
                <w:rFonts w:hint="default" w:ascii="Times New Roman" w:hAnsi="Times New Roman" w:eastAsia="仿宋" w:cs="Times New Roman"/>
                <w:b/>
                <w:bCs/>
                <w:color w:val="000000"/>
                <w:sz w:val="24"/>
                <w:szCs w:val="24"/>
              </w:rPr>
            </w:pPr>
            <w:r>
              <w:rPr>
                <w:rFonts w:hint="default" w:ascii="Times New Roman" w:hAnsi="Times New Roman" w:eastAsia="仿宋" w:cs="Times New Roman"/>
                <w:b/>
                <w:bCs/>
                <w:color w:val="000000"/>
                <w:sz w:val="24"/>
                <w:szCs w:val="24"/>
              </w:rPr>
              <w:t>相对厂界距离/m</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top w:val="single" w:color="auto" w:sz="12" w:space="0"/>
              <w:left w:val="single" w:color="auto" w:sz="12"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vMerge w:val="continue"/>
            <w:tcBorders>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X</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Y</w:t>
            </w:r>
          </w:p>
        </w:tc>
        <w:tc>
          <w:tcPr>
            <w:tcW w:w="422" w:type="pct"/>
            <w:vMerge w:val="continue"/>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vMerge w:val="continue"/>
            <w:tcBorders>
              <w:top w:val="single" w:color="auto" w:sz="12"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570" w:type="pct"/>
            <w:vMerge w:val="continue"/>
            <w:tcBorders>
              <w:top w:val="single" w:color="auto" w:sz="12" w:space="0"/>
              <w:left w:val="single" w:color="auto" w:sz="4" w:space="0"/>
              <w:bottom w:val="single" w:color="auto" w:sz="4" w:space="0"/>
              <w:right w:val="single" w:color="auto" w:sz="12" w:space="0"/>
            </w:tcBorders>
            <w:noWrap w:val="0"/>
            <w:vAlign w:val="center"/>
          </w:tcPr>
          <w:p>
            <w:pPr>
              <w:widowControl/>
              <w:jc w:val="center"/>
              <w:rPr>
                <w:rFonts w:hint="default" w:ascii="Times New Roman" w:hAnsi="Times New Roman" w:eastAsia="仿宋" w:cs="Times New Roman"/>
                <w:color w:val="000000"/>
                <w:sz w:val="24"/>
                <w:szCs w:val="24"/>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restart"/>
            <w:tcBorders>
              <w:top w:val="single" w:color="auto" w:sz="4" w:space="0"/>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大气环境</w:t>
            </w: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黄家窑村</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287107.77</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3805707.27</w:t>
            </w:r>
          </w:p>
        </w:tc>
        <w:tc>
          <w:tcPr>
            <w:tcW w:w="422" w:type="pct"/>
            <w:vMerge w:val="restart"/>
            <w:tcBorders>
              <w:top w:val="single" w:color="auto" w:sz="4" w:space="0"/>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居民</w:t>
            </w:r>
          </w:p>
        </w:tc>
        <w:tc>
          <w:tcPr>
            <w:tcW w:w="409" w:type="pct"/>
            <w:vMerge w:val="restart"/>
            <w:tcBorders>
              <w:top w:val="single" w:color="auto" w:sz="4" w:space="0"/>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空气质量</w:t>
            </w:r>
          </w:p>
        </w:tc>
        <w:tc>
          <w:tcPr>
            <w:tcW w:w="474" w:type="pct"/>
            <w:vMerge w:val="restart"/>
            <w:tcBorders>
              <w:top w:val="single" w:color="auto" w:sz="4" w:space="0"/>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二类区</w:t>
            </w: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lang w:eastAsia="zh-CN"/>
              </w:rPr>
              <w:t>N</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崔家村</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286322.25</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3806449.97</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NE</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1150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西石村</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287093.43</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3807283.10</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N</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1400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严家沟村</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288746.16</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3805910.21</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E</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1400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西部郭寨村</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288357.66</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3805019.98</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SE</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1000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陕西能源技术职业学院</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289296.29</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3804356.48</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lang w:val="en-US"/>
              </w:rPr>
            </w:pPr>
            <w:r>
              <w:rPr>
                <w:rFonts w:hint="eastAsia" w:ascii="Times New Roman" w:hAnsi="Times New Roman" w:eastAsia="仿宋" w:cs="Times New Roman"/>
                <w:color w:val="000000"/>
                <w:sz w:val="24"/>
                <w:szCs w:val="24"/>
                <w:lang w:eastAsia="zh-CN"/>
              </w:rPr>
              <w:t>SE</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2100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幸福家园</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285872.40</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3804001.47</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SW</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1700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vMerge w:val="continue"/>
            <w:tcBorders>
              <w:left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壹品兰轩</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288002.56</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3803779.10</w:t>
            </w:r>
          </w:p>
        </w:tc>
        <w:tc>
          <w:tcPr>
            <w:tcW w:w="422"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09"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74" w:type="pct"/>
            <w:vMerge w:val="continue"/>
            <w:tcBorders>
              <w:left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S</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1900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tcBorders>
              <w:top w:val="single" w:color="auto" w:sz="4" w:space="0"/>
              <w:left w:val="single" w:color="auto" w:sz="12"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声环境</w:t>
            </w:r>
          </w:p>
        </w:tc>
        <w:tc>
          <w:tcPr>
            <w:tcW w:w="85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default" w:ascii="Times New Roman" w:hAnsi="Times New Roman" w:eastAsia="仿宋" w:cs="Times New Roman"/>
                <w:color w:val="000000"/>
                <w:sz w:val="24"/>
                <w:szCs w:val="24"/>
              </w:rPr>
              <w:t>黄家窑村</w:t>
            </w:r>
          </w:p>
        </w:tc>
        <w:tc>
          <w:tcPr>
            <w:tcW w:w="74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287107.77</w:t>
            </w:r>
          </w:p>
        </w:tc>
        <w:tc>
          <w:tcPr>
            <w:tcW w:w="800"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3805707.27</w:t>
            </w:r>
          </w:p>
        </w:tc>
        <w:tc>
          <w:tcPr>
            <w:tcW w:w="422"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居民</w:t>
            </w:r>
          </w:p>
        </w:tc>
        <w:tc>
          <w:tcPr>
            <w:tcW w:w="409"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声环境质量</w:t>
            </w:r>
          </w:p>
        </w:tc>
        <w:tc>
          <w:tcPr>
            <w:tcW w:w="474"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2类声环境功能区</w:t>
            </w:r>
          </w:p>
        </w:tc>
        <w:tc>
          <w:tcPr>
            <w:tcW w:w="468" w:type="pct"/>
            <w:tcBorders>
              <w:top w:val="single" w:color="auto" w:sz="4" w:space="0"/>
              <w:left w:val="single" w:color="auto" w:sz="4" w:space="0"/>
              <w:bottom w:val="single" w:color="auto" w:sz="4"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lang w:eastAsia="zh-CN"/>
              </w:rPr>
              <w:t>N</w:t>
            </w:r>
          </w:p>
        </w:tc>
        <w:tc>
          <w:tcPr>
            <w:tcW w:w="570" w:type="pct"/>
            <w:tcBorders>
              <w:top w:val="single" w:color="auto" w:sz="4" w:space="0"/>
              <w:left w:val="single" w:color="auto" w:sz="4" w:space="0"/>
              <w:bottom w:val="single" w:color="auto" w:sz="4"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340" w:hRule="atLeast"/>
        </w:trPr>
        <w:tc>
          <w:tcPr>
            <w:tcW w:w="251" w:type="pct"/>
            <w:tcBorders>
              <w:top w:val="single" w:color="auto" w:sz="4" w:space="0"/>
              <w:left w:val="single" w:color="auto" w:sz="12" w:space="0"/>
              <w:bottom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地表水</w:t>
            </w:r>
          </w:p>
        </w:tc>
        <w:tc>
          <w:tcPr>
            <w:tcW w:w="854"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渭河</w:t>
            </w:r>
          </w:p>
        </w:tc>
        <w:tc>
          <w:tcPr>
            <w:tcW w:w="748"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w:t>
            </w:r>
          </w:p>
        </w:tc>
        <w:tc>
          <w:tcPr>
            <w:tcW w:w="800"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w:t>
            </w:r>
          </w:p>
        </w:tc>
        <w:tc>
          <w:tcPr>
            <w:tcW w:w="422"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渭河水质</w:t>
            </w:r>
          </w:p>
        </w:tc>
        <w:tc>
          <w:tcPr>
            <w:tcW w:w="409"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渭河水质</w:t>
            </w:r>
          </w:p>
        </w:tc>
        <w:tc>
          <w:tcPr>
            <w:tcW w:w="474"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default" w:ascii="Times New Roman" w:hAnsi="Times New Roman" w:eastAsia="仿宋" w:cs="Times New Roman"/>
                <w:color w:val="000000"/>
                <w:sz w:val="24"/>
                <w:szCs w:val="24"/>
              </w:rPr>
            </w:pPr>
            <w:r>
              <w:rPr>
                <w:rFonts w:hint="default" w:ascii="Times New Roman" w:hAnsi="Times New Roman" w:eastAsia="仿宋" w:cs="Times New Roman"/>
                <w:color w:val="000000"/>
                <w:sz w:val="24"/>
                <w:szCs w:val="24"/>
              </w:rPr>
              <w:t>IV类功能区</w:t>
            </w:r>
          </w:p>
        </w:tc>
        <w:tc>
          <w:tcPr>
            <w:tcW w:w="468" w:type="pct"/>
            <w:tcBorders>
              <w:top w:val="single" w:color="auto" w:sz="4" w:space="0"/>
              <w:left w:val="single" w:color="auto" w:sz="4" w:space="0"/>
              <w:bottom w:val="single" w:color="auto" w:sz="12" w:space="0"/>
              <w:right w:val="single" w:color="auto" w:sz="4"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SE</w:t>
            </w:r>
          </w:p>
        </w:tc>
        <w:tc>
          <w:tcPr>
            <w:tcW w:w="570" w:type="pct"/>
            <w:tcBorders>
              <w:top w:val="single" w:color="auto" w:sz="4" w:space="0"/>
              <w:left w:val="single" w:color="auto" w:sz="4" w:space="0"/>
              <w:bottom w:val="single" w:color="auto" w:sz="12" w:space="0"/>
              <w:right w:val="single" w:color="auto" w:sz="12" w:space="0"/>
            </w:tcBorders>
            <w:noWrap w:val="0"/>
            <w:vAlign w:val="center"/>
          </w:tcPr>
          <w:p>
            <w:pPr>
              <w:widowControl/>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eastAsia="zh-CN"/>
              </w:rPr>
              <w:t>5000</w:t>
            </w:r>
          </w:p>
        </w:tc>
      </w:tr>
      <w:bookmarkEnd w:id="155"/>
      <w:bookmarkEnd w:id="156"/>
      <w:bookmarkEnd w:id="157"/>
    </w:tbl>
    <w:p>
      <w:pPr>
        <w:pStyle w:val="19"/>
        <w:outlineLvl w:val="0"/>
        <w:rPr>
          <w:rFonts w:hint="default" w:ascii="Times New Roman" w:hAnsi="Times New Roman" w:eastAsia="仿宋" w:cs="Times New Roman"/>
          <w:sz w:val="36"/>
          <w:szCs w:val="36"/>
        </w:rPr>
      </w:pPr>
      <w:bookmarkStart w:id="162" w:name="_Toc30431"/>
      <w:bookmarkStart w:id="163" w:name="_Toc15562"/>
      <w:bookmarkStart w:id="164" w:name="_Toc7888"/>
      <w:bookmarkStart w:id="165" w:name="_Toc54050870"/>
      <w:r>
        <w:rPr>
          <w:rFonts w:hint="default" w:ascii="Times New Roman" w:hAnsi="Times New Roman" w:eastAsia="仿宋" w:cs="Times New Roman"/>
          <w:sz w:val="36"/>
          <w:szCs w:val="36"/>
        </w:rPr>
        <w:t>3.应急组织体系</w:t>
      </w:r>
      <w:bookmarkEnd w:id="162"/>
      <w:bookmarkEnd w:id="163"/>
      <w:bookmarkEnd w:id="164"/>
      <w:bookmarkEnd w:id="165"/>
    </w:p>
    <w:p>
      <w:pPr>
        <w:pStyle w:val="22"/>
        <w:ind w:left="0" w:leftChars="0"/>
        <w:outlineLvl w:val="1"/>
        <w:rPr>
          <w:rFonts w:hint="default" w:ascii="Times New Roman" w:hAnsi="Times New Roman" w:eastAsia="仿宋" w:cs="Times New Roman"/>
          <w:b/>
          <w:szCs w:val="28"/>
        </w:rPr>
      </w:pPr>
      <w:bookmarkStart w:id="166" w:name="_Toc13760"/>
      <w:bookmarkStart w:id="167" w:name="_Toc15150"/>
      <w:bookmarkStart w:id="168" w:name="_Toc54050871"/>
      <w:bookmarkStart w:id="169" w:name="_Toc14506"/>
      <w:r>
        <w:rPr>
          <w:rFonts w:hint="default" w:ascii="Times New Roman" w:hAnsi="Times New Roman" w:eastAsia="仿宋" w:cs="Times New Roman"/>
          <w:b/>
          <w:szCs w:val="28"/>
        </w:rPr>
        <w:t>3.1应急指挥机构</w:t>
      </w:r>
      <w:bookmarkEnd w:id="166"/>
      <w:bookmarkEnd w:id="167"/>
      <w:bookmarkEnd w:id="168"/>
      <w:bookmarkEnd w:id="169"/>
    </w:p>
    <w:p>
      <w:pPr>
        <w:spacing w:line="360" w:lineRule="auto"/>
        <w:ind w:firstLine="486" w:firstLineChars="270"/>
        <w:rPr>
          <w:rFonts w:hint="default" w:ascii="Times New Roman" w:hAnsi="Times New Roman" w:eastAsia="仿宋" w:cs="Times New Roman"/>
          <w:kern w:val="0"/>
          <w:sz w:val="28"/>
          <w:szCs w:val="28"/>
        </w:rPr>
      </w:pPr>
      <w:r>
        <w:rPr>
          <w:rFonts w:hint="default" w:ascii="Times New Roman" w:hAnsi="Times New Roman" w:cs="Times New Roman"/>
          <w:sz w:val="18"/>
        </w:rPr>
        <mc:AlternateContent>
          <mc:Choice Requires="wpg">
            <w:drawing>
              <wp:anchor distT="0" distB="0" distL="114300" distR="114300" simplePos="0" relativeHeight="251664384" behindDoc="0" locked="0" layoutInCell="1" allowOverlap="1">
                <wp:simplePos x="0" y="0"/>
                <wp:positionH relativeFrom="column">
                  <wp:posOffset>677545</wp:posOffset>
                </wp:positionH>
                <wp:positionV relativeFrom="paragraph">
                  <wp:posOffset>3951605</wp:posOffset>
                </wp:positionV>
                <wp:extent cx="4001135" cy="2297430"/>
                <wp:effectExtent l="4445" t="4445" r="13970" b="22225"/>
                <wp:wrapNone/>
                <wp:docPr id="92" name="组合 37"/>
                <wp:cNvGraphicFramePr/>
                <a:graphic xmlns:a="http://schemas.openxmlformats.org/drawingml/2006/main">
                  <a:graphicData uri="http://schemas.microsoft.com/office/word/2010/wordprocessingGroup">
                    <wpg:wgp>
                      <wpg:cNvGrpSpPr/>
                      <wpg:grpSpPr>
                        <a:xfrm>
                          <a:off x="0" y="0"/>
                          <a:ext cx="4001135" cy="2297430"/>
                          <a:chOff x="5035" y="387595"/>
                          <a:chExt cx="6301" cy="3714"/>
                        </a:xfrm>
                      </wpg:grpSpPr>
                      <wps:wsp>
                        <wps:cNvPr id="74" name="文本框 38"/>
                        <wps:cNvSpPr txBox="1"/>
                        <wps:spPr>
                          <a:xfrm>
                            <a:off x="5035" y="389642"/>
                            <a:ext cx="511" cy="16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default" w:eastAsia="宋体"/>
                                  <w:sz w:val="24"/>
                                  <w:szCs w:val="24"/>
                                  <w:lang w:val="en-US" w:eastAsia="zh-CN"/>
                                </w:rPr>
                              </w:pPr>
                              <w:r>
                                <w:rPr>
                                  <w:rFonts w:hint="eastAsia" w:ascii="仿宋" w:hAnsi="仿宋" w:eastAsia="仿宋"/>
                                  <w:sz w:val="24"/>
                                  <w:szCs w:val="24"/>
                                  <w:lang w:val="en-US" w:eastAsia="zh-CN"/>
                                </w:rPr>
                                <w:t>抢险灭火组</w:t>
                              </w:r>
                            </w:p>
                          </w:txbxContent>
                        </wps:txbx>
                        <wps:bodyPr upright="1"/>
                      </wps:wsp>
                      <wps:wsp>
                        <wps:cNvPr id="75" name="自选图形 16"/>
                        <wps:cNvCnPr/>
                        <wps:spPr>
                          <a:xfrm flipH="1">
                            <a:off x="5299" y="389257"/>
                            <a:ext cx="5" cy="423"/>
                          </a:xfrm>
                          <a:prstGeom prst="straightConnector1">
                            <a:avLst/>
                          </a:prstGeom>
                          <a:ln w="9525" cap="flat" cmpd="sng">
                            <a:solidFill>
                              <a:srgbClr val="000000"/>
                            </a:solidFill>
                            <a:prstDash val="solid"/>
                            <a:headEnd type="none" w="med" len="med"/>
                            <a:tailEnd type="triangle" w="med" len="med"/>
                          </a:ln>
                        </wps:spPr>
                        <wps:bodyPr/>
                      </wps:wsp>
                      <wps:wsp>
                        <wps:cNvPr id="76" name="自选图形 17"/>
                        <wps:cNvCnPr/>
                        <wps:spPr>
                          <a:xfrm flipH="1">
                            <a:off x="6590" y="389254"/>
                            <a:ext cx="5" cy="423"/>
                          </a:xfrm>
                          <a:prstGeom prst="straightConnector1">
                            <a:avLst/>
                          </a:prstGeom>
                          <a:ln w="9525" cap="flat" cmpd="sng">
                            <a:solidFill>
                              <a:srgbClr val="000000"/>
                            </a:solidFill>
                            <a:prstDash val="solid"/>
                            <a:headEnd type="none" w="med" len="med"/>
                            <a:tailEnd type="triangle" w="med" len="med"/>
                          </a:ln>
                        </wps:spPr>
                        <wps:bodyPr/>
                      </wps:wsp>
                      <wps:wsp>
                        <wps:cNvPr id="77" name="自选图形 18"/>
                        <wps:cNvCnPr/>
                        <wps:spPr>
                          <a:xfrm flipH="1">
                            <a:off x="8806" y="389263"/>
                            <a:ext cx="5" cy="423"/>
                          </a:xfrm>
                          <a:prstGeom prst="straightConnector1">
                            <a:avLst/>
                          </a:prstGeom>
                          <a:ln w="9525" cap="flat" cmpd="sng">
                            <a:solidFill>
                              <a:srgbClr val="000000"/>
                            </a:solidFill>
                            <a:prstDash val="solid"/>
                            <a:headEnd type="none" w="med" len="med"/>
                            <a:tailEnd type="triangle" w="med" len="med"/>
                          </a:ln>
                        </wps:spPr>
                        <wps:bodyPr/>
                      </wps:wsp>
                      <wps:wsp>
                        <wps:cNvPr id="78" name="自选图形 19"/>
                        <wps:cNvCnPr/>
                        <wps:spPr>
                          <a:xfrm flipH="1">
                            <a:off x="11077" y="389244"/>
                            <a:ext cx="5" cy="423"/>
                          </a:xfrm>
                          <a:prstGeom prst="straightConnector1">
                            <a:avLst/>
                          </a:prstGeom>
                          <a:ln w="9525" cap="flat" cmpd="sng">
                            <a:solidFill>
                              <a:srgbClr val="000000"/>
                            </a:solidFill>
                            <a:prstDash val="solid"/>
                            <a:headEnd type="none" w="med" len="med"/>
                            <a:tailEnd type="triangle" w="med" len="med"/>
                          </a:ln>
                        </wps:spPr>
                        <wps:bodyPr/>
                      </wps:wsp>
                      <wps:wsp>
                        <wps:cNvPr id="79" name="自选图形 20"/>
                        <wps:cNvCnPr/>
                        <wps:spPr>
                          <a:xfrm flipH="1">
                            <a:off x="7718" y="389252"/>
                            <a:ext cx="5" cy="423"/>
                          </a:xfrm>
                          <a:prstGeom prst="straightConnector1">
                            <a:avLst/>
                          </a:prstGeom>
                          <a:ln w="9525" cap="flat" cmpd="sng">
                            <a:solidFill>
                              <a:srgbClr val="000000"/>
                            </a:solidFill>
                            <a:prstDash val="solid"/>
                            <a:headEnd type="none" w="med" len="med"/>
                            <a:tailEnd type="triangle" w="med" len="med"/>
                          </a:ln>
                        </wps:spPr>
                        <wps:bodyPr/>
                      </wps:wsp>
                      <wps:wsp>
                        <wps:cNvPr id="80" name="自选图形 21"/>
                        <wps:cNvCnPr/>
                        <wps:spPr>
                          <a:xfrm flipH="1">
                            <a:off x="9907" y="389246"/>
                            <a:ext cx="5" cy="423"/>
                          </a:xfrm>
                          <a:prstGeom prst="straightConnector1">
                            <a:avLst/>
                          </a:prstGeom>
                          <a:ln w="9525" cap="flat" cmpd="sng">
                            <a:solidFill>
                              <a:srgbClr val="000000"/>
                            </a:solidFill>
                            <a:prstDash val="solid"/>
                            <a:headEnd type="none" w="med" len="med"/>
                            <a:tailEnd type="triangle" w="med" len="med"/>
                          </a:ln>
                        </wps:spPr>
                        <wps:bodyPr/>
                      </wps:wsp>
                      <wps:wsp>
                        <wps:cNvPr id="81" name="文本框 22"/>
                        <wps:cNvSpPr txBox="1"/>
                        <wps:spPr>
                          <a:xfrm>
                            <a:off x="6336" y="389650"/>
                            <a:ext cx="511" cy="16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物资供应组</w:t>
                              </w:r>
                            </w:p>
                          </w:txbxContent>
                        </wps:txbx>
                        <wps:bodyPr upright="1"/>
                      </wps:wsp>
                      <wps:wsp>
                        <wps:cNvPr id="82" name="文本框 23"/>
                        <wps:cNvSpPr txBox="1"/>
                        <wps:spPr>
                          <a:xfrm>
                            <a:off x="7448" y="389643"/>
                            <a:ext cx="511" cy="16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警戒疏散组</w:t>
                              </w:r>
                            </w:p>
                          </w:txbxContent>
                        </wps:txbx>
                        <wps:bodyPr upright="1"/>
                      </wps:wsp>
                      <wps:wsp>
                        <wps:cNvPr id="83" name="文本框 24"/>
                        <wps:cNvSpPr txBox="1"/>
                        <wps:spPr>
                          <a:xfrm>
                            <a:off x="8559" y="389637"/>
                            <a:ext cx="511" cy="16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医疗救护组</w:t>
                              </w:r>
                            </w:p>
                          </w:txbxContent>
                        </wps:txbx>
                        <wps:bodyPr upright="1"/>
                      </wps:wsp>
                      <wps:wsp>
                        <wps:cNvPr id="84" name="文本框 25"/>
                        <wps:cNvSpPr txBox="1"/>
                        <wps:spPr>
                          <a:xfrm>
                            <a:off x="9685" y="389632"/>
                            <a:ext cx="511" cy="16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通讯联络组</w:t>
                              </w:r>
                            </w:p>
                          </w:txbxContent>
                        </wps:txbx>
                        <wps:bodyPr upright="1"/>
                      </wps:wsp>
                      <wps:wsp>
                        <wps:cNvPr id="85" name="文本框 26"/>
                        <wps:cNvSpPr txBox="1"/>
                        <wps:spPr>
                          <a:xfrm>
                            <a:off x="10825" y="389612"/>
                            <a:ext cx="511" cy="1659"/>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善后处置组</w:t>
                              </w:r>
                            </w:p>
                          </w:txbxContent>
                        </wps:txbx>
                        <wps:bodyPr upright="1"/>
                      </wps:wsp>
                      <wpg:grpSp>
                        <wpg:cNvPr id="91" name="组合 36"/>
                        <wpg:cNvGrpSpPr/>
                        <wpg:grpSpPr>
                          <a:xfrm>
                            <a:off x="5304" y="387595"/>
                            <a:ext cx="5794" cy="1663"/>
                            <a:chOff x="5304" y="387595"/>
                            <a:chExt cx="5794" cy="1663"/>
                          </a:xfrm>
                        </wpg:grpSpPr>
                        <wps:wsp>
                          <wps:cNvPr id="86" name="自选图形 29"/>
                          <wps:cNvCnPr/>
                          <wps:spPr>
                            <a:xfrm flipV="1">
                              <a:off x="5304" y="389244"/>
                              <a:ext cx="5794" cy="14"/>
                            </a:xfrm>
                            <a:prstGeom prst="straightConnector1">
                              <a:avLst/>
                            </a:prstGeom>
                            <a:ln w="9525" cap="flat" cmpd="sng">
                              <a:solidFill>
                                <a:srgbClr val="000000"/>
                              </a:solidFill>
                              <a:prstDash val="solid"/>
                              <a:headEnd type="none" w="med" len="med"/>
                              <a:tailEnd type="none" w="med" len="med"/>
                            </a:ln>
                          </wps:spPr>
                          <wps:bodyPr/>
                        </wps:wsp>
                        <wps:wsp>
                          <wps:cNvPr id="87" name="文本框 35"/>
                          <wps:cNvSpPr txBox="1"/>
                          <wps:spPr>
                            <a:xfrm>
                              <a:off x="7479" y="388394"/>
                              <a:ext cx="1573" cy="44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default" w:eastAsia="宋体"/>
                                    <w:sz w:val="24"/>
                                    <w:szCs w:val="24"/>
                                    <w:lang w:val="en-US" w:eastAsia="zh-CN"/>
                                  </w:rPr>
                                </w:pPr>
                                <w:r>
                                  <w:rPr>
                                    <w:rFonts w:hint="eastAsia" w:ascii="仿宋" w:hAnsi="仿宋" w:eastAsia="仿宋"/>
                                    <w:sz w:val="24"/>
                                    <w:szCs w:val="24"/>
                                    <w:lang w:val="en-US" w:eastAsia="zh-CN"/>
                                  </w:rPr>
                                  <w:t>应急办公室</w:t>
                                </w:r>
                              </w:p>
                            </w:txbxContent>
                          </wps:txbx>
                          <wps:bodyPr upright="1"/>
                        </wps:wsp>
                        <wps:wsp>
                          <wps:cNvPr id="88" name="文本框 32"/>
                          <wps:cNvSpPr txBox="1"/>
                          <wps:spPr>
                            <a:xfrm>
                              <a:off x="7460" y="387595"/>
                              <a:ext cx="1573" cy="444"/>
                            </a:xfrm>
                            <a:prstGeom prst="rect">
                              <a:avLst/>
                            </a:prstGeom>
                            <a:solidFill>
                              <a:srgbClr val="FFFFFF"/>
                            </a:solidFill>
                            <a:ln w="9525" cap="flat" cmpd="sng">
                              <a:solidFill>
                                <a:srgbClr val="000000"/>
                              </a:solidFill>
                              <a:prstDash val="solid"/>
                              <a:miter/>
                              <a:headEnd type="none" w="med" len="med"/>
                              <a:tailEnd type="none" w="med" len="med"/>
                            </a:ln>
                          </wps:spPr>
                          <wps:txbx>
                            <w:txbxContent>
                              <w:p>
                                <w:pPr>
                                  <w:jc w:val="center"/>
                                  <w:rPr>
                                    <w:rFonts w:hint="default" w:eastAsia="宋体"/>
                                    <w:sz w:val="24"/>
                                    <w:szCs w:val="24"/>
                                    <w:lang w:val="en-US" w:eastAsia="zh-CN"/>
                                  </w:rPr>
                                </w:pPr>
                                <w:r>
                                  <w:rPr>
                                    <w:rFonts w:hint="eastAsia" w:ascii="仿宋" w:hAnsi="仿宋" w:eastAsia="仿宋"/>
                                    <w:sz w:val="24"/>
                                    <w:szCs w:val="24"/>
                                    <w:lang w:val="en-US" w:eastAsia="zh-CN"/>
                                  </w:rPr>
                                  <w:t>应急指挥部</w:t>
                                </w:r>
                              </w:p>
                            </w:txbxContent>
                          </wps:txbx>
                          <wps:bodyPr upright="1"/>
                        </wps:wsp>
                        <wps:wsp>
                          <wps:cNvPr id="89" name="自选图形 33"/>
                          <wps:cNvCnPr/>
                          <wps:spPr>
                            <a:xfrm flipH="1">
                              <a:off x="8264" y="388053"/>
                              <a:ext cx="4" cy="359"/>
                            </a:xfrm>
                            <a:prstGeom prst="straightConnector1">
                              <a:avLst/>
                            </a:prstGeom>
                            <a:ln w="9525" cap="flat" cmpd="sng">
                              <a:solidFill>
                                <a:srgbClr val="000000"/>
                              </a:solidFill>
                              <a:prstDash val="solid"/>
                              <a:headEnd type="none" w="med" len="med"/>
                              <a:tailEnd type="triangle" w="med" len="med"/>
                            </a:ln>
                          </wps:spPr>
                          <wps:bodyPr/>
                        </wps:wsp>
                        <wps:wsp>
                          <wps:cNvPr id="90" name="自选图形 34"/>
                          <wps:cNvCnPr/>
                          <wps:spPr>
                            <a:xfrm flipH="1">
                              <a:off x="8263" y="388859"/>
                              <a:ext cx="5" cy="390"/>
                            </a:xfrm>
                            <a:prstGeom prst="straightConnector1">
                              <a:avLst/>
                            </a:prstGeom>
                            <a:ln w="9525" cap="flat" cmpd="sng">
                              <a:solidFill>
                                <a:srgbClr val="000000"/>
                              </a:solidFill>
                              <a:prstDash val="solid"/>
                              <a:headEnd type="none" w="med" len="med"/>
                              <a:tailEnd type="triangle" w="med" len="med"/>
                            </a:ln>
                          </wps:spPr>
                          <wps:bodyPr/>
                        </wps:wsp>
                      </wpg:grpSp>
                    </wpg:wgp>
                  </a:graphicData>
                </a:graphic>
              </wp:anchor>
            </w:drawing>
          </mc:Choice>
          <mc:Fallback>
            <w:pict>
              <v:group id="组合 37" o:spid="_x0000_s1026" o:spt="203" style="position:absolute;left:0pt;margin-left:53.35pt;margin-top:311.15pt;height:180.9pt;width:315.05pt;z-index:251664384;mso-width-relative:page;mso-height-relative:page;" coordorigin="5035,387595" coordsize="6301,3714" o:gfxdata="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">
                <o:lock v:ext="edit" aspectratio="f"/>
                <v:shape id="文本框 38" o:spid="_x0000_s1026" o:spt="202" type="#_x0000_t202" style="position:absolute;left:5035;top:389642;height:1659;width:511;" fillcolor="#FFFFFF" filled="t" stroked="t" coordsize="21600,21600" o:gfxdata="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26A8er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default" w:eastAsia="宋体"/>
                            <w:sz w:val="24"/>
                            <w:szCs w:val="24"/>
                            <w:lang w:val="en-US" w:eastAsia="zh-CN"/>
                          </w:rPr>
                        </w:pPr>
                        <w:r>
                          <w:rPr>
                            <w:rFonts w:hint="eastAsia" w:ascii="仿宋" w:hAnsi="仿宋" w:eastAsia="仿宋"/>
                            <w:sz w:val="24"/>
                            <w:szCs w:val="24"/>
                            <w:lang w:val="en-US" w:eastAsia="zh-CN"/>
                          </w:rPr>
                          <w:t>抢险灭火组</w:t>
                        </w:r>
                      </w:p>
                    </w:txbxContent>
                  </v:textbox>
                </v:shape>
                <v:shape id="自选图形 16" o:spid="_x0000_s1026" o:spt="32" type="#_x0000_t32" style="position:absolute;left:5299;top:389257;flip:x;height:423;width:5;" filled="f" stroked="t" coordsize="21600,21600" o:gfxdata="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GVfpsvQAA&#10;ANs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shape id="自选图形 17" o:spid="_x0000_s1026" o:spt="32" type="#_x0000_t32" style="position:absolute;left:6590;top:389254;flip:x;height:423;width:5;" filled="f" stroked="t" coordsize="21600,21600" o:gfxdata="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2h2QbvQAA&#10;ANsAAAAPAAAAAAAAAAEAIAAAACIAAABkcnMvZG93bnJldi54bWxQSwECFAAUAAAACACHTuJAMy8F&#10;njsAAAA5AAAAEAAAAAAAAAABACAAAAAMAQAAZHJzL3NoYXBleG1sLnhtbFBLBQYAAAAABgAGAFsB&#10;AAC2AwAAAAA=&#10;">
                  <v:fill on="f" focussize="0,0"/>
                  <v:stroke color="#000000" joinstyle="round" endarrow="block"/>
                  <v:imagedata o:title=""/>
                  <o:lock v:ext="edit" aspectratio="f"/>
                </v:shape>
                <v:shape id="自选图形 18" o:spid="_x0000_s1026" o:spt="32" type="#_x0000_t32" style="position:absolute;left:8806;top:389263;flip:x;height:423;width:5;" filled="f" stroked="t" coordsize="21600,21600" o:gfxdata="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nLwYC/&#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19" o:spid="_x0000_s1026" o:spt="32" type="#_x0000_t32" style="position:absolute;left:11077;top:389244;flip:x;height:423;width:5;" filled="f" stroked="t" coordsize="21600,21600" o:gfxdata="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FRV8r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shape>
                <v:shape id="自选图形 20" o:spid="_x0000_s1026" o:spt="32" type="#_x0000_t32" style="position:absolute;left:7718;top:389252;flip:x;height:423;width:5;" filled="f" stroked="t" coordsize="21600,21600" o:gfxdata="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xjwab4A&#10;AADbAAAADwAAAAAAAAABACAAAAAiAAAAZHJzL2Rvd25yZXYueG1sUEsBAhQAFAAAAAgAh07iQDMv&#10;BZ47AAAAOQAAABAAAAAAAAAAAQAgAAAADQEAAGRycy9zaGFwZXhtbC54bWxQSwUGAAAAAAYABgBb&#10;AQAAtwMAAAAA&#10;">
                  <v:fill on="f" focussize="0,0"/>
                  <v:stroke color="#000000" joinstyle="round" endarrow="block"/>
                  <v:imagedata o:title=""/>
                  <o:lock v:ext="edit" aspectratio="f"/>
                </v:shape>
                <v:shape id="自选图形 21" o:spid="_x0000_s1026" o:spt="32" type="#_x0000_t32" style="position:absolute;left:9907;top:389246;flip:x;height:423;width:5;" filled="f" stroked="t" coordsize="21600,21600" o:gfxdata="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cp07sAAADb&#10;AAAADwAAAAAAAAABACAAAAAiAAAAZHJzL2Rvd25yZXYueG1sUEsBAhQAFAAAAAgAh07iQDMvBZ47&#10;AAAAOQAAABAAAAAAAAAAAQAgAAAACgEAAGRycy9zaGFwZXhtbC54bWxQSwUGAAAAAAYABgBbAQAA&#10;tAMAAAAA&#10;">
                  <v:fill on="f" focussize="0,0"/>
                  <v:stroke color="#000000" joinstyle="round" endarrow="block"/>
                  <v:imagedata o:title=""/>
                  <o:lock v:ext="edit" aspectratio="f"/>
                </v:shape>
                <v:shape id="文本框 22" o:spid="_x0000_s1026" o:spt="202" type="#_x0000_t202" style="position:absolute;left:6336;top:389650;height:1659;width:511;" fillcolor="#FFFFFF" filled="t" stroked="t" coordsize="21600,21600" o:gfxdata="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gLvxb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物资供应组</w:t>
                        </w:r>
                      </w:p>
                    </w:txbxContent>
                  </v:textbox>
                </v:shape>
                <v:shape id="文本框 23" o:spid="_x0000_s1026" o:spt="202" type="#_x0000_t202" style="position:absolute;left:7448;top:389643;height:1659;width:511;" fillcolor="#FFFFFF" filled="t" stroked="t" coordsize="21600,21600" o:gfxdata="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7QcbK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警戒疏散组</w:t>
                        </w:r>
                      </w:p>
                    </w:txbxContent>
                  </v:textbox>
                </v:shape>
                <v:shape id="文本框 24" o:spid="_x0000_s1026" o:spt="202" type="#_x0000_t202" style="position:absolute;left:8559;top:389637;height:1659;width:511;" fillcolor="#FFFFFF" filled="t" stroked="t" coordsize="21600,21600" o:gfxdata="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hnNQp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医疗救护组</w:t>
                        </w:r>
                      </w:p>
                    </w:txbxContent>
                  </v:textbox>
                </v:shape>
                <v:shape id="文本框 25" o:spid="_x0000_s1026" o:spt="202" type="#_x0000_t202" style="position:absolute;left:9685;top:389632;height:1659;width:511;" fillcolor="#FFFFFF" filled="t" stroked="t" coordsize="21600,21600" o:gfxdata="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51TF28AAAA&#10;2wAAAA8AAAAAAAAAAQAgAAAAIgAAAGRycy9kb3ducmV2LnhtbFBLAQIUABQAAAAIAIdO4kAzLwWe&#10;OwAAADkAAAAQAAAAAAAAAAEAIAAAAAsBAABkcnMvc2hhcGV4bWwueG1sUEsFBgAAAAAGAAYAWwEA&#10;ALUDAAAAAA==&#10;">
                  <v:fill on="t"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通讯联络组</w:t>
                        </w:r>
                      </w:p>
                    </w:txbxContent>
                  </v:textbox>
                </v:shape>
                <v:shape id="文本框 26" o:spid="_x0000_s1026" o:spt="202" type="#_x0000_t202" style="position:absolute;left:10825;top:389612;height:1659;width:511;" fillcolor="#FFFFFF" filled="t" stroked="t" coordsize="21600,21600" o:gfxdata="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BOenGvQAA&#10;ANsAAAAPAAAAAAAAAAEAIAAAACIAAABkcnMvZG93bnJldi54bWxQSwECFAAUAAAACACHTuJAMy8F&#10;njsAAAA5AAAAEAAAAAAAAAABACAAAAAMAQAAZHJzL3NoYXBleG1sLnhtbFBLBQYAAAAABgAGAFsB&#10;AAC2AwAAAAA=&#10;">
                  <v:fill on="t" focussize="0,0"/>
                  <v:stroke color="#000000" joinstyle="miter"/>
                  <v:imagedata o:title=""/>
                  <o:lock v:ext="edit" aspectratio="f"/>
                  <v:textbox>
                    <w:txbxContent>
                      <w:p>
                        <w:pPr>
                          <w:jc w:val="center"/>
                          <w:rPr>
                            <w:rFonts w:hint="eastAsia" w:ascii="仿宋" w:hAnsi="仿宋" w:eastAsia="仿宋" w:cs="仿宋"/>
                            <w:sz w:val="24"/>
                            <w:szCs w:val="24"/>
                            <w:lang w:val="en-US" w:eastAsia="zh-CN"/>
                          </w:rPr>
                        </w:pPr>
                        <w:r>
                          <w:rPr>
                            <w:rFonts w:hint="eastAsia" w:ascii="仿宋" w:hAnsi="仿宋" w:eastAsia="仿宋" w:cs="仿宋"/>
                            <w:sz w:val="24"/>
                            <w:szCs w:val="24"/>
                            <w:lang w:val="en-US" w:eastAsia="zh-CN"/>
                          </w:rPr>
                          <w:t>善后处置组</w:t>
                        </w:r>
                      </w:p>
                    </w:txbxContent>
                  </v:textbox>
                </v:shape>
                <v:group id="组合 36" o:spid="_x0000_s1026" o:spt="203" style="position:absolute;left:5304;top:387595;height:1663;width:5794;" coordorigin="5304,387595" coordsize="5794,1663" o:gfxdata="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PCRN9S+AAAA2wAAAA8AAAAAAAAAAQAgAAAAIgAAAGRycy9kb3ducmV2Lnht&#10;bFBLAQIUABQAAAAIAIdO4kAzLwWeOwAAADkAAAAVAAAAAAAAAAEAIAAAAA0BAABkcnMvZ3JvdXBz&#10;aGFwZXhtbC54bWxQSwUGAAAAAAYABgBgAQAAygMAAAAA&#10;">
                  <o:lock v:ext="edit" aspectratio="f"/>
                  <v:shape id="自选图形 29" o:spid="_x0000_s1026" o:spt="32" type="#_x0000_t32" style="position:absolute;left:5304;top:389244;flip:y;height:14;width:5794;" filled="f" stroked="t" coordsize="21600,21600" o:gfxdata="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jF2IG8AAAA&#10;2wAAAA8AAAAAAAAAAQAgAAAAIgAAAGRycy9kb3ducmV2LnhtbFBLAQIUABQAAAAIAIdO4kAzLwWe&#10;OwAAADkAAAAQAAAAAAAAAAEAIAAAAAsBAABkcnMvc2hhcGV4bWwueG1sUEsFBgAAAAAGAAYAWwEA&#10;ALUDAAAAAA==&#10;">
                    <v:fill on="f" focussize="0,0"/>
                    <v:stroke color="#000000" joinstyle="round"/>
                    <v:imagedata o:title=""/>
                    <o:lock v:ext="edit" aspectratio="f"/>
                  </v:shape>
                  <v:shape id="文本框 35" o:spid="_x0000_s1026" o:spt="202" type="#_x0000_t202" style="position:absolute;left:7479;top:388394;height:444;width:1573;" fillcolor="#FFFFFF" filled="t" stroked="t" coordsize="21600,21600" o:gfxdata="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qfSKr4A&#10;AADbAAAADwAAAAAAAAABACAAAAAiAAAAZHJzL2Rvd25yZXYueG1sUEsBAhQAFAAAAAgAh07iQDMv&#10;BZ47AAAAOQAAABAAAAAAAAAAAQAgAAAADQEAAGRycy9zaGFwZXhtbC54bWxQSwUGAAAAAAYABgBb&#10;AQAAtwMAAAAA&#10;">
                    <v:fill on="t" focussize="0,0"/>
                    <v:stroke color="#000000" joinstyle="miter"/>
                    <v:imagedata o:title=""/>
                    <o:lock v:ext="edit" aspectratio="f"/>
                    <v:textbox>
                      <w:txbxContent>
                        <w:p>
                          <w:pPr>
                            <w:jc w:val="center"/>
                            <w:rPr>
                              <w:rFonts w:hint="default" w:eastAsia="宋体"/>
                              <w:sz w:val="24"/>
                              <w:szCs w:val="24"/>
                              <w:lang w:val="en-US" w:eastAsia="zh-CN"/>
                            </w:rPr>
                          </w:pPr>
                          <w:r>
                            <w:rPr>
                              <w:rFonts w:hint="eastAsia" w:ascii="仿宋" w:hAnsi="仿宋" w:eastAsia="仿宋"/>
                              <w:sz w:val="24"/>
                              <w:szCs w:val="24"/>
                              <w:lang w:val="en-US" w:eastAsia="zh-CN"/>
                            </w:rPr>
                            <w:t>应急办公室</w:t>
                          </w:r>
                        </w:p>
                      </w:txbxContent>
                    </v:textbox>
                  </v:shape>
                  <v:shape id="文本框 32" o:spid="_x0000_s1026" o:spt="202" type="#_x0000_t202" style="position:absolute;left:7460;top:387595;height:444;width:1573;" fillcolor="#FFFFFF" filled="t" stroked="t" coordsize="21600,21600" o:gfxdata="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vOEZYugAAANsA&#10;AAAPAAAAAAAAAAEAIAAAACIAAABkcnMvZG93bnJldi54bWxQSwECFAAUAAAACACHTuJAMy8FnjsA&#10;AAA5AAAAEAAAAAAAAAABACAAAAAJAQAAZHJzL3NoYXBleG1sLnhtbFBLBQYAAAAABgAGAFsBAACz&#10;AwAAAAA=&#10;">
                    <v:fill on="t" focussize="0,0"/>
                    <v:stroke color="#000000" joinstyle="miter"/>
                    <v:imagedata o:title=""/>
                    <o:lock v:ext="edit" aspectratio="f"/>
                    <v:textbox>
                      <w:txbxContent>
                        <w:p>
                          <w:pPr>
                            <w:jc w:val="center"/>
                            <w:rPr>
                              <w:rFonts w:hint="default" w:eastAsia="宋体"/>
                              <w:sz w:val="24"/>
                              <w:szCs w:val="24"/>
                              <w:lang w:val="en-US" w:eastAsia="zh-CN"/>
                            </w:rPr>
                          </w:pPr>
                          <w:r>
                            <w:rPr>
                              <w:rFonts w:hint="eastAsia" w:ascii="仿宋" w:hAnsi="仿宋" w:eastAsia="仿宋"/>
                              <w:sz w:val="24"/>
                              <w:szCs w:val="24"/>
                              <w:lang w:val="en-US" w:eastAsia="zh-CN"/>
                            </w:rPr>
                            <w:t>应急指挥部</w:t>
                          </w:r>
                        </w:p>
                      </w:txbxContent>
                    </v:textbox>
                  </v:shape>
                  <v:shape id="自选图形 33" o:spid="_x0000_s1026" o:spt="32" type="#_x0000_t32" style="position:absolute;left:8264;top:388053;flip:x;height:359;width:4;" filled="f" stroked="t" coordsize="21600,21600" o:gfxdata="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LNgE6/&#10;AAAA2wAAAA8AAAAAAAAAAQAgAAAAIgAAAGRycy9kb3ducmV2LnhtbFBLAQIUABQAAAAIAIdO4kAz&#10;LwWeOwAAADkAAAAQAAAAAAAAAAEAIAAAAA4BAABkcnMvc2hhcGV4bWwueG1sUEsFBgAAAAAGAAYA&#10;WwEAALgDAAAAAA==&#10;">
                    <v:fill on="f" focussize="0,0"/>
                    <v:stroke color="#000000" joinstyle="round" endarrow="block"/>
                    <v:imagedata o:title=""/>
                    <o:lock v:ext="edit" aspectratio="f"/>
                  </v:shape>
                  <v:shape id="自选图形 34" o:spid="_x0000_s1026" o:spt="32" type="#_x0000_t32" style="position:absolute;left:8263;top:388859;flip:x;height:390;width:5;" filled="f" stroked="t" coordsize="21600,21600" o:gfxdata="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mLr8OugAAANsA&#10;AAAPAAAAAAAAAAEAIAAAACIAAABkcnMvZG93bnJldi54bWxQSwECFAAUAAAACACHTuJAMy8FnjsA&#10;AAA5AAAAEAAAAAAAAAABACAAAAAJAQAAZHJzL3NoYXBleG1sLnhtbFBLBQYAAAAABgAGAFsBAACz&#10;AwAAAAA=&#10;">
                    <v:fill on="f" focussize="0,0"/>
                    <v:stroke color="#000000" joinstyle="round" endarrow="block"/>
                    <v:imagedata o:title=""/>
                    <o:lock v:ext="edit" aspectratio="f"/>
                  </v:shape>
                </v:group>
              </v:group>
            </w:pict>
          </mc:Fallback>
        </mc:AlternateContent>
      </w:r>
      <w:r>
        <w:rPr>
          <w:rFonts w:hint="default" w:ascii="Times New Roman" w:hAnsi="Times New Roman" w:eastAsia="仿宋" w:cs="Times New Roman"/>
          <w:kern w:val="0"/>
          <w:sz w:val="28"/>
          <w:szCs w:val="28"/>
          <w:lang w:bidi="en-US"/>
        </w:rPr>
        <w:t>公司设立突发环境事件应急指挥部，</w:t>
      </w:r>
      <w:r>
        <w:rPr>
          <w:rFonts w:hint="eastAsia" w:eastAsia="仿宋" w:cs="Times New Roman"/>
          <w:kern w:val="0"/>
          <w:sz w:val="28"/>
          <w:szCs w:val="28"/>
          <w:lang w:val="en-US" w:eastAsia="zh-CN" w:bidi="en-US"/>
        </w:rPr>
        <w:t>员工</w:t>
      </w:r>
      <w:r>
        <w:rPr>
          <w:rFonts w:hint="default" w:ascii="Times New Roman" w:hAnsi="Times New Roman" w:eastAsia="仿宋" w:cs="Times New Roman"/>
          <w:kern w:val="0"/>
          <w:sz w:val="28"/>
          <w:szCs w:val="28"/>
          <w:lang w:bidi="en-US"/>
        </w:rPr>
        <w:t>同时为应急办公室成员，负责日常事务，应急指挥部设在企业办公室。应急指挥部下设抢险灭火组、</w:t>
      </w:r>
      <w:bookmarkStart w:id="170" w:name="_Hlk19524927"/>
      <w:r>
        <w:rPr>
          <w:rFonts w:hint="default" w:ascii="Times New Roman" w:hAnsi="Times New Roman" w:eastAsia="仿宋" w:cs="Times New Roman"/>
          <w:kern w:val="0"/>
          <w:sz w:val="28"/>
          <w:szCs w:val="28"/>
          <w:lang w:bidi="en-US"/>
        </w:rPr>
        <w:t>物资供应组</w:t>
      </w:r>
      <w:bookmarkEnd w:id="170"/>
      <w:r>
        <w:rPr>
          <w:rFonts w:hint="default" w:ascii="Times New Roman" w:hAnsi="Times New Roman" w:eastAsia="仿宋" w:cs="Times New Roman"/>
          <w:kern w:val="0"/>
          <w:sz w:val="28"/>
          <w:szCs w:val="28"/>
          <w:lang w:bidi="en-US"/>
        </w:rPr>
        <w:t>、</w:t>
      </w:r>
      <w:bookmarkStart w:id="171" w:name="_Hlk19524936"/>
      <w:r>
        <w:rPr>
          <w:rFonts w:hint="default" w:ascii="Times New Roman" w:hAnsi="Times New Roman" w:eastAsia="仿宋" w:cs="Times New Roman"/>
          <w:kern w:val="0"/>
          <w:sz w:val="28"/>
          <w:szCs w:val="28"/>
          <w:lang w:bidi="en-US"/>
        </w:rPr>
        <w:t>警戒疏导组</w:t>
      </w:r>
      <w:bookmarkEnd w:id="171"/>
      <w:r>
        <w:rPr>
          <w:rFonts w:hint="default" w:ascii="Times New Roman" w:hAnsi="Times New Roman" w:eastAsia="仿宋" w:cs="Times New Roman"/>
          <w:kern w:val="0"/>
          <w:sz w:val="28"/>
          <w:szCs w:val="28"/>
          <w:lang w:bidi="en-US"/>
        </w:rPr>
        <w:t>、</w:t>
      </w:r>
      <w:bookmarkStart w:id="172" w:name="_Hlk19524946"/>
      <w:r>
        <w:rPr>
          <w:rFonts w:hint="default" w:ascii="Times New Roman" w:hAnsi="Times New Roman" w:eastAsia="仿宋" w:cs="Times New Roman"/>
          <w:kern w:val="0"/>
          <w:sz w:val="28"/>
          <w:szCs w:val="28"/>
          <w:lang w:bidi="en-US"/>
        </w:rPr>
        <w:t>医疗救护组</w:t>
      </w:r>
      <w:bookmarkEnd w:id="172"/>
      <w:r>
        <w:rPr>
          <w:rFonts w:hint="default" w:ascii="Times New Roman" w:hAnsi="Times New Roman" w:eastAsia="仿宋" w:cs="Times New Roman"/>
          <w:kern w:val="0"/>
          <w:sz w:val="28"/>
          <w:szCs w:val="28"/>
          <w:lang w:bidi="en-US"/>
        </w:rPr>
        <w:t>、通讯联络组、善后处理组共计六</w:t>
      </w:r>
      <w:r>
        <w:rPr>
          <w:rFonts w:hint="default" w:ascii="Times New Roman" w:hAnsi="Times New Roman" w:eastAsia="仿宋" w:cs="Times New Roman"/>
          <w:kern w:val="0"/>
          <w:sz w:val="28"/>
          <w:szCs w:val="28"/>
          <w:lang w:val="en-US" w:eastAsia="zh-CN" w:bidi="en-US"/>
        </w:rPr>
        <w:t>组</w:t>
      </w:r>
      <w:r>
        <w:rPr>
          <w:rFonts w:hint="default" w:ascii="Times New Roman" w:hAnsi="Times New Roman" w:eastAsia="仿宋" w:cs="Times New Roman"/>
          <w:kern w:val="0"/>
          <w:sz w:val="28"/>
          <w:szCs w:val="28"/>
        </w:rPr>
        <w:t>。企业发生突发环境事件影响到周围居民或企业，</w:t>
      </w:r>
      <w:r>
        <w:rPr>
          <w:rFonts w:hint="default" w:ascii="Times New Roman" w:hAnsi="Times New Roman" w:eastAsia="仿宋" w:cs="Times New Roman"/>
          <w:kern w:val="0"/>
          <w:sz w:val="28"/>
          <w:szCs w:val="28"/>
          <w:lang w:val="en-US" w:eastAsia="zh-CN"/>
        </w:rPr>
        <w:t>其</w:t>
      </w:r>
      <w:r>
        <w:rPr>
          <w:rFonts w:hint="default" w:ascii="Times New Roman" w:hAnsi="Times New Roman" w:eastAsia="仿宋" w:cs="Times New Roman"/>
          <w:kern w:val="0"/>
          <w:sz w:val="28"/>
          <w:szCs w:val="28"/>
        </w:rPr>
        <w:t>自身能力不</w:t>
      </w:r>
      <w:r>
        <w:rPr>
          <w:rFonts w:hint="default" w:ascii="Times New Roman" w:hAnsi="Times New Roman" w:eastAsia="仿宋" w:cs="Times New Roman"/>
          <w:kern w:val="0"/>
          <w:sz w:val="28"/>
          <w:szCs w:val="28"/>
          <w:lang w:bidi="en-US"/>
        </w:rPr>
        <w:t>足时，及时向</w:t>
      </w:r>
      <w:r>
        <w:rPr>
          <w:rFonts w:hint="default" w:ascii="Times New Roman" w:hAnsi="Times New Roman" w:eastAsia="仿宋" w:cs="Times New Roman"/>
          <w:kern w:val="0"/>
          <w:sz w:val="28"/>
          <w:szCs w:val="28"/>
        </w:rPr>
        <w:t>外部单位求援</w:t>
      </w:r>
      <w:r>
        <w:rPr>
          <w:rFonts w:hint="default" w:ascii="Times New Roman" w:hAnsi="Times New Roman" w:eastAsia="仿宋" w:cs="Times New Roman"/>
          <w:kern w:val="0"/>
          <w:sz w:val="28"/>
          <w:szCs w:val="28"/>
          <w:lang w:eastAsia="zh-CN"/>
        </w:rPr>
        <w:t>，</w:t>
      </w:r>
      <w:r>
        <w:rPr>
          <w:rFonts w:hint="default" w:ascii="Times New Roman" w:hAnsi="Times New Roman" w:eastAsia="仿宋" w:cs="Times New Roman"/>
          <w:kern w:val="0"/>
          <w:sz w:val="28"/>
          <w:szCs w:val="28"/>
        </w:rPr>
        <w:t>当由政府等有关部门介入突发环境事件的应急处置工作时，公司内部应急组织机构成员不变，由应急指挥部转变为服从指挥，配合相关部门参与本企业处置、响应、应急保障等工作。本公司不具备监测能力，突发环境事件发生后，企业及时上报当地生态环境局，应急监测统一由上级单位协调</w:t>
      </w:r>
      <w:r>
        <w:rPr>
          <w:rFonts w:hint="default" w:ascii="Times New Roman" w:hAnsi="Times New Roman" w:eastAsia="仿宋" w:cs="Times New Roman"/>
          <w:kern w:val="0"/>
          <w:sz w:val="28"/>
          <w:szCs w:val="28"/>
          <w:lang w:val="en-US" w:eastAsia="zh-CN"/>
        </w:rPr>
        <w:t>或企业委托第三方监测机构开展</w:t>
      </w:r>
      <w:r>
        <w:rPr>
          <w:rFonts w:hint="default" w:ascii="Times New Roman" w:hAnsi="Times New Roman" w:eastAsia="仿宋" w:cs="Times New Roman"/>
          <w:kern w:val="0"/>
          <w:sz w:val="28"/>
          <w:szCs w:val="28"/>
        </w:rPr>
        <w:t>。应急指挥部构成见图 3.2-1。</w:t>
      </w:r>
    </w:p>
    <w:p>
      <w:pPr>
        <w:pStyle w:val="17"/>
        <w:rPr>
          <w:rFonts w:hint="default" w:ascii="Times New Roman" w:hAnsi="Times New Roman" w:eastAsia="仿宋" w:cs="Times New Roman"/>
          <w:kern w:val="0"/>
          <w:sz w:val="28"/>
          <w:szCs w:val="28"/>
          <w:lang w:eastAsia="zh-CN"/>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17"/>
        <w:rPr>
          <w:rFonts w:hint="default" w:ascii="Times New Roman" w:hAnsi="Times New Roman" w:eastAsia="仿宋" w:cs="Times New Roman"/>
          <w:kern w:val="0"/>
          <w:sz w:val="28"/>
          <w:szCs w:val="28"/>
        </w:rPr>
      </w:pPr>
    </w:p>
    <w:p>
      <w:pPr>
        <w:pStyle w:val="39"/>
        <w:jc w:val="center"/>
        <w:rPr>
          <w:rFonts w:hint="default" w:ascii="Times New Roman" w:hAnsi="Times New Roman" w:eastAsia="仿宋" w:cs="Times New Roman"/>
          <w:sz w:val="24"/>
          <w:szCs w:val="24"/>
        </w:rPr>
      </w:pPr>
    </w:p>
    <w:p>
      <w:pPr>
        <w:pStyle w:val="39"/>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图 3.2-1 应急指挥部构成</w:t>
      </w:r>
    </w:p>
    <w:p>
      <w:pPr>
        <w:pStyle w:val="22"/>
        <w:ind w:left="0" w:leftChars="0"/>
        <w:outlineLvl w:val="1"/>
        <w:rPr>
          <w:rFonts w:hint="default" w:ascii="Times New Roman" w:hAnsi="Times New Roman" w:eastAsia="仿宋" w:cs="Times New Roman"/>
          <w:b/>
          <w:szCs w:val="28"/>
        </w:rPr>
      </w:pPr>
      <w:bookmarkStart w:id="173" w:name="_Toc21763"/>
      <w:bookmarkStart w:id="174" w:name="_Toc54050872"/>
      <w:bookmarkStart w:id="175" w:name="_Toc9503"/>
      <w:r>
        <w:rPr>
          <w:rFonts w:hint="default" w:ascii="Times New Roman" w:hAnsi="Times New Roman" w:eastAsia="仿宋" w:cs="Times New Roman"/>
          <w:b/>
          <w:szCs w:val="28"/>
        </w:rPr>
        <w:t>3.2 职责</w:t>
      </w:r>
      <w:bookmarkEnd w:id="173"/>
      <w:bookmarkEnd w:id="174"/>
      <w:bookmarkEnd w:id="175"/>
    </w:p>
    <w:p>
      <w:pPr>
        <w:pStyle w:val="12"/>
        <w:jc w:val="both"/>
        <w:rPr>
          <w:rFonts w:hint="default" w:ascii="Times New Roman" w:hAnsi="Times New Roman" w:eastAsia="仿宋" w:cs="Times New Roman"/>
        </w:rPr>
      </w:pPr>
      <w:bookmarkStart w:id="176" w:name="_Toc3856"/>
      <w:bookmarkStart w:id="177" w:name="_Toc57039873"/>
      <w:bookmarkStart w:id="178" w:name="_Toc54050873"/>
      <w:bookmarkStart w:id="179" w:name="_Toc57036114"/>
      <w:bookmarkStart w:id="180" w:name="_Toc28820"/>
      <w:r>
        <w:rPr>
          <w:rFonts w:hint="default" w:ascii="Times New Roman" w:hAnsi="Times New Roman" w:eastAsia="仿宋" w:cs="Times New Roman"/>
        </w:rPr>
        <w:t xml:space="preserve">3.2.1 </w:t>
      </w:r>
      <w:bookmarkEnd w:id="176"/>
      <w:r>
        <w:rPr>
          <w:rFonts w:hint="default" w:ascii="Times New Roman" w:hAnsi="Times New Roman" w:eastAsia="仿宋" w:cs="Times New Roman"/>
        </w:rPr>
        <w:t>应急指挥部职责</w:t>
      </w:r>
      <w:bookmarkEnd w:id="177"/>
      <w:bookmarkEnd w:id="178"/>
      <w:bookmarkEnd w:id="179"/>
      <w:bookmarkEnd w:id="180"/>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总指挥（总经理）：</w:t>
      </w:r>
      <w:r>
        <w:rPr>
          <w:rFonts w:hint="eastAsia" w:ascii="Times New Roman" w:hAnsi="Times New Roman" w:eastAsia="仿宋" w:cs="Times New Roman"/>
          <w:sz w:val="28"/>
          <w:szCs w:val="28"/>
          <w:lang w:val="en-US" w:eastAsia="zh-CN" w:bidi="en-US"/>
        </w:rPr>
        <w:t>郭红梅</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val="en-US" w:eastAsia="zh-CN" w:bidi="en-US"/>
        </w:rPr>
        <w:t>15399249916</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副总指挥</w:t>
      </w:r>
      <w:r>
        <w:rPr>
          <w:rFonts w:hint="eastAsia" w:ascii="Times New Roman" w:hAnsi="Times New Roman" w:eastAsia="仿宋" w:cs="Times New Roman"/>
          <w:sz w:val="28"/>
          <w:szCs w:val="28"/>
          <w:lang w:eastAsia="zh-CN" w:bidi="en-US"/>
        </w:rPr>
        <w:t>（</w:t>
      </w:r>
      <w:r>
        <w:rPr>
          <w:rFonts w:hint="eastAsia" w:ascii="Times New Roman" w:hAnsi="Times New Roman" w:eastAsia="仿宋" w:cs="Times New Roman"/>
          <w:sz w:val="28"/>
          <w:szCs w:val="28"/>
          <w:lang w:val="en-US" w:eastAsia="zh-CN" w:bidi="en-US"/>
        </w:rPr>
        <w:t>厂长</w:t>
      </w:r>
      <w:r>
        <w:rPr>
          <w:rFonts w:hint="eastAsia" w:ascii="Times New Roman" w:hAnsi="Times New Roman" w:eastAsia="仿宋" w:cs="Times New Roman"/>
          <w:sz w:val="28"/>
          <w:szCs w:val="28"/>
          <w:lang w:eastAsia="zh-CN" w:bidi="en-US"/>
        </w:rPr>
        <w:t>）</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val="en-US" w:eastAsia="zh-CN" w:bidi="en-US"/>
        </w:rPr>
        <w:t>李亚丽</w:t>
      </w:r>
      <w:r>
        <w:rPr>
          <w:rFonts w:hint="default" w:ascii="Times New Roman" w:hAnsi="Times New Roman" w:eastAsia="仿宋" w:cs="Times New Roman"/>
          <w:sz w:val="28"/>
          <w:szCs w:val="28"/>
          <w:lang w:bidi="en-US"/>
        </w:rPr>
        <w:t>（电话：</w:t>
      </w:r>
      <w:r>
        <w:rPr>
          <w:rFonts w:hint="eastAsia" w:ascii="Times New Roman" w:hAnsi="Times New Roman" w:eastAsia="仿宋" w:cs="Times New Roman"/>
          <w:sz w:val="28"/>
          <w:szCs w:val="28"/>
          <w:lang w:val="en-US" w:eastAsia="zh-CN" w:bidi="en-US"/>
        </w:rPr>
        <w:t>13892022873</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应急办公室主任：</w:t>
      </w:r>
      <w:r>
        <w:rPr>
          <w:rFonts w:hint="default" w:ascii="Times New Roman" w:hAnsi="Times New Roman" w:eastAsia="仿宋" w:cs="Times New Roman"/>
          <w:sz w:val="28"/>
          <w:szCs w:val="28"/>
          <w:lang w:val="en-US" w:eastAsia="zh-CN" w:bidi="en-US"/>
        </w:rPr>
        <w:t>李亚丽（电话：13892022873）</w:t>
      </w:r>
    </w:p>
    <w:p>
      <w:pPr>
        <w:spacing w:line="360" w:lineRule="auto"/>
        <w:ind w:firstLine="560" w:firstLineChars="200"/>
        <w:rPr>
          <w:rFonts w:hint="default" w:ascii="Times New Roman" w:hAnsi="Times New Roman" w:eastAsia="仿宋" w:cs="Times New Roman"/>
          <w:sz w:val="28"/>
          <w:szCs w:val="28"/>
          <w:lang w:bidi="en-US"/>
        </w:rPr>
      </w:pPr>
      <w:bookmarkStart w:id="181" w:name="_Hlk528925241"/>
      <w:r>
        <w:rPr>
          <w:rFonts w:hint="default" w:ascii="Times New Roman" w:hAnsi="Times New Roman" w:eastAsia="仿宋" w:cs="Times New Roman"/>
          <w:sz w:val="28"/>
          <w:szCs w:val="28"/>
          <w:lang w:bidi="en-US"/>
        </w:rPr>
        <w:t>成员：</w:t>
      </w:r>
      <w:bookmarkEnd w:id="181"/>
      <w:r>
        <w:rPr>
          <w:rFonts w:hint="default" w:ascii="Times New Roman" w:hAnsi="Times New Roman" w:eastAsia="仿宋" w:cs="Times New Roman"/>
          <w:sz w:val="28"/>
          <w:szCs w:val="28"/>
          <w:lang w:bidi="en-US"/>
        </w:rPr>
        <w:t>（1）总指挥职责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批准本预案的启动和终止；负责本公司应急工作的重大决策和全面指挥、协调工作；在特殊情况下具有调整应急方案的最终决策权；有权免除对应急救援工作不力的副指挥长和应急救援人员；有权调配全所应急救援资源，包括人力资源、物资装备和资金使用；组织事故调查，总结应急救援经验教训；负责及时向上级部门和当地政府汇报污染事故的具体情况，发出增援请求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（2）副总指挥职责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协助总指挥工作，负责指挥、协调各应急小组和各救援队伍的具体行动，并实施指挥部各项应急救援处理决策，总指挥因故缺席时履行总指挥职责。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（3）应急办公室主要职责：</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1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①</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贯彻执行国家、当地政府、上级主管部门关于突发环境事件和应急救援的方针、政策及有关规定；</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2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②</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组织编制本公司突发环境事件应急预案，组建环境污染事故应急救援队伍；</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3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③</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督查一般、较大突发环境事件的处理工作；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4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④</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组织指挥救援队伍实施救援行动，负责人员、资源配备，应急队伍的调动；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5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⑤</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协调事故现场有关工作，配合政府部门对环境进行恢复，组织事故调查，总结应急工作经验教训，组织并迅速恢复生产；</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6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⑥</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负责组织督促应急预案的培训和演练，根据情况变化，及时对预案进行调整、修订和补充；</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7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⑦</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负责对员工进行应急知识和基本防护方法的培训，向周边企业、村落提供本公司有关危险化学品特性、救援知识等的宣传材料。</w:t>
      </w:r>
    </w:p>
    <w:p>
      <w:pPr>
        <w:pStyle w:val="12"/>
        <w:bidi w:val="0"/>
        <w:jc w:val="left"/>
        <w:rPr>
          <w:rFonts w:hint="default" w:ascii="Times New Roman" w:hAnsi="Times New Roman" w:cs="Times New Roman"/>
          <w:lang w:val="en-US" w:eastAsia="zh-CN"/>
        </w:rPr>
      </w:pPr>
      <w:bookmarkStart w:id="182" w:name="_Toc4664"/>
      <w:bookmarkStart w:id="183" w:name="_Toc57367908"/>
      <w:bookmarkStart w:id="184" w:name="_Toc57036115"/>
      <w:bookmarkStart w:id="185" w:name="_Toc54050874"/>
      <w:bookmarkStart w:id="186" w:name="_Toc57039874"/>
      <w:r>
        <w:rPr>
          <w:rFonts w:hint="default" w:ascii="Times New Roman" w:hAnsi="Times New Roman" w:cs="Times New Roman"/>
          <w:lang w:val="en-US" w:eastAsia="zh-CN"/>
        </w:rPr>
        <w:t>3.2.2 各应急救援组的职责</w:t>
      </w:r>
      <w:bookmarkEnd w:id="182"/>
      <w:bookmarkEnd w:id="183"/>
      <w:bookmarkEnd w:id="184"/>
      <w:bookmarkEnd w:id="185"/>
      <w:bookmarkEnd w:id="186"/>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（1）警戒疏导组</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组长：</w:t>
      </w:r>
      <w:r>
        <w:rPr>
          <w:rFonts w:hint="eastAsia" w:ascii="Times New Roman" w:hAnsi="Times New Roman" w:eastAsia="仿宋" w:cs="Times New Roman"/>
          <w:sz w:val="28"/>
          <w:szCs w:val="28"/>
          <w:lang w:val="en-US" w:eastAsia="zh-CN" w:bidi="en-US"/>
        </w:rPr>
        <w:t>马飞</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val="en-US" w:eastAsia="zh-CN" w:bidi="en-US"/>
        </w:rPr>
        <w:t>15389358985</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主要职责是划定现场的警戒区并组织警戒，维护现场治安和交通秩序，负责救援运输车辆的畅通。对警戒疏散组的人员要求如下：</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①发生事件后，警戒组根据事件情景佩戴好防护用品，迅速奔赴现场，根据火灾爆炸（泄漏）影响范围，设置禁区，布置岗哨，加强警戒，巡逻检查，严禁无关人员进入禁区；</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②接到报警后，封闭厂区大门，维护厂区周边道路交通秩序，引导外来救援力量进入事件发生点，严禁外来人员入厂围观；</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③警戒组应到事件发生区域封路，指挥抢救车辆行驶路线。</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（2）抢险灭火组</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组长：</w:t>
      </w:r>
      <w:r>
        <w:rPr>
          <w:rFonts w:hint="eastAsia" w:ascii="Times New Roman" w:hAnsi="Times New Roman" w:eastAsia="仿宋" w:cs="Times New Roman"/>
          <w:sz w:val="28"/>
          <w:szCs w:val="28"/>
          <w:lang w:val="en-US" w:eastAsia="zh-CN" w:bidi="en-US"/>
        </w:rPr>
        <w:t>刘小雷</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val="en-US" w:eastAsia="zh-CN" w:bidi="en-US"/>
        </w:rPr>
        <w:t>13720453893</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当事故发生时，根据事故的性质立即组织消防抢修组员赶到现场，控制危险源，展开火灾扑救、现场人员搜救、设备容器的堵漏及人员疏散等工作。对消防抢险组的人员要求如下：</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①熟悉企业所在区域的地形、地貌；熟悉各类设备的特性、特征，以及各类危险品的理化特性；</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②熟悉各种灭火器材、设施的用途、操作方法、存放地点及使用范围；</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③了解各种抢险的方法、路线和抢修工具、器械、配件的存放地点等；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④当发生事故时，全组人员必须迅速赶到事故应急集合点，听从组长的安排，根据指挥部的命令，迅速开展火灾扑救、物资抢救工作；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⑤公安消防组到达现场后，协助公安消防组的消防抢险工作；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⑥负责协助公安消防组在事故控制后的现场洗消工作。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（3）物资供应组</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组长：</w:t>
      </w:r>
      <w:r>
        <w:rPr>
          <w:rFonts w:hint="eastAsia" w:ascii="Times New Roman" w:hAnsi="Times New Roman" w:eastAsia="仿宋" w:cs="Times New Roman"/>
          <w:sz w:val="28"/>
          <w:szCs w:val="28"/>
          <w:lang w:val="en-US" w:eastAsia="zh-CN" w:bidi="en-US"/>
        </w:rPr>
        <w:t>李亚丽</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val="en-US" w:eastAsia="zh-CN" w:bidi="en-US"/>
        </w:rPr>
        <w:t>13892022873</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等待指挥部安排应急物资采购和运输工作，其主要职责是根据事件发展情况，做好应急物资的采购和运输工作。对物资供应组的人员要求如下：</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①物资供应组在接到报警后，根据现场实际需要，准备抢险抢救物质及设备等工具；</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②根据事件的程度，及时向外单位联系，调集物质、工程器具等；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③负责抢救受伤人员的生活必需品的供应；</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④负责抢险救援物资的运输。</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（4）医疗救护组</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组长：</w:t>
      </w:r>
      <w:r>
        <w:rPr>
          <w:rFonts w:hint="eastAsia" w:ascii="Times New Roman" w:hAnsi="Times New Roman" w:eastAsia="仿宋" w:cs="Times New Roman"/>
          <w:sz w:val="28"/>
          <w:szCs w:val="28"/>
          <w:lang w:eastAsia="zh-CN" w:bidi="en-US"/>
        </w:rPr>
        <w:t>刘光辉</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eastAsia="zh-CN" w:bidi="en-US"/>
        </w:rPr>
        <w:t>13619187982</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主要职责是做好药品的准备工作；做好各种医疗救护方案的制订、落实工作；协助事件调查，每年组织救护人员学习和演练，并对医疗救护方案进行评审，提出改进措施，总结应急救援经验教训；做好现场救护工作。对医疗救护组的人员要求如下：</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①现场救护中接到救护命令后，救护人员佩戴好防护用品及时赶到事件现场，并分类进行救治；</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②熟悉公司危险物质对人体危害的特性及相应的医疗急救措施；</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③储备足量的急救器材和药品，并能随时取用；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④事件发生后，应迅速做好准备工作，伤者送来后，根据受伤症状，及时采取相应的急救措施，重伤员及时转院抢救；</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⑤当本公司急救力量无法满足需要时，向其他医疗单位申请救援并迅速转移伤者。</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（5）善后处理组</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组长：</w:t>
      </w:r>
      <w:r>
        <w:rPr>
          <w:rFonts w:hint="default" w:ascii="Times New Roman" w:hAnsi="Times New Roman" w:eastAsia="仿宋" w:cs="Times New Roman"/>
          <w:sz w:val="28"/>
          <w:szCs w:val="28"/>
          <w:lang w:val="en-US" w:eastAsia="zh-CN" w:bidi="en-US"/>
        </w:rPr>
        <w:t>李亚丽</w:t>
      </w:r>
      <w:r>
        <w:rPr>
          <w:rFonts w:hint="default" w:ascii="Times New Roman" w:hAnsi="Times New Roman" w:eastAsia="仿宋" w:cs="Times New Roman"/>
          <w:sz w:val="28"/>
          <w:szCs w:val="28"/>
          <w:lang w:bidi="en-US"/>
        </w:rPr>
        <w:t>（</w:t>
      </w:r>
      <w:r>
        <w:rPr>
          <w:rFonts w:hint="default" w:ascii="Times New Roman" w:hAnsi="Times New Roman" w:eastAsia="仿宋" w:cs="Times New Roman"/>
          <w:sz w:val="28"/>
          <w:szCs w:val="28"/>
          <w:lang w:val="en-US" w:eastAsia="zh-CN" w:bidi="en-US"/>
        </w:rPr>
        <w:t>13892022873</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负责事故后的调查和善后工作。善后处理组的主要工作内容如下：</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①接报后迅速召集应急小组成员，最短时间到达事故现场，立即开展调查活动，调查、询问事故发生的情况以及原因；</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②做好事故现场的调查取证工作，对物证、人证进行收集，对现场拍照记录，及时将调查情况向指挥长报告、与相关人员通报；</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③事故后负责对事故现场进行洗消处理；</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④对事故中受伤员工进行慰问、赔付，安抚受伤员工家属。</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（6）通讯联络组</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组长：</w:t>
      </w:r>
      <w:r>
        <w:rPr>
          <w:rFonts w:hint="eastAsia" w:ascii="Times New Roman" w:hAnsi="Times New Roman" w:eastAsia="仿宋" w:cs="Times New Roman"/>
          <w:sz w:val="28"/>
          <w:szCs w:val="28"/>
          <w:lang w:val="en-US" w:eastAsia="zh-CN" w:bidi="en-US"/>
        </w:rPr>
        <w:t>郭红梅</w:t>
      </w:r>
      <w:r>
        <w:rPr>
          <w:rFonts w:hint="default" w:ascii="Times New Roman" w:hAnsi="Times New Roman" w:eastAsia="仿宋" w:cs="Times New Roman"/>
          <w:sz w:val="28"/>
          <w:szCs w:val="28"/>
          <w:lang w:bidi="en-US"/>
        </w:rPr>
        <w:t>（</w:t>
      </w:r>
      <w:r>
        <w:rPr>
          <w:rFonts w:hint="eastAsia" w:ascii="Times New Roman" w:hAnsi="Times New Roman" w:eastAsia="仿宋" w:cs="Times New Roman"/>
          <w:sz w:val="28"/>
          <w:szCs w:val="28"/>
          <w:lang w:val="en-US" w:eastAsia="zh-CN" w:bidi="en-US"/>
        </w:rPr>
        <w:t>15399249916</w:t>
      </w:r>
      <w:r>
        <w:rPr>
          <w:rFonts w:hint="default" w:ascii="Times New Roman" w:hAnsi="Times New Roman" w:eastAsia="仿宋" w:cs="Times New Roman"/>
          <w:sz w:val="28"/>
          <w:szCs w:val="28"/>
          <w:lang w:bidi="en-US"/>
        </w:rPr>
        <w:t>）</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根据事故发展动态，及时向上级部门报告，同时向周边通报事故情况。对通讯联络组的人员要求如下：</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①负责对内对外联系，准确报警，及时向社会救援组织传递安全信息，发布险情，进行现场与外界有效沟通，以获得有力的社会支援；</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②负责事故应急救援的通信保障，根据应急救援过程的通信需要提供通信服务，确保畅通；</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③根据应急响应的级别，负责联系周边环境敏感点人群，及时通知周边单位疏散人群；</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fldChar w:fldCharType="begin"/>
      </w:r>
      <w:r>
        <w:rPr>
          <w:rFonts w:hint="default" w:ascii="Times New Roman" w:hAnsi="Times New Roman" w:eastAsia="仿宋" w:cs="Times New Roman"/>
          <w:sz w:val="28"/>
          <w:szCs w:val="28"/>
          <w:lang w:bidi="en-US"/>
        </w:rPr>
        <w:instrText xml:space="preserve"> = 4 \* GB3 </w:instrText>
      </w:r>
      <w:r>
        <w:rPr>
          <w:rFonts w:hint="default" w:ascii="Times New Roman" w:hAnsi="Times New Roman" w:eastAsia="仿宋" w:cs="Times New Roman"/>
          <w:sz w:val="28"/>
          <w:szCs w:val="28"/>
          <w:lang w:bidi="en-US"/>
        </w:rPr>
        <w:fldChar w:fldCharType="separate"/>
      </w:r>
      <w:r>
        <w:rPr>
          <w:rFonts w:hint="default" w:ascii="Times New Roman" w:hAnsi="Times New Roman" w:eastAsia="仿宋" w:cs="Times New Roman"/>
          <w:sz w:val="28"/>
          <w:szCs w:val="28"/>
          <w:lang w:bidi="en-US"/>
        </w:rPr>
        <w:t>④</w:t>
      </w:r>
      <w:r>
        <w:rPr>
          <w:rFonts w:hint="default" w:ascii="Times New Roman" w:hAnsi="Times New Roman" w:eastAsia="仿宋" w:cs="Times New Roman"/>
          <w:sz w:val="28"/>
          <w:szCs w:val="28"/>
          <w:lang w:bidi="en-US"/>
        </w:rPr>
        <w:fldChar w:fldCharType="end"/>
      </w:r>
      <w:r>
        <w:rPr>
          <w:rFonts w:hint="default" w:ascii="Times New Roman" w:hAnsi="Times New Roman" w:eastAsia="仿宋" w:cs="Times New Roman"/>
          <w:sz w:val="28"/>
          <w:szCs w:val="28"/>
          <w:lang w:bidi="en-US"/>
        </w:rPr>
        <w:t>正确引导媒体，避免不良社会影响。</w:t>
      </w:r>
    </w:p>
    <w:p>
      <w:pPr>
        <w:pStyle w:val="19"/>
        <w:outlineLvl w:val="0"/>
        <w:rPr>
          <w:rFonts w:hint="default" w:ascii="Times New Roman" w:hAnsi="Times New Roman" w:eastAsia="仿宋" w:cs="Times New Roman"/>
          <w:sz w:val="36"/>
          <w:szCs w:val="36"/>
        </w:rPr>
      </w:pPr>
      <w:bookmarkStart w:id="187" w:name="_Toc11809"/>
      <w:bookmarkStart w:id="188" w:name="_Toc50555112"/>
      <w:bookmarkStart w:id="189" w:name="_Toc54050875"/>
      <w:bookmarkStart w:id="190" w:name="_Toc30772"/>
      <w:bookmarkStart w:id="191" w:name="_Toc7933"/>
      <w:r>
        <w:rPr>
          <w:rFonts w:hint="default" w:ascii="Times New Roman" w:hAnsi="Times New Roman" w:eastAsia="仿宋" w:cs="Times New Roman"/>
          <w:sz w:val="36"/>
          <w:szCs w:val="36"/>
        </w:rPr>
        <w:t>4. 环境风险分析</w:t>
      </w:r>
      <w:bookmarkEnd w:id="187"/>
      <w:bookmarkEnd w:id="188"/>
      <w:bookmarkEnd w:id="189"/>
    </w:p>
    <w:bookmarkEnd w:id="190"/>
    <w:bookmarkEnd w:id="191"/>
    <w:p>
      <w:pPr>
        <w:pStyle w:val="22"/>
        <w:ind w:left="0" w:leftChars="0"/>
        <w:outlineLvl w:val="1"/>
        <w:rPr>
          <w:rFonts w:hint="default" w:ascii="Times New Roman" w:hAnsi="Times New Roman" w:eastAsia="仿宋" w:cs="Times New Roman"/>
          <w:b/>
          <w:szCs w:val="28"/>
        </w:rPr>
      </w:pPr>
      <w:bookmarkStart w:id="192" w:name="_Toc140"/>
      <w:bookmarkStart w:id="193" w:name="_Toc32298"/>
      <w:bookmarkStart w:id="194" w:name="_Toc54050876"/>
      <w:bookmarkStart w:id="195" w:name="_Toc31638"/>
      <w:bookmarkStart w:id="196" w:name="_Toc50555115"/>
      <w:bookmarkStart w:id="197" w:name="_Toc279657179"/>
      <w:bookmarkStart w:id="198" w:name="_Toc2500"/>
      <w:bookmarkStart w:id="199" w:name="_Toc20506"/>
      <w:r>
        <w:rPr>
          <w:rFonts w:hint="default" w:ascii="Times New Roman" w:hAnsi="Times New Roman" w:eastAsia="仿宋" w:cs="Times New Roman"/>
          <w:b/>
          <w:szCs w:val="28"/>
        </w:rPr>
        <w:t>4.1 环境风险评价</w:t>
      </w:r>
      <w:bookmarkEnd w:id="192"/>
      <w:r>
        <w:rPr>
          <w:rFonts w:hint="default" w:ascii="Times New Roman" w:hAnsi="Times New Roman" w:eastAsia="仿宋" w:cs="Times New Roman"/>
          <w:b/>
          <w:szCs w:val="28"/>
        </w:rPr>
        <w:t>目的</w:t>
      </w:r>
      <w:bookmarkEnd w:id="193"/>
      <w:bookmarkEnd w:id="194"/>
      <w:bookmarkEnd w:id="195"/>
    </w:p>
    <w:p>
      <w:pPr>
        <w:pStyle w:val="8"/>
        <w:spacing w:line="360" w:lineRule="auto"/>
        <w:ind w:right="259" w:firstLine="560" w:firstLineChars="200"/>
        <w:rPr>
          <w:rFonts w:hint="default" w:ascii="Times New Roman" w:hAnsi="Times New Roman" w:eastAsia="仿宋" w:cs="Times New Roman"/>
        </w:rPr>
      </w:pPr>
      <w:bookmarkStart w:id="200" w:name="_bookmark20"/>
      <w:bookmarkEnd w:id="200"/>
      <w:bookmarkStart w:id="201" w:name="4.1_环境风险评价目的"/>
      <w:bookmarkEnd w:id="201"/>
      <w:r>
        <w:rPr>
          <w:rFonts w:hint="default" w:ascii="Times New Roman" w:hAnsi="Times New Roman" w:eastAsia="仿宋" w:cs="Times New Roman"/>
        </w:rPr>
        <w:t>环境风险评价的目的是分析和预测建设项目存在的潜在危险、有害因素，建设项目建设和运行期间可能发生的突发性事件或事故（一般不包括人为破坏及自然灾害），引起有毒有害和易燃易爆等物质泄漏，所造成的人身安全与环境影响和损害程度，提出合理可行的防范、应急与减缓措施，以使建设项目事故率、损失和环境影响达到可接受水平。</w:t>
      </w:r>
    </w:p>
    <w:bookmarkEnd w:id="196"/>
    <w:p>
      <w:pPr>
        <w:pStyle w:val="22"/>
        <w:ind w:left="0" w:leftChars="0"/>
        <w:outlineLvl w:val="1"/>
        <w:rPr>
          <w:rFonts w:hint="default" w:ascii="Times New Roman" w:hAnsi="Times New Roman" w:eastAsia="仿宋" w:cs="Times New Roman"/>
          <w:b/>
          <w:szCs w:val="28"/>
        </w:rPr>
      </w:pPr>
      <w:bookmarkStart w:id="202" w:name="_Toc11824"/>
      <w:bookmarkStart w:id="203" w:name="_Toc1174"/>
      <w:bookmarkStart w:id="204" w:name="_Toc54050877"/>
      <w:bookmarkStart w:id="205" w:name="_Toc28976"/>
      <w:bookmarkStart w:id="206" w:name="_Toc7198"/>
      <w:bookmarkStart w:id="207" w:name="_Toc2715"/>
      <w:bookmarkStart w:id="208" w:name="_Toc12732"/>
      <w:bookmarkStart w:id="209" w:name="_Toc50555117"/>
      <w:r>
        <w:rPr>
          <w:rFonts w:hint="default" w:ascii="Times New Roman" w:hAnsi="Times New Roman" w:eastAsia="仿宋" w:cs="Times New Roman"/>
          <w:b/>
          <w:szCs w:val="28"/>
        </w:rPr>
        <w:t>4.2 环境风险识别</w:t>
      </w:r>
      <w:bookmarkEnd w:id="202"/>
      <w:bookmarkEnd w:id="203"/>
      <w:bookmarkEnd w:id="204"/>
      <w:bookmarkEnd w:id="205"/>
      <w:bookmarkEnd w:id="206"/>
      <w:bookmarkEnd w:id="207"/>
      <w:bookmarkEnd w:id="208"/>
    </w:p>
    <w:p>
      <w:pPr>
        <w:pStyle w:val="12"/>
        <w:jc w:val="both"/>
        <w:rPr>
          <w:rFonts w:hint="default" w:ascii="Times New Roman" w:hAnsi="Times New Roman" w:eastAsia="仿宋" w:cs="Times New Roman"/>
        </w:rPr>
      </w:pPr>
      <w:bookmarkStart w:id="210" w:name="_Toc57036119"/>
      <w:bookmarkStart w:id="211" w:name="_Toc54050878"/>
      <w:bookmarkStart w:id="212" w:name="_Toc57039878"/>
      <w:bookmarkStart w:id="213" w:name="_Toc22186"/>
      <w:r>
        <w:rPr>
          <w:rFonts w:hint="default" w:ascii="Times New Roman" w:hAnsi="Times New Roman" w:eastAsia="仿宋" w:cs="Times New Roman"/>
        </w:rPr>
        <w:t>4.2.1 风险物质识别</w:t>
      </w:r>
      <w:bookmarkEnd w:id="210"/>
      <w:bookmarkEnd w:id="211"/>
      <w:bookmarkEnd w:id="212"/>
      <w:bookmarkEnd w:id="213"/>
    </w:p>
    <w:p>
      <w:pPr>
        <w:pStyle w:val="10"/>
        <w:spacing w:line="360" w:lineRule="auto"/>
        <w:ind w:left="0" w:leftChars="0" w:firstLine="560" w:firstLineChars="200"/>
        <w:jc w:val="both"/>
        <w:rPr>
          <w:rFonts w:hint="default" w:ascii="Times New Roman" w:hAnsi="Times New Roman" w:eastAsia="仿宋" w:cs="Times New Roman"/>
          <w:b w:val="0"/>
          <w:bCs w:val="0"/>
          <w:color w:val="auto"/>
          <w:sz w:val="28"/>
          <w:szCs w:val="28"/>
          <w:lang w:val="en-US" w:eastAsia="zh-CN"/>
        </w:rPr>
      </w:pPr>
      <w:r>
        <w:rPr>
          <w:rFonts w:hint="default" w:ascii="Times New Roman" w:hAnsi="Times New Roman" w:eastAsia="仿宋" w:cs="Times New Roman"/>
          <w:b w:val="0"/>
          <w:bCs w:val="0"/>
          <w:color w:val="auto"/>
          <w:sz w:val="28"/>
          <w:szCs w:val="28"/>
          <w:lang w:val="en-US" w:eastAsia="zh-CN"/>
        </w:rPr>
        <w:t>风险识别的范围主要包括生产设施识别和生产过程中涉及的物质风险识别。生产环境风险识别包括主要生产装置、贮运系统、公用工程系统、工程环保设施及辅助生产设施等；物质风险识别主要包括原材料及辅助材料、燃料、中间产品、最终产品以及生产过程排放的“三废”污染物等。</w:t>
      </w:r>
    </w:p>
    <w:p>
      <w:pPr>
        <w:pStyle w:val="10"/>
        <w:spacing w:line="360" w:lineRule="auto"/>
        <w:ind w:left="0" w:leftChars="0" w:firstLine="560" w:firstLineChars="200"/>
        <w:jc w:val="both"/>
        <w:rPr>
          <w:rFonts w:hint="default" w:ascii="Times New Roman" w:hAnsi="Times New Roman" w:eastAsia="仿宋" w:cs="Times New Roman"/>
          <w:b w:val="0"/>
          <w:bCs w:val="0"/>
          <w:color w:val="auto"/>
          <w:sz w:val="28"/>
          <w:szCs w:val="28"/>
          <w:lang w:val="en-US" w:eastAsia="zh-CN"/>
        </w:rPr>
      </w:pPr>
      <w:r>
        <w:rPr>
          <w:rFonts w:hint="default" w:ascii="Times New Roman" w:hAnsi="Times New Roman" w:eastAsia="仿宋" w:cs="Times New Roman"/>
          <w:b w:val="0"/>
          <w:bCs w:val="0"/>
          <w:color w:val="auto"/>
          <w:sz w:val="28"/>
          <w:szCs w:val="28"/>
          <w:lang w:val="en-US" w:eastAsia="zh-CN"/>
        </w:rPr>
        <w:t>通过对公司主要生产设备、系统和企业原辅材料、产品及生产过程排放的“三废”进行分析，公司所涉及到的危险化学品有</w:t>
      </w:r>
      <w:r>
        <w:rPr>
          <w:rFonts w:hint="eastAsia" w:eastAsia="仿宋" w:cs="Times New Roman"/>
          <w:b w:val="0"/>
          <w:bCs w:val="0"/>
          <w:color w:val="auto"/>
          <w:sz w:val="28"/>
          <w:szCs w:val="28"/>
          <w:lang w:val="en-US" w:eastAsia="zh-CN"/>
        </w:rPr>
        <w:t>：</w:t>
      </w:r>
      <w:r>
        <w:rPr>
          <w:rFonts w:hint="default" w:ascii="Times New Roman" w:hAnsi="Times New Roman" w:eastAsia="仿宋" w:cs="Times New Roman"/>
          <w:b w:val="0"/>
          <w:bCs w:val="0"/>
          <w:color w:val="auto"/>
          <w:sz w:val="28"/>
          <w:szCs w:val="28"/>
          <w:lang w:val="en-US" w:eastAsia="zh-CN"/>
        </w:rPr>
        <w:t>润滑油、切削液</w:t>
      </w:r>
      <w:r>
        <w:rPr>
          <w:rFonts w:hint="eastAsia" w:ascii="Times New Roman" w:hAnsi="Times New Roman" w:eastAsia="仿宋" w:cs="Times New Roman"/>
          <w:b w:val="0"/>
          <w:bCs w:val="0"/>
          <w:color w:val="auto"/>
          <w:sz w:val="28"/>
          <w:szCs w:val="28"/>
          <w:lang w:val="en-US" w:eastAsia="zh-CN"/>
        </w:rPr>
        <w:t>、液压油等</w:t>
      </w:r>
      <w:r>
        <w:rPr>
          <w:rFonts w:hint="default" w:ascii="Times New Roman" w:hAnsi="Times New Roman" w:eastAsia="仿宋" w:cs="Times New Roman"/>
          <w:b w:val="0"/>
          <w:bCs w:val="0"/>
          <w:color w:val="auto"/>
          <w:sz w:val="28"/>
          <w:szCs w:val="28"/>
          <w:lang w:val="en-US" w:eastAsia="zh-CN"/>
        </w:rPr>
        <w:t>。</w:t>
      </w:r>
    </w:p>
    <w:p>
      <w:pPr>
        <w:pStyle w:val="10"/>
        <w:spacing w:line="360" w:lineRule="auto"/>
        <w:ind w:left="0" w:leftChars="0" w:firstLine="560" w:firstLineChars="200"/>
        <w:jc w:val="both"/>
        <w:rPr>
          <w:rFonts w:hint="default" w:ascii="Times New Roman" w:hAnsi="Times New Roman" w:eastAsia="仿宋" w:cs="Times New Roman"/>
          <w:b w:val="0"/>
          <w:bCs w:val="0"/>
          <w:color w:val="auto"/>
          <w:sz w:val="28"/>
          <w:szCs w:val="28"/>
          <w:lang w:val="en-US" w:eastAsia="zh-CN"/>
        </w:rPr>
      </w:pPr>
      <w:r>
        <w:rPr>
          <w:rFonts w:hint="default" w:ascii="Times New Roman" w:hAnsi="Times New Roman" w:eastAsia="仿宋" w:cs="Times New Roman"/>
          <w:b w:val="0"/>
          <w:bCs w:val="0"/>
          <w:color w:val="auto"/>
          <w:sz w:val="28"/>
          <w:szCs w:val="28"/>
          <w:lang w:val="en-US" w:eastAsia="zh-CN"/>
        </w:rPr>
        <w:t>公司产生的危险废物有</w:t>
      </w:r>
      <w:r>
        <w:rPr>
          <w:rFonts w:hint="eastAsia" w:ascii="Times New Roman" w:hAnsi="Times New Roman" w:eastAsia="仿宋" w:cs="Times New Roman"/>
          <w:b w:val="0"/>
          <w:bCs w:val="0"/>
          <w:color w:val="auto"/>
          <w:sz w:val="28"/>
          <w:szCs w:val="28"/>
          <w:lang w:val="en-US" w:eastAsia="zh-CN"/>
        </w:rPr>
        <w:t>废</w:t>
      </w:r>
      <w:r>
        <w:rPr>
          <w:rFonts w:hint="default" w:ascii="Times New Roman" w:hAnsi="Times New Roman" w:eastAsia="仿宋" w:cs="Times New Roman"/>
          <w:b w:val="0"/>
          <w:bCs w:val="0"/>
          <w:color w:val="auto"/>
          <w:sz w:val="28"/>
          <w:szCs w:val="28"/>
          <w:lang w:val="en-US" w:eastAsia="zh-CN"/>
        </w:rPr>
        <w:t>切削渣、废润滑油桶，危废存储合理且按期均交厂家回收利用，不外排。</w:t>
      </w:r>
    </w:p>
    <w:p>
      <w:pPr>
        <w:pStyle w:val="10"/>
        <w:numPr>
          <w:ilvl w:val="0"/>
          <w:numId w:val="2"/>
        </w:numPr>
        <w:spacing w:line="360" w:lineRule="auto"/>
        <w:ind w:left="0" w:leftChars="0" w:firstLine="560" w:firstLineChars="200"/>
        <w:jc w:val="both"/>
        <w:rPr>
          <w:rFonts w:hint="default" w:ascii="Times New Roman" w:hAnsi="Times New Roman" w:eastAsia="仿宋" w:cs="Times New Roman"/>
          <w:b w:val="0"/>
          <w:bCs w:val="0"/>
          <w:color w:val="auto"/>
          <w:sz w:val="28"/>
          <w:szCs w:val="28"/>
          <w:lang w:val="en-US" w:eastAsia="zh-CN"/>
        </w:rPr>
      </w:pPr>
      <w:r>
        <w:rPr>
          <w:rFonts w:hint="default" w:ascii="Times New Roman" w:hAnsi="Times New Roman" w:eastAsia="仿宋" w:cs="Times New Roman"/>
          <w:b w:val="0"/>
          <w:bCs w:val="0"/>
          <w:color w:val="auto"/>
          <w:sz w:val="28"/>
          <w:szCs w:val="28"/>
          <w:lang w:val="en-US" w:eastAsia="zh-CN"/>
        </w:rPr>
        <w:t>参照《企业突发环境事件风险分级方法》附录A中的评估项目（企业生产工艺、安全生产控制、环境风险防控措施、环评及批复落实情况、废水排放去向等）对本公司的生产工艺与环境风险控制水平进行评估。公司内危废暂存间和生产区地面已进行防风、防雨、防晒、防渗漏处理，且在储油桶底部设置了储漏托盘，若发生泄漏，可将废油及时的收集在托盘中，若因操作不当或托盘损坏导致废油洒落在地面，可用砂土、吸附棉等对废油进行吸附收集，并把吸附材料作为危险废物进行处置，</w:t>
      </w:r>
      <w:r>
        <w:rPr>
          <w:rFonts w:hint="eastAsia" w:eastAsia="仿宋" w:cs="Times New Roman"/>
          <w:b w:val="0"/>
          <w:bCs w:val="0"/>
          <w:color w:val="auto"/>
          <w:sz w:val="28"/>
          <w:szCs w:val="28"/>
          <w:lang w:val="en-US" w:eastAsia="zh-CN"/>
        </w:rPr>
        <w:t>务必</w:t>
      </w:r>
      <w:r>
        <w:rPr>
          <w:rFonts w:hint="default" w:ascii="Times New Roman" w:hAnsi="Times New Roman" w:eastAsia="仿宋" w:cs="Times New Roman"/>
          <w:b w:val="0"/>
          <w:bCs w:val="0"/>
          <w:color w:val="auto"/>
          <w:sz w:val="28"/>
          <w:szCs w:val="28"/>
          <w:lang w:val="en-US" w:eastAsia="zh-CN"/>
        </w:rPr>
        <w:t>将影响控制在危废间</w:t>
      </w:r>
      <w:r>
        <w:rPr>
          <w:rFonts w:hint="eastAsia" w:ascii="Times New Roman" w:hAnsi="Times New Roman" w:eastAsia="仿宋" w:cs="Times New Roman"/>
          <w:b w:val="0"/>
          <w:bCs w:val="0"/>
          <w:color w:val="auto"/>
          <w:sz w:val="28"/>
          <w:szCs w:val="28"/>
          <w:lang w:val="en-US" w:eastAsia="zh-CN"/>
        </w:rPr>
        <w:t>和库房</w:t>
      </w:r>
      <w:r>
        <w:rPr>
          <w:rFonts w:hint="default" w:ascii="Times New Roman" w:hAnsi="Times New Roman" w:eastAsia="仿宋" w:cs="Times New Roman"/>
          <w:b w:val="0"/>
          <w:bCs w:val="0"/>
          <w:color w:val="auto"/>
          <w:sz w:val="28"/>
          <w:szCs w:val="28"/>
          <w:lang w:val="en-US" w:eastAsia="zh-CN"/>
        </w:rPr>
        <w:t>内，不会对周围环境造成影响。</w:t>
      </w:r>
      <w:r>
        <w:rPr>
          <w:rFonts w:hint="eastAsia" w:ascii="Times New Roman" w:hAnsi="Times New Roman" w:eastAsia="仿宋" w:cs="Times New Roman"/>
          <w:b w:val="0"/>
          <w:bCs w:val="0"/>
          <w:color w:val="auto"/>
          <w:sz w:val="28"/>
          <w:szCs w:val="28"/>
          <w:lang w:val="en-US" w:eastAsia="zh-CN"/>
        </w:rPr>
        <w:t>厂房内放置</w:t>
      </w:r>
      <w:r>
        <w:rPr>
          <w:rFonts w:hint="default" w:ascii="Times New Roman" w:hAnsi="Times New Roman" w:eastAsia="仿宋" w:cs="Times New Roman"/>
          <w:b w:val="0"/>
          <w:bCs w:val="0"/>
          <w:color w:val="auto"/>
          <w:sz w:val="28"/>
          <w:szCs w:val="28"/>
          <w:lang w:val="en-US" w:eastAsia="zh-CN"/>
        </w:rPr>
        <w:t>灭火器、应急沙袋</w:t>
      </w:r>
      <w:r>
        <w:rPr>
          <w:rFonts w:hint="eastAsia" w:ascii="Times New Roman" w:hAnsi="Times New Roman" w:eastAsia="仿宋" w:cs="Times New Roman"/>
          <w:b w:val="0"/>
          <w:bCs w:val="0"/>
          <w:color w:val="auto"/>
          <w:sz w:val="28"/>
          <w:szCs w:val="28"/>
          <w:lang w:val="en-US" w:eastAsia="zh-CN"/>
        </w:rPr>
        <w:t>等消防应急器材</w:t>
      </w:r>
      <w:r>
        <w:rPr>
          <w:rFonts w:hint="default" w:ascii="Times New Roman" w:hAnsi="Times New Roman" w:eastAsia="仿宋" w:cs="Times New Roman"/>
          <w:b w:val="0"/>
          <w:bCs w:val="0"/>
          <w:color w:val="auto"/>
          <w:sz w:val="28"/>
          <w:szCs w:val="28"/>
          <w:lang w:val="en-US" w:eastAsia="zh-CN"/>
        </w:rPr>
        <w:t>。</w:t>
      </w:r>
    </w:p>
    <w:p>
      <w:pPr>
        <w:pStyle w:val="10"/>
        <w:numPr>
          <w:ilvl w:val="0"/>
          <w:numId w:val="2"/>
        </w:numPr>
        <w:spacing w:line="360" w:lineRule="auto"/>
        <w:ind w:left="0" w:leftChars="0" w:firstLine="560" w:firstLineChars="200"/>
        <w:jc w:val="both"/>
        <w:rPr>
          <w:rFonts w:hint="default" w:ascii="Times New Roman" w:hAnsi="Times New Roman" w:eastAsia="仿宋" w:cs="Times New Roman"/>
          <w:b w:val="0"/>
          <w:bCs w:val="0"/>
          <w:color w:val="auto"/>
          <w:sz w:val="28"/>
          <w:szCs w:val="28"/>
          <w:lang w:val="en-US" w:eastAsia="zh-CN"/>
        </w:rPr>
      </w:pPr>
      <w:r>
        <w:rPr>
          <w:rFonts w:hint="eastAsia" w:ascii="Times New Roman" w:hAnsi="Times New Roman" w:eastAsia="仿宋" w:cs="Times New Roman"/>
          <w:b w:val="0"/>
          <w:bCs w:val="0"/>
          <w:color w:val="auto"/>
          <w:sz w:val="28"/>
          <w:szCs w:val="28"/>
          <w:lang w:val="en-US" w:eastAsia="zh-CN"/>
        </w:rPr>
        <w:t>项目</w:t>
      </w:r>
      <w:r>
        <w:rPr>
          <w:rFonts w:hint="default" w:ascii="Times New Roman" w:hAnsi="Times New Roman" w:eastAsia="仿宋" w:cs="Times New Roman"/>
          <w:b w:val="0"/>
          <w:bCs w:val="0"/>
          <w:color w:val="auto"/>
          <w:sz w:val="28"/>
          <w:szCs w:val="28"/>
          <w:lang w:val="en-US" w:eastAsia="zh-CN"/>
        </w:rPr>
        <w:t>运营过程中无生产废水产生，生活污水经化粪池处理后排入朝阳污水厂。</w:t>
      </w:r>
    </w:p>
    <w:p>
      <w:pPr>
        <w:pStyle w:val="10"/>
        <w:numPr>
          <w:ilvl w:val="0"/>
          <w:numId w:val="2"/>
        </w:numPr>
        <w:spacing w:line="360" w:lineRule="auto"/>
        <w:ind w:left="0" w:leftChars="0" w:firstLine="560" w:firstLineChars="200"/>
        <w:jc w:val="both"/>
        <w:rPr>
          <w:rFonts w:hint="default" w:ascii="Times New Roman" w:hAnsi="Times New Roman" w:eastAsia="仿宋" w:cs="Times New Roman"/>
          <w:b/>
          <w:bCs/>
          <w:sz w:val="24"/>
          <w:szCs w:val="32"/>
          <w:lang w:val="en-US"/>
        </w:rPr>
      </w:pPr>
      <w:r>
        <w:rPr>
          <w:rFonts w:hint="eastAsia" w:ascii="Times New Roman" w:hAnsi="Times New Roman" w:eastAsia="仿宋" w:cs="Times New Roman"/>
          <w:b w:val="0"/>
          <w:bCs w:val="0"/>
          <w:color w:val="auto"/>
          <w:sz w:val="28"/>
          <w:szCs w:val="28"/>
          <w:lang w:val="en-US" w:eastAsia="zh-CN"/>
        </w:rPr>
        <w:t>根据风险评估报告环境风险物质最大存在总量与临界量计算结果可知，</w:t>
      </w:r>
      <w:r>
        <w:rPr>
          <w:rFonts w:hint="default" w:ascii="Times New Roman" w:hAnsi="Times New Roman" w:eastAsia="仿宋" w:cs="Times New Roman"/>
          <w:b w:val="0"/>
          <w:bCs w:val="0"/>
          <w:color w:val="auto"/>
          <w:sz w:val="28"/>
          <w:szCs w:val="28"/>
          <w:lang w:val="en-US" w:eastAsia="zh-CN"/>
        </w:rPr>
        <w:t>本企业的Q值为：0.</w:t>
      </w:r>
      <w:r>
        <w:rPr>
          <w:rFonts w:hint="eastAsia" w:ascii="Times New Roman" w:hAnsi="Times New Roman" w:eastAsia="仿宋" w:cs="Times New Roman"/>
          <w:b w:val="0"/>
          <w:bCs w:val="0"/>
          <w:color w:val="auto"/>
          <w:sz w:val="28"/>
          <w:szCs w:val="28"/>
          <w:lang w:val="en-US" w:eastAsia="zh-CN"/>
        </w:rPr>
        <w:t>039</w:t>
      </w:r>
      <w:r>
        <w:rPr>
          <w:rFonts w:hint="default" w:ascii="Times New Roman" w:hAnsi="Times New Roman" w:eastAsia="仿宋" w:cs="Times New Roman"/>
          <w:b w:val="0"/>
          <w:bCs w:val="0"/>
          <w:color w:val="auto"/>
          <w:sz w:val="28"/>
          <w:szCs w:val="28"/>
          <w:lang w:val="en-US" w:eastAsia="zh-CN"/>
        </w:rPr>
        <w:t>，根据《企业突发环境事件风险分级方法》附录A中的企业突发环境事件风险等级划分方法，由于本公司最大存在总量与临界量的比值Q为</w:t>
      </w:r>
      <w:r>
        <w:rPr>
          <w:rFonts w:hint="eastAsia" w:ascii="Times New Roman" w:hAnsi="Times New Roman" w:eastAsia="仿宋" w:cs="Times New Roman"/>
          <w:b w:val="0"/>
          <w:bCs w:val="0"/>
          <w:color w:val="auto"/>
          <w:sz w:val="28"/>
          <w:szCs w:val="28"/>
          <w:lang w:val="en-US" w:eastAsia="zh-CN"/>
        </w:rPr>
        <w:t>0.039</w:t>
      </w:r>
      <w:r>
        <w:rPr>
          <w:rFonts w:hint="default" w:ascii="Times New Roman" w:hAnsi="Times New Roman" w:eastAsia="仿宋" w:cs="Times New Roman"/>
          <w:b w:val="0"/>
          <w:bCs w:val="0"/>
          <w:color w:val="auto"/>
          <w:sz w:val="28"/>
          <w:szCs w:val="28"/>
          <w:lang w:val="en-US" w:eastAsia="zh-CN"/>
        </w:rPr>
        <w:t>＜1，因此直接确定为公司突发事件环境风险评价等级为：一般环境风险等级</w:t>
      </w:r>
      <w:r>
        <w:rPr>
          <w:rFonts w:hint="eastAsia" w:eastAsia="仿宋" w:cs="Times New Roman"/>
          <w:b w:val="0"/>
          <w:bCs w:val="0"/>
          <w:color w:val="auto"/>
          <w:sz w:val="28"/>
          <w:szCs w:val="28"/>
          <w:lang w:val="en-US" w:eastAsia="zh-CN"/>
        </w:rPr>
        <w:t>，</w:t>
      </w:r>
      <w:r>
        <w:rPr>
          <w:rFonts w:hint="default" w:ascii="Times New Roman" w:hAnsi="Times New Roman" w:eastAsia="仿宋" w:cs="Times New Roman"/>
          <w:b w:val="0"/>
          <w:bCs w:val="0"/>
          <w:color w:val="auto"/>
          <w:sz w:val="28"/>
          <w:szCs w:val="28"/>
          <w:lang w:val="en-US" w:eastAsia="zh-CN"/>
        </w:rPr>
        <w:t>一般[一般-大气（Q0）+一般-水（Q0）]。</w:t>
      </w:r>
    </w:p>
    <w:p>
      <w:pPr>
        <w:pStyle w:val="10"/>
        <w:numPr>
          <w:ilvl w:val="0"/>
          <w:numId w:val="2"/>
        </w:numPr>
        <w:spacing w:line="360" w:lineRule="auto"/>
        <w:ind w:left="0" w:leftChars="0" w:firstLine="560" w:firstLineChars="200"/>
        <w:jc w:val="both"/>
        <w:rPr>
          <w:rFonts w:hint="default" w:ascii="Times New Roman" w:hAnsi="Times New Roman" w:eastAsia="仿宋" w:cs="Times New Roman"/>
          <w:b/>
          <w:bCs/>
          <w:sz w:val="24"/>
          <w:szCs w:val="32"/>
          <w:lang w:val="en-US"/>
        </w:rPr>
      </w:pPr>
      <w:r>
        <w:rPr>
          <w:rFonts w:hint="default" w:ascii="Times New Roman" w:hAnsi="Times New Roman" w:eastAsia="仿宋" w:cs="Times New Roman"/>
          <w:b w:val="0"/>
          <w:bCs w:val="0"/>
          <w:color w:val="auto"/>
          <w:sz w:val="28"/>
          <w:szCs w:val="28"/>
          <w:lang w:val="en-US" w:eastAsia="zh-CN"/>
        </w:rPr>
        <w:t>本公司环境风险事故类型有：</w:t>
      </w:r>
      <w:r>
        <w:rPr>
          <w:rFonts w:hint="eastAsia" w:eastAsia="仿宋" w:cs="Times New Roman"/>
          <w:b w:val="0"/>
          <w:bCs w:val="0"/>
          <w:color w:val="auto"/>
          <w:sz w:val="28"/>
          <w:szCs w:val="28"/>
          <w:lang w:val="en-US" w:eastAsia="zh-CN"/>
        </w:rPr>
        <w:t>化学品库房、</w:t>
      </w:r>
      <w:r>
        <w:rPr>
          <w:rFonts w:hint="default" w:ascii="Times New Roman" w:hAnsi="Times New Roman" w:eastAsia="仿宋" w:cs="Times New Roman"/>
          <w:b w:val="0"/>
          <w:bCs w:val="0"/>
          <w:color w:val="auto"/>
          <w:sz w:val="28"/>
          <w:szCs w:val="28"/>
          <w:lang w:val="en-US" w:eastAsia="zh-CN"/>
        </w:rPr>
        <w:t>危废暂存间等处发生危险化学品泄漏</w:t>
      </w:r>
      <w:r>
        <w:rPr>
          <w:rFonts w:hint="eastAsia" w:ascii="Times New Roman" w:hAnsi="Times New Roman" w:eastAsia="仿宋" w:cs="Times New Roman"/>
          <w:b w:val="0"/>
          <w:bCs w:val="0"/>
          <w:color w:val="auto"/>
          <w:sz w:val="28"/>
          <w:szCs w:val="28"/>
          <w:lang w:val="en-US" w:eastAsia="zh-CN"/>
        </w:rPr>
        <w:t>及</w:t>
      </w:r>
      <w:r>
        <w:rPr>
          <w:rFonts w:hint="default" w:ascii="Times New Roman" w:hAnsi="Times New Roman" w:eastAsia="仿宋" w:cs="Times New Roman"/>
          <w:b w:val="0"/>
          <w:bCs w:val="0"/>
          <w:color w:val="auto"/>
          <w:sz w:val="28"/>
          <w:szCs w:val="28"/>
          <w:lang w:val="en-US" w:eastAsia="zh-CN"/>
        </w:rPr>
        <w:t xml:space="preserve">火灾事故。公司对不同事故类型对应设置了风险防控和应急处置措施，并配备了相应的应急物资。                                                                                       </w:t>
      </w:r>
    </w:p>
    <w:bookmarkEnd w:id="209"/>
    <w:p>
      <w:pPr>
        <w:pStyle w:val="12"/>
        <w:jc w:val="both"/>
        <w:rPr>
          <w:rFonts w:hint="default" w:ascii="Times New Roman" w:hAnsi="Times New Roman" w:eastAsia="仿宋" w:cs="Times New Roman"/>
        </w:rPr>
      </w:pPr>
      <w:bookmarkStart w:id="214" w:name="_Toc57036121"/>
      <w:bookmarkStart w:id="215" w:name="_Toc247947968"/>
      <w:bookmarkStart w:id="216" w:name="_Toc249497934"/>
      <w:bookmarkStart w:id="217" w:name="_Toc57039880"/>
      <w:bookmarkStart w:id="218" w:name="_Toc54050879"/>
      <w:bookmarkStart w:id="219" w:name="_Toc5537"/>
      <w:bookmarkStart w:id="220" w:name="_Toc29444"/>
      <w:bookmarkStart w:id="221" w:name="_Toc50555121"/>
      <w:r>
        <w:rPr>
          <w:rFonts w:hint="default" w:ascii="Times New Roman" w:hAnsi="Times New Roman" w:eastAsia="仿宋" w:cs="Times New Roman"/>
        </w:rPr>
        <w:t>4.2.2 风险单元识别</w:t>
      </w:r>
      <w:bookmarkEnd w:id="214"/>
      <w:bookmarkEnd w:id="215"/>
      <w:bookmarkEnd w:id="216"/>
      <w:bookmarkEnd w:id="217"/>
      <w:bookmarkEnd w:id="218"/>
      <w:bookmarkEnd w:id="219"/>
      <w:bookmarkEnd w:id="220"/>
    </w:p>
    <w:bookmarkEnd w:id="197"/>
    <w:bookmarkEnd w:id="198"/>
    <w:bookmarkEnd w:id="199"/>
    <w:bookmarkEnd w:id="221"/>
    <w:p>
      <w:pPr>
        <w:adjustRightInd w:val="0"/>
        <w:snapToGrid w:val="0"/>
        <w:spacing w:line="360" w:lineRule="auto"/>
        <w:ind w:firstLine="560" w:firstLineChars="200"/>
        <w:rPr>
          <w:rFonts w:hint="default" w:ascii="Times New Roman" w:hAnsi="Times New Roman" w:eastAsia="仿宋" w:cs="Times New Roman"/>
          <w:color w:val="000000" w:themeColor="text1"/>
          <w:spacing w:val="0"/>
          <w:kern w:val="0"/>
          <w14:textFill>
            <w14:solidFill>
              <w14:schemeClr w14:val="tx1"/>
            </w14:solidFill>
          </w14:textFill>
        </w:rPr>
      </w:pPr>
      <w:bookmarkStart w:id="222" w:name="_Toc30718"/>
      <w:r>
        <w:rPr>
          <w:rFonts w:hint="default" w:ascii="Times New Roman" w:hAnsi="Times New Roman" w:eastAsia="仿宋" w:cs="Times New Roman"/>
          <w:color w:val="000000" w:themeColor="text1"/>
          <w:kern w:val="0"/>
          <w:sz w:val="28"/>
          <w:szCs w:val="28"/>
          <w14:textFill>
            <w14:solidFill>
              <w14:schemeClr w14:val="tx1"/>
            </w14:solidFill>
          </w14:textFill>
        </w:rPr>
        <w:t>根据公司生产、使用、贮存危险物质的品种、数量、危险性质以及可能引起环境风险事故的特点，对全公司生产环节、物品储存场所等方面进行环境风险识别和评价。经分析，公司主要的环境风险</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单元为</w:t>
      </w:r>
      <w:r>
        <w:rPr>
          <w:rFonts w:hint="eastAsia" w:eastAsia="仿宋" w:cs="Times New Roman"/>
          <w:color w:val="000000" w:themeColor="text1"/>
          <w:kern w:val="0"/>
          <w:sz w:val="28"/>
          <w:szCs w:val="28"/>
          <w:lang w:val="en-US" w:eastAsia="zh-CN"/>
          <w14:textFill>
            <w14:solidFill>
              <w14:schemeClr w14:val="tx1"/>
            </w14:solidFill>
          </w14:textFill>
        </w:rPr>
        <w:t>化学品库</w:t>
      </w:r>
      <w:r>
        <w:rPr>
          <w:rFonts w:hint="default" w:ascii="Times New Roman" w:hAnsi="Times New Roman" w:eastAsia="仿宋" w:cs="Times New Roman"/>
          <w:color w:val="000000" w:themeColor="text1"/>
          <w:kern w:val="0"/>
          <w:sz w:val="28"/>
          <w:szCs w:val="28"/>
          <w14:textFill>
            <w14:solidFill>
              <w14:schemeClr w14:val="tx1"/>
            </w14:solidFill>
          </w14:textFill>
        </w:rPr>
        <w:t>。</w:t>
      </w:r>
    </w:p>
    <w:p>
      <w:pPr>
        <w:pStyle w:val="12"/>
        <w:jc w:val="both"/>
        <w:rPr>
          <w:rFonts w:hint="default" w:ascii="Times New Roman" w:hAnsi="Times New Roman" w:eastAsia="仿宋" w:cs="Times New Roman"/>
        </w:rPr>
      </w:pPr>
      <w:bookmarkStart w:id="223" w:name="_Toc6399"/>
      <w:bookmarkStart w:id="224" w:name="_Toc57036122"/>
      <w:bookmarkStart w:id="225" w:name="_Toc17931"/>
      <w:bookmarkStart w:id="226" w:name="_Toc979"/>
      <w:bookmarkStart w:id="227" w:name="_Toc57039881"/>
      <w:bookmarkStart w:id="228" w:name="_Toc31790"/>
      <w:r>
        <w:rPr>
          <w:rFonts w:hint="default" w:ascii="Times New Roman" w:hAnsi="Times New Roman" w:eastAsia="仿宋" w:cs="Times New Roman"/>
        </w:rPr>
        <w:t>4.2.3环境风险目标</w:t>
      </w:r>
      <w:bookmarkEnd w:id="223"/>
      <w:bookmarkEnd w:id="224"/>
      <w:bookmarkEnd w:id="225"/>
      <w:bookmarkEnd w:id="226"/>
      <w:bookmarkEnd w:id="227"/>
      <w:bookmarkEnd w:id="228"/>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bookmarkStart w:id="229" w:name="_Hlk514347879"/>
      <w:r>
        <w:rPr>
          <w:rFonts w:hint="default" w:ascii="Times New Roman" w:hAnsi="Times New Roman" w:eastAsia="仿宋" w:cs="Times New Roman"/>
          <w:color w:val="000000" w:themeColor="text1"/>
          <w:kern w:val="0"/>
          <w:sz w:val="28"/>
          <w:szCs w:val="28"/>
          <w14:textFill>
            <w14:solidFill>
              <w14:schemeClr w14:val="tx1"/>
            </w14:solidFill>
          </w14:textFill>
        </w:rPr>
        <w:t>公司环境风险目标为：</w:t>
      </w:r>
    </w:p>
    <w:p>
      <w:pPr>
        <w:spacing w:line="360" w:lineRule="auto"/>
        <w:ind w:firstLine="560" w:firstLineChars="200"/>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风险目标：</w:t>
      </w:r>
      <w:r>
        <w:rPr>
          <w:rFonts w:hint="eastAsia" w:eastAsia="仿宋" w:cs="Times New Roman"/>
          <w:color w:val="000000" w:themeColor="text1"/>
          <w:kern w:val="0"/>
          <w:sz w:val="28"/>
          <w:szCs w:val="28"/>
          <w:lang w:val="en-US" w:eastAsia="zh-CN"/>
          <w14:textFill>
            <w14:solidFill>
              <w14:schemeClr w14:val="tx1"/>
            </w14:solidFill>
          </w14:textFill>
        </w:rPr>
        <w:t>化学品库房、库房、车间内易燃物品</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等.</w:t>
      </w:r>
    </w:p>
    <w:bookmarkEnd w:id="229"/>
    <w:p>
      <w:pPr>
        <w:spacing w:line="480" w:lineRule="exact"/>
        <w:ind w:firstLine="482" w:firstLineChars="200"/>
        <w:jc w:val="center"/>
        <w:rPr>
          <w:rFonts w:hint="default" w:ascii="Times New Roman" w:hAnsi="Times New Roman" w:eastAsia="仿宋" w:cs="Times New Roman"/>
          <w:b/>
          <w:sz w:val="24"/>
          <w:szCs w:val="24"/>
        </w:rPr>
      </w:pPr>
      <w:bookmarkStart w:id="230" w:name="_Toc213578936"/>
      <w:r>
        <w:rPr>
          <w:rFonts w:hint="default" w:ascii="Times New Roman" w:hAnsi="Times New Roman" w:eastAsia="仿宋" w:cs="Times New Roman"/>
          <w:b/>
          <w:bCs/>
          <w:sz w:val="24"/>
          <w:szCs w:val="24"/>
        </w:rPr>
        <w:t xml:space="preserve">表4.2-10 </w:t>
      </w:r>
      <w:r>
        <w:rPr>
          <w:rFonts w:hint="default" w:ascii="Times New Roman" w:hAnsi="Times New Roman" w:eastAsia="仿宋" w:cs="Times New Roman"/>
          <w:b/>
          <w:sz w:val="24"/>
          <w:szCs w:val="24"/>
        </w:rPr>
        <w:t xml:space="preserve"> 环境风险目标一览表</w:t>
      </w:r>
    </w:p>
    <w:bookmarkEnd w:id="230"/>
    <w:tbl>
      <w:tblPr>
        <w:tblStyle w:val="28"/>
        <w:tblW w:w="483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83"/>
        <w:gridCol w:w="3286"/>
        <w:gridCol w:w="1452"/>
        <w:gridCol w:w="19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959" w:type="pct"/>
            <w:vAlign w:val="center"/>
          </w:tcPr>
          <w:p>
            <w:pPr>
              <w:adjustRightInd w:val="0"/>
              <w:jc w:val="center"/>
              <w:rPr>
                <w:rFonts w:hint="default" w:ascii="Times New Roman" w:hAnsi="Times New Roman" w:eastAsia="仿宋" w:cs="Times New Roman"/>
                <w:color w:val="000000" w:themeColor="text1"/>
                <w:sz w:val="24"/>
                <w:lang w:eastAsia="zh-CN"/>
                <w14:textFill>
                  <w14:solidFill>
                    <w14:schemeClr w14:val="tx1"/>
                  </w14:solidFill>
                </w14:textFill>
              </w:rPr>
            </w:pPr>
            <w:bookmarkStart w:id="231" w:name="_Toc27030"/>
            <w:bookmarkStart w:id="232" w:name="_Hlk514347803"/>
            <w:r>
              <w:rPr>
                <w:rFonts w:hint="default" w:ascii="Times New Roman" w:hAnsi="Times New Roman" w:eastAsia="仿宋" w:cs="Times New Roman"/>
                <w:color w:val="000000" w:themeColor="text1"/>
                <w:sz w:val="24"/>
                <w:lang w:val="en-US" w:eastAsia="zh-CN"/>
                <w14:textFill>
                  <w14:solidFill>
                    <w14:schemeClr w14:val="tx1"/>
                  </w14:solidFill>
                </w14:textFill>
              </w:rPr>
              <w:t>类型</w:t>
            </w:r>
          </w:p>
        </w:tc>
        <w:tc>
          <w:tcPr>
            <w:tcW w:w="1991" w:type="pc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r>
              <w:rPr>
                <w:rFonts w:hint="default" w:ascii="Times New Roman" w:hAnsi="Times New Roman" w:eastAsia="仿宋" w:cs="Times New Roman"/>
                <w:color w:val="000000" w:themeColor="text1"/>
                <w:sz w:val="24"/>
                <w14:textFill>
                  <w14:solidFill>
                    <w14:schemeClr w14:val="tx1"/>
                  </w14:solidFill>
                </w14:textFill>
              </w:rPr>
              <w:t>环境风险目标</w:t>
            </w:r>
          </w:p>
        </w:tc>
        <w:tc>
          <w:tcPr>
            <w:tcW w:w="880" w:type="pc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r>
              <w:rPr>
                <w:rFonts w:hint="default" w:ascii="Times New Roman" w:hAnsi="Times New Roman" w:eastAsia="仿宋" w:cs="Times New Roman"/>
                <w:color w:val="000000" w:themeColor="text1"/>
                <w:sz w:val="24"/>
                <w14:textFill>
                  <w14:solidFill>
                    <w14:schemeClr w14:val="tx1"/>
                  </w14:solidFill>
                </w14:textFill>
              </w:rPr>
              <w:t>事故类型</w:t>
            </w:r>
          </w:p>
        </w:tc>
        <w:tc>
          <w:tcPr>
            <w:tcW w:w="1168" w:type="pc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r>
              <w:rPr>
                <w:rFonts w:hint="default" w:ascii="Times New Roman" w:hAnsi="Times New Roman" w:eastAsia="仿宋" w:cs="Times New Roman"/>
                <w:color w:val="000000" w:themeColor="text1"/>
                <w:sz w:val="24"/>
                <w14:textFill>
                  <w14:solidFill>
                    <w14:schemeClr w14:val="tx1"/>
                  </w14:solidFill>
                </w14:textFill>
              </w:rPr>
              <w:t>环境污染类型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jc w:val="center"/>
        </w:trPr>
        <w:tc>
          <w:tcPr>
            <w:tcW w:w="959" w:type="pct"/>
            <w:vMerge w:val="restar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r>
              <w:rPr>
                <w:rFonts w:hint="default" w:ascii="Times New Roman" w:hAnsi="Times New Roman" w:eastAsia="仿宋" w:cs="Times New Roman"/>
                <w:color w:val="000000" w:themeColor="text1"/>
                <w:sz w:val="24"/>
                <w14:textFill>
                  <w14:solidFill>
                    <w14:schemeClr w14:val="tx1"/>
                  </w14:solidFill>
                </w14:textFill>
              </w:rPr>
              <w:t>风险目标</w:t>
            </w:r>
          </w:p>
        </w:tc>
        <w:tc>
          <w:tcPr>
            <w:tcW w:w="1991" w:type="pct"/>
            <w:vAlign w:val="center"/>
          </w:tcPr>
          <w:p>
            <w:pPr>
              <w:adjustRightInd w:val="0"/>
              <w:jc w:val="center"/>
              <w:rPr>
                <w:rFonts w:hint="default" w:ascii="Times New Roman" w:hAnsi="Times New Roman" w:eastAsia="仿宋" w:cs="Times New Roman"/>
                <w:color w:val="000000" w:themeColor="text1"/>
                <w:sz w:val="24"/>
                <w:lang w:val="en-US" w:eastAsia="zh-CN"/>
                <w14:textFill>
                  <w14:solidFill>
                    <w14:schemeClr w14:val="tx1"/>
                  </w14:solidFill>
                </w14:textFill>
              </w:rPr>
            </w:pPr>
            <w:r>
              <w:rPr>
                <w:rFonts w:hint="eastAsia" w:eastAsia="仿宋" w:cs="Times New Roman"/>
                <w:color w:val="000000" w:themeColor="text1"/>
                <w:sz w:val="24"/>
                <w:lang w:val="en-US" w:eastAsia="zh-CN"/>
                <w14:textFill>
                  <w14:solidFill>
                    <w14:schemeClr w14:val="tx1"/>
                  </w14:solidFill>
                </w14:textFill>
              </w:rPr>
              <w:t>化学品库房</w:t>
            </w:r>
          </w:p>
        </w:tc>
        <w:tc>
          <w:tcPr>
            <w:tcW w:w="880" w:type="pct"/>
            <w:vAlign w:val="center"/>
          </w:tcPr>
          <w:p>
            <w:pPr>
              <w:adjustRightInd w:val="0"/>
              <w:jc w:val="center"/>
              <w:rPr>
                <w:rFonts w:hint="eastAsia" w:ascii="Times New Roman" w:hAnsi="Times New Roman" w:eastAsia="仿宋" w:cs="Times New Roman"/>
                <w:color w:val="000000" w:themeColor="text1"/>
                <w:sz w:val="24"/>
                <w:lang w:val="en-US" w:eastAsia="zh-CN"/>
                <w14:textFill>
                  <w14:solidFill>
                    <w14:schemeClr w14:val="tx1"/>
                  </w14:solidFill>
                </w14:textFill>
              </w:rPr>
            </w:pPr>
            <w:r>
              <w:rPr>
                <w:rFonts w:hint="eastAsia" w:eastAsia="仿宋" w:cs="Times New Roman"/>
                <w:color w:val="000000" w:themeColor="text1"/>
                <w:sz w:val="24"/>
                <w:lang w:val="en-US" w:eastAsia="zh-CN"/>
                <w14:textFill>
                  <w14:solidFill>
                    <w14:schemeClr w14:val="tx1"/>
                  </w14:solidFill>
                </w14:textFill>
              </w:rPr>
              <w:t>泄露</w:t>
            </w:r>
          </w:p>
        </w:tc>
        <w:tc>
          <w:tcPr>
            <w:tcW w:w="1168" w:type="pct"/>
            <w:vAlign w:val="center"/>
          </w:tcPr>
          <w:p>
            <w:pPr>
              <w:adjustRightInd w:val="0"/>
              <w:jc w:val="center"/>
              <w:rPr>
                <w:rFonts w:hint="eastAsia" w:ascii="Times New Roman" w:hAnsi="Times New Roman" w:eastAsia="仿宋" w:cs="Times New Roman"/>
                <w:color w:val="000000" w:themeColor="text1"/>
                <w:sz w:val="24"/>
                <w:lang w:val="en-US" w:eastAsia="zh-CN"/>
                <w14:textFill>
                  <w14:solidFill>
                    <w14:schemeClr w14:val="tx1"/>
                  </w14:solidFill>
                </w14:textFill>
              </w:rPr>
            </w:pPr>
            <w:r>
              <w:rPr>
                <w:rFonts w:hint="eastAsia" w:eastAsia="仿宋" w:cs="Times New Roman"/>
                <w:color w:val="000000" w:themeColor="text1"/>
                <w:sz w:val="24"/>
                <w:lang w:val="en-US" w:eastAsia="zh-CN"/>
                <w14:textFill>
                  <w14:solidFill>
                    <w14:schemeClr w14:val="tx1"/>
                  </w14:solidFill>
                </w14:textFill>
              </w:rPr>
              <w:t>大气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8" w:hRule="atLeast"/>
          <w:jc w:val="center"/>
        </w:trPr>
        <w:tc>
          <w:tcPr>
            <w:tcW w:w="959" w:type="pct"/>
            <w:vMerge w:val="continue"/>
            <w:tcBorders/>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p>
        </w:tc>
        <w:tc>
          <w:tcPr>
            <w:tcW w:w="1991" w:type="pc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r>
              <w:rPr>
                <w:rFonts w:hint="default" w:ascii="Times New Roman" w:hAnsi="Times New Roman" w:eastAsia="仿宋" w:cs="Times New Roman"/>
                <w:color w:val="000000" w:themeColor="text1"/>
                <w:sz w:val="24"/>
                <w14:textFill>
                  <w14:solidFill>
                    <w14:schemeClr w14:val="tx1"/>
                  </w14:solidFill>
                </w14:textFill>
              </w:rPr>
              <w:t>库房</w:t>
            </w:r>
            <w:r>
              <w:rPr>
                <w:rFonts w:hint="default" w:ascii="Times New Roman" w:hAnsi="Times New Roman" w:eastAsia="仿宋" w:cs="Times New Roman"/>
                <w:color w:val="000000" w:themeColor="text1"/>
                <w:sz w:val="24"/>
                <w:lang w:eastAsia="zh-CN"/>
                <w14:textFill>
                  <w14:solidFill>
                    <w14:schemeClr w14:val="tx1"/>
                  </w14:solidFill>
                </w14:textFill>
              </w:rPr>
              <w:t>、</w:t>
            </w:r>
            <w:r>
              <w:rPr>
                <w:rFonts w:hint="default" w:ascii="Times New Roman" w:hAnsi="Times New Roman" w:eastAsia="仿宋" w:cs="Times New Roman"/>
                <w:color w:val="000000" w:themeColor="text1"/>
                <w:sz w:val="24"/>
                <w:lang w:val="en-US" w:eastAsia="zh-CN"/>
                <w14:textFill>
                  <w14:solidFill>
                    <w14:schemeClr w14:val="tx1"/>
                  </w14:solidFill>
                </w14:textFill>
              </w:rPr>
              <w:t>车间</w:t>
            </w:r>
            <w:r>
              <w:rPr>
                <w:rFonts w:hint="default" w:ascii="Times New Roman" w:hAnsi="Times New Roman" w:eastAsia="仿宋" w:cs="Times New Roman"/>
                <w:color w:val="000000" w:themeColor="text1"/>
                <w:sz w:val="24"/>
                <w14:textFill>
                  <w14:solidFill>
                    <w14:schemeClr w14:val="tx1"/>
                  </w14:solidFill>
                </w14:textFill>
              </w:rPr>
              <w:t>（</w:t>
            </w:r>
            <w:r>
              <w:rPr>
                <w:rFonts w:hint="default" w:ascii="Times New Roman" w:hAnsi="Times New Roman" w:eastAsia="仿宋" w:cs="Times New Roman"/>
                <w:color w:val="000000" w:themeColor="text1"/>
                <w:sz w:val="24"/>
                <w:lang w:val="en-US" w:eastAsia="zh-CN"/>
                <w14:textFill>
                  <w14:solidFill>
                    <w14:schemeClr w14:val="tx1"/>
                  </w14:solidFill>
                </w14:textFill>
              </w:rPr>
              <w:t>原辅料等易燃物</w:t>
            </w:r>
            <w:r>
              <w:rPr>
                <w:rFonts w:hint="default" w:ascii="Times New Roman" w:hAnsi="Times New Roman" w:eastAsia="仿宋" w:cs="Times New Roman"/>
                <w:color w:val="000000" w:themeColor="text1"/>
                <w:sz w:val="24"/>
                <w14:textFill>
                  <w14:solidFill>
                    <w14:schemeClr w14:val="tx1"/>
                  </w14:solidFill>
                </w14:textFill>
              </w:rPr>
              <w:t>）</w:t>
            </w:r>
          </w:p>
        </w:tc>
        <w:tc>
          <w:tcPr>
            <w:tcW w:w="880" w:type="pc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bookmarkStart w:id="233" w:name="_Toc4429"/>
            <w:r>
              <w:rPr>
                <w:rFonts w:hint="default" w:ascii="Times New Roman" w:hAnsi="Times New Roman" w:eastAsia="仿宋" w:cs="Times New Roman"/>
                <w:color w:val="000000" w:themeColor="text1"/>
                <w:sz w:val="24"/>
                <w14:textFill>
                  <w14:solidFill>
                    <w14:schemeClr w14:val="tx1"/>
                  </w14:solidFill>
                </w14:textFill>
              </w:rPr>
              <w:t>火灾</w:t>
            </w:r>
            <w:bookmarkEnd w:id="233"/>
          </w:p>
        </w:tc>
        <w:tc>
          <w:tcPr>
            <w:tcW w:w="1168" w:type="pct"/>
            <w:vAlign w:val="center"/>
          </w:tcPr>
          <w:p>
            <w:pPr>
              <w:adjustRightInd w:val="0"/>
              <w:jc w:val="center"/>
              <w:rPr>
                <w:rFonts w:hint="default" w:ascii="Times New Roman" w:hAnsi="Times New Roman" w:eastAsia="仿宋" w:cs="Times New Roman"/>
                <w:color w:val="000000" w:themeColor="text1"/>
                <w:sz w:val="24"/>
                <w14:textFill>
                  <w14:solidFill>
                    <w14:schemeClr w14:val="tx1"/>
                  </w14:solidFill>
                </w14:textFill>
              </w:rPr>
            </w:pPr>
            <w:r>
              <w:rPr>
                <w:rFonts w:hint="default" w:ascii="Times New Roman" w:hAnsi="Times New Roman" w:eastAsia="仿宋" w:cs="Times New Roman"/>
                <w:color w:val="000000" w:themeColor="text1"/>
                <w:sz w:val="24"/>
                <w14:textFill>
                  <w14:solidFill>
                    <w14:schemeClr w14:val="tx1"/>
                  </w14:solidFill>
                </w14:textFill>
              </w:rPr>
              <w:t>大气环境</w:t>
            </w:r>
          </w:p>
        </w:tc>
      </w:tr>
      <w:bookmarkEnd w:id="231"/>
    </w:tbl>
    <w:p>
      <w:pPr>
        <w:pStyle w:val="12"/>
        <w:jc w:val="both"/>
        <w:rPr>
          <w:rFonts w:hint="default" w:ascii="Times New Roman" w:hAnsi="Times New Roman" w:eastAsia="仿宋" w:cs="Times New Roman"/>
          <w:b w:val="0"/>
          <w:szCs w:val="28"/>
        </w:rPr>
      </w:pPr>
      <w:bookmarkStart w:id="234" w:name="_Toc57039882"/>
      <w:bookmarkStart w:id="235" w:name="_Toc6119"/>
      <w:bookmarkStart w:id="236" w:name="_Toc12831"/>
      <w:bookmarkStart w:id="237" w:name="_Toc57036123"/>
      <w:r>
        <w:rPr>
          <w:rFonts w:hint="default" w:ascii="Times New Roman" w:hAnsi="Times New Roman" w:eastAsia="仿宋" w:cs="Times New Roman"/>
        </w:rPr>
        <w:t>4.2.4环境事故类型</w:t>
      </w:r>
      <w:bookmarkEnd w:id="234"/>
      <w:bookmarkEnd w:id="235"/>
      <w:bookmarkEnd w:id="236"/>
      <w:bookmarkEnd w:id="237"/>
    </w:p>
    <w:p>
      <w:pPr>
        <w:pStyle w:val="80"/>
        <w:rPr>
          <w:rFonts w:hint="default" w:ascii="Times New Roman" w:hAnsi="Times New Roman" w:eastAsia="仿宋" w:cs="Times New Roman"/>
          <w:color w:val="000000" w:themeColor="text1"/>
          <w:spacing w:val="0"/>
          <w:kern w:val="0"/>
          <w14:textFill>
            <w14:solidFill>
              <w14:schemeClr w14:val="tx1"/>
            </w14:solidFill>
          </w14:textFill>
        </w:rPr>
      </w:pPr>
      <w:r>
        <w:rPr>
          <w:rFonts w:hint="default" w:ascii="Times New Roman" w:hAnsi="Times New Roman" w:eastAsia="仿宋" w:cs="Times New Roman"/>
          <w:color w:val="000000" w:themeColor="text1"/>
          <w:spacing w:val="0"/>
          <w:kern w:val="0"/>
          <w14:textFill>
            <w14:solidFill>
              <w14:schemeClr w14:val="tx1"/>
            </w14:solidFill>
          </w14:textFill>
        </w:rPr>
        <w:t>风险目标事故类型及潜在环境风险事故影响预测</w:t>
      </w:r>
      <w:r>
        <w:rPr>
          <w:rFonts w:hint="default" w:ascii="Times New Roman" w:hAnsi="Times New Roman" w:eastAsia="仿宋" w:cs="Times New Roman"/>
          <w:color w:val="000000" w:themeColor="text1"/>
          <w:spacing w:val="0"/>
          <w:kern w:val="0"/>
          <w:lang w:eastAsia="zh-CN"/>
          <w14:textFill>
            <w14:solidFill>
              <w14:schemeClr w14:val="tx1"/>
            </w14:solidFill>
          </w14:textFill>
        </w:rPr>
        <w:t>：</w:t>
      </w:r>
      <w:r>
        <w:rPr>
          <w:rFonts w:hint="default" w:ascii="Times New Roman" w:hAnsi="Times New Roman" w:eastAsia="仿宋" w:cs="Times New Roman"/>
          <w:color w:val="000000" w:themeColor="text1"/>
          <w:spacing w:val="0"/>
          <w:kern w:val="0"/>
          <w:lang w:val="en-US" w:eastAsia="zh-CN"/>
          <w14:textFill>
            <w14:solidFill>
              <w14:schemeClr w14:val="tx1"/>
            </w14:solidFill>
          </w14:textFill>
        </w:rPr>
        <w:t>仓库或车间内易燃物品</w:t>
      </w:r>
      <w:r>
        <w:rPr>
          <w:rFonts w:hint="default" w:ascii="Times New Roman" w:hAnsi="Times New Roman" w:eastAsia="仿宋" w:cs="Times New Roman"/>
          <w:color w:val="000000" w:themeColor="text1"/>
          <w:spacing w:val="0"/>
          <w:kern w:val="0"/>
          <w14:textFill>
            <w14:solidFill>
              <w14:schemeClr w14:val="tx1"/>
            </w14:solidFill>
          </w14:textFill>
        </w:rPr>
        <w:t>遇明火引起火灾事故，引发大气环境污染</w:t>
      </w:r>
      <w:r>
        <w:rPr>
          <w:rFonts w:hint="eastAsia" w:ascii="Times New Roman" w:eastAsia="仿宋" w:cs="Times New Roman"/>
          <w:color w:val="000000" w:themeColor="text1"/>
          <w:spacing w:val="0"/>
          <w:kern w:val="0"/>
          <w:lang w:eastAsia="zh-CN"/>
          <w14:textFill>
            <w14:solidFill>
              <w14:schemeClr w14:val="tx1"/>
            </w14:solidFill>
          </w14:textFill>
        </w:rPr>
        <w:t>，</w:t>
      </w:r>
      <w:r>
        <w:rPr>
          <w:rFonts w:hint="eastAsia" w:ascii="Times New Roman" w:eastAsia="仿宋" w:cs="Times New Roman"/>
          <w:color w:val="000000" w:themeColor="text1"/>
          <w:spacing w:val="0"/>
          <w:kern w:val="0"/>
          <w:lang w:val="en-US" w:eastAsia="zh-CN"/>
          <w14:textFill>
            <w14:solidFill>
              <w14:schemeClr w14:val="tx1"/>
            </w14:solidFill>
          </w14:textFill>
        </w:rPr>
        <w:t>润滑油、切削液、液压油等泄露，或引发火灾造成大气污染。</w:t>
      </w:r>
    </w:p>
    <w:bookmarkEnd w:id="222"/>
    <w:bookmarkEnd w:id="232"/>
    <w:p>
      <w:pPr>
        <w:pStyle w:val="19"/>
        <w:outlineLvl w:val="0"/>
        <w:rPr>
          <w:rFonts w:hint="default" w:ascii="Times New Roman" w:hAnsi="Times New Roman" w:eastAsia="仿宋" w:cs="Times New Roman"/>
          <w:sz w:val="36"/>
          <w:szCs w:val="36"/>
        </w:rPr>
      </w:pPr>
      <w:bookmarkStart w:id="238" w:name="_Toc24541"/>
      <w:bookmarkStart w:id="239" w:name="_Toc26406"/>
      <w:bookmarkStart w:id="240" w:name="_Toc17887"/>
      <w:bookmarkStart w:id="241" w:name="_Toc54050906"/>
      <w:r>
        <w:rPr>
          <w:rFonts w:hint="default" w:ascii="Times New Roman" w:hAnsi="Times New Roman" w:eastAsia="仿宋" w:cs="Times New Roman"/>
          <w:sz w:val="36"/>
          <w:szCs w:val="36"/>
        </w:rPr>
        <w:t>5预防与预警</w:t>
      </w:r>
      <w:bookmarkEnd w:id="238"/>
      <w:bookmarkEnd w:id="239"/>
    </w:p>
    <w:p>
      <w:pPr>
        <w:pStyle w:val="80"/>
        <w:rPr>
          <w:rFonts w:hint="default" w:ascii="Times New Roman" w:hAnsi="Times New Roman" w:eastAsia="仿宋" w:cs="Times New Roman"/>
          <w:color w:val="000000" w:themeColor="text1"/>
          <w:spacing w:val="0"/>
          <w:kern w:val="0"/>
          <w14:textFill>
            <w14:solidFill>
              <w14:schemeClr w14:val="tx1"/>
            </w14:solidFill>
          </w14:textFill>
        </w:rPr>
      </w:pPr>
      <w:bookmarkStart w:id="242" w:name="_Toc305850301"/>
      <w:bookmarkStart w:id="243" w:name="_Toc305829480"/>
      <w:bookmarkStart w:id="244" w:name="_Toc306093604"/>
      <w:r>
        <w:rPr>
          <w:rFonts w:hint="default" w:ascii="Times New Roman" w:hAnsi="Times New Roman" w:eastAsia="仿宋" w:cs="Times New Roman"/>
          <w:color w:val="000000" w:themeColor="text1"/>
          <w:spacing w:val="0"/>
          <w:kern w:val="0"/>
          <w14:textFill>
            <w14:solidFill>
              <w14:schemeClr w14:val="tx1"/>
            </w14:solidFill>
          </w14:textFill>
        </w:rPr>
        <w:t>公司应加强对各种可能发生的突发环境事件的监控和预测分析，应急指挥中心建立预防预报系统，做到早发现、早报告、早处置</w:t>
      </w:r>
      <w:bookmarkEnd w:id="242"/>
      <w:bookmarkEnd w:id="243"/>
      <w:r>
        <w:rPr>
          <w:rFonts w:hint="default" w:ascii="Times New Roman" w:hAnsi="Times New Roman" w:eastAsia="仿宋" w:cs="Times New Roman"/>
          <w:color w:val="000000" w:themeColor="text1"/>
          <w:spacing w:val="0"/>
          <w:kern w:val="0"/>
          <w14:textFill>
            <w14:solidFill>
              <w14:schemeClr w14:val="tx1"/>
            </w14:solidFill>
          </w14:textFill>
        </w:rPr>
        <w:t>。</w:t>
      </w:r>
      <w:bookmarkEnd w:id="244"/>
    </w:p>
    <w:p>
      <w:pPr>
        <w:pStyle w:val="22"/>
        <w:ind w:left="0" w:leftChars="0"/>
        <w:outlineLvl w:val="1"/>
        <w:rPr>
          <w:rFonts w:hint="default" w:ascii="Times New Roman" w:hAnsi="Times New Roman" w:eastAsia="仿宋" w:cs="Times New Roman"/>
          <w:b/>
          <w:szCs w:val="28"/>
        </w:rPr>
      </w:pPr>
      <w:bookmarkStart w:id="245" w:name="_Toc23256"/>
      <w:bookmarkStart w:id="246" w:name="_Toc6065"/>
      <w:r>
        <w:rPr>
          <w:rFonts w:hint="default" w:ascii="Times New Roman" w:hAnsi="Times New Roman" w:eastAsia="仿宋" w:cs="Times New Roman"/>
          <w:b/>
          <w:szCs w:val="28"/>
        </w:rPr>
        <w:t>5.1预防工作</w:t>
      </w:r>
      <w:bookmarkEnd w:id="245"/>
      <w:bookmarkEnd w:id="246"/>
    </w:p>
    <w:p>
      <w:pPr>
        <w:pStyle w:val="12"/>
        <w:jc w:val="both"/>
        <w:rPr>
          <w:rFonts w:hint="default" w:ascii="Times New Roman" w:hAnsi="Times New Roman" w:eastAsia="仿宋" w:cs="Times New Roman"/>
        </w:rPr>
      </w:pPr>
      <w:bookmarkStart w:id="247" w:name="_Toc4865"/>
      <w:bookmarkStart w:id="248" w:name="_Toc57039885"/>
      <w:bookmarkStart w:id="249" w:name="_Toc57036126"/>
      <w:r>
        <w:rPr>
          <w:rFonts w:hint="default" w:ascii="Times New Roman" w:hAnsi="Times New Roman" w:eastAsia="仿宋" w:cs="Times New Roman"/>
        </w:rPr>
        <w:t>5.1.1定期评估、排查</w:t>
      </w:r>
      <w:bookmarkEnd w:id="247"/>
      <w:bookmarkEnd w:id="248"/>
      <w:bookmarkEnd w:id="249"/>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定期开展对公司内部环境风险源的调查评估工作，掌握环境风险源的种类、分布和规模，摸清各装置和风险源的底数，了解各风险源、风险物质的技术信息和理化特性，提出和更新相应的风险防范和应对措施。</w:t>
      </w:r>
    </w:p>
    <w:p>
      <w:pPr>
        <w:pStyle w:val="12"/>
        <w:jc w:val="both"/>
        <w:rPr>
          <w:rFonts w:hint="default" w:ascii="Times New Roman" w:hAnsi="Times New Roman" w:eastAsia="仿宋" w:cs="Times New Roman"/>
        </w:rPr>
      </w:pPr>
      <w:bookmarkStart w:id="250" w:name="_Toc57036127"/>
      <w:bookmarkStart w:id="251" w:name="_Toc18985"/>
      <w:bookmarkStart w:id="252" w:name="_Toc57039886"/>
      <w:r>
        <w:rPr>
          <w:rFonts w:hint="default" w:ascii="Times New Roman" w:hAnsi="Times New Roman" w:eastAsia="仿宋" w:cs="Times New Roman"/>
        </w:rPr>
        <w:t>5.1.2完善管理制度</w:t>
      </w:r>
      <w:bookmarkEnd w:id="250"/>
      <w:bookmarkEnd w:id="251"/>
      <w:bookmarkEnd w:id="252"/>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建立健全公司生产、安全和环境保护管理和责任制度，强化管理，落实责任，突出环境风险意识。</w:t>
      </w:r>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制定《环境保护宣传教育和培训制度》，按计划和制度开展环境保护宣传教育和培训，对培训内容要进行考核。</w:t>
      </w:r>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建立环境保护监督检查和风险排查体制，制定《环境保护监督检查制度》和《环境风险排查及隐患整改制度》，日常巡回检查、综合检查、专项检查、定期检查及领导监督检查和风险排查要规范化、制度化、程序化，发现问题、隐患后要立即上报应急指挥中心，提出合理的整改方案。</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制定预案培训及演练制度，公司每半年组织一次培训，每年组织一次演练。结合风险源评估和发生的案例，开展突发环境事件的场景假设和模拟分析，完善突发环境事件应急预案。</w:t>
      </w:r>
    </w:p>
    <w:p>
      <w:pPr>
        <w:spacing w:before="120" w:after="120" w:line="480" w:lineRule="exact"/>
        <w:outlineLvl w:val="1"/>
        <w:rPr>
          <w:rFonts w:hint="default" w:ascii="Times New Roman" w:hAnsi="Times New Roman" w:eastAsia="仿宋" w:cs="Times New Roman"/>
          <w:b/>
          <w:sz w:val="28"/>
          <w:szCs w:val="28"/>
        </w:rPr>
      </w:pPr>
      <w:bookmarkStart w:id="253" w:name="_Toc20116"/>
      <w:bookmarkStart w:id="254" w:name="_Toc13562"/>
      <w:bookmarkStart w:id="255" w:name="_Toc11274"/>
      <w:bookmarkStart w:id="256" w:name="_Toc30765"/>
      <w:r>
        <w:rPr>
          <w:rFonts w:hint="default" w:ascii="Times New Roman" w:hAnsi="Times New Roman" w:eastAsia="仿宋" w:cs="Times New Roman"/>
          <w:b/>
          <w:sz w:val="28"/>
          <w:szCs w:val="28"/>
        </w:rPr>
        <w:t>5.2环境风险源监控</w:t>
      </w:r>
      <w:bookmarkEnd w:id="253"/>
      <w:bookmarkEnd w:id="254"/>
      <w:bookmarkEnd w:id="255"/>
      <w:bookmarkEnd w:id="256"/>
    </w:p>
    <w:p>
      <w:pPr>
        <w:pStyle w:val="12"/>
        <w:jc w:val="both"/>
        <w:rPr>
          <w:rFonts w:hint="default" w:ascii="Times New Roman" w:hAnsi="Times New Roman" w:eastAsia="仿宋" w:cs="Times New Roman"/>
        </w:rPr>
      </w:pPr>
      <w:bookmarkStart w:id="257" w:name="_Toc10603"/>
      <w:bookmarkStart w:id="258" w:name="_Toc57036129"/>
      <w:bookmarkStart w:id="259" w:name="_Toc22504"/>
      <w:bookmarkStart w:id="260" w:name="_Toc30235"/>
      <w:bookmarkStart w:id="261" w:name="_Toc57039888"/>
      <w:r>
        <w:rPr>
          <w:rFonts w:hint="default" w:ascii="Times New Roman" w:hAnsi="Times New Roman" w:eastAsia="仿宋" w:cs="Times New Roman"/>
        </w:rPr>
        <w:t>5.2.1监控方法</w:t>
      </w:r>
      <w:bookmarkEnd w:id="257"/>
      <w:bookmarkEnd w:id="258"/>
      <w:bookmarkEnd w:id="259"/>
      <w:bookmarkEnd w:id="260"/>
      <w:bookmarkEnd w:id="261"/>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公司建立环境保护监督检查和风险排查体制，日常巡回检查、专项检查、定期检查及领导监督检查和风险排查要规范化、制度化、程序化，发现问题、隐患要立即整改。开展突发环境事件的假设、分析和风险评估工作，完善各类突发环境事件应急预案，做到早发现、早报告、早处置。</w:t>
      </w:r>
    </w:p>
    <w:p>
      <w:pPr>
        <w:pStyle w:val="12"/>
        <w:jc w:val="both"/>
        <w:rPr>
          <w:rFonts w:hint="default" w:ascii="Times New Roman" w:hAnsi="Times New Roman" w:eastAsia="仿宋" w:cs="Times New Roman"/>
        </w:rPr>
      </w:pPr>
      <w:bookmarkStart w:id="262" w:name="_Toc27404"/>
      <w:bookmarkStart w:id="263" w:name="_Toc57036130"/>
      <w:bookmarkStart w:id="264" w:name="_Toc26844"/>
      <w:bookmarkStart w:id="265" w:name="_Toc57039889"/>
      <w:bookmarkStart w:id="266" w:name="_Toc22193"/>
      <w:r>
        <w:rPr>
          <w:rFonts w:hint="default" w:ascii="Times New Roman" w:hAnsi="Times New Roman" w:eastAsia="仿宋" w:cs="Times New Roman"/>
        </w:rPr>
        <w:t>5.2.2监控措施</w:t>
      </w:r>
      <w:bookmarkEnd w:id="262"/>
      <w:bookmarkEnd w:id="263"/>
      <w:bookmarkEnd w:id="264"/>
      <w:bookmarkEnd w:id="265"/>
      <w:bookmarkEnd w:id="266"/>
    </w:p>
    <w:p>
      <w:pPr>
        <w:spacing w:line="360" w:lineRule="auto"/>
        <w:ind w:firstLine="560" w:firstLineChars="200"/>
        <w:contextualSpacing/>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针对风险源监控采取以下措施：</w:t>
      </w:r>
    </w:p>
    <w:p>
      <w:pPr>
        <w:spacing w:line="360" w:lineRule="auto"/>
        <w:ind w:firstLine="560" w:firstLineChars="200"/>
        <w:contextualSpacing/>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（1）对仓库、车间日常巡回检查，加大管理力度，并采取标示，严禁烟火。</w:t>
      </w:r>
    </w:p>
    <w:p>
      <w:pPr>
        <w:spacing w:line="360" w:lineRule="auto"/>
        <w:ind w:firstLine="560" w:firstLineChars="200"/>
        <w:contextualSpacing/>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（2）</w:t>
      </w:r>
      <w:r>
        <w:rPr>
          <w:rFonts w:hint="eastAsia" w:eastAsia="仿宋" w:cs="Times New Roman"/>
          <w:color w:val="000000" w:themeColor="text1"/>
          <w:kern w:val="0"/>
          <w:sz w:val="28"/>
          <w:szCs w:val="28"/>
          <w:lang w:val="en-US" w:eastAsia="zh-CN"/>
          <w14:textFill>
            <w14:solidFill>
              <w14:schemeClr w14:val="tx1"/>
            </w14:solidFill>
          </w14:textFill>
        </w:rPr>
        <w:t>化学品库。</w:t>
      </w:r>
      <w:r>
        <w:rPr>
          <w:rFonts w:hint="default" w:ascii="Times New Roman" w:hAnsi="Times New Roman" w:eastAsia="仿宋" w:cs="Times New Roman"/>
          <w:color w:val="000000" w:themeColor="text1"/>
          <w:kern w:val="0"/>
          <w:sz w:val="28"/>
          <w:szCs w:val="28"/>
          <w14:textFill>
            <w14:solidFill>
              <w14:schemeClr w14:val="tx1"/>
            </w14:solidFill>
          </w14:textFill>
        </w:rPr>
        <w:t>危废暂存间定期检查，制定严格的规章制度。</w:t>
      </w:r>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通过对风险源和生产系统各环节的日常巡检、专项检查、定期检查以及相关监测、监控和评估，发现各项生产指标、参数及状态偏离正常值时，发现人员要向公司应急指挥</w:t>
      </w:r>
      <w:r>
        <w:rPr>
          <w:rFonts w:hint="eastAsia" w:eastAsia="仿宋" w:cs="Times New Roman"/>
          <w:color w:val="000000" w:themeColor="text1"/>
          <w:kern w:val="0"/>
          <w:sz w:val="28"/>
          <w:szCs w:val="28"/>
          <w:lang w:val="en-US" w:eastAsia="zh-CN"/>
          <w14:textFill>
            <w14:solidFill>
              <w14:schemeClr w14:val="tx1"/>
            </w14:solidFill>
          </w14:textFill>
        </w:rPr>
        <w:t>部</w:t>
      </w:r>
      <w:r>
        <w:rPr>
          <w:rFonts w:hint="default" w:ascii="Times New Roman" w:hAnsi="Times New Roman" w:eastAsia="仿宋" w:cs="Times New Roman"/>
          <w:color w:val="000000" w:themeColor="text1"/>
          <w:kern w:val="0"/>
          <w:sz w:val="28"/>
          <w:szCs w:val="28"/>
          <w14:textFill>
            <w14:solidFill>
              <w14:schemeClr w14:val="tx1"/>
            </w14:solidFill>
          </w14:textFill>
        </w:rPr>
        <w:t>报告异常情况，公司应立即进行研究分析，采取调整措施，现场际检查。如发现异常情况确实存在，并有可能进一步发展为突发环境事件时，要及时</w:t>
      </w:r>
      <w:r>
        <w:rPr>
          <w:rFonts w:hint="eastAsia" w:eastAsia="仿宋" w:cs="Times New Roman"/>
          <w:color w:val="000000" w:themeColor="text1"/>
          <w:kern w:val="0"/>
          <w:sz w:val="28"/>
          <w:szCs w:val="28"/>
          <w:lang w:val="en-US" w:eastAsia="zh-CN"/>
          <w14:textFill>
            <w14:solidFill>
              <w14:schemeClr w14:val="tx1"/>
            </w14:solidFill>
          </w14:textFill>
        </w:rPr>
        <w:t>整改</w:t>
      </w:r>
      <w:r>
        <w:rPr>
          <w:rFonts w:hint="default" w:ascii="Times New Roman" w:hAnsi="Times New Roman" w:eastAsia="仿宋" w:cs="Times New Roman"/>
          <w:color w:val="000000" w:themeColor="text1"/>
          <w:kern w:val="0"/>
          <w:sz w:val="28"/>
          <w:szCs w:val="28"/>
          <w14:textFill>
            <w14:solidFill>
              <w14:schemeClr w14:val="tx1"/>
            </w14:solidFill>
          </w14:textFill>
        </w:rPr>
        <w:t>。一旦出现上述任何一个风险源或设备异常，或风险防范设施不能正常发挥作用时，应及时发出风险预警。</w:t>
      </w:r>
    </w:p>
    <w:p>
      <w:pPr>
        <w:spacing w:before="120" w:after="120" w:line="500" w:lineRule="exact"/>
        <w:outlineLvl w:val="1"/>
        <w:rPr>
          <w:rFonts w:hint="default" w:ascii="Times New Roman" w:hAnsi="Times New Roman" w:eastAsia="仿宋" w:cs="Times New Roman"/>
          <w:b/>
          <w:sz w:val="28"/>
          <w:szCs w:val="28"/>
        </w:rPr>
      </w:pPr>
      <w:bookmarkStart w:id="267" w:name="_Toc758"/>
      <w:bookmarkStart w:id="268" w:name="_Toc3828"/>
      <w:bookmarkStart w:id="269" w:name="_Toc29497"/>
      <w:bookmarkStart w:id="270" w:name="_Toc19468"/>
      <w:bookmarkStart w:id="271" w:name="_Toc228175581"/>
      <w:bookmarkStart w:id="272" w:name="_Toc225308517"/>
      <w:r>
        <w:rPr>
          <w:rFonts w:hint="default" w:ascii="Times New Roman" w:hAnsi="Times New Roman" w:eastAsia="仿宋" w:cs="Times New Roman"/>
          <w:b/>
          <w:sz w:val="28"/>
          <w:szCs w:val="28"/>
        </w:rPr>
        <w:t>5.3预警分级</w:t>
      </w:r>
      <w:bookmarkEnd w:id="267"/>
      <w:bookmarkEnd w:id="268"/>
      <w:bookmarkEnd w:id="269"/>
      <w:bookmarkEnd w:id="270"/>
    </w:p>
    <w:p>
      <w:pPr>
        <w:adjustRightInd w:val="0"/>
        <w:snapToGrid w:val="0"/>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国家突发环境事件应急预案》按照突发环境污染事件严重性、紧急程度及影响程度，将预警由低到高依次分为四级：蓝色预警、黄色预警、橙色预警、红色预警，根据事态的发展和应急处置效果，预警可以升级、降级或解除。</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结合国家突发环境事件应急预案事件分级级别，按照公司突发环境污染事件的严重性、紧急程度和可能涉及的影响范围，建立企业内部的预警发布及应急响应程序。公司将突发环境污染事件的预警级别由低到高分为蓝色预警、黄色预警。</w:t>
      </w:r>
    </w:p>
    <w:p>
      <w:pPr>
        <w:spacing w:before="120" w:after="120" w:line="500" w:lineRule="exact"/>
        <w:outlineLvl w:val="1"/>
        <w:rPr>
          <w:rFonts w:hint="default" w:ascii="Times New Roman" w:hAnsi="Times New Roman" w:eastAsia="仿宋" w:cs="Times New Roman"/>
          <w:b/>
          <w:sz w:val="28"/>
          <w:szCs w:val="28"/>
        </w:rPr>
      </w:pPr>
      <w:bookmarkStart w:id="273" w:name="_Toc9890"/>
      <w:bookmarkStart w:id="274" w:name="_Toc21316"/>
      <w:bookmarkStart w:id="275" w:name="_Toc4446"/>
      <w:bookmarkStart w:id="276" w:name="_Toc19816"/>
      <w:bookmarkStart w:id="277" w:name="_Toc17994"/>
      <w:r>
        <w:rPr>
          <w:rFonts w:hint="default" w:ascii="Times New Roman" w:hAnsi="Times New Roman" w:eastAsia="仿宋" w:cs="Times New Roman"/>
          <w:b/>
          <w:sz w:val="28"/>
          <w:szCs w:val="28"/>
        </w:rPr>
        <w:t>5.4预警</w:t>
      </w:r>
      <w:bookmarkEnd w:id="273"/>
      <w:bookmarkEnd w:id="274"/>
      <w:bookmarkEnd w:id="275"/>
      <w:r>
        <w:rPr>
          <w:rFonts w:hint="default" w:ascii="Times New Roman" w:hAnsi="Times New Roman" w:eastAsia="仿宋" w:cs="Times New Roman"/>
          <w:b/>
          <w:sz w:val="28"/>
          <w:szCs w:val="28"/>
        </w:rPr>
        <w:t>启动条件</w:t>
      </w:r>
      <w:bookmarkEnd w:id="276"/>
      <w:bookmarkEnd w:id="277"/>
    </w:p>
    <w:bookmarkEnd w:id="271"/>
    <w:bookmarkEnd w:id="272"/>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1、蓝色预警启动条件</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bookmarkStart w:id="278" w:name="_Toc403774242"/>
      <w:bookmarkEnd w:id="278"/>
      <w:bookmarkStart w:id="279" w:name="_Toc4827"/>
      <w:bookmarkStart w:id="280" w:name="_Toc13297"/>
      <w:bookmarkStart w:id="281" w:name="_Toc6286"/>
      <w:r>
        <w:rPr>
          <w:rFonts w:hint="default" w:ascii="Times New Roman" w:hAnsi="Times New Roman" w:eastAsia="仿宋" w:cs="Times New Roman"/>
          <w:color w:val="000000" w:themeColor="text1"/>
          <w:kern w:val="0"/>
          <w:sz w:val="28"/>
          <w:szCs w:val="28"/>
          <w14:textFill>
            <w14:solidFill>
              <w14:schemeClr w14:val="tx1"/>
            </w14:solidFill>
          </w14:textFill>
        </w:rPr>
        <w:t>当</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现场</w:t>
      </w:r>
      <w:r>
        <w:rPr>
          <w:rFonts w:hint="default" w:ascii="Times New Roman" w:hAnsi="Times New Roman" w:eastAsia="仿宋" w:cs="Times New Roman"/>
          <w:color w:val="000000" w:themeColor="text1"/>
          <w:kern w:val="0"/>
          <w:sz w:val="28"/>
          <w:szCs w:val="28"/>
          <w14:textFill>
            <w14:solidFill>
              <w14:schemeClr w14:val="tx1"/>
            </w14:solidFill>
          </w14:textFill>
        </w:rPr>
        <w:t>发现</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明火</w:t>
      </w:r>
      <w:r>
        <w:rPr>
          <w:rFonts w:hint="default" w:ascii="Times New Roman" w:hAnsi="Times New Roman" w:eastAsia="仿宋" w:cs="Times New Roman"/>
          <w:color w:val="000000" w:themeColor="text1"/>
          <w:kern w:val="0"/>
          <w:sz w:val="28"/>
          <w:szCs w:val="28"/>
          <w14:textFill>
            <w14:solidFill>
              <w14:schemeClr w14:val="tx1"/>
            </w14:solidFill>
          </w14:textFill>
        </w:rPr>
        <w:t>或废气处理设施故障时，第一发现事故的人员应当立即报告车间班长，车间班长经初步评估并确认事件超出车间控制范围内，立即上报给应急指挥中心，当公司应急指挥中心派员赴现场进行实际检查后，初步评估并确认事件可控制在公司范围内，能利用本单位应急救援力量能够控制事件升级，即启动蓝色预警。</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2、黄色预警启动条件</w:t>
      </w:r>
      <w:bookmarkEnd w:id="279"/>
      <w:bookmarkEnd w:id="280"/>
      <w:bookmarkEnd w:id="281"/>
    </w:p>
    <w:p>
      <w:pPr>
        <w:spacing w:line="360" w:lineRule="auto"/>
        <w:ind w:firstLine="480"/>
        <w:rPr>
          <w:rFonts w:hint="default" w:ascii="Times New Roman" w:hAnsi="Times New Roman" w:eastAsia="仿宋" w:cs="Times New Roman"/>
          <w:color w:val="000000" w:themeColor="text1"/>
          <w:kern w:val="0"/>
          <w:sz w:val="28"/>
          <w:szCs w:val="28"/>
          <w14:textFill>
            <w14:solidFill>
              <w14:schemeClr w14:val="tx1"/>
            </w14:solidFill>
          </w14:textFill>
        </w:rPr>
      </w:pPr>
      <w:bookmarkStart w:id="282" w:name="_Toc403774243"/>
      <w:bookmarkEnd w:id="282"/>
      <w:r>
        <w:rPr>
          <w:rFonts w:hint="default" w:ascii="Times New Roman" w:hAnsi="Times New Roman" w:eastAsia="仿宋" w:cs="Times New Roman"/>
          <w:color w:val="000000" w:themeColor="text1"/>
          <w:kern w:val="0"/>
          <w:sz w:val="28"/>
          <w:szCs w:val="28"/>
          <w14:textFill>
            <w14:solidFill>
              <w14:schemeClr w14:val="tx1"/>
            </w14:solidFill>
          </w14:textFill>
        </w:rPr>
        <w:t>当公司应急指挥中心派员赴现场进行实际检查后，发现</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异常情况</w:t>
      </w:r>
      <w:r>
        <w:rPr>
          <w:rFonts w:hint="default" w:ascii="Times New Roman" w:hAnsi="Times New Roman" w:eastAsia="仿宋" w:cs="Times New Roman"/>
          <w:color w:val="000000" w:themeColor="text1"/>
          <w:kern w:val="0"/>
          <w:sz w:val="28"/>
          <w:szCs w:val="28"/>
          <w14:textFill>
            <w14:solidFill>
              <w14:schemeClr w14:val="tx1"/>
            </w14:solidFill>
          </w14:textFill>
        </w:rPr>
        <w:t>时，经初步评估并确认事件已超出本单位应急救援能力，需要借助外部救援时，</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立</w:t>
      </w:r>
      <w:r>
        <w:rPr>
          <w:rFonts w:hint="default" w:ascii="Times New Roman" w:hAnsi="Times New Roman" w:eastAsia="仿宋" w:cs="Times New Roman"/>
          <w:color w:val="000000" w:themeColor="text1"/>
          <w:kern w:val="0"/>
          <w:sz w:val="28"/>
          <w:szCs w:val="28"/>
          <w14:textFill>
            <w14:solidFill>
              <w14:schemeClr w14:val="tx1"/>
            </w14:solidFill>
          </w14:textFill>
        </w:rPr>
        <w:t>即启动黄色预警。</w:t>
      </w:r>
    </w:p>
    <w:p>
      <w:pPr>
        <w:spacing w:before="120" w:after="120" w:line="500" w:lineRule="exact"/>
        <w:outlineLvl w:val="1"/>
        <w:rPr>
          <w:rFonts w:hint="default" w:ascii="Times New Roman" w:hAnsi="Times New Roman" w:eastAsia="仿宋" w:cs="Times New Roman"/>
          <w:b/>
          <w:sz w:val="28"/>
          <w:szCs w:val="28"/>
        </w:rPr>
      </w:pPr>
      <w:bookmarkStart w:id="283" w:name="_Toc31643"/>
      <w:bookmarkStart w:id="284" w:name="_Toc30044"/>
      <w:r>
        <w:rPr>
          <w:rFonts w:hint="default" w:ascii="Times New Roman" w:hAnsi="Times New Roman" w:eastAsia="仿宋" w:cs="Times New Roman"/>
          <w:b/>
          <w:sz w:val="28"/>
          <w:szCs w:val="28"/>
        </w:rPr>
        <w:t>5.5预警方式、方法</w:t>
      </w:r>
      <w:bookmarkEnd w:id="283"/>
      <w:bookmarkEnd w:id="284"/>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1、当出现上述预警条件时，由应急总指挥采用通告、电话等形式传达预警信息通知</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厂内所有人员</w:t>
      </w:r>
      <w:r>
        <w:rPr>
          <w:rFonts w:hint="default" w:ascii="Times New Roman" w:hAnsi="Times New Roman" w:eastAsia="仿宋" w:cs="Times New Roman"/>
          <w:color w:val="000000" w:themeColor="text1"/>
          <w:kern w:val="0"/>
          <w:sz w:val="28"/>
          <w:szCs w:val="28"/>
          <w14:textFill>
            <w14:solidFill>
              <w14:schemeClr w14:val="tx1"/>
            </w14:solidFill>
          </w14:textFill>
        </w:rPr>
        <w:t>，做好启动企业应急预案的准备，总指挥下达命令，发布预警。</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2、预警信息一经发布，</w:t>
      </w:r>
      <w:r>
        <w:rPr>
          <w:rFonts w:hint="eastAsia" w:eastAsia="仿宋" w:cs="Times New Roman"/>
          <w:color w:val="000000" w:themeColor="text1"/>
          <w:kern w:val="0"/>
          <w:sz w:val="28"/>
          <w:szCs w:val="28"/>
          <w:lang w:val="en-US" w:eastAsia="zh-CN"/>
          <w14:textFill>
            <w14:solidFill>
              <w14:schemeClr w14:val="tx1"/>
            </w14:solidFill>
          </w14:textFill>
        </w:rPr>
        <w:t>公司</w:t>
      </w:r>
      <w:r>
        <w:rPr>
          <w:rFonts w:hint="default" w:ascii="Times New Roman" w:hAnsi="Times New Roman" w:eastAsia="仿宋" w:cs="Times New Roman"/>
          <w:color w:val="000000" w:themeColor="text1"/>
          <w:kern w:val="0"/>
          <w:sz w:val="28"/>
          <w:szCs w:val="28"/>
          <w14:textFill>
            <w14:solidFill>
              <w14:schemeClr w14:val="tx1"/>
            </w14:solidFill>
          </w14:textFill>
        </w:rPr>
        <w:t>立即组织人员处理险情，并进行突发环境检查，发现问题及时处置和报告；各应急小组成员要保证通信设备处于开通状态，随时待命，做好抢险的准备工作。</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3、应急总指挥与现场保持信息畅通，了解事态发展情况。</w:t>
      </w:r>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4、进入预警状态后，公司立即启动应急预案，转移、撤离、疏散和安置可能受到危害的人员，封闭受到危害的场所，调集环境应急所需物资和设备，保障应急救援。</w:t>
      </w:r>
    </w:p>
    <w:p>
      <w:pPr>
        <w:spacing w:before="120" w:after="120" w:line="500" w:lineRule="exact"/>
        <w:outlineLvl w:val="1"/>
        <w:rPr>
          <w:rFonts w:hint="default" w:ascii="Times New Roman" w:hAnsi="Times New Roman" w:eastAsia="仿宋" w:cs="Times New Roman"/>
          <w:b/>
          <w:sz w:val="28"/>
          <w:szCs w:val="28"/>
        </w:rPr>
      </w:pPr>
      <w:bookmarkStart w:id="285" w:name="_Toc7839"/>
      <w:bookmarkStart w:id="286" w:name="_Toc18585"/>
      <w:r>
        <w:rPr>
          <w:rFonts w:hint="default" w:ascii="Times New Roman" w:hAnsi="Times New Roman" w:eastAsia="仿宋" w:cs="Times New Roman"/>
          <w:b/>
          <w:sz w:val="28"/>
          <w:szCs w:val="28"/>
        </w:rPr>
        <w:t>5.6预警解除</w:t>
      </w:r>
      <w:bookmarkEnd w:id="285"/>
      <w:bookmarkEnd w:id="286"/>
    </w:p>
    <w:p>
      <w:pPr>
        <w:spacing w:line="360" w:lineRule="auto"/>
        <w:ind w:firstLine="560" w:firstLineChars="200"/>
        <w:rPr>
          <w:rFonts w:hint="default" w:ascii="Times New Roman" w:hAnsi="Times New Roman" w:eastAsia="仿宋" w:cs="Times New Roman"/>
          <w:color w:val="000000" w:themeColor="text1"/>
          <w:kern w:val="0"/>
          <w:sz w:val="28"/>
          <w:szCs w:val="28"/>
          <w14:textFill>
            <w14:solidFill>
              <w14:schemeClr w14:val="tx1"/>
            </w14:solidFill>
          </w14:textFill>
        </w:rPr>
      </w:pPr>
      <w:r>
        <w:rPr>
          <w:rFonts w:hint="default" w:ascii="Times New Roman" w:hAnsi="Times New Roman" w:eastAsia="仿宋" w:cs="Times New Roman"/>
          <w:color w:val="000000" w:themeColor="text1"/>
          <w:kern w:val="0"/>
          <w:sz w:val="28"/>
          <w:szCs w:val="28"/>
          <w14:textFill>
            <w14:solidFill>
              <w14:schemeClr w14:val="tx1"/>
            </w14:solidFill>
          </w14:textFill>
        </w:rPr>
        <w:t>上述引起预警的条件消除或各类隐患排除后，应急总指挥采用通告、会议、电话等形式宣布预警解除。</w:t>
      </w:r>
    </w:p>
    <w:p>
      <w:pPr>
        <w:pStyle w:val="19"/>
        <w:outlineLvl w:val="0"/>
        <w:rPr>
          <w:rFonts w:hint="default" w:ascii="Times New Roman" w:hAnsi="Times New Roman" w:eastAsia="仿宋" w:cs="Times New Roman"/>
          <w:sz w:val="36"/>
          <w:szCs w:val="36"/>
        </w:rPr>
      </w:pPr>
      <w:bookmarkStart w:id="287" w:name="_Toc20088"/>
      <w:r>
        <w:rPr>
          <w:rFonts w:hint="default" w:ascii="Times New Roman" w:hAnsi="Times New Roman" w:eastAsia="仿宋" w:cs="Times New Roman"/>
          <w:sz w:val="36"/>
          <w:szCs w:val="36"/>
        </w:rPr>
        <w:t>6. 应急处置</w:t>
      </w:r>
      <w:bookmarkEnd w:id="240"/>
      <w:bookmarkEnd w:id="241"/>
      <w:bookmarkEnd w:id="287"/>
    </w:p>
    <w:p>
      <w:pPr>
        <w:pStyle w:val="22"/>
        <w:ind w:left="0" w:leftChars="0"/>
        <w:outlineLvl w:val="1"/>
        <w:rPr>
          <w:rFonts w:hint="default" w:ascii="Times New Roman" w:hAnsi="Times New Roman" w:eastAsia="仿宋" w:cs="Times New Roman"/>
          <w:b/>
          <w:szCs w:val="28"/>
        </w:rPr>
      </w:pPr>
      <w:bookmarkStart w:id="288" w:name="_Toc4758"/>
      <w:bookmarkStart w:id="289" w:name="_Toc8723"/>
      <w:bookmarkStart w:id="290" w:name="_Toc6987"/>
      <w:bookmarkStart w:id="291" w:name="_Toc54050907"/>
      <w:bookmarkStart w:id="292" w:name="_Hlk525250112"/>
      <w:r>
        <w:rPr>
          <w:rFonts w:hint="default" w:ascii="Times New Roman" w:hAnsi="Times New Roman" w:eastAsia="仿宋" w:cs="Times New Roman"/>
          <w:b/>
          <w:szCs w:val="28"/>
        </w:rPr>
        <w:t>6.1 应急预案</w:t>
      </w:r>
      <w:bookmarkEnd w:id="288"/>
      <w:r>
        <w:rPr>
          <w:rFonts w:hint="default" w:ascii="Times New Roman" w:hAnsi="Times New Roman" w:eastAsia="仿宋" w:cs="Times New Roman"/>
          <w:b/>
          <w:szCs w:val="28"/>
        </w:rPr>
        <w:t>启动</w:t>
      </w:r>
      <w:bookmarkEnd w:id="289"/>
      <w:bookmarkEnd w:id="290"/>
      <w:bookmarkEnd w:id="291"/>
    </w:p>
    <w:bookmarkEnd w:id="292"/>
    <w:p>
      <w:pPr>
        <w:spacing w:line="360" w:lineRule="auto"/>
        <w:ind w:firstLine="560" w:firstLineChars="200"/>
        <w:rPr>
          <w:rFonts w:hint="default" w:ascii="Times New Roman" w:hAnsi="Times New Roman" w:eastAsia="仿宋" w:cs="Times New Roman"/>
          <w:sz w:val="28"/>
          <w:szCs w:val="28"/>
        </w:rPr>
      </w:pPr>
      <w:bookmarkStart w:id="293" w:name="_Toc18837"/>
      <w:r>
        <w:rPr>
          <w:rFonts w:hint="default" w:ascii="Times New Roman" w:hAnsi="Times New Roman" w:eastAsia="仿宋" w:cs="Times New Roman"/>
          <w:sz w:val="28"/>
          <w:szCs w:val="28"/>
        </w:rPr>
        <w:t>（1）社会级应急响应启动条件：</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t>社会级应急响应启动条件是现场发生了非常严重的紧急情况，事故超出了本公司的边界。火灾等导致的污染物扩散，以本公司现有的救援力量已经无法控制，需要由外部消防、医疗和社会的应急救援中心来支援。</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（2）企业级应急响应启动条件：</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t>企业级应急响应启动条件是事故限制在厂区范围内，通过厂区现有资源可以控制事故影响。</w:t>
      </w:r>
    </w:p>
    <w:p>
      <w:pPr>
        <w:pStyle w:val="22"/>
        <w:ind w:left="0" w:leftChars="0"/>
        <w:outlineLvl w:val="1"/>
        <w:rPr>
          <w:rFonts w:hint="default" w:ascii="Times New Roman" w:hAnsi="Times New Roman" w:eastAsia="仿宋" w:cs="Times New Roman"/>
          <w:b/>
          <w:szCs w:val="28"/>
        </w:rPr>
      </w:pPr>
      <w:bookmarkStart w:id="294" w:name="_Toc16883"/>
      <w:bookmarkStart w:id="295" w:name="_Toc54050908"/>
      <w:bookmarkStart w:id="296" w:name="_Toc24909"/>
      <w:r>
        <w:rPr>
          <w:rFonts w:hint="default" w:ascii="Times New Roman" w:hAnsi="Times New Roman" w:eastAsia="仿宋" w:cs="Times New Roman"/>
          <w:b/>
          <w:szCs w:val="28"/>
        </w:rPr>
        <w:t>6.2 信息报告</w:t>
      </w:r>
      <w:bookmarkEnd w:id="293"/>
      <w:bookmarkEnd w:id="294"/>
      <w:bookmarkEnd w:id="295"/>
      <w:bookmarkEnd w:id="296"/>
    </w:p>
    <w:p>
      <w:pPr>
        <w:pStyle w:val="4"/>
        <w:rPr>
          <w:rFonts w:hint="default" w:ascii="Times New Roman" w:hAnsi="Times New Roman" w:eastAsia="仿宋" w:cs="Times New Roman"/>
          <w:color w:val="000000" w:themeColor="text1"/>
          <w14:textFill>
            <w14:solidFill>
              <w14:schemeClr w14:val="tx1"/>
            </w14:solidFill>
          </w14:textFill>
        </w:rPr>
      </w:pPr>
      <w:bookmarkStart w:id="297" w:name="_Toc18969"/>
      <w:bookmarkStart w:id="298" w:name="_Toc57039897"/>
      <w:bookmarkStart w:id="299" w:name="_Toc54050909"/>
      <w:bookmarkStart w:id="300" w:name="_Toc57036138"/>
      <w:bookmarkStart w:id="301" w:name="_Toc27972"/>
      <w:r>
        <w:rPr>
          <w:rFonts w:hint="default" w:ascii="Times New Roman" w:hAnsi="Times New Roman" w:eastAsia="仿宋" w:cs="Times New Roman"/>
          <w:color w:val="000000" w:themeColor="text1"/>
          <w14:textFill>
            <w14:solidFill>
              <w14:schemeClr w14:val="tx1"/>
            </w14:solidFill>
          </w14:textFill>
        </w:rPr>
        <w:t>6.2.1 企业内部报告程序</w:t>
      </w:r>
      <w:bookmarkEnd w:id="297"/>
      <w:bookmarkEnd w:id="298"/>
      <w:bookmarkEnd w:id="299"/>
      <w:bookmarkEnd w:id="300"/>
      <w:bookmarkEnd w:id="301"/>
    </w:p>
    <w:p>
      <w:pPr>
        <w:spacing w:line="360" w:lineRule="auto"/>
        <w:ind w:firstLine="560" w:firstLineChars="200"/>
        <w:rPr>
          <w:rFonts w:hint="default" w:ascii="Times New Roman" w:hAnsi="Times New Roman" w:eastAsia="仿宋" w:cs="Times New Roman"/>
          <w:sz w:val="28"/>
          <w:szCs w:val="28"/>
        </w:rPr>
      </w:pPr>
      <w:bookmarkStart w:id="302" w:name="_Hlk525250129"/>
      <w:r>
        <w:rPr>
          <w:rFonts w:hint="default" w:ascii="Times New Roman" w:hAnsi="Times New Roman" w:eastAsia="仿宋" w:cs="Times New Roman"/>
          <w:sz w:val="28"/>
          <w:szCs w:val="28"/>
        </w:rPr>
        <w:t>（1）各班组发现异常、发现引发重大次生灾害隐患，要及时报告指挥中心办公室。指挥中心接到有关预警信息报告后，要及时准确记录、立即组织确认。指挥中心将信息确认结果及时向领导反馈，并将确认信息及时报协调领导组办公室进行核实、处理后，使用警笛和公共广播系统向企业人员通报应急情况，动员应急人员到岗，井提醒其他无关人员采取防护行动，转移到更安全的地方。</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（2）迅速将警戒区及危险区内与应急无关的人员撤高，以减少不必要的伤亡。</w:t>
      </w:r>
    </w:p>
    <w:p>
      <w:pPr>
        <w:pStyle w:val="4"/>
        <w:rPr>
          <w:rFonts w:hint="default" w:ascii="Times New Roman" w:hAnsi="Times New Roman" w:eastAsia="仿宋" w:cs="Times New Roman"/>
          <w:color w:val="000000" w:themeColor="text1"/>
          <w14:textFill>
            <w14:solidFill>
              <w14:schemeClr w14:val="tx1"/>
            </w14:solidFill>
          </w14:textFill>
        </w:rPr>
      </w:pPr>
      <w:bookmarkStart w:id="303" w:name="_Toc57039898"/>
      <w:bookmarkStart w:id="304" w:name="_Toc31075"/>
      <w:bookmarkStart w:id="305" w:name="_Toc54050910"/>
      <w:bookmarkStart w:id="306" w:name="_Toc57036139"/>
      <w:r>
        <w:rPr>
          <w:rFonts w:hint="default" w:ascii="Times New Roman" w:hAnsi="Times New Roman" w:eastAsia="仿宋" w:cs="Times New Roman"/>
          <w:color w:val="000000" w:themeColor="text1"/>
          <w14:textFill>
            <w14:solidFill>
              <w14:schemeClr w14:val="tx1"/>
            </w14:solidFill>
          </w14:textFill>
        </w:rPr>
        <w:t>6.2.2</w:t>
      </w:r>
      <w:r>
        <w:rPr>
          <w:rFonts w:hint="default" w:ascii="Times New Roman" w:hAnsi="Times New Roman" w:eastAsia="仿宋" w:cs="Times New Roman"/>
          <w:color w:val="000000" w:themeColor="text1"/>
          <w:lang w:val="en-US" w:eastAsia="zh-CN"/>
          <w14:textFill>
            <w14:solidFill>
              <w14:schemeClr w14:val="tx1"/>
            </w14:solidFill>
          </w14:textFill>
        </w:rPr>
        <w:t xml:space="preserve"> </w:t>
      </w:r>
      <w:r>
        <w:rPr>
          <w:rFonts w:hint="default" w:ascii="Times New Roman" w:hAnsi="Times New Roman" w:eastAsia="仿宋" w:cs="Times New Roman"/>
          <w:color w:val="000000" w:themeColor="text1"/>
          <w14:textFill>
            <w14:solidFill>
              <w14:schemeClr w14:val="tx1"/>
            </w14:solidFill>
          </w14:textFill>
        </w:rPr>
        <w:t>外部报告程序</w:t>
      </w:r>
      <w:bookmarkEnd w:id="303"/>
      <w:bookmarkEnd w:id="304"/>
      <w:bookmarkEnd w:id="305"/>
      <w:bookmarkEnd w:id="306"/>
    </w:p>
    <w:bookmarkEnd w:id="302"/>
    <w:p>
      <w:pPr>
        <w:spacing w:line="360" w:lineRule="auto"/>
        <w:ind w:firstLine="560" w:firstLineChars="200"/>
        <w:rPr>
          <w:rFonts w:hint="default" w:ascii="Times New Roman" w:hAnsi="Times New Roman" w:eastAsia="仿宋" w:cs="Times New Roman"/>
          <w:sz w:val="28"/>
          <w:szCs w:val="28"/>
        </w:rPr>
      </w:pPr>
      <w:bookmarkStart w:id="307" w:name="_Toc26707"/>
      <w:r>
        <w:rPr>
          <w:rFonts w:hint="default" w:ascii="Times New Roman" w:hAnsi="Times New Roman" w:eastAsia="仿宋" w:cs="Times New Roman"/>
          <w:sz w:val="28"/>
          <w:szCs w:val="28"/>
        </w:rPr>
        <w:t>应急救援指挥部应根据应急类型、发生事件和严重程度，依照法律、法规和相关规定1小时内向当地环保部门和上级主管部门通报事故情况。根据企业环境风险等级、地区主导风速风向及污染物排放强度、周围附近的居民集聚分布情况来看，附近最近的敏感点为黄家窑村、五陵故园、马家窑村等。警戒疏导组组长</w:t>
      </w:r>
      <w:r>
        <w:rPr>
          <w:rFonts w:hint="default" w:ascii="Times New Roman" w:hAnsi="Times New Roman" w:eastAsia="仿宋" w:cs="Times New Roman"/>
          <w:sz w:val="28"/>
          <w:szCs w:val="28"/>
          <w:lang w:val="en-US" w:eastAsia="zh-CN"/>
        </w:rPr>
        <w:t>马飞</w:t>
      </w:r>
      <w:r>
        <w:rPr>
          <w:rFonts w:hint="default" w:ascii="Times New Roman" w:hAnsi="Times New Roman" w:eastAsia="仿宋" w:cs="Times New Roman"/>
          <w:sz w:val="28"/>
          <w:szCs w:val="28"/>
        </w:rPr>
        <w:t>（</w:t>
      </w:r>
      <w:r>
        <w:rPr>
          <w:rFonts w:hint="default" w:ascii="Times New Roman" w:hAnsi="Times New Roman" w:eastAsia="仿宋" w:cs="Times New Roman"/>
          <w:sz w:val="28"/>
          <w:szCs w:val="28"/>
          <w:lang w:val="en-US" w:eastAsia="zh-CN"/>
        </w:rPr>
        <w:t>15389358985</w:t>
      </w:r>
      <w:r>
        <w:rPr>
          <w:rFonts w:hint="default" w:ascii="Times New Roman" w:hAnsi="Times New Roman" w:eastAsia="仿宋" w:cs="Times New Roman"/>
          <w:sz w:val="28"/>
          <w:szCs w:val="28"/>
        </w:rPr>
        <w:t>）及时以电话通知可能受到突发环境事件污染的群众，做好应急疏散准备，并强调在撤离过程中注意事项。企业外部应急救援通讯录见下表。</w:t>
      </w:r>
    </w:p>
    <w:p>
      <w:pPr>
        <w:spacing w:line="480" w:lineRule="exact"/>
        <w:ind w:firstLine="482" w:firstLineChars="200"/>
        <w:jc w:val="center"/>
        <w:rPr>
          <w:rFonts w:hint="default" w:ascii="Times New Roman" w:hAnsi="Times New Roman" w:eastAsia="仿宋" w:cs="Times New Roman"/>
          <w:b/>
          <w:bCs/>
          <w:sz w:val="24"/>
          <w:szCs w:val="24"/>
        </w:rPr>
      </w:pPr>
      <w:bookmarkStart w:id="308" w:name="_Toc12728"/>
      <w:bookmarkStart w:id="309" w:name="_Toc26125"/>
      <w:bookmarkStart w:id="310" w:name="_Toc17421"/>
      <w:bookmarkStart w:id="311" w:name="_Toc11194"/>
      <w:r>
        <w:rPr>
          <w:rFonts w:hint="default" w:ascii="Times New Roman" w:hAnsi="Times New Roman" w:eastAsia="仿宋" w:cs="Times New Roman"/>
          <w:b/>
          <w:bCs/>
          <w:sz w:val="24"/>
          <w:szCs w:val="24"/>
        </w:rPr>
        <w:t>表6.2-1企业外部应急救援通讯录</w:t>
      </w:r>
      <w:bookmarkEnd w:id="308"/>
      <w:bookmarkEnd w:id="309"/>
      <w:bookmarkEnd w:id="310"/>
      <w:bookmarkEnd w:id="311"/>
    </w:p>
    <w:tbl>
      <w:tblPr>
        <w:tblStyle w:val="28"/>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6"/>
        <w:gridCol w:w="4201"/>
        <w:gridCol w:w="2344"/>
        <w:gridCol w:w="9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9" w:hRule="atLeast"/>
        </w:trPr>
        <w:tc>
          <w:tcPr>
            <w:tcW w:w="578" w:type="pct"/>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序号</w:t>
            </w:r>
          </w:p>
        </w:tc>
        <w:tc>
          <w:tcPr>
            <w:tcW w:w="2464"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外部应急救援单位</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联系电话</w:t>
            </w:r>
          </w:p>
        </w:tc>
        <w:tc>
          <w:tcPr>
            <w:tcW w:w="581"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1</w:t>
            </w:r>
          </w:p>
        </w:tc>
        <w:tc>
          <w:tcPr>
            <w:tcW w:w="4201"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西咸新区</w:t>
            </w:r>
            <w:r>
              <w:rPr>
                <w:rFonts w:hint="default" w:ascii="Times New Roman" w:hAnsi="Times New Roman" w:eastAsia="仿宋" w:cs="Times New Roman"/>
                <w:sz w:val="24"/>
                <w:szCs w:val="24"/>
                <w:lang w:val="en-US" w:eastAsia="zh-CN"/>
              </w:rPr>
              <w:t>生态环境局</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029-33186000</w:t>
            </w:r>
          </w:p>
        </w:tc>
        <w:tc>
          <w:tcPr>
            <w:tcW w:w="581" w:type="pct"/>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2</w:t>
            </w:r>
          </w:p>
        </w:tc>
        <w:tc>
          <w:tcPr>
            <w:tcW w:w="4201"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秦汉新城</w:t>
            </w:r>
            <w:r>
              <w:rPr>
                <w:rFonts w:hint="default" w:ascii="Times New Roman" w:hAnsi="Times New Roman" w:eastAsia="仿宋" w:cs="Times New Roman"/>
                <w:sz w:val="24"/>
                <w:szCs w:val="24"/>
                <w:lang w:val="en-US" w:eastAsia="zh-CN"/>
              </w:rPr>
              <w:t>管委会办公室</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029-33185000</w:t>
            </w:r>
          </w:p>
        </w:tc>
        <w:tc>
          <w:tcPr>
            <w:tcW w:w="581" w:type="pct"/>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3</w:t>
            </w:r>
          </w:p>
        </w:tc>
        <w:tc>
          <w:tcPr>
            <w:tcW w:w="4201"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秦汉新城</w:t>
            </w:r>
            <w:r>
              <w:rPr>
                <w:rFonts w:hint="default" w:ascii="Times New Roman" w:hAnsi="Times New Roman" w:eastAsia="仿宋" w:cs="Times New Roman"/>
                <w:sz w:val="24"/>
                <w:szCs w:val="24"/>
                <w:lang w:val="en-US" w:eastAsia="zh-CN"/>
              </w:rPr>
              <w:t>生态环境局</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029-33185030</w:t>
            </w:r>
          </w:p>
        </w:tc>
        <w:tc>
          <w:tcPr>
            <w:tcW w:w="581"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4</w:t>
            </w:r>
          </w:p>
        </w:tc>
        <w:tc>
          <w:tcPr>
            <w:tcW w:w="4201"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秦汉新城消防大队</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029--33185703</w:t>
            </w:r>
          </w:p>
        </w:tc>
        <w:tc>
          <w:tcPr>
            <w:tcW w:w="581"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5</w:t>
            </w:r>
          </w:p>
        </w:tc>
        <w:tc>
          <w:tcPr>
            <w:tcW w:w="2464"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西咸新区公安局秦汉新城分局</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029-33185021</w:t>
            </w:r>
          </w:p>
        </w:tc>
        <w:tc>
          <w:tcPr>
            <w:tcW w:w="581"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6</w:t>
            </w:r>
          </w:p>
        </w:tc>
        <w:tc>
          <w:tcPr>
            <w:tcW w:w="2464"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西咸新区秦汉新城应急管理局</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029-33185321</w:t>
            </w:r>
          </w:p>
        </w:tc>
        <w:tc>
          <w:tcPr>
            <w:tcW w:w="581"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78"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7</w:t>
            </w:r>
          </w:p>
        </w:tc>
        <w:tc>
          <w:tcPr>
            <w:tcW w:w="2464"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咸阳市中心医院东郊分院</w:t>
            </w:r>
          </w:p>
        </w:tc>
        <w:tc>
          <w:tcPr>
            <w:tcW w:w="1375"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029-33253932</w:t>
            </w:r>
          </w:p>
        </w:tc>
        <w:tc>
          <w:tcPr>
            <w:tcW w:w="581" w:type="pct"/>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6" w:type="dxa"/>
            <w:vAlign w:val="center"/>
          </w:tcPr>
          <w:p>
            <w:pPr>
              <w:pStyle w:val="48"/>
              <w:ind w:left="292" w:leftChars="0" w:right="262" w:rightChars="0"/>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bidi="ar-SA"/>
              </w:rPr>
              <w:t>8</w:t>
            </w:r>
          </w:p>
        </w:tc>
        <w:tc>
          <w:tcPr>
            <w:tcW w:w="4201" w:type="dxa"/>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2"/>
                <w:sz w:val="24"/>
                <w:szCs w:val="24"/>
                <w:lang w:val="en-US" w:eastAsia="zh-CN" w:bidi="ar-SA"/>
              </w:rPr>
              <w:t>咸阳恒泰热处理技术有限公司</w:t>
            </w:r>
          </w:p>
        </w:tc>
        <w:tc>
          <w:tcPr>
            <w:tcW w:w="2344" w:type="dxa"/>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kern w:val="2"/>
                <w:sz w:val="24"/>
                <w:szCs w:val="24"/>
                <w:lang w:val="en-US" w:eastAsia="zh-CN" w:bidi="ar-SA"/>
              </w:rPr>
              <w:t>15229805903</w:t>
            </w:r>
          </w:p>
        </w:tc>
        <w:tc>
          <w:tcPr>
            <w:tcW w:w="991" w:type="dxa"/>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6" w:type="dxa"/>
            <w:vAlign w:val="center"/>
          </w:tcPr>
          <w:p>
            <w:pPr>
              <w:jc w:val="center"/>
              <w:rPr>
                <w:rFonts w:hint="default" w:ascii="Times New Roman" w:hAnsi="Times New Roman" w:eastAsia="仿宋" w:cs="Times New Roman"/>
                <w:sz w:val="24"/>
                <w:szCs w:val="24"/>
                <w:lang w:val="en-US" w:eastAsia="zh-CN"/>
              </w:rPr>
            </w:pPr>
            <w:bookmarkStart w:id="312" w:name="_Toc54050911"/>
            <w:bookmarkStart w:id="313" w:name="_Toc9987"/>
            <w:bookmarkStart w:id="314" w:name="_Toc57039899"/>
            <w:bookmarkStart w:id="315" w:name="_Toc57036140"/>
            <w:r>
              <w:rPr>
                <w:rFonts w:hint="eastAsia" w:ascii="Times New Roman" w:hAnsi="Times New Roman" w:eastAsia="仿宋" w:cs="Times New Roman"/>
                <w:sz w:val="24"/>
                <w:szCs w:val="24"/>
                <w:lang w:val="en-US" w:eastAsia="zh-CN"/>
              </w:rPr>
              <w:t>9</w:t>
            </w:r>
          </w:p>
        </w:tc>
        <w:tc>
          <w:tcPr>
            <w:tcW w:w="4201"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eastAsia="zh-CN"/>
              </w:rPr>
              <w:t>陕西山水秦韵家居有限公司</w:t>
            </w:r>
          </w:p>
        </w:tc>
        <w:tc>
          <w:tcPr>
            <w:tcW w:w="2344"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eastAsia="zh-CN"/>
              </w:rPr>
              <w:t>18106636789</w:t>
            </w:r>
          </w:p>
        </w:tc>
        <w:tc>
          <w:tcPr>
            <w:tcW w:w="991" w:type="dxa"/>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86" w:type="dxa"/>
            <w:vAlign w:val="center"/>
          </w:tcPr>
          <w:p>
            <w:pPr>
              <w:jc w:val="center"/>
              <w:rPr>
                <w:rFonts w:hint="default"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10</w:t>
            </w:r>
          </w:p>
        </w:tc>
        <w:tc>
          <w:tcPr>
            <w:tcW w:w="4201"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eastAsia="zh-CN"/>
              </w:rPr>
              <w:t>陕西雅尚斯家具有限公司</w:t>
            </w:r>
          </w:p>
        </w:tc>
        <w:tc>
          <w:tcPr>
            <w:tcW w:w="2344" w:type="dxa"/>
            <w:vAlign w:val="center"/>
          </w:tcPr>
          <w:p>
            <w:pPr>
              <w:jc w:val="center"/>
              <w:rPr>
                <w:rFonts w:hint="default" w:ascii="Times New Roman" w:hAnsi="Times New Roman" w:eastAsia="仿宋" w:cs="Times New Roman"/>
                <w:sz w:val="24"/>
                <w:szCs w:val="24"/>
                <w:lang w:val="en-US"/>
              </w:rPr>
            </w:pPr>
            <w:r>
              <w:rPr>
                <w:rFonts w:hint="default" w:ascii="Times New Roman" w:hAnsi="Times New Roman" w:eastAsia="仿宋" w:cs="Times New Roman"/>
                <w:sz w:val="24"/>
                <w:szCs w:val="24"/>
                <w:lang w:val="en-US" w:eastAsia="zh-CN"/>
              </w:rPr>
              <w:t>13700289111</w:t>
            </w:r>
          </w:p>
        </w:tc>
        <w:tc>
          <w:tcPr>
            <w:tcW w:w="991" w:type="dxa"/>
            <w:vAlign w:val="center"/>
          </w:tcPr>
          <w:p>
            <w:pPr>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rPr>
              <w:t>/</w:t>
            </w:r>
          </w:p>
        </w:tc>
      </w:tr>
    </w:tbl>
    <w:p>
      <w:pPr>
        <w:pStyle w:val="4"/>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6.2.3 事故报告内容</w:t>
      </w:r>
      <w:bookmarkEnd w:id="307"/>
      <w:bookmarkEnd w:id="312"/>
      <w:bookmarkEnd w:id="313"/>
      <w:bookmarkEnd w:id="314"/>
      <w:bookmarkEnd w:id="315"/>
    </w:p>
    <w:p>
      <w:pPr>
        <w:spacing w:line="360" w:lineRule="auto"/>
        <w:ind w:firstLine="560" w:firstLineChars="200"/>
        <w:rPr>
          <w:rFonts w:hint="default" w:ascii="Times New Roman" w:hAnsi="Times New Roman" w:eastAsia="仿宋" w:cs="Times New Roman"/>
          <w:sz w:val="28"/>
          <w:szCs w:val="28"/>
          <w:lang w:bidi="en-US"/>
        </w:rPr>
      </w:pPr>
      <w:bookmarkStart w:id="316" w:name="_Toc27350"/>
      <w:r>
        <w:rPr>
          <w:rFonts w:hint="default" w:ascii="Times New Roman" w:hAnsi="Times New Roman" w:eastAsia="仿宋" w:cs="Times New Roman"/>
          <w:sz w:val="28"/>
          <w:szCs w:val="28"/>
          <w:lang w:bidi="en-US"/>
        </w:rPr>
        <w:t>企业向环境主管部门报告环境污染事故时，主要内容包括：企业名称及详细地址、电话、环境事件的类型、发生时间、地点、污染源、排放污染物的种类，主要污染物质、数量、人员受害情况、已采取的应急措施、已污染的范围、潜在的危害程度、转化趋向，当地气象条件或水流情况、进一步处理措施和建议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报告采用书面报告，是在事件处理完毕后在确报的基础上，报告处理事故的措施、过程和结构，事故潜在或间接的危害，社会影响，处理后的遗留问题，参加处理工作的有关部门和工作内容，出具有关危害与损失的证明文件等详细情况。</w:t>
      </w:r>
    </w:p>
    <w:p>
      <w:pPr>
        <w:pStyle w:val="4"/>
        <w:rPr>
          <w:rFonts w:hint="default" w:ascii="Times New Roman" w:hAnsi="Times New Roman" w:eastAsia="仿宋" w:cs="Times New Roman"/>
          <w:color w:val="000000" w:themeColor="text1"/>
          <w14:textFill>
            <w14:solidFill>
              <w14:schemeClr w14:val="tx1"/>
            </w14:solidFill>
          </w14:textFill>
        </w:rPr>
      </w:pPr>
      <w:bookmarkStart w:id="317" w:name="_Toc54050912"/>
      <w:bookmarkStart w:id="318" w:name="_Toc57036141"/>
      <w:bookmarkStart w:id="319" w:name="_Toc57039900"/>
      <w:bookmarkStart w:id="320" w:name="_Toc29599"/>
      <w:r>
        <w:rPr>
          <w:rFonts w:hint="default" w:ascii="Times New Roman" w:hAnsi="Times New Roman" w:eastAsia="仿宋" w:cs="Times New Roman"/>
          <w:color w:val="000000" w:themeColor="text1"/>
          <w14:textFill>
            <w14:solidFill>
              <w14:schemeClr w14:val="tx1"/>
            </w14:solidFill>
          </w14:textFill>
        </w:rPr>
        <w:t>6.2.4 信息报告形式</w:t>
      </w:r>
      <w:bookmarkEnd w:id="317"/>
      <w:bookmarkEnd w:id="318"/>
      <w:bookmarkEnd w:id="319"/>
      <w:bookmarkEnd w:id="320"/>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信息报告分为速报、确报和处理结果报告三类。报告应采用适当方式，避免造成不利影响。</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（1）速报：</w:t>
      </w:r>
      <w:r>
        <w:rPr>
          <w:rFonts w:hint="default" w:ascii="Times New Roman" w:hAnsi="Times New Roman" w:eastAsia="仿宋" w:cs="Times New Roman"/>
          <w:sz w:val="28"/>
          <w:szCs w:val="28"/>
          <w:lang w:val="en-US" w:eastAsia="zh-CN" w:bidi="en-US"/>
        </w:rPr>
        <w:t>发生</w:t>
      </w:r>
      <w:r>
        <w:rPr>
          <w:rFonts w:hint="default" w:ascii="Times New Roman" w:hAnsi="Times New Roman" w:eastAsia="仿宋" w:cs="Times New Roman"/>
          <w:sz w:val="28"/>
          <w:szCs w:val="28"/>
          <w:lang w:bidi="en-US"/>
        </w:rPr>
        <w:t>事件后</w:t>
      </w:r>
      <w:r>
        <w:rPr>
          <w:rFonts w:hint="default" w:ascii="Times New Roman" w:hAnsi="Times New Roman" w:eastAsia="仿宋" w:cs="Times New Roman"/>
          <w:sz w:val="28"/>
          <w:szCs w:val="28"/>
          <w:lang w:val="en-US" w:eastAsia="zh-CN" w:bidi="en-US"/>
        </w:rPr>
        <w:t>立即</w:t>
      </w:r>
      <w:r>
        <w:rPr>
          <w:rFonts w:hint="default" w:ascii="Times New Roman" w:hAnsi="Times New Roman" w:eastAsia="仿宋" w:cs="Times New Roman"/>
          <w:sz w:val="28"/>
          <w:szCs w:val="28"/>
          <w:lang w:bidi="en-US"/>
        </w:rPr>
        <w:t>上报，报告形式可通过电话</w:t>
      </w:r>
      <w:r>
        <w:rPr>
          <w:rFonts w:hint="default" w:ascii="Times New Roman" w:hAnsi="Times New Roman" w:eastAsia="仿宋" w:cs="Times New Roman"/>
          <w:sz w:val="28"/>
          <w:szCs w:val="28"/>
          <w:lang w:eastAsia="zh-CN" w:bidi="en-US"/>
        </w:rPr>
        <w:t>，</w:t>
      </w:r>
      <w:r>
        <w:rPr>
          <w:rFonts w:hint="default" w:ascii="Times New Roman" w:hAnsi="Times New Roman" w:eastAsia="仿宋" w:cs="Times New Roman"/>
          <w:sz w:val="28"/>
          <w:szCs w:val="28"/>
          <w:lang w:bidi="en-US"/>
        </w:rPr>
        <w:t>必要时派人直接报告；报告内容包括：污染事件类型、发生时间、地点、污染源、主要污染物质等初步情况。</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（2）确报：从发现事件后起24小时内上报，报告形式可通过</w:t>
      </w:r>
      <w:r>
        <w:rPr>
          <w:rFonts w:hint="default" w:ascii="Times New Roman" w:hAnsi="Times New Roman" w:eastAsia="仿宋" w:cs="Times New Roman"/>
          <w:sz w:val="28"/>
          <w:szCs w:val="28"/>
          <w:lang w:val="en-US" w:eastAsia="zh-CN" w:bidi="en-US"/>
        </w:rPr>
        <w:t>文件等</w:t>
      </w:r>
      <w:r>
        <w:rPr>
          <w:rFonts w:hint="default" w:ascii="Times New Roman" w:hAnsi="Times New Roman" w:eastAsia="仿宋" w:cs="Times New Roman"/>
          <w:sz w:val="28"/>
          <w:szCs w:val="28"/>
          <w:lang w:bidi="en-US"/>
        </w:rPr>
        <w:t>书面</w:t>
      </w:r>
      <w:r>
        <w:rPr>
          <w:rFonts w:hint="default" w:ascii="Times New Roman" w:hAnsi="Times New Roman" w:eastAsia="仿宋" w:cs="Times New Roman"/>
          <w:sz w:val="28"/>
          <w:szCs w:val="28"/>
          <w:lang w:val="en-US" w:eastAsia="zh-CN" w:bidi="en-US"/>
        </w:rPr>
        <w:t>形式汇报</w:t>
      </w:r>
      <w:r>
        <w:rPr>
          <w:rFonts w:hint="default" w:ascii="Times New Roman" w:hAnsi="Times New Roman" w:eastAsia="仿宋" w:cs="Times New Roman"/>
          <w:sz w:val="28"/>
          <w:szCs w:val="28"/>
          <w:lang w:bidi="en-US"/>
        </w:rPr>
        <w:t>；报告内容包括：在速报的基础上报告有关确切数据和事故发生的原因、过程、进展情况及采取的应急措施等基本情况。</w:t>
      </w:r>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lang w:bidi="en-US"/>
        </w:rPr>
        <w:t>（3）处理结果报告：在事件处理完毕后立即采用书面形式上报，报告内容包括：在速报或确报的基础上，报告处理环境事件的措施、过程和结果，事件潜在或间接的危害、社会影响、处理后的遗留问题，参加处理的有关部门和工作内容，出具有关危害与损失的证明文件等详细情况。</w:t>
      </w:r>
    </w:p>
    <w:p>
      <w:pPr>
        <w:pStyle w:val="4"/>
        <w:rPr>
          <w:rFonts w:hint="default" w:ascii="Times New Roman" w:hAnsi="Times New Roman" w:eastAsia="仿宋" w:cs="Times New Roman"/>
          <w:color w:val="000000" w:themeColor="text1"/>
          <w14:textFill>
            <w14:solidFill>
              <w14:schemeClr w14:val="tx1"/>
            </w14:solidFill>
          </w14:textFill>
        </w:rPr>
      </w:pPr>
      <w:bookmarkStart w:id="321" w:name="_Toc27400"/>
      <w:bookmarkStart w:id="322" w:name="_Toc57039901"/>
      <w:bookmarkStart w:id="323" w:name="_Toc54050913"/>
      <w:bookmarkStart w:id="324" w:name="_Toc57036142"/>
      <w:r>
        <w:rPr>
          <w:rFonts w:hint="default" w:ascii="Times New Roman" w:hAnsi="Times New Roman" w:eastAsia="仿宋" w:cs="Times New Roman"/>
          <w:color w:val="000000" w:themeColor="text1"/>
          <w14:textFill>
            <w14:solidFill>
              <w14:schemeClr w14:val="tx1"/>
            </w14:solidFill>
          </w14:textFill>
        </w:rPr>
        <w:t xml:space="preserve">6.2.5 </w:t>
      </w:r>
      <w:bookmarkEnd w:id="316"/>
      <w:r>
        <w:rPr>
          <w:rFonts w:hint="default" w:ascii="Times New Roman" w:hAnsi="Times New Roman" w:eastAsia="仿宋" w:cs="Times New Roman"/>
          <w:color w:val="000000" w:themeColor="text1"/>
          <w14:textFill>
            <w14:solidFill>
              <w14:schemeClr w14:val="tx1"/>
            </w14:solidFill>
          </w14:textFill>
        </w:rPr>
        <w:t>通报受影响区域</w:t>
      </w:r>
      <w:bookmarkEnd w:id="321"/>
      <w:bookmarkEnd w:id="322"/>
      <w:bookmarkEnd w:id="323"/>
      <w:bookmarkEnd w:id="324"/>
    </w:p>
    <w:p>
      <w:pPr>
        <w:spacing w:line="360" w:lineRule="auto"/>
        <w:ind w:firstLine="560" w:firstLineChars="200"/>
        <w:rPr>
          <w:rFonts w:hint="default" w:ascii="Times New Roman" w:hAnsi="Times New Roman" w:eastAsia="仿宋" w:cs="Times New Roman"/>
          <w:bCs/>
          <w:sz w:val="28"/>
          <w:szCs w:val="28"/>
          <w:lang w:bidi="en-US"/>
        </w:rPr>
      </w:pPr>
      <w:bookmarkStart w:id="325" w:name="_Toc25646"/>
      <w:r>
        <w:rPr>
          <w:rFonts w:hint="default" w:ascii="Times New Roman" w:hAnsi="Times New Roman" w:eastAsia="仿宋" w:cs="Times New Roman"/>
          <w:bCs/>
          <w:sz w:val="28"/>
          <w:szCs w:val="28"/>
          <w:lang w:bidi="en-US"/>
        </w:rPr>
        <w:t>当污染事故超出企业自身应急处置能力或可能对周围环境构成威胁，应及时通报可能受到污染危害的单位和居民。</w:t>
      </w:r>
    </w:p>
    <w:p>
      <w:pPr>
        <w:spacing w:line="360" w:lineRule="auto"/>
        <w:ind w:firstLine="560" w:firstLineChars="200"/>
        <w:rPr>
          <w:rFonts w:hint="default" w:ascii="Times New Roman" w:hAnsi="Times New Roman" w:eastAsia="仿宋" w:cs="Times New Roman"/>
          <w:bCs/>
          <w:sz w:val="28"/>
          <w:szCs w:val="28"/>
          <w:lang w:bidi="en-US"/>
        </w:rPr>
      </w:pPr>
      <w:r>
        <w:rPr>
          <w:rFonts w:hint="default" w:ascii="Times New Roman" w:hAnsi="Times New Roman" w:eastAsia="仿宋" w:cs="Times New Roman"/>
          <w:bCs/>
          <w:sz w:val="28"/>
          <w:szCs w:val="28"/>
          <w:lang w:bidi="en-US"/>
        </w:rPr>
        <w:t>根据《中华人民共和国水污染防治法实施细则》和</w:t>
      </w:r>
      <w:r>
        <w:rPr>
          <w:rFonts w:hint="default" w:ascii="Times New Roman" w:hAnsi="Times New Roman" w:eastAsia="仿宋" w:cs="Times New Roman"/>
          <w:bCs/>
          <w:sz w:val="28"/>
          <w:szCs w:val="28"/>
          <w:lang w:val="en-US" w:eastAsia="zh-CN" w:bidi="en-US"/>
        </w:rPr>
        <w:t>新修订的</w:t>
      </w:r>
      <w:r>
        <w:rPr>
          <w:rFonts w:hint="default" w:ascii="Times New Roman" w:hAnsi="Times New Roman" w:eastAsia="仿宋" w:cs="Times New Roman"/>
          <w:bCs/>
          <w:sz w:val="28"/>
          <w:szCs w:val="28"/>
          <w:lang w:bidi="en-US"/>
        </w:rPr>
        <w:t>《中华人民共和国固体废物污染环境防治法》的规定，企业（事）业单位造成污染事故时，及时通报可能受到</w:t>
      </w:r>
      <w:r>
        <w:rPr>
          <w:rFonts w:hint="default" w:ascii="Times New Roman" w:hAnsi="Times New Roman" w:eastAsia="仿宋" w:cs="Times New Roman"/>
          <w:bCs/>
          <w:sz w:val="28"/>
          <w:szCs w:val="28"/>
          <w:lang w:val="en-US" w:eastAsia="zh-CN" w:bidi="en-US"/>
        </w:rPr>
        <w:t>污染/</w:t>
      </w:r>
      <w:r>
        <w:rPr>
          <w:rFonts w:hint="default" w:ascii="Times New Roman" w:hAnsi="Times New Roman" w:eastAsia="仿宋" w:cs="Times New Roman"/>
          <w:bCs/>
          <w:sz w:val="28"/>
          <w:szCs w:val="28"/>
          <w:lang w:bidi="en-US"/>
        </w:rPr>
        <w:t>危害的单位和居民。</w:t>
      </w:r>
    </w:p>
    <w:p>
      <w:pPr>
        <w:pStyle w:val="4"/>
        <w:rPr>
          <w:rFonts w:hint="default" w:ascii="Times New Roman" w:hAnsi="Times New Roman" w:eastAsia="仿宋" w:cs="Times New Roman"/>
          <w:color w:val="000000" w:themeColor="text1"/>
          <w14:textFill>
            <w14:solidFill>
              <w14:schemeClr w14:val="tx1"/>
            </w14:solidFill>
          </w14:textFill>
        </w:rPr>
      </w:pPr>
      <w:bookmarkStart w:id="326" w:name="_Toc54050914"/>
      <w:bookmarkStart w:id="327" w:name="_Toc5125"/>
      <w:bookmarkStart w:id="328" w:name="_Toc57039902"/>
      <w:bookmarkStart w:id="329" w:name="_Toc9909"/>
      <w:bookmarkStart w:id="330" w:name="_Toc57036143"/>
      <w:r>
        <w:rPr>
          <w:rFonts w:hint="default" w:ascii="Times New Roman" w:hAnsi="Times New Roman" w:eastAsia="仿宋" w:cs="Times New Roman"/>
          <w:color w:val="000000" w:themeColor="text1"/>
          <w14:textFill>
            <w14:solidFill>
              <w14:schemeClr w14:val="tx1"/>
            </w14:solidFill>
          </w14:textFill>
        </w:rPr>
        <w:t>6.2.6 24小时报警</w:t>
      </w:r>
      <w:bookmarkEnd w:id="326"/>
      <w:bookmarkEnd w:id="327"/>
      <w:bookmarkEnd w:id="328"/>
      <w:bookmarkEnd w:id="329"/>
      <w:bookmarkEnd w:id="330"/>
      <w:r>
        <w:rPr>
          <w:rFonts w:hint="default" w:ascii="Times New Roman" w:hAnsi="Times New Roman" w:eastAsia="仿宋" w:cs="Times New Roman"/>
          <w:color w:val="000000" w:themeColor="text1"/>
          <w14:textFill>
            <w14:solidFill>
              <w14:schemeClr w14:val="tx1"/>
            </w14:solidFill>
          </w14:textFill>
        </w:rPr>
        <w:t xml:space="preserve"> </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（1）24小时报警</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在灾害发生时，通讯报警也十分重要，有效的通讯网络可以使灾害现场及时与外界取得联系，使外界及时了解和掌握灾害的基本情况，进而采取措施，对灾区进行求助。此外，畅通的通讯还有利于协调方面的行动，使救灾过程有条不紊。</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（2）24小时有效的内</w:t>
      </w:r>
      <w:r>
        <w:rPr>
          <w:rFonts w:hint="default" w:ascii="Times New Roman" w:hAnsi="Times New Roman" w:eastAsia="仿宋" w:cs="Times New Roman"/>
          <w:bCs/>
          <w:sz w:val="28"/>
          <w:szCs w:val="32"/>
          <w:lang w:val="en-US" w:eastAsia="zh-CN" w:bidi="en-US"/>
        </w:rPr>
        <w:t>、</w:t>
      </w:r>
      <w:r>
        <w:rPr>
          <w:rFonts w:hint="default" w:ascii="Times New Roman" w:hAnsi="Times New Roman" w:eastAsia="仿宋" w:cs="Times New Roman"/>
          <w:bCs/>
          <w:sz w:val="28"/>
          <w:szCs w:val="32"/>
          <w:lang w:bidi="en-US"/>
        </w:rPr>
        <w:t>外部通讯联络</w:t>
      </w:r>
    </w:p>
    <w:p>
      <w:pPr>
        <w:spacing w:line="360" w:lineRule="auto"/>
        <w:ind w:firstLine="560" w:firstLineChars="200"/>
        <w:rPr>
          <w:rFonts w:hint="default" w:ascii="Times New Roman" w:hAnsi="Times New Roman" w:eastAsia="仿宋" w:cs="Times New Roman"/>
          <w:bCs/>
          <w:sz w:val="28"/>
          <w:szCs w:val="32"/>
          <w:lang w:bidi="en-US"/>
        </w:rPr>
      </w:pPr>
      <w:r>
        <w:rPr>
          <w:rFonts w:hint="default" w:ascii="Times New Roman" w:hAnsi="Times New Roman" w:eastAsia="仿宋" w:cs="Times New Roman"/>
          <w:bCs/>
          <w:sz w:val="28"/>
          <w:szCs w:val="32"/>
          <w:lang w:bidi="en-US"/>
        </w:rPr>
        <w:t>西咸新区秦汉新城突发环境事件应急管理局电话：</w:t>
      </w:r>
      <w:r>
        <w:rPr>
          <w:rFonts w:hint="default" w:ascii="Times New Roman" w:hAnsi="Times New Roman" w:eastAsia="仿宋" w:cs="Times New Roman"/>
          <w:bCs/>
          <w:sz w:val="28"/>
          <w:szCs w:val="32"/>
          <w:lang w:val="en-US" w:bidi="en-US"/>
        </w:rPr>
        <w:t>029-33185321</w:t>
      </w:r>
      <w:r>
        <w:rPr>
          <w:rFonts w:hint="default" w:ascii="Times New Roman" w:hAnsi="Times New Roman" w:eastAsia="仿宋" w:cs="Times New Roman"/>
          <w:bCs/>
          <w:sz w:val="28"/>
          <w:szCs w:val="32"/>
          <w:lang w:bidi="en-US"/>
        </w:rPr>
        <w:t>，应急值班电话24小时安排有人值班。其它部门联系电话，见企业</w:t>
      </w:r>
      <w:r>
        <w:rPr>
          <w:rFonts w:hint="default" w:ascii="Times New Roman" w:hAnsi="Times New Roman" w:eastAsia="仿宋" w:cs="Times New Roman"/>
          <w:bCs/>
          <w:sz w:val="28"/>
          <w:szCs w:val="32"/>
          <w:lang w:val="en-US" w:eastAsia="zh-CN" w:bidi="en-US"/>
        </w:rPr>
        <w:t>内、</w:t>
      </w:r>
      <w:r>
        <w:rPr>
          <w:rFonts w:hint="default" w:ascii="Times New Roman" w:hAnsi="Times New Roman" w:eastAsia="仿宋" w:cs="Times New Roman"/>
          <w:bCs/>
          <w:sz w:val="28"/>
          <w:szCs w:val="32"/>
          <w:lang w:bidi="en-US"/>
        </w:rPr>
        <w:t>外部应急救援通讯录。</w:t>
      </w:r>
    </w:p>
    <w:bookmarkEnd w:id="325"/>
    <w:p>
      <w:pPr>
        <w:pStyle w:val="22"/>
        <w:ind w:left="0" w:leftChars="0"/>
        <w:outlineLvl w:val="1"/>
        <w:rPr>
          <w:rFonts w:hint="default" w:ascii="Times New Roman" w:hAnsi="Times New Roman" w:eastAsia="仿宋" w:cs="Times New Roman"/>
          <w:b/>
          <w:szCs w:val="28"/>
        </w:rPr>
      </w:pPr>
      <w:bookmarkStart w:id="331" w:name="_Toc54050915"/>
      <w:bookmarkStart w:id="332" w:name="_Toc31592"/>
      <w:bookmarkStart w:id="333" w:name="_Toc13972"/>
      <w:bookmarkStart w:id="334" w:name="_Toc14902"/>
      <w:bookmarkStart w:id="335" w:name="_Toc29040"/>
      <w:r>
        <w:rPr>
          <w:rFonts w:hint="default" w:ascii="Times New Roman" w:hAnsi="Times New Roman" w:eastAsia="仿宋" w:cs="Times New Roman"/>
          <w:b/>
          <w:szCs w:val="28"/>
        </w:rPr>
        <w:t>6.3 分级响应</w:t>
      </w:r>
      <w:bookmarkEnd w:id="331"/>
      <w:bookmarkEnd w:id="332"/>
      <w:bookmarkEnd w:id="333"/>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bookmarkStart w:id="336" w:name="_Hlk525250176"/>
      <w:r>
        <w:rPr>
          <w:rFonts w:hint="default" w:ascii="Times New Roman" w:hAnsi="Times New Roman" w:eastAsia="仿宋" w:cs="Times New Roman"/>
          <w:bCs/>
          <w:color w:val="000000" w:themeColor="text1"/>
          <w:sz w:val="28"/>
          <w:szCs w:val="32"/>
          <w:lang w:bidi="en-US"/>
          <w14:textFill>
            <w14:solidFill>
              <w14:schemeClr w14:val="tx1"/>
            </w14:solidFill>
          </w14:textFill>
        </w:rPr>
        <w:t>针对突发环境事件的严重性、紧急程度、危害程度、影响范围、</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内部控制事态的能力以及需要调动的应急资源，将企业</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突发环境事件分为不同的等级。本预案根据公司突发环境事件分级，将应急响应分为两级：</w:t>
      </w:r>
    </w:p>
    <w:p>
      <w:pPr>
        <w:pStyle w:val="17"/>
        <w:spacing w:line="360" w:lineRule="auto"/>
        <w:ind w:firstLine="560" w:firstLineChars="200"/>
        <w:rPr>
          <w:rFonts w:hint="default" w:ascii="Times New Roman" w:hAnsi="Times New Roman" w:eastAsia="仿宋" w:cs="Times New Roman"/>
          <w:bCs/>
          <w:color w:val="000000" w:themeColor="text1"/>
          <w:kern w:val="2"/>
          <w:sz w:val="28"/>
          <w:szCs w:val="32"/>
          <w:lang w:bidi="en-US"/>
          <w14:textFill>
            <w14:solidFill>
              <w14:schemeClr w14:val="tx1"/>
            </w14:solidFill>
          </w14:textFill>
        </w:rPr>
      </w:pPr>
      <w:r>
        <w:rPr>
          <w:rFonts w:hint="default" w:ascii="Times New Roman" w:hAnsi="Times New Roman" w:eastAsia="仿宋" w:cs="Times New Roman"/>
          <w:bCs/>
          <w:color w:val="000000" w:themeColor="text1"/>
          <w:kern w:val="2"/>
          <w:sz w:val="28"/>
          <w:szCs w:val="32"/>
          <w:lang w:bidi="en-US"/>
          <w14:textFill>
            <w14:solidFill>
              <w14:schemeClr w14:val="tx1"/>
            </w14:solidFill>
          </w14:textFill>
        </w:rPr>
        <w:t>（1）社会级应急响应：指当发现废气处理设施故障时</w:t>
      </w:r>
      <w:r>
        <w:rPr>
          <w:rFonts w:hint="default" w:ascii="Times New Roman" w:hAnsi="Times New Roman" w:eastAsia="仿宋" w:cs="Times New Roman"/>
          <w:bCs/>
          <w:color w:val="000000" w:themeColor="text1"/>
          <w:sz w:val="28"/>
          <w:szCs w:val="32"/>
          <w:lang w:bidi="en-US"/>
          <w14:textFill>
            <w14:solidFill>
              <w14:schemeClr w14:val="tx1"/>
            </w14:solidFill>
          </w14:textFill>
        </w:rPr>
        <w:t>，实施社会级应急响应。社会级应急响应行动：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①发现人第一时间向</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指挥部报告，指挥部接到报告后，立即组织安排部署应急处置工作，应急救援专业队伍所有成员必须立即进入工作岗位。</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②指挥部应立即上报当地环保部门、消防安全等政府机构，请求应急救援工作。</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③对环境风险范围内居民、企事业单位员工进行疏散，必要时，立即通知撤离。</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（2）企业级应急响应：指公</w:t>
      </w:r>
      <w:r>
        <w:rPr>
          <w:rFonts w:hint="default" w:ascii="Times New Roman" w:hAnsi="Times New Roman" w:eastAsia="仿宋" w:cs="Times New Roman"/>
          <w:color w:val="000000" w:themeColor="text1"/>
          <w:kern w:val="0"/>
          <w:sz w:val="28"/>
          <w:szCs w:val="28"/>
          <w14:textFill>
            <w14:solidFill>
              <w14:schemeClr w14:val="tx1"/>
            </w14:solidFill>
          </w14:textFill>
        </w:rPr>
        <w:t>司应急指挥中心派员赴现场进行实际检查后，发现</w:t>
      </w:r>
      <w:r>
        <w:rPr>
          <w:rFonts w:hint="default" w:ascii="Times New Roman" w:hAnsi="Times New Roman" w:eastAsia="仿宋" w:cs="Times New Roman"/>
          <w:color w:val="000000" w:themeColor="text1"/>
          <w:kern w:val="0"/>
          <w:sz w:val="28"/>
          <w:szCs w:val="28"/>
          <w:lang w:val="en-US" w:eastAsia="zh-CN"/>
          <w14:textFill>
            <w14:solidFill>
              <w14:schemeClr w14:val="tx1"/>
            </w14:solidFill>
          </w14:textFill>
        </w:rPr>
        <w:t>存在不安全隐患</w:t>
      </w:r>
      <w:r>
        <w:rPr>
          <w:rFonts w:hint="default" w:ascii="Times New Roman" w:hAnsi="Times New Roman" w:eastAsia="仿宋" w:cs="Times New Roman"/>
          <w:color w:val="000000" w:themeColor="text1"/>
          <w:kern w:val="0"/>
          <w:sz w:val="28"/>
          <w:szCs w:val="28"/>
          <w14:textFill>
            <w14:solidFill>
              <w14:schemeClr w14:val="tx1"/>
            </w14:solidFill>
          </w14:textFill>
        </w:rPr>
        <w:t>且有可能引起火灾时，经初步评估并确认事件已超出本单位应急救援能力，需要借助外部救援时</w:t>
      </w:r>
      <w:r>
        <w:rPr>
          <w:rFonts w:hint="default" w:ascii="Times New Roman" w:hAnsi="Times New Roman" w:eastAsia="仿宋" w:cs="Times New Roman"/>
          <w:bCs/>
          <w:color w:val="000000" w:themeColor="text1"/>
          <w:sz w:val="28"/>
          <w:szCs w:val="32"/>
          <w:lang w:bidi="en-US"/>
          <w14:textFill>
            <w14:solidFill>
              <w14:schemeClr w14:val="tx1"/>
            </w14:solidFill>
          </w14:textFill>
        </w:rPr>
        <w:t>，实施企业级应急响应。企业级应急响应行动：</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①发现人第一时间向</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指挥部报告，指挥部接到报告后，立即组织安排部署应急处置工作，应急救援专业队伍所有成员必须立即进入工作岗位，总指挥行使权力，按照</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bCs/>
          <w:color w:val="000000" w:themeColor="text1"/>
          <w:sz w:val="28"/>
          <w:szCs w:val="32"/>
          <w:lang w:bidi="en-US"/>
          <w14:textFill>
            <w14:solidFill>
              <w14:schemeClr w14:val="tx1"/>
            </w14:solidFill>
          </w14:textFill>
        </w:rPr>
        <w:t>突发环境事件应急预案相应程序，全力组织污染现场的先期控制，根据需要做好人员和设备的准备工作；</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②指挥部应随时掌握事态发展情况，视污染发展趋势做好应急准备工作；</w:t>
      </w:r>
    </w:p>
    <w:p>
      <w:pPr>
        <w:spacing w:line="360" w:lineRule="auto"/>
        <w:ind w:firstLine="560" w:firstLineChars="200"/>
        <w:rPr>
          <w:rFonts w:hint="default" w:ascii="Times New Roman" w:hAnsi="Times New Roman" w:eastAsia="仿宋" w:cs="Times New Roman"/>
          <w:bCs/>
          <w:color w:val="000000" w:themeColor="text1"/>
          <w:sz w:val="28"/>
          <w:szCs w:val="32"/>
          <w:lang w:bidi="en-US"/>
          <w14:textFill>
            <w14:solidFill>
              <w14:schemeClr w14:val="tx1"/>
            </w14:solidFill>
          </w14:textFill>
        </w:rPr>
      </w:pPr>
      <w:r>
        <w:rPr>
          <w:rFonts w:hint="default" w:ascii="Times New Roman" w:hAnsi="Times New Roman" w:eastAsia="仿宋" w:cs="Times New Roman"/>
          <w:bCs/>
          <w:color w:val="000000" w:themeColor="text1"/>
          <w:sz w:val="28"/>
          <w:szCs w:val="32"/>
          <w:lang w:bidi="en-US"/>
          <w14:textFill>
            <w14:solidFill>
              <w14:schemeClr w14:val="tx1"/>
            </w14:solidFill>
          </w14:textFill>
        </w:rPr>
        <w:t>③在事件处理过程中，指挥部应立即上报当地环保部门、消防安全等政府机构，需要时，请求协助做好事故的应急工作。并根据现场监测结果做出判断，是否有必要对环境风险范围内居民、企事业单位员工进行疏散撤离，必要时，立即通知撤离。</w:t>
      </w:r>
    </w:p>
    <w:bookmarkEnd w:id="336"/>
    <w:p>
      <w:pPr>
        <w:pStyle w:val="22"/>
        <w:ind w:left="0" w:leftChars="0"/>
        <w:outlineLvl w:val="1"/>
        <w:rPr>
          <w:rFonts w:hint="default" w:ascii="Times New Roman" w:hAnsi="Times New Roman" w:eastAsia="仿宋" w:cs="Times New Roman"/>
          <w:b/>
          <w:szCs w:val="28"/>
        </w:rPr>
      </w:pPr>
      <w:bookmarkStart w:id="337" w:name="_Toc21703"/>
      <w:bookmarkStart w:id="338" w:name="_Toc54050916"/>
      <w:r>
        <w:rPr>
          <w:rFonts w:hint="default" w:ascii="Times New Roman" w:hAnsi="Times New Roman" w:eastAsia="仿宋" w:cs="Times New Roman"/>
          <w:b/>
          <w:szCs w:val="28"/>
        </w:rPr>
        <w:t>6.4 指挥与协调</w:t>
      </w:r>
      <w:bookmarkEnd w:id="334"/>
      <w:bookmarkEnd w:id="335"/>
      <w:bookmarkEnd w:id="337"/>
      <w:bookmarkEnd w:id="338"/>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bookmarkStart w:id="339" w:name="_Hlk525250193"/>
      <w:bookmarkStart w:id="340" w:name="_Toc2701"/>
      <w:r>
        <w:rPr>
          <w:rFonts w:hint="default" w:ascii="Times New Roman" w:hAnsi="Times New Roman" w:eastAsia="仿宋" w:cs="Times New Roman"/>
          <w:color w:val="000000" w:themeColor="text1"/>
          <w:sz w:val="28"/>
          <w:szCs w:val="28"/>
          <w14:textFill>
            <w14:solidFill>
              <w14:schemeClr w14:val="tx1"/>
            </w14:solidFill>
          </w14:textFill>
        </w:rPr>
        <w:t>（1）及时向上级报告环境污染事故的具体情况，必要时向有关单位发出增援请求，并向周边单位通报相关情况；</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（2）组织指挥救援队伍实施救援行动，负责人员、资源配置，应急队伍的调动；</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（3）协调事故现场有关工作，配合政府部门对环境进行恢复，事故调查，经验教训总结。</w:t>
      </w:r>
      <w:bookmarkEnd w:id="339"/>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1）预警行动启动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应急预案启动后，指挥中心成员未经批准不得外出，领导组成员不在或者有特殊情况时，按职务高低递补。指挥中心办公室进入紧急状态，密切监视事故动态，保持联系，注意异常情况，提出分析意见，并随时报告事故发生的变化。</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（2）在应急期，指挥中心根据情况部署应急预案的实施工作，对应急活动中发生的争议采取紧急处理措施。</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（3）在发生火灾时，工作面人员要立即佩戴救生设备，按照避灾路线迅速撤离。</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（4）指挥中心组织，督促</w:t>
      </w:r>
      <w:r>
        <w:rPr>
          <w:rFonts w:hint="default" w:ascii="Times New Roman" w:hAnsi="Times New Roman" w:eastAsia="仿宋" w:cs="Times New Roman"/>
          <w:sz w:val="28"/>
          <w:szCs w:val="28"/>
          <w:lang w:val="en-US" w:eastAsia="zh-CN"/>
        </w:rPr>
        <w:t>人员</w:t>
      </w:r>
      <w:r>
        <w:rPr>
          <w:rFonts w:hint="default" w:ascii="Times New Roman" w:hAnsi="Times New Roman" w:eastAsia="仿宋" w:cs="Times New Roman"/>
          <w:sz w:val="28"/>
          <w:szCs w:val="28"/>
        </w:rPr>
        <w:t>采取紧急排查与防护，对重要危险源或物品实行关、停、并、转措施，</w:t>
      </w:r>
      <w:r>
        <w:rPr>
          <w:rFonts w:hint="default" w:ascii="Times New Roman" w:hAnsi="Times New Roman" w:eastAsia="仿宋" w:cs="Times New Roman"/>
          <w:sz w:val="28"/>
          <w:szCs w:val="28"/>
          <w:lang w:val="en-US" w:eastAsia="zh-CN"/>
        </w:rPr>
        <w:t>警戒疏散组</w:t>
      </w:r>
      <w:r>
        <w:rPr>
          <w:rFonts w:hint="default" w:ascii="Times New Roman" w:hAnsi="Times New Roman" w:eastAsia="仿宋" w:cs="Times New Roman"/>
          <w:sz w:val="28"/>
          <w:szCs w:val="28"/>
        </w:rPr>
        <w:t>维护现场治安。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（5）指挥中心负责组织督促、检查各部门抢险救灾的准备工作。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（6）指挥中心负责督促有关部门对救灾物资的供给和对需救助对象的统计调查，确保无任何漏洞。</w:t>
      </w:r>
    </w:p>
    <w:p>
      <w:pPr>
        <w:spacing w:line="360" w:lineRule="auto"/>
        <w:ind w:firstLine="562" w:firstLineChars="200"/>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 xml:space="preserve">2）预警信息收集与确认  </w:t>
      </w:r>
      <w:r>
        <w:rPr>
          <w:rFonts w:hint="default" w:ascii="Times New Roman" w:hAnsi="Times New Roman" w:eastAsia="仿宋" w:cs="Times New Roman"/>
          <w:sz w:val="28"/>
          <w:szCs w:val="28"/>
        </w:rPr>
        <w:t xml:space="preserve"> </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（1）各单位发现前兆异常、发现引发重大次生灾害隐患，要及时报告指挥中心办公室。</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（2）指挥中心接到有关预警信息报告后，要及时准确记录，立即组织确认。</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（3）指挥中心将信息确认结果及时向领导反馈，并将确认信息及时报协调领导组办公室进行核实、处理。</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3）人员疏散</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在应急期，指挥中心应根据实际情况，向预报人员提出避开撤离的劝告，情况紧急时，应有组织地进行疏散，根据灾情发展和周围工程设施情况，指挥中心办公室发布通知，必要时组织疏散（疏散地点选择在空旷的地点如：办公楼前，迅速将警戒区及危险区内与应急无关的人员撤离，以减少不必要的伤亡。</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4）建立警戒区域</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事故发生后，应根据事故发生的情况及所涉及的范围建立警戒区。建立警戒区域时应该注意：除救护、应急人员和必须坚守岗位的人员外，其他人员禁止进入警戒区。</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5）物资设备调用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在应急期，指挥中心有权在本行政区域内紧急调用物资、设备、人员和占用场地，任何组织或者个人都不得阻拦；调用物资、设备或者占用场地的，事后应及时归还或者给予补偿。</w:t>
      </w:r>
    </w:p>
    <w:p>
      <w:pPr>
        <w:spacing w:line="360" w:lineRule="auto"/>
        <w:ind w:firstLine="562" w:firstLineChars="200"/>
        <w:rPr>
          <w:rFonts w:hint="default" w:ascii="Times New Roman" w:hAnsi="Times New Roman" w:eastAsia="仿宋" w:cs="Times New Roman"/>
          <w:b/>
          <w:sz w:val="28"/>
          <w:szCs w:val="28"/>
        </w:rPr>
      </w:pPr>
      <w:r>
        <w:rPr>
          <w:rFonts w:hint="default" w:ascii="Times New Roman" w:hAnsi="Times New Roman" w:eastAsia="仿宋" w:cs="Times New Roman"/>
          <w:b/>
          <w:sz w:val="28"/>
          <w:szCs w:val="28"/>
        </w:rPr>
        <w:t>6）协调交接</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事故发生后，应急指挥中心成员应立即到达指挥中心（如指挥中心遭受破坏应在指定地点集合），并检查、督促、指导各单位做好有关工作，事故单位应启动相应的应急措施。</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（1）召开指挥中心和有关部门领导参加的紧急会议，听取指挥中心办公室有关灾情的汇报和政府有关救灾的指示。</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（2）部署处置工作，落实指挥各部门的任务。</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（3）指挥中心办公室要分类、核实、汇总灾情，确定并紧急调动救援队伍，调拨救援物资，酌情向其他部门提出协助呼吁。并配合部署实施救灾工作</w:t>
      </w:r>
      <w:r>
        <w:rPr>
          <w:rFonts w:hint="default" w:ascii="Times New Roman" w:hAnsi="Times New Roman" w:eastAsia="仿宋" w:cs="Times New Roman"/>
          <w:sz w:val="28"/>
          <w:szCs w:val="28"/>
          <w:lang w:eastAsia="zh-CN"/>
        </w:rPr>
        <w:t>，</w:t>
      </w:r>
      <w:r>
        <w:rPr>
          <w:rFonts w:hint="default" w:ascii="Times New Roman" w:hAnsi="Times New Roman" w:eastAsia="仿宋" w:cs="Times New Roman"/>
          <w:sz w:val="28"/>
          <w:szCs w:val="28"/>
        </w:rPr>
        <w:t>建立应急保障数据库。</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通知院内所有科室和各应急小组迅速组织救灾，维持治安、抢救伤员、安定民心，协调电力部门尽快恢复破坏的电力设施和电力调度通信系统功能等，保障电力供应；尽快组织人员恢复被毁坏的道路及其他有关设施，保证抢险救灾车辆、人员顺利通过和受灾人员的疏散。</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5）各应急工作组迅速召集各小组救援人员，根据指挥中心调度，准备救援工具、机械等，开始巡查，做好资金、物资的准备工作，紧急调运粮食，食品和救济物品、物资，搭建临时住所，保证职工生活必需品的供应和受灾人员的安置。保证职工生命财产安全。</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（6）组织事后调查，总结经验教训，对应急成效显著的单位和个人给予表彰或奖励，对影响或破坏应急工作的给予处分、处罚。</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sz w:val="28"/>
          <w:szCs w:val="28"/>
        </w:rPr>
        <w:t>（7）事故发生时，事故单位应结合实际启动各自应急措施，积极开展救灾工作；</w:t>
      </w:r>
      <w:r>
        <w:rPr>
          <w:rFonts w:hint="default" w:ascii="Times New Roman" w:hAnsi="Times New Roman" w:eastAsia="仿宋" w:cs="Times New Roman"/>
          <w:bCs/>
          <w:sz w:val="28"/>
          <w:szCs w:val="28"/>
        </w:rPr>
        <w:t>事故突然发生时，各单位和全体员工本着人身“安全第一”的原则处理突发性事故，应根据现场实际情况，采取相应的措施，切记不可随便进行停送电等操作，防止因电短路引起火灾。对易于发生次生灾害的地点和设施要采取紧急处置措施，并加强监视、控制，防止灾害扩大。并会同指挥中心办公室、财务处等有关单位和部门，对定害损失作出评估。</w:t>
      </w:r>
    </w:p>
    <w:p>
      <w:pPr>
        <w:spacing w:line="360" w:lineRule="auto"/>
        <w:ind w:firstLine="560" w:firstLineChars="200"/>
        <w:rPr>
          <w:rFonts w:hint="default" w:ascii="Times New Roman" w:hAnsi="Times New Roman" w:eastAsia="仿宋" w:cs="Times New Roman"/>
          <w:bCs/>
          <w:sz w:val="28"/>
          <w:szCs w:val="28"/>
        </w:rPr>
      </w:pPr>
      <w:r>
        <w:rPr>
          <w:rFonts w:hint="default" w:ascii="Times New Roman" w:hAnsi="Times New Roman" w:eastAsia="仿宋" w:cs="Times New Roman"/>
          <w:bCs/>
          <w:sz w:val="28"/>
          <w:szCs w:val="28"/>
        </w:rPr>
        <w:t>8）指挥中心办公实事求是地向</w:t>
      </w:r>
      <w:r>
        <w:rPr>
          <w:rFonts w:hint="default" w:ascii="Times New Roman" w:hAnsi="Times New Roman" w:eastAsia="仿宋" w:cs="Times New Roman"/>
          <w:bCs/>
          <w:sz w:val="28"/>
          <w:szCs w:val="28"/>
          <w:lang w:val="en-US" w:eastAsia="zh-CN"/>
        </w:rPr>
        <w:t>政府和</w:t>
      </w:r>
      <w:r>
        <w:rPr>
          <w:rFonts w:hint="default" w:ascii="Times New Roman" w:hAnsi="Times New Roman" w:eastAsia="仿宋" w:cs="Times New Roman"/>
          <w:bCs/>
          <w:sz w:val="28"/>
          <w:szCs w:val="28"/>
        </w:rPr>
        <w:t>公众发布灾情等有关信息。</w:t>
      </w:r>
    </w:p>
    <w:bookmarkEnd w:id="340"/>
    <w:p>
      <w:pPr>
        <w:pStyle w:val="22"/>
        <w:ind w:left="0" w:leftChars="0"/>
        <w:outlineLvl w:val="1"/>
        <w:rPr>
          <w:rFonts w:hint="default" w:ascii="Times New Roman" w:hAnsi="Times New Roman" w:eastAsia="仿宋" w:cs="Times New Roman"/>
          <w:b/>
          <w:szCs w:val="28"/>
        </w:rPr>
      </w:pPr>
      <w:bookmarkStart w:id="341" w:name="_Toc54050917"/>
      <w:bookmarkStart w:id="342" w:name="_Toc3385"/>
      <w:bookmarkStart w:id="343" w:name="_Toc11126"/>
      <w:r>
        <w:rPr>
          <w:rFonts w:hint="default" w:ascii="Times New Roman" w:hAnsi="Times New Roman" w:eastAsia="仿宋" w:cs="Times New Roman"/>
          <w:b/>
          <w:szCs w:val="28"/>
        </w:rPr>
        <w:t>6.5污染事故现场应急处置一般办法</w:t>
      </w:r>
      <w:bookmarkEnd w:id="341"/>
      <w:bookmarkEnd w:id="342"/>
    </w:p>
    <w:p>
      <w:pPr>
        <w:pStyle w:val="4"/>
        <w:rPr>
          <w:rFonts w:hint="default" w:ascii="Times New Roman" w:hAnsi="Times New Roman" w:eastAsia="仿宋" w:cs="Times New Roman"/>
          <w:color w:val="000000" w:themeColor="text1"/>
          <w14:textFill>
            <w14:solidFill>
              <w14:schemeClr w14:val="tx1"/>
            </w14:solidFill>
          </w14:textFill>
        </w:rPr>
      </w:pPr>
      <w:bookmarkStart w:id="344" w:name="_Toc21682"/>
      <w:bookmarkStart w:id="345" w:name="_Toc54050918"/>
      <w:bookmarkStart w:id="346" w:name="_Toc57039906"/>
      <w:bookmarkStart w:id="347" w:name="_Toc31921"/>
      <w:bookmarkStart w:id="348" w:name="_Toc57036147"/>
      <w:bookmarkStart w:id="349" w:name="_Hlk525250223"/>
      <w:r>
        <w:rPr>
          <w:rFonts w:hint="default" w:ascii="Times New Roman" w:hAnsi="Times New Roman" w:eastAsia="仿宋" w:cs="Times New Roman"/>
          <w:color w:val="000000" w:themeColor="text1"/>
          <w14:textFill>
            <w14:solidFill>
              <w14:schemeClr w14:val="tx1"/>
            </w14:solidFill>
          </w14:textFill>
        </w:rPr>
        <w:t>6.5.1 事故处置</w:t>
      </w:r>
      <w:bookmarkEnd w:id="344"/>
      <w:r>
        <w:rPr>
          <w:rFonts w:hint="default" w:ascii="Times New Roman" w:hAnsi="Times New Roman" w:eastAsia="仿宋" w:cs="Times New Roman"/>
          <w:color w:val="000000" w:themeColor="text1"/>
          <w14:textFill>
            <w14:solidFill>
              <w14:schemeClr w14:val="tx1"/>
            </w14:solidFill>
          </w14:textFill>
        </w:rPr>
        <w:t>原则</w:t>
      </w:r>
      <w:bookmarkEnd w:id="345"/>
      <w:bookmarkEnd w:id="346"/>
      <w:bookmarkEnd w:id="347"/>
      <w:bookmarkEnd w:id="348"/>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（1）在发生突发环境事件时，应立即停止生产或切断污染源，做好源头控制。</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（2）对突发情况下收集的废水以及火灾事故中收集的消防水应做好收集、储存以及隔离措施，避免发生二次污染；不得通过人为稀释后排放至外环境，应委托有资质单位按照危险废弃物委外处理。</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（3）对于应急处置过程中产生的危险废弃物，按照危险废弃物目录分类存放，存放条件满足危险废弃物储存要求；委托有资质单位处置；严禁混入生活垃圾或私自处置。做好台账登记、转移联单记录</w:t>
      </w:r>
      <w:bookmarkEnd w:id="349"/>
      <w:r>
        <w:rPr>
          <w:rFonts w:hint="default" w:ascii="Times New Roman" w:hAnsi="Times New Roman" w:eastAsia="仿宋" w:cs="Times New Roman"/>
          <w:color w:val="000000" w:themeColor="text1"/>
          <w:sz w:val="28"/>
          <w:szCs w:val="28"/>
          <w14:textFill>
            <w14:solidFill>
              <w14:schemeClr w14:val="tx1"/>
            </w14:solidFill>
          </w14:textFill>
        </w:rPr>
        <w:t>。</w:t>
      </w:r>
    </w:p>
    <w:p>
      <w:pPr>
        <w:pStyle w:val="4"/>
        <w:rPr>
          <w:rFonts w:hint="default" w:ascii="Times New Roman" w:hAnsi="Times New Roman" w:eastAsia="仿宋" w:cs="Times New Roman"/>
          <w:color w:val="000000" w:themeColor="text1"/>
          <w14:textFill>
            <w14:solidFill>
              <w14:schemeClr w14:val="tx1"/>
            </w14:solidFill>
          </w14:textFill>
        </w:rPr>
      </w:pPr>
      <w:bookmarkStart w:id="350" w:name="_Toc57036148"/>
      <w:bookmarkStart w:id="351" w:name="_Toc57039907"/>
      <w:bookmarkStart w:id="352" w:name="_Toc54050919"/>
      <w:bookmarkStart w:id="353" w:name="_Toc11793"/>
      <w:r>
        <w:rPr>
          <w:rFonts w:hint="default" w:ascii="Times New Roman" w:hAnsi="Times New Roman" w:eastAsia="仿宋" w:cs="Times New Roman"/>
          <w:color w:val="000000" w:themeColor="text1"/>
          <w14:textFill>
            <w14:solidFill>
              <w14:schemeClr w14:val="tx1"/>
            </w14:solidFill>
          </w14:textFill>
        </w:rPr>
        <w:t>6.5.2 具体应急处置措施</w:t>
      </w:r>
      <w:bookmarkEnd w:id="350"/>
      <w:bookmarkEnd w:id="351"/>
      <w:bookmarkEnd w:id="352"/>
      <w:bookmarkEnd w:id="353"/>
    </w:p>
    <w:p>
      <w:pPr>
        <w:spacing w:line="360" w:lineRule="auto"/>
        <w:ind w:firstLine="555"/>
        <w:rPr>
          <w:rFonts w:hint="default" w:ascii="Times New Roman" w:hAnsi="Times New Roman" w:eastAsia="仿宋" w:cs="Times New Roman"/>
          <w:b/>
          <w:color w:val="000000" w:themeColor="text1"/>
          <w:sz w:val="28"/>
          <w:szCs w:val="28"/>
          <w14:textFill>
            <w14:solidFill>
              <w14:schemeClr w14:val="tx1"/>
            </w14:solidFill>
          </w14:textFill>
        </w:rPr>
      </w:pPr>
      <w:bookmarkStart w:id="354" w:name="_Hlk525250738"/>
      <w:r>
        <w:rPr>
          <w:rFonts w:hint="default" w:ascii="Times New Roman" w:hAnsi="Times New Roman" w:eastAsia="仿宋" w:cs="Times New Roman"/>
          <w:b/>
          <w:color w:val="000000" w:themeColor="text1"/>
          <w:sz w:val="28"/>
          <w:szCs w:val="28"/>
          <w:lang w:bidi="en-US"/>
          <w14:textFill>
            <w14:solidFill>
              <w14:schemeClr w14:val="tx1"/>
            </w14:solidFill>
          </w14:textFill>
        </w:rPr>
        <w:t>（1）</w:t>
      </w:r>
      <w:r>
        <w:rPr>
          <w:rFonts w:hint="default" w:ascii="Times New Roman" w:hAnsi="Times New Roman" w:eastAsia="仿宋" w:cs="Times New Roman"/>
          <w:b/>
          <w:color w:val="000000" w:themeColor="text1"/>
          <w:sz w:val="28"/>
          <w:szCs w:val="28"/>
          <w14:textFill>
            <w14:solidFill>
              <w14:schemeClr w14:val="tx1"/>
            </w14:solidFill>
          </w14:textFill>
        </w:rPr>
        <w:t>火灾事故现场处置</w:t>
      </w:r>
    </w:p>
    <w:p>
      <w:pPr>
        <w:autoSpaceDE w:val="0"/>
        <w:autoSpaceDN w:val="0"/>
        <w:adjustRightInd w:val="0"/>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①发现人员确认起火地点或位置；按报告程序报警；就地使用现场与附近灭火器扑救；污染处置组赶赴现场后，转移重要物资、资料或易燃、可燃物资，保持消防救援通道畅通；</w:t>
      </w:r>
    </w:p>
    <w:p>
      <w:pPr>
        <w:autoSpaceDE w:val="0"/>
        <w:autoSpaceDN w:val="0"/>
        <w:adjustRightInd w:val="0"/>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②火势较小时就地使用灭火器材灭火，工作人员可集中周边移动灭火器协同扑救；遇大火可用雾状水灭火。</w:t>
      </w:r>
    </w:p>
    <w:p>
      <w:pPr>
        <w:autoSpaceDE w:val="0"/>
        <w:autoSpaceDN w:val="0"/>
        <w:adjustRightInd w:val="0"/>
        <w:spacing w:line="360" w:lineRule="auto"/>
        <w:ind w:firstLine="560" w:firstLineChars="200"/>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③火势威胁工艺设备和建筑物时，污染处置组组织人员采取冷却降温的措施，启动就近灭火系统，敷设水带、消防水枪，实施灭火措施；</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④通讯联络组及时致电火灾爆炸报警。</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报警后，警戒疏散组迅速指派人员在主要路口引导外来应急车辆。</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⑤消防人员到达公司后，应急现场指挥部调动公司力量积极配合应急工作。</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⑥警戒疏散组人员指挥公司所有非应急人员按照预定的路线撤离至指定的安全区域。到达安全区域的非应急人员未经许可不得擅自进入灭火现场。</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⑦在灭火过程中，扑救人员应</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采取相应的安全措施保障自身安全</w:t>
      </w:r>
      <w:r>
        <w:rPr>
          <w:rFonts w:hint="default" w:ascii="Times New Roman" w:hAnsi="Times New Roman" w:eastAsia="仿宋" w:cs="Times New Roman"/>
          <w:color w:val="000000" w:themeColor="text1"/>
          <w:sz w:val="28"/>
          <w:szCs w:val="28"/>
          <w14:textFill>
            <w14:solidFill>
              <w14:schemeClr w14:val="tx1"/>
            </w14:solidFill>
          </w14:textFill>
        </w:rPr>
        <w:t>。</w:t>
      </w:r>
    </w:p>
    <w:p>
      <w:pPr>
        <w:pStyle w:val="41"/>
        <w:spacing w:line="360" w:lineRule="auto"/>
        <w:rPr>
          <w:rFonts w:hint="default" w:ascii="Times New Roman" w:hAnsi="Times New Roman" w:eastAsia="仿宋" w:cs="Times New Roman"/>
          <w:b/>
          <w:color w:val="000000" w:themeColor="text1"/>
          <w:sz w:val="28"/>
          <w:szCs w:val="28"/>
          <w14:textFill>
            <w14:solidFill>
              <w14:schemeClr w14:val="tx1"/>
            </w14:solidFill>
          </w14:textFill>
        </w:rPr>
      </w:pPr>
      <w:r>
        <w:rPr>
          <w:rFonts w:hint="default" w:ascii="Times New Roman" w:hAnsi="Times New Roman" w:eastAsia="仿宋" w:cs="Times New Roman"/>
          <w:b/>
          <w:color w:val="000000" w:themeColor="text1"/>
          <w:sz w:val="28"/>
          <w:szCs w:val="28"/>
          <w14:textFill>
            <w14:solidFill>
              <w14:schemeClr w14:val="tx1"/>
            </w14:solidFill>
          </w14:textFill>
        </w:rPr>
        <w:t>（3）粉尘</w:t>
      </w:r>
      <w:r>
        <w:rPr>
          <w:rFonts w:hint="default" w:ascii="Times New Roman" w:hAnsi="Times New Roman" w:cs="Times New Roman"/>
          <w:b/>
          <w:color w:val="000000" w:themeColor="text1"/>
          <w:sz w:val="28"/>
          <w:szCs w:val="28"/>
          <w:lang w:val="en-US" w:eastAsia="zh-CN"/>
          <w14:textFill>
            <w14:solidFill>
              <w14:schemeClr w14:val="tx1"/>
            </w14:solidFill>
          </w14:textFill>
        </w:rPr>
        <w:t>等</w:t>
      </w:r>
      <w:r>
        <w:rPr>
          <w:rFonts w:hint="default" w:ascii="Times New Roman" w:hAnsi="Times New Roman" w:eastAsia="仿宋" w:cs="Times New Roman"/>
          <w:b/>
          <w:color w:val="000000" w:themeColor="text1"/>
          <w:sz w:val="28"/>
          <w:szCs w:val="28"/>
          <w14:textFill>
            <w14:solidFill>
              <w14:schemeClr w14:val="tx1"/>
            </w14:solidFill>
          </w14:textFill>
        </w:rPr>
        <w:t>处理设施发生故障现场处置</w:t>
      </w:r>
    </w:p>
    <w:p>
      <w:pPr>
        <w:adjustRightInd w:val="0"/>
        <w:snapToGrid w:val="0"/>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① 应急值班人员接到空气污染报告（包括颗粒物监测超标报告、周边居民或者厂内员工投诉空气污染报告等）时，应立即向公司应急指挥部负责人汇报。</w:t>
      </w:r>
    </w:p>
    <w:p>
      <w:pPr>
        <w:adjustRightInd w:val="0"/>
        <w:snapToGrid w:val="0"/>
        <w:spacing w:line="360" w:lineRule="auto"/>
        <w:ind w:firstLine="565" w:firstLineChars="202"/>
        <w:rPr>
          <w:rFonts w:hint="default" w:ascii="Times New Roman" w:hAnsi="Times New Roman" w:eastAsia="仿宋" w:cs="Times New Roman"/>
          <w:b/>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② 根据属地管理，对应粉尘处理设施的生产线出现问题，当班的负责人第一时间到达现场，停线并通知现场人员关闭风机、排查隐患发生点等，及时维修整改；在限期内整改</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完毕，</w:t>
      </w:r>
      <w:r>
        <w:rPr>
          <w:rFonts w:hint="default" w:ascii="Times New Roman" w:hAnsi="Times New Roman" w:eastAsia="仿宋" w:cs="Times New Roman"/>
          <w:color w:val="000000" w:themeColor="text1"/>
          <w:sz w:val="28"/>
          <w:szCs w:val="28"/>
          <w14:textFill>
            <w14:solidFill>
              <w14:schemeClr w14:val="tx1"/>
            </w14:solidFill>
          </w14:textFill>
        </w:rPr>
        <w:t>待生产线正常后再开启设备，生产开启应晚于粉尘处理设施开启时间。</w:t>
      </w:r>
    </w:p>
    <w:bookmarkEnd w:id="354"/>
    <w:p>
      <w:pPr>
        <w:pStyle w:val="41"/>
        <w:spacing w:line="360" w:lineRule="auto"/>
        <w:rPr>
          <w:rFonts w:hint="default" w:ascii="Times New Roman" w:hAnsi="Times New Roman" w:eastAsia="仿宋" w:cs="Times New Roman"/>
          <w:b/>
          <w:color w:val="000000" w:themeColor="text1"/>
          <w:sz w:val="28"/>
          <w:szCs w:val="28"/>
          <w14:textFill>
            <w14:solidFill>
              <w14:schemeClr w14:val="tx1"/>
            </w14:solidFill>
          </w14:textFill>
        </w:rPr>
      </w:pPr>
      <w:r>
        <w:rPr>
          <w:rFonts w:hint="default" w:ascii="Times New Roman" w:hAnsi="Times New Roman" w:eastAsia="仿宋" w:cs="Times New Roman"/>
          <w:b/>
          <w:color w:val="000000" w:themeColor="text1"/>
          <w:sz w:val="28"/>
          <w:szCs w:val="28"/>
          <w14:textFill>
            <w14:solidFill>
              <w14:schemeClr w14:val="tx1"/>
            </w14:solidFill>
          </w14:textFill>
        </w:rPr>
        <w:t>（4）废水外溢现场处置措施</w:t>
      </w:r>
    </w:p>
    <w:p>
      <w:pPr>
        <w:pStyle w:val="8"/>
        <w:autoSpaceDE w:val="0"/>
        <w:autoSpaceDN w:val="0"/>
        <w:spacing w:line="360" w:lineRule="auto"/>
        <w:ind w:right="-51" w:firstLine="572" w:firstLineChars="200"/>
        <w:rPr>
          <w:rFonts w:hint="default" w:ascii="Times New Roman" w:hAnsi="Times New Roman" w:eastAsia="仿宋" w:cs="Times New Roman"/>
          <w:color w:val="000000" w:themeColor="text1"/>
          <w:spacing w:val="3"/>
          <w14:textFill>
            <w14:solidFill>
              <w14:schemeClr w14:val="tx1"/>
            </w14:solidFill>
          </w14:textFill>
        </w:rPr>
      </w:pPr>
      <w:r>
        <w:rPr>
          <w:rFonts w:hint="default" w:ascii="Times New Roman" w:hAnsi="Times New Roman" w:eastAsia="仿宋" w:cs="Times New Roman"/>
          <w:color w:val="000000" w:themeColor="text1"/>
          <w:spacing w:val="3"/>
          <w14:textFill>
            <w14:solidFill>
              <w14:schemeClr w14:val="tx1"/>
            </w14:solidFill>
          </w14:textFill>
        </w:rPr>
        <w:t>①</w:t>
      </w:r>
      <w:r>
        <w:rPr>
          <w:rFonts w:hint="default" w:ascii="Times New Roman" w:hAnsi="Times New Roman" w:eastAsia="仿宋" w:cs="Times New Roman"/>
          <w:color w:val="000000" w:themeColor="text1"/>
          <w:spacing w:val="3"/>
          <w:lang w:val="en-US" w:eastAsia="zh-CN"/>
          <w14:textFill>
            <w14:solidFill>
              <w14:schemeClr w14:val="tx1"/>
            </w14:solidFill>
          </w14:textFill>
        </w:rPr>
        <w:t>项目无生产废水，仅有少量生活污水产生</w:t>
      </w:r>
      <w:r>
        <w:rPr>
          <w:rFonts w:hint="default" w:ascii="Times New Roman" w:hAnsi="Times New Roman" w:eastAsia="仿宋" w:cs="Times New Roman"/>
          <w:color w:val="000000" w:themeColor="text1"/>
          <w:spacing w:val="3"/>
          <w14:textFill>
            <w14:solidFill>
              <w14:schemeClr w14:val="tx1"/>
            </w14:solidFill>
          </w14:textFill>
        </w:rPr>
        <w:t>。</w:t>
      </w:r>
    </w:p>
    <w:p>
      <w:pPr>
        <w:pStyle w:val="8"/>
        <w:autoSpaceDE w:val="0"/>
        <w:autoSpaceDN w:val="0"/>
        <w:spacing w:line="360" w:lineRule="auto"/>
        <w:ind w:right="259" w:firstLine="560" w:firstLineChars="200"/>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14:textFill>
            <w14:solidFill>
              <w14:schemeClr w14:val="tx1"/>
            </w14:solidFill>
          </w14:textFill>
        </w:rPr>
        <w:t>②采取拦截、导流、疏浚</w:t>
      </w:r>
      <w:r>
        <w:rPr>
          <w:rFonts w:hint="default" w:ascii="Times New Roman" w:hAnsi="Times New Roman" w:eastAsia="仿宋" w:cs="Times New Roman"/>
          <w:color w:val="000000" w:themeColor="text1"/>
          <w:lang w:eastAsia="zh-CN"/>
          <w14:textFill>
            <w14:solidFill>
              <w14:schemeClr w14:val="tx1"/>
            </w14:solidFill>
          </w14:textFill>
        </w:rPr>
        <w:t>、</w:t>
      </w:r>
      <w:r>
        <w:rPr>
          <w:rFonts w:hint="default" w:ascii="Times New Roman" w:hAnsi="Times New Roman" w:eastAsia="仿宋" w:cs="Times New Roman"/>
          <w:color w:val="000000" w:themeColor="text1"/>
          <w:lang w:val="en-US" w:eastAsia="zh-CN"/>
          <w14:textFill>
            <w14:solidFill>
              <w14:schemeClr w14:val="tx1"/>
            </w14:solidFill>
          </w14:textFill>
        </w:rPr>
        <w:t>收集</w:t>
      </w:r>
      <w:r>
        <w:rPr>
          <w:rFonts w:hint="default" w:ascii="Times New Roman" w:hAnsi="Times New Roman" w:eastAsia="仿宋" w:cs="Times New Roman"/>
          <w:color w:val="000000" w:themeColor="text1"/>
          <w14:textFill>
            <w14:solidFill>
              <w14:schemeClr w14:val="tx1"/>
            </w14:solidFill>
          </w14:textFill>
        </w:rPr>
        <w:t>等形式防止水体污染扩大；</w:t>
      </w:r>
    </w:p>
    <w:p>
      <w:pPr>
        <w:pStyle w:val="41"/>
        <w:spacing w:line="360" w:lineRule="auto"/>
        <w:ind w:firstLine="560" w:firstLineChars="200"/>
        <w:rPr>
          <w:rFonts w:hint="default" w:ascii="Times New Roman" w:hAnsi="Times New Roman" w:eastAsia="仿宋" w:cs="Times New Roman"/>
          <w:b/>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③采取适当的安全处置措施，以防扩大污染。</w:t>
      </w:r>
    </w:p>
    <w:p>
      <w:pPr>
        <w:pStyle w:val="41"/>
        <w:spacing w:line="360" w:lineRule="auto"/>
        <w:rPr>
          <w:rFonts w:hint="default" w:ascii="Times New Roman" w:hAnsi="Times New Roman" w:eastAsia="仿宋" w:cs="Times New Roman"/>
          <w:b/>
          <w:color w:val="000000" w:themeColor="text1"/>
          <w:sz w:val="28"/>
          <w:szCs w:val="28"/>
          <w14:textFill>
            <w14:solidFill>
              <w14:schemeClr w14:val="tx1"/>
            </w14:solidFill>
          </w14:textFill>
        </w:rPr>
      </w:pPr>
      <w:r>
        <w:rPr>
          <w:rFonts w:hint="default" w:ascii="Times New Roman" w:hAnsi="Times New Roman" w:eastAsia="仿宋" w:cs="Times New Roman"/>
          <w:b/>
          <w:color w:val="000000" w:themeColor="text1"/>
          <w:sz w:val="28"/>
          <w:szCs w:val="28"/>
          <w14:textFill>
            <w14:solidFill>
              <w14:schemeClr w14:val="tx1"/>
            </w14:solidFill>
          </w14:textFill>
        </w:rPr>
        <w:t>（5）火灾事故产生的大消防废水收集处置措施</w:t>
      </w:r>
    </w:p>
    <w:p>
      <w:pPr>
        <w:pStyle w:val="41"/>
        <w:spacing w:line="360" w:lineRule="auto"/>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b/>
          <w:color w:val="000000" w:themeColor="text1"/>
          <w:sz w:val="28"/>
          <w:szCs w:val="28"/>
          <w14:textFill>
            <w14:solidFill>
              <w14:schemeClr w14:val="tx1"/>
            </w14:solidFill>
          </w14:textFill>
        </w:rPr>
        <w:t xml:space="preserve">    </w:t>
      </w:r>
      <w:r>
        <w:rPr>
          <w:rFonts w:hint="default" w:ascii="Times New Roman" w:hAnsi="Times New Roman" w:eastAsia="仿宋" w:cs="Times New Roman"/>
          <w:color w:val="000000" w:themeColor="text1"/>
          <w:sz w:val="28"/>
          <w:szCs w:val="28"/>
          <w14:textFill>
            <w14:solidFill>
              <w14:schemeClr w14:val="tx1"/>
            </w14:solidFill>
          </w14:textFill>
        </w:rPr>
        <w:t>① 立即将厂区门口的排污口进行堵截，将消防废水控制在厂区内，</w:t>
      </w:r>
      <w:r>
        <w:rPr>
          <w:rFonts w:hint="default" w:ascii="Times New Roman" w:hAnsi="Times New Roman" w:cs="Times New Roman"/>
          <w:color w:val="000000" w:themeColor="text1"/>
          <w:sz w:val="28"/>
          <w:szCs w:val="28"/>
          <w:lang w:val="en-US" w:eastAsia="zh-CN"/>
          <w14:textFill>
            <w14:solidFill>
              <w14:schemeClr w14:val="tx1"/>
            </w14:solidFill>
          </w14:textFill>
        </w:rPr>
        <w:t>防止</w:t>
      </w:r>
      <w:r>
        <w:rPr>
          <w:rFonts w:hint="default" w:ascii="Times New Roman" w:hAnsi="Times New Roman" w:eastAsia="仿宋" w:cs="Times New Roman"/>
          <w:color w:val="000000" w:themeColor="text1"/>
          <w:sz w:val="28"/>
          <w:szCs w:val="28"/>
          <w14:textFill>
            <w14:solidFill>
              <w14:schemeClr w14:val="tx1"/>
            </w14:solidFill>
          </w14:textFill>
        </w:rPr>
        <w:t>流入管网。</w:t>
      </w:r>
    </w:p>
    <w:p>
      <w:pPr>
        <w:pStyle w:val="41"/>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②用消防沙立即将产生的消防废水进行围堵，用</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瓢</w:t>
      </w:r>
      <w:r>
        <w:rPr>
          <w:rFonts w:hint="default" w:ascii="Times New Roman" w:hAnsi="Times New Roman" w:eastAsia="仿宋" w:cs="Times New Roman"/>
          <w:color w:val="000000" w:themeColor="text1"/>
          <w:sz w:val="28"/>
          <w:szCs w:val="28"/>
          <w14:textFill>
            <w14:solidFill>
              <w14:schemeClr w14:val="tx1"/>
            </w14:solidFill>
          </w14:textFill>
        </w:rPr>
        <w:t>、盆、就近容器或转输泵，将消防废水转移至</w:t>
      </w:r>
      <w:r>
        <w:rPr>
          <w:rFonts w:hint="default" w:ascii="Times New Roman" w:hAnsi="Times New Roman" w:cs="Times New Roman"/>
          <w:color w:val="000000" w:themeColor="text1"/>
          <w:sz w:val="28"/>
          <w:szCs w:val="28"/>
          <w:lang w:val="en-US" w:eastAsia="zh-CN"/>
          <w14:textFill>
            <w14:solidFill>
              <w14:schemeClr w14:val="tx1"/>
            </w14:solidFill>
          </w14:textFill>
        </w:rPr>
        <w:t>沉淀池</w:t>
      </w:r>
      <w:r>
        <w:rPr>
          <w:rFonts w:hint="default" w:ascii="Times New Roman" w:hAnsi="Times New Roman" w:eastAsia="仿宋" w:cs="Times New Roman"/>
          <w:color w:val="000000" w:themeColor="text1"/>
          <w:sz w:val="28"/>
          <w:szCs w:val="28"/>
          <w14:textFill>
            <w14:solidFill>
              <w14:schemeClr w14:val="tx1"/>
            </w14:solidFill>
          </w14:textFill>
        </w:rPr>
        <w:t>内收集处理。确保消防废水全部堵截，不乱流。</w:t>
      </w:r>
    </w:p>
    <w:p>
      <w:pPr>
        <w:pStyle w:val="41"/>
        <w:spacing w:line="360" w:lineRule="auto"/>
        <w:ind w:firstLine="560" w:firstLineChars="200"/>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③</w:t>
      </w:r>
      <w:r>
        <w:rPr>
          <w:rFonts w:hint="default" w:ascii="Times New Roman" w:hAnsi="Times New Roman" w:eastAsia="仿宋" w:cs="Times New Roman"/>
          <w:color w:val="000000" w:themeColor="text1"/>
          <w:kern w:val="0"/>
          <w:sz w:val="28"/>
          <w:szCs w:val="28"/>
          <w14:textFill>
            <w14:solidFill>
              <w14:schemeClr w14:val="tx1"/>
            </w14:solidFill>
          </w14:textFill>
        </w:rPr>
        <w:t>在火灾事故抢险结束后，应配合环境监测部门对消防水水质进行监测，监测达标的方可排放，监测不达标的应处理达标后方可排放，或收集后委托有处理能力的单位处理达标排放。</w:t>
      </w:r>
      <w:bookmarkStart w:id="355" w:name="_Toc54050922"/>
    </w:p>
    <w:p>
      <w:pPr>
        <w:pStyle w:val="4"/>
        <w:rPr>
          <w:rFonts w:hint="default" w:ascii="Times New Roman" w:hAnsi="Times New Roman" w:eastAsia="仿宋" w:cs="Times New Roman"/>
          <w:color w:val="000000" w:themeColor="text1"/>
          <w14:textFill>
            <w14:solidFill>
              <w14:schemeClr w14:val="tx1"/>
            </w14:solidFill>
          </w14:textFill>
        </w:rPr>
      </w:pPr>
      <w:bookmarkStart w:id="356" w:name="_Toc57039908"/>
      <w:bookmarkStart w:id="357" w:name="_Toc57036149"/>
      <w:bookmarkStart w:id="358" w:name="_Toc31750"/>
      <w:r>
        <w:rPr>
          <w:rFonts w:hint="default" w:ascii="Times New Roman" w:hAnsi="Times New Roman" w:eastAsia="仿宋" w:cs="Times New Roman"/>
          <w:color w:val="000000" w:themeColor="text1"/>
          <w14:textFill>
            <w14:solidFill>
              <w14:schemeClr w14:val="tx1"/>
            </w14:solidFill>
          </w14:textFill>
        </w:rPr>
        <w:t>6.5.3 扩大应急处理措施</w:t>
      </w:r>
      <w:bookmarkEnd w:id="355"/>
      <w:bookmarkEnd w:id="356"/>
      <w:bookmarkEnd w:id="357"/>
      <w:bookmarkEnd w:id="358"/>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在一般、较大环境事件应急处理过程中，若事态扩大，抢救力量不足，事件得不到有效控制，在污染事态发展很快，迅速发展为或可能发展为重大、特别重大环境事件时，公司指挥部应立即向政府部门进行求援。必要时公司指挥部可决定组织事故现场周围人员进行紧急疏散或转移，或请求政府部门组织周边群众进行紧急疏散或转移。</w:t>
      </w:r>
    </w:p>
    <w:p>
      <w:pPr>
        <w:spacing w:line="360" w:lineRule="auto"/>
        <w:ind w:firstLine="565" w:firstLineChars="202"/>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外援力量到达后，现场指挥权归政府部门统一指挥。公司指挥部做好现场介绍和信息资料提供工作，现场所有抢救人员和装备由总指挥统一指挥调配，开展应急救援抢险工作.</w:t>
      </w:r>
    </w:p>
    <w:p>
      <w:pPr>
        <w:pStyle w:val="4"/>
        <w:rPr>
          <w:rFonts w:hint="default" w:ascii="Times New Roman" w:hAnsi="Times New Roman" w:eastAsia="仿宋" w:cs="Times New Roman"/>
          <w:color w:val="000000" w:themeColor="text1"/>
          <w14:textFill>
            <w14:solidFill>
              <w14:schemeClr w14:val="tx1"/>
            </w14:solidFill>
          </w14:textFill>
        </w:rPr>
      </w:pPr>
      <w:bookmarkStart w:id="359" w:name="_Toc57036150"/>
      <w:bookmarkStart w:id="360" w:name="_Toc1948"/>
      <w:bookmarkStart w:id="361" w:name="_Toc57039909"/>
      <w:bookmarkStart w:id="362" w:name="_Toc54050923"/>
      <w:r>
        <w:rPr>
          <w:rFonts w:hint="default" w:ascii="Times New Roman" w:hAnsi="Times New Roman" w:eastAsia="仿宋" w:cs="Times New Roman"/>
          <w:color w:val="000000" w:themeColor="text1"/>
          <w14:textFill>
            <w14:solidFill>
              <w14:schemeClr w14:val="tx1"/>
            </w14:solidFill>
          </w14:textFill>
        </w:rPr>
        <w:t>6.5.4 事故保护目标应急措施</w:t>
      </w:r>
      <w:bookmarkEnd w:id="359"/>
      <w:bookmarkEnd w:id="360"/>
      <w:bookmarkEnd w:id="361"/>
      <w:bookmarkEnd w:id="362"/>
    </w:p>
    <w:p>
      <w:pPr>
        <w:spacing w:line="360" w:lineRule="auto"/>
        <w:ind w:firstLine="565" w:firstLineChars="202"/>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为确保公司周边企事业单位、附近村庄等敏感点的安全，应及时在公司外设置警戒区域，做好撤离疏散措施，第一时间通讯联络组林丛岩（13379526293）通知周边企事业单位和居民做好准备，必要时，通知撤离，前往当天的上风向位置躲避，以免发生CO等有毒害气体中毒事件。</w:t>
      </w:r>
    </w:p>
    <w:p>
      <w:pPr>
        <w:pStyle w:val="4"/>
        <w:rPr>
          <w:rFonts w:hint="default" w:ascii="Times New Roman" w:hAnsi="Times New Roman" w:eastAsia="仿宋" w:cs="Times New Roman"/>
          <w:color w:val="000000" w:themeColor="text1"/>
          <w14:textFill>
            <w14:solidFill>
              <w14:schemeClr w14:val="tx1"/>
            </w14:solidFill>
          </w14:textFill>
        </w:rPr>
      </w:pPr>
      <w:bookmarkStart w:id="363" w:name="_Toc29031"/>
      <w:bookmarkStart w:id="364" w:name="_Toc57039910"/>
      <w:bookmarkStart w:id="365" w:name="_Toc54050924"/>
      <w:bookmarkStart w:id="366" w:name="_Toc57036151"/>
      <w:r>
        <w:rPr>
          <w:rFonts w:hint="default" w:ascii="Times New Roman" w:hAnsi="Times New Roman" w:eastAsia="仿宋" w:cs="Times New Roman"/>
          <w:color w:val="000000" w:themeColor="text1"/>
          <w14:textFill>
            <w14:solidFill>
              <w14:schemeClr w14:val="tx1"/>
            </w14:solidFill>
          </w14:textFill>
        </w:rPr>
        <w:t>6.5.5 应急监测</w:t>
      </w:r>
      <w:bookmarkEnd w:id="363"/>
      <w:bookmarkEnd w:id="364"/>
      <w:bookmarkEnd w:id="365"/>
      <w:bookmarkEnd w:id="366"/>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本公司不具备监测能力，突发环境事件发生后，公司及时上报</w:t>
      </w:r>
      <w:r>
        <w:rPr>
          <w:rFonts w:hint="default" w:ascii="Times New Roman" w:hAnsi="Times New Roman" w:eastAsia="仿宋" w:cs="Times New Roman"/>
          <w:color w:val="000000" w:themeColor="text1"/>
          <w:sz w:val="28"/>
          <w:szCs w:val="28"/>
          <w:lang w:eastAsia="zh-CN"/>
          <w14:textFill>
            <w14:solidFill>
              <w14:schemeClr w14:val="tx1"/>
            </w14:solidFill>
          </w14:textFill>
        </w:rPr>
        <w:t>秦汉新城</w:t>
      </w:r>
      <w:r>
        <w:rPr>
          <w:rFonts w:hint="default" w:ascii="Times New Roman" w:hAnsi="Times New Roman" w:eastAsia="仿宋" w:cs="Times New Roman"/>
          <w:color w:val="000000" w:themeColor="text1"/>
          <w:sz w:val="28"/>
          <w:szCs w:val="28"/>
          <w14:textFill>
            <w14:solidFill>
              <w14:schemeClr w14:val="tx1"/>
            </w14:solidFill>
          </w14:textFill>
        </w:rPr>
        <w:t>生态环境局，应急监测统一由上级部门协调安排</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或委托第三方环境监测机构开展</w:t>
      </w:r>
      <w:r>
        <w:rPr>
          <w:rFonts w:hint="default" w:ascii="Times New Roman" w:hAnsi="Times New Roman" w:eastAsia="仿宋" w:cs="Times New Roman"/>
          <w:color w:val="000000" w:themeColor="text1"/>
          <w:sz w:val="28"/>
          <w:szCs w:val="28"/>
          <w14:textFill>
            <w14:solidFill>
              <w14:schemeClr w14:val="tx1"/>
            </w14:solidFill>
          </w14:textFill>
        </w:rPr>
        <w:t>，通过监测</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数据</w:t>
      </w:r>
      <w:r>
        <w:rPr>
          <w:rFonts w:hint="default" w:ascii="Times New Roman" w:hAnsi="Times New Roman" w:eastAsia="仿宋" w:cs="Times New Roman"/>
          <w:color w:val="000000" w:themeColor="text1"/>
          <w:sz w:val="28"/>
          <w:szCs w:val="28"/>
          <w14:textFill>
            <w14:solidFill>
              <w14:schemeClr w14:val="tx1"/>
            </w14:solidFill>
          </w14:textFill>
        </w:rPr>
        <w:t>确定污染情况是否达标。监测分析方法按照国家有关技术标准和规范执行。具体监测内容见表6.5-1。</w:t>
      </w:r>
    </w:p>
    <w:p>
      <w:pPr>
        <w:pStyle w:val="10"/>
        <w:spacing w:line="240" w:lineRule="auto"/>
        <w:ind w:firstLine="0"/>
        <w:jc w:val="center"/>
        <w:rPr>
          <w:rFonts w:hint="default" w:ascii="Times New Roman" w:hAnsi="Times New Roman" w:eastAsia="仿宋" w:cs="Times New Roman"/>
          <w:b/>
          <w:bCs/>
          <w:color w:val="000000" w:themeColor="text1"/>
          <w:kern w:val="2"/>
          <w:sz w:val="24"/>
          <w:szCs w:val="24"/>
          <w:lang w:val="en-US" w:eastAsia="zh-CN" w:bidi="ar-SA"/>
          <w14:textFill>
            <w14:solidFill>
              <w14:schemeClr w14:val="tx1"/>
            </w14:solidFill>
          </w14:textFill>
        </w:rPr>
      </w:pPr>
      <w:r>
        <w:rPr>
          <w:rFonts w:hint="default" w:ascii="Times New Roman" w:hAnsi="Times New Roman" w:eastAsia="仿宋" w:cs="Times New Roman"/>
          <w:b/>
          <w:bCs/>
          <w:color w:val="000000" w:themeColor="text1"/>
          <w:kern w:val="2"/>
          <w:sz w:val="24"/>
          <w:szCs w:val="24"/>
          <w:lang w:val="en-US" w:eastAsia="zh-CN" w:bidi="ar-SA"/>
          <w14:textFill>
            <w14:solidFill>
              <w14:schemeClr w14:val="tx1"/>
            </w14:solidFill>
          </w14:textFill>
        </w:rPr>
        <w:t>表6.5-1   应急监测内容一览表</w:t>
      </w:r>
    </w:p>
    <w:tbl>
      <w:tblPr>
        <w:tblStyle w:val="28"/>
        <w:tblW w:w="4961"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778"/>
        <w:gridCol w:w="927"/>
        <w:gridCol w:w="1792"/>
        <w:gridCol w:w="2348"/>
        <w:gridCol w:w="2611"/>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11" w:hRule="atLeast"/>
          <w:jc w:val="center"/>
        </w:trPr>
        <w:tc>
          <w:tcPr>
            <w:tcW w:w="1008" w:type="pct"/>
            <w:gridSpan w:val="2"/>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14:textFill>
                  <w14:solidFill>
                    <w14:schemeClr w14:val="tx1"/>
                  </w14:solidFill>
                </w14:textFill>
              </w:rPr>
            </w:pPr>
            <w:bookmarkStart w:id="367" w:name="_Hlk525250949"/>
            <w:r>
              <w:rPr>
                <w:rFonts w:hint="default" w:ascii="Times New Roman" w:hAnsi="Times New Roman" w:eastAsia="仿宋" w:cs="Times New Roman"/>
                <w:b/>
                <w:bCs/>
                <w:color w:val="000000" w:themeColor="text1"/>
                <w:sz w:val="24"/>
                <w:szCs w:val="24"/>
                <w14:textFill>
                  <w14:solidFill>
                    <w14:schemeClr w14:val="tx1"/>
                  </w14:solidFill>
                </w14:textFill>
              </w:rPr>
              <w:t>类别</w:t>
            </w:r>
          </w:p>
        </w:tc>
        <w:tc>
          <w:tcPr>
            <w:tcW w:w="1059" w:type="pct"/>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14:textFill>
                  <w14:solidFill>
                    <w14:schemeClr w14:val="tx1"/>
                  </w14:solidFill>
                </w14:textFill>
              </w:rPr>
            </w:pPr>
            <w:r>
              <w:rPr>
                <w:rFonts w:hint="default" w:ascii="Times New Roman" w:hAnsi="Times New Roman" w:eastAsia="仿宋" w:cs="Times New Roman"/>
                <w:b/>
                <w:bCs/>
                <w:color w:val="000000" w:themeColor="text1"/>
                <w:sz w:val="24"/>
                <w:szCs w:val="24"/>
                <w14:textFill>
                  <w14:solidFill>
                    <w14:schemeClr w14:val="tx1"/>
                  </w14:solidFill>
                </w14:textFill>
              </w:rPr>
              <w:t>监测项目</w:t>
            </w:r>
          </w:p>
        </w:tc>
        <w:tc>
          <w:tcPr>
            <w:tcW w:w="1388" w:type="pct"/>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14:textFill>
                  <w14:solidFill>
                    <w14:schemeClr w14:val="tx1"/>
                  </w14:solidFill>
                </w14:textFill>
              </w:rPr>
            </w:pPr>
            <w:r>
              <w:rPr>
                <w:rFonts w:hint="default" w:ascii="Times New Roman" w:hAnsi="Times New Roman" w:eastAsia="仿宋" w:cs="Times New Roman"/>
                <w:b/>
                <w:bCs/>
                <w:color w:val="000000" w:themeColor="text1"/>
                <w:sz w:val="24"/>
                <w:szCs w:val="24"/>
                <w14:textFill>
                  <w14:solidFill>
                    <w14:schemeClr w14:val="tx1"/>
                  </w14:solidFill>
                </w14:textFill>
              </w:rPr>
              <w:t>监测点位</w:t>
            </w:r>
          </w:p>
        </w:tc>
        <w:tc>
          <w:tcPr>
            <w:tcW w:w="1543" w:type="pct"/>
            <w:tcBorders>
              <w:top w:val="single" w:color="auto" w:sz="12" w:space="0"/>
            </w:tcBorders>
            <w:vAlign w:val="center"/>
          </w:tcPr>
          <w:p>
            <w:pPr>
              <w:spacing w:line="240" w:lineRule="auto"/>
              <w:jc w:val="center"/>
              <w:rPr>
                <w:rFonts w:hint="default" w:ascii="Times New Roman" w:hAnsi="Times New Roman" w:eastAsia="仿宋" w:cs="Times New Roman"/>
                <w:b/>
                <w:bCs/>
                <w:color w:val="000000" w:themeColor="text1"/>
                <w:sz w:val="24"/>
                <w:szCs w:val="24"/>
                <w14:textFill>
                  <w14:solidFill>
                    <w14:schemeClr w14:val="tx1"/>
                  </w14:solidFill>
                </w14:textFill>
              </w:rPr>
            </w:pPr>
            <w:r>
              <w:rPr>
                <w:rFonts w:hint="default" w:ascii="Times New Roman" w:hAnsi="Times New Roman" w:eastAsia="仿宋" w:cs="Times New Roman"/>
                <w:b/>
                <w:bCs/>
                <w:color w:val="000000" w:themeColor="text1"/>
                <w:sz w:val="24"/>
                <w:szCs w:val="24"/>
                <w14:textFill>
                  <w14:solidFill>
                    <w14:schemeClr w14:val="tx1"/>
                  </w14:solidFill>
                </w14:textFill>
              </w:rPr>
              <w:t>监测时间和频次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04" w:hRule="atLeast"/>
          <w:jc w:val="center"/>
        </w:trPr>
        <w:tc>
          <w:tcPr>
            <w:tcW w:w="460" w:type="pct"/>
            <w:vMerge w:val="restart"/>
            <w:vAlign w:val="center"/>
          </w:tcPr>
          <w:p>
            <w:pPr>
              <w:spacing w:line="240" w:lineRule="auto"/>
              <w:jc w:val="center"/>
              <w:rPr>
                <w:rFonts w:hint="default" w:ascii="Times New Roman" w:hAnsi="Times New Roman" w:eastAsia="仿宋" w:cs="Times New Roman"/>
                <w:sz w:val="24"/>
                <w:szCs w:val="24"/>
              </w:rPr>
            </w:pPr>
            <w:bookmarkStart w:id="368" w:name="_Hlk526809441"/>
            <w:r>
              <w:rPr>
                <w:rFonts w:hint="default" w:ascii="Times New Roman" w:hAnsi="Times New Roman" w:eastAsia="仿宋" w:cs="Times New Roman"/>
                <w:sz w:val="24"/>
                <w:szCs w:val="24"/>
              </w:rPr>
              <w:t>火灾</w:t>
            </w:r>
          </w:p>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爆炸</w:t>
            </w:r>
          </w:p>
        </w:tc>
        <w:tc>
          <w:tcPr>
            <w:tcW w:w="548"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大气</w:t>
            </w:r>
          </w:p>
        </w:tc>
        <w:tc>
          <w:tcPr>
            <w:tcW w:w="1059"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CO、颗粒物</w:t>
            </w:r>
          </w:p>
        </w:tc>
        <w:tc>
          <w:tcPr>
            <w:tcW w:w="1388"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公司上风向1000m</w:t>
            </w:r>
          </w:p>
        </w:tc>
        <w:tc>
          <w:tcPr>
            <w:tcW w:w="1543" w:type="pct"/>
            <w:vMerge w:val="restar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按照事故持续时间决定监测时间，根据事故严重性决定监测频次</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89" w:hRule="atLeast"/>
          <w:jc w:val="center"/>
        </w:trPr>
        <w:tc>
          <w:tcPr>
            <w:tcW w:w="460" w:type="pct"/>
            <w:vMerge w:val="continue"/>
            <w:vAlign w:val="center"/>
          </w:tcPr>
          <w:p>
            <w:pPr>
              <w:spacing w:line="240" w:lineRule="auto"/>
              <w:jc w:val="center"/>
              <w:rPr>
                <w:rFonts w:hint="default" w:ascii="Times New Roman" w:hAnsi="Times New Roman" w:eastAsia="仿宋" w:cs="Times New Roman"/>
                <w:sz w:val="24"/>
                <w:szCs w:val="24"/>
              </w:rPr>
            </w:pPr>
          </w:p>
        </w:tc>
        <w:tc>
          <w:tcPr>
            <w:tcW w:w="548" w:type="pct"/>
            <w:vMerge w:val="continue"/>
            <w:vAlign w:val="center"/>
          </w:tcPr>
          <w:p>
            <w:pPr>
              <w:spacing w:line="240" w:lineRule="auto"/>
              <w:jc w:val="center"/>
              <w:rPr>
                <w:rFonts w:hint="default" w:ascii="Times New Roman" w:hAnsi="Times New Roman" w:eastAsia="仿宋" w:cs="Times New Roman"/>
                <w:sz w:val="24"/>
                <w:szCs w:val="24"/>
              </w:rPr>
            </w:pPr>
          </w:p>
        </w:tc>
        <w:tc>
          <w:tcPr>
            <w:tcW w:w="1059" w:type="pct"/>
            <w:vMerge w:val="continue"/>
            <w:vAlign w:val="center"/>
          </w:tcPr>
          <w:p>
            <w:pPr>
              <w:spacing w:line="240" w:lineRule="auto"/>
              <w:jc w:val="center"/>
              <w:rPr>
                <w:rFonts w:hint="default" w:ascii="Times New Roman" w:hAnsi="Times New Roman" w:eastAsia="仿宋" w:cs="Times New Roman"/>
                <w:sz w:val="24"/>
                <w:szCs w:val="24"/>
              </w:rPr>
            </w:pPr>
          </w:p>
        </w:tc>
        <w:tc>
          <w:tcPr>
            <w:tcW w:w="1388"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公司区域内</w:t>
            </w:r>
          </w:p>
        </w:tc>
        <w:tc>
          <w:tcPr>
            <w:tcW w:w="1543" w:type="pct"/>
            <w:vMerge w:val="continue"/>
            <w:vAlign w:val="center"/>
          </w:tcPr>
          <w:p>
            <w:pPr>
              <w:spacing w:line="240" w:lineRule="auto"/>
              <w:jc w:val="center"/>
              <w:rPr>
                <w:rFonts w:hint="default" w:ascii="Times New Roman" w:hAnsi="Times New Roman" w:eastAsia="仿宋" w:cs="Times New Roman"/>
                <w:b/>
                <w:color w:val="000000" w:themeColor="text1"/>
                <w:sz w:val="24"/>
                <w:szCs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90" w:hRule="atLeast"/>
          <w:jc w:val="center"/>
        </w:trPr>
        <w:tc>
          <w:tcPr>
            <w:tcW w:w="460" w:type="pct"/>
            <w:vMerge w:val="continue"/>
            <w:vAlign w:val="center"/>
          </w:tcPr>
          <w:p>
            <w:pPr>
              <w:spacing w:line="240" w:lineRule="auto"/>
              <w:jc w:val="center"/>
              <w:rPr>
                <w:rFonts w:hint="default" w:ascii="Times New Roman" w:hAnsi="Times New Roman" w:eastAsia="仿宋" w:cs="Times New Roman"/>
                <w:sz w:val="24"/>
                <w:szCs w:val="24"/>
              </w:rPr>
            </w:pPr>
          </w:p>
        </w:tc>
        <w:tc>
          <w:tcPr>
            <w:tcW w:w="548" w:type="pct"/>
            <w:vMerge w:val="continue"/>
            <w:vAlign w:val="center"/>
          </w:tcPr>
          <w:p>
            <w:pPr>
              <w:spacing w:line="240" w:lineRule="auto"/>
              <w:jc w:val="center"/>
              <w:rPr>
                <w:rFonts w:hint="default" w:ascii="Times New Roman" w:hAnsi="Times New Roman" w:eastAsia="仿宋" w:cs="Times New Roman"/>
                <w:sz w:val="24"/>
                <w:szCs w:val="24"/>
              </w:rPr>
            </w:pPr>
          </w:p>
        </w:tc>
        <w:tc>
          <w:tcPr>
            <w:tcW w:w="1059" w:type="pct"/>
            <w:vMerge w:val="continue"/>
            <w:vAlign w:val="center"/>
          </w:tcPr>
          <w:p>
            <w:pPr>
              <w:spacing w:line="240" w:lineRule="auto"/>
              <w:jc w:val="center"/>
              <w:rPr>
                <w:rFonts w:hint="default" w:ascii="Times New Roman" w:hAnsi="Times New Roman" w:eastAsia="仿宋" w:cs="Times New Roman"/>
                <w:sz w:val="24"/>
                <w:szCs w:val="24"/>
              </w:rPr>
            </w:pPr>
          </w:p>
        </w:tc>
        <w:tc>
          <w:tcPr>
            <w:tcW w:w="1388"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公司下风向1500m</w:t>
            </w:r>
          </w:p>
        </w:tc>
        <w:tc>
          <w:tcPr>
            <w:tcW w:w="1543" w:type="pct"/>
            <w:vMerge w:val="continue"/>
            <w:vAlign w:val="center"/>
          </w:tcPr>
          <w:p>
            <w:pPr>
              <w:spacing w:line="240" w:lineRule="auto"/>
              <w:jc w:val="center"/>
              <w:rPr>
                <w:rFonts w:hint="default" w:ascii="Times New Roman" w:hAnsi="Times New Roman" w:eastAsia="仿宋" w:cs="Times New Roman"/>
                <w:b/>
                <w:color w:val="000000" w:themeColor="text1"/>
                <w:sz w:val="24"/>
                <w:szCs w:val="24"/>
                <w14:textFill>
                  <w14:solidFill>
                    <w14:schemeClr w14:val="tx1"/>
                  </w14:solidFill>
                </w14:textFill>
              </w:rPr>
            </w:pPr>
          </w:p>
        </w:tc>
      </w:tr>
      <w:bookmarkEnd w:id="368"/>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292" w:hRule="atLeast"/>
          <w:jc w:val="center"/>
        </w:trPr>
        <w:tc>
          <w:tcPr>
            <w:tcW w:w="460" w:type="pct"/>
            <w:vMerge w:val="continue"/>
            <w:vAlign w:val="center"/>
          </w:tcPr>
          <w:p>
            <w:pPr>
              <w:spacing w:line="240" w:lineRule="auto"/>
              <w:jc w:val="center"/>
              <w:rPr>
                <w:rFonts w:hint="default" w:ascii="Times New Roman" w:hAnsi="Times New Roman" w:eastAsia="仿宋" w:cs="Times New Roman"/>
                <w:sz w:val="24"/>
                <w:szCs w:val="24"/>
              </w:rPr>
            </w:pPr>
          </w:p>
        </w:tc>
        <w:tc>
          <w:tcPr>
            <w:tcW w:w="548"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水</w:t>
            </w:r>
          </w:p>
        </w:tc>
        <w:tc>
          <w:tcPr>
            <w:tcW w:w="1059" w:type="pct"/>
            <w:vAlign w:val="center"/>
          </w:tcPr>
          <w:p>
            <w:pPr>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石油类、SS、pH、COD等</w:t>
            </w:r>
          </w:p>
        </w:tc>
        <w:tc>
          <w:tcPr>
            <w:tcW w:w="1388" w:type="pct"/>
            <w:vAlign w:val="center"/>
          </w:tcPr>
          <w:p>
            <w:pPr>
              <w:spacing w:line="240" w:lineRule="auto"/>
              <w:jc w:val="center"/>
              <w:rPr>
                <w:rFonts w:hint="default" w:ascii="Times New Roman" w:hAnsi="Times New Roman" w:eastAsia="仿宋" w:cs="Times New Roman"/>
                <w:sz w:val="24"/>
                <w:szCs w:val="24"/>
                <w:lang w:eastAsia="zh-CN"/>
              </w:rPr>
            </w:pPr>
            <w:r>
              <w:rPr>
                <w:rFonts w:hint="default" w:ascii="Times New Roman" w:hAnsi="Times New Roman" w:eastAsia="仿宋" w:cs="Times New Roman"/>
                <w:sz w:val="24"/>
                <w:szCs w:val="24"/>
              </w:rPr>
              <w:t>厂区</w:t>
            </w:r>
            <w:r>
              <w:rPr>
                <w:rFonts w:hint="default" w:ascii="Times New Roman" w:hAnsi="Times New Roman" w:eastAsia="仿宋" w:cs="Times New Roman"/>
                <w:sz w:val="24"/>
                <w:szCs w:val="24"/>
                <w:lang w:val="en-US" w:eastAsia="zh-CN"/>
              </w:rPr>
              <w:t>化粪池</w:t>
            </w:r>
          </w:p>
        </w:tc>
        <w:tc>
          <w:tcPr>
            <w:tcW w:w="1543" w:type="pct"/>
            <w:vMerge w:val="continue"/>
            <w:vAlign w:val="center"/>
          </w:tcPr>
          <w:p>
            <w:pPr>
              <w:spacing w:line="240" w:lineRule="auto"/>
              <w:jc w:val="center"/>
              <w:rPr>
                <w:rFonts w:hint="default" w:ascii="Times New Roman" w:hAnsi="Times New Roman" w:eastAsia="仿宋" w:cs="Times New Roman"/>
                <w:b/>
                <w:color w:val="000000" w:themeColor="text1"/>
                <w:sz w:val="24"/>
                <w:szCs w:val="24"/>
                <w14:textFill>
                  <w14:solidFill>
                    <w14:schemeClr w14:val="tx1"/>
                  </w14:solidFill>
                </w14:textFill>
              </w:rPr>
            </w:pPr>
          </w:p>
        </w:tc>
      </w:tr>
      <w:bookmarkEnd w:id="367"/>
    </w:tbl>
    <w:p>
      <w:pPr>
        <w:pStyle w:val="4"/>
        <w:rPr>
          <w:rFonts w:hint="default" w:ascii="Times New Roman" w:hAnsi="Times New Roman" w:eastAsia="仿宋" w:cs="Times New Roman"/>
          <w:color w:val="000000" w:themeColor="text1"/>
          <w14:textFill>
            <w14:solidFill>
              <w14:schemeClr w14:val="tx1"/>
            </w14:solidFill>
          </w14:textFill>
        </w:rPr>
      </w:pPr>
      <w:bookmarkStart w:id="369" w:name="_Toc57036152"/>
      <w:bookmarkStart w:id="370" w:name="_Toc54050925"/>
      <w:bookmarkStart w:id="371" w:name="_Toc7911"/>
      <w:bookmarkStart w:id="372" w:name="_Toc57039911"/>
      <w:r>
        <w:rPr>
          <w:rFonts w:hint="default" w:ascii="Times New Roman" w:hAnsi="Times New Roman" w:eastAsia="仿宋" w:cs="Times New Roman"/>
          <w:color w:val="000000" w:themeColor="text1"/>
          <w14:textFill>
            <w14:solidFill>
              <w14:schemeClr w14:val="tx1"/>
            </w14:solidFill>
          </w14:textFill>
        </w:rPr>
        <w:t>6.5.6现场清洁净化和环境恢复</w:t>
      </w:r>
      <w:bookmarkEnd w:id="369"/>
      <w:bookmarkEnd w:id="370"/>
      <w:bookmarkEnd w:id="371"/>
      <w:bookmarkEnd w:id="372"/>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在事故后对现场中暴露的工作人员、应急行动队员和受污染设备、现场的清洁净化的方法进行规定，在应急终止后，确保受污染环境恢复有效。</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（1）事故现场的保护措施；</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事故处理过程中必须做好现场保护，以便查明事故原因，还要保存好事发场所所留的痕迹；完善保管好事故发生前后的操作记录，如有必要，还要进行拍照或录像。等事故处理完毕后，立即将记录及其他有价值线索进行收集，集中处理。</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（2）确定现场净化方式、方法；</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事故现场用水进行冲洗，冲洗水集中收集后委托有资质单位进行</w:t>
      </w:r>
      <w:r>
        <w:rPr>
          <w:rFonts w:hint="default" w:ascii="Times New Roman" w:hAnsi="Times New Roman" w:eastAsia="仿宋" w:cs="Times New Roman"/>
          <w:color w:val="000000" w:themeColor="text1"/>
          <w:sz w:val="28"/>
          <w:szCs w:val="28"/>
          <w:lang w:val="en-US" w:eastAsia="zh-CN" w:bidi="en-US"/>
          <w14:textFill>
            <w14:solidFill>
              <w14:schemeClr w14:val="tx1"/>
            </w14:solidFill>
          </w14:textFill>
        </w:rPr>
        <w:t>检测后处置；</w:t>
      </w:r>
      <w:r>
        <w:rPr>
          <w:rFonts w:hint="default" w:ascii="Times New Roman" w:hAnsi="Times New Roman" w:eastAsia="仿宋" w:cs="Times New Roman"/>
          <w:color w:val="000000" w:themeColor="text1"/>
          <w:sz w:val="28"/>
          <w:szCs w:val="28"/>
          <w:lang w:bidi="en-US"/>
          <w14:textFill>
            <w14:solidFill>
              <w14:schemeClr w14:val="tx1"/>
            </w14:solidFill>
          </w14:textFill>
        </w:rPr>
        <w:t>事故处理过程中产生的废渣要集中收集，最后统一委托处理。</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（3）明确事故现场清理工作的责任单位和责任人；</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事故处理完毕后，</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要对事故现场进行彻底清理、清扫，并派专人负责此项工作，善始善终处理完毕。</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（4）事故后的生态环境恢复措施。</w:t>
      </w:r>
    </w:p>
    <w:p>
      <w:pPr>
        <w:spacing w:line="360" w:lineRule="auto"/>
        <w:ind w:firstLine="565" w:firstLineChars="202"/>
        <w:rPr>
          <w:rFonts w:hint="default" w:ascii="Times New Roman" w:hAnsi="Times New Roman" w:eastAsia="仿宋" w:cs="Times New Roman"/>
          <w:color w:val="000000" w:themeColor="text1"/>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事故后由指挥部组织对现场和周边受到污染的植被和土壤的污染程度进行评估，制定恢复实施计划，提交</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审批后实施。</w:t>
      </w:r>
    </w:p>
    <w:bookmarkEnd w:id="343"/>
    <w:p>
      <w:pPr>
        <w:pStyle w:val="22"/>
        <w:ind w:left="0" w:leftChars="0"/>
        <w:outlineLvl w:val="1"/>
        <w:rPr>
          <w:rFonts w:hint="default" w:ascii="Times New Roman" w:hAnsi="Times New Roman" w:eastAsia="仿宋" w:cs="Times New Roman"/>
          <w:b/>
          <w:szCs w:val="28"/>
        </w:rPr>
      </w:pPr>
      <w:bookmarkStart w:id="373" w:name="_Toc6245"/>
      <w:bookmarkStart w:id="374" w:name="_Toc533172110"/>
      <w:bookmarkStart w:id="375" w:name="_Toc3614"/>
      <w:bookmarkStart w:id="376" w:name="_Toc54050926"/>
      <w:r>
        <w:rPr>
          <w:rFonts w:hint="default" w:ascii="Times New Roman" w:hAnsi="Times New Roman" w:eastAsia="仿宋" w:cs="Times New Roman"/>
          <w:b/>
          <w:szCs w:val="28"/>
        </w:rPr>
        <w:t>6.6信息</w:t>
      </w:r>
      <w:bookmarkEnd w:id="373"/>
      <w:bookmarkEnd w:id="374"/>
      <w:r>
        <w:rPr>
          <w:rFonts w:hint="default" w:ascii="Times New Roman" w:hAnsi="Times New Roman" w:eastAsia="仿宋" w:cs="Times New Roman"/>
          <w:b/>
          <w:szCs w:val="28"/>
        </w:rPr>
        <w:t>发布</w:t>
      </w:r>
      <w:bookmarkEnd w:id="375"/>
      <w:bookmarkEnd w:id="376"/>
    </w:p>
    <w:p>
      <w:pPr>
        <w:pStyle w:val="4"/>
        <w:rPr>
          <w:rFonts w:hint="default" w:ascii="Times New Roman" w:hAnsi="Times New Roman" w:eastAsia="仿宋" w:cs="Times New Roman"/>
          <w:color w:val="000000" w:themeColor="text1"/>
          <w14:textFill>
            <w14:solidFill>
              <w14:schemeClr w14:val="tx1"/>
            </w14:solidFill>
          </w14:textFill>
        </w:rPr>
      </w:pPr>
      <w:bookmarkStart w:id="377" w:name="_Toc57039913"/>
      <w:bookmarkStart w:id="378" w:name="_Toc57036154"/>
      <w:bookmarkStart w:id="379" w:name="_Toc6321"/>
      <w:bookmarkStart w:id="380" w:name="_Toc54050927"/>
      <w:bookmarkStart w:id="381" w:name="_Toc7501"/>
      <w:bookmarkStart w:id="382" w:name="_Hlk525251064"/>
      <w:r>
        <w:rPr>
          <w:rFonts w:hint="default" w:ascii="Times New Roman" w:hAnsi="Times New Roman" w:eastAsia="仿宋" w:cs="Times New Roman"/>
          <w:color w:val="000000" w:themeColor="text1"/>
          <w14:textFill>
            <w14:solidFill>
              <w14:schemeClr w14:val="tx1"/>
            </w14:solidFill>
          </w14:textFill>
        </w:rPr>
        <w:t>6.6.1 信息发布部门</w:t>
      </w:r>
      <w:bookmarkEnd w:id="377"/>
      <w:bookmarkEnd w:id="378"/>
      <w:bookmarkEnd w:id="379"/>
      <w:bookmarkEnd w:id="380"/>
      <w:bookmarkEnd w:id="381"/>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本公司突发环境事件详细情况上报后，环境突发事件信息由上级政府部门统一公开发布。</w:t>
      </w:r>
    </w:p>
    <w:p>
      <w:pPr>
        <w:pStyle w:val="4"/>
        <w:rPr>
          <w:rFonts w:hint="default" w:ascii="Times New Roman" w:hAnsi="Times New Roman" w:eastAsia="仿宋" w:cs="Times New Roman"/>
          <w:color w:val="000000" w:themeColor="text1"/>
          <w14:textFill>
            <w14:solidFill>
              <w14:schemeClr w14:val="tx1"/>
            </w14:solidFill>
          </w14:textFill>
        </w:rPr>
      </w:pPr>
      <w:bookmarkStart w:id="383" w:name="_Toc8548"/>
      <w:bookmarkStart w:id="384" w:name="_Toc54050928"/>
      <w:bookmarkStart w:id="385" w:name="_Toc57036155"/>
      <w:bookmarkStart w:id="386" w:name="_Toc57039914"/>
      <w:bookmarkStart w:id="387" w:name="_Toc18560"/>
      <w:r>
        <w:rPr>
          <w:rFonts w:hint="default" w:ascii="Times New Roman" w:hAnsi="Times New Roman" w:eastAsia="仿宋" w:cs="Times New Roman"/>
          <w:color w:val="000000" w:themeColor="text1"/>
          <w14:textFill>
            <w14:solidFill>
              <w14:schemeClr w14:val="tx1"/>
            </w14:solidFill>
          </w14:textFill>
        </w:rPr>
        <w:t>6.6.2 信息公开原则</w:t>
      </w:r>
      <w:bookmarkEnd w:id="383"/>
      <w:bookmarkEnd w:id="384"/>
      <w:bookmarkEnd w:id="385"/>
      <w:bookmarkEnd w:id="386"/>
      <w:bookmarkEnd w:id="387"/>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（1）遵守法律、法规、规章、规范和标准；</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（2）实事求是、客观公正、内容详细、及时、准确；</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（3）不弄虚作假，不瞒报、谎报、漏报、不报安全事故；</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（4）自觉接受新闻媒体和社会监督。</w:t>
      </w:r>
    </w:p>
    <w:p>
      <w:pPr>
        <w:pStyle w:val="4"/>
        <w:rPr>
          <w:rFonts w:hint="default" w:ascii="Times New Roman" w:hAnsi="Times New Roman" w:eastAsia="仿宋" w:cs="Times New Roman"/>
          <w:color w:val="000000" w:themeColor="text1"/>
          <w14:textFill>
            <w14:solidFill>
              <w14:schemeClr w14:val="tx1"/>
            </w14:solidFill>
          </w14:textFill>
        </w:rPr>
      </w:pPr>
      <w:bookmarkStart w:id="388" w:name="_Toc32380"/>
      <w:bookmarkStart w:id="389" w:name="_Toc57036156"/>
      <w:bookmarkStart w:id="390" w:name="_Toc57039915"/>
      <w:bookmarkStart w:id="391" w:name="_Toc54050929"/>
      <w:bookmarkStart w:id="392" w:name="_Toc493"/>
      <w:r>
        <w:rPr>
          <w:rFonts w:hint="default" w:ascii="Times New Roman" w:hAnsi="Times New Roman" w:eastAsia="仿宋" w:cs="Times New Roman"/>
          <w:color w:val="000000" w:themeColor="text1"/>
          <w14:textFill>
            <w14:solidFill>
              <w14:schemeClr w14:val="tx1"/>
            </w14:solidFill>
          </w14:textFill>
        </w:rPr>
        <w:t>6.6.3 信息公开方式</w:t>
      </w:r>
      <w:bookmarkEnd w:id="388"/>
      <w:bookmarkEnd w:id="389"/>
      <w:bookmarkEnd w:id="390"/>
      <w:bookmarkEnd w:id="391"/>
      <w:bookmarkEnd w:id="392"/>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及时准确向所在地政府部门通报事故信息，然后由政府部门通过当地新闻媒体和相关新闻媒体（电台、电视台、报社、网络、信件信函、稿件等）公开发布。</w:t>
      </w:r>
      <w:bookmarkEnd w:id="382"/>
    </w:p>
    <w:p>
      <w:pPr>
        <w:pStyle w:val="4"/>
        <w:rPr>
          <w:rFonts w:hint="default" w:ascii="Times New Roman" w:hAnsi="Times New Roman" w:eastAsia="仿宋" w:cs="Times New Roman"/>
          <w:color w:val="000000" w:themeColor="text1"/>
          <w14:textFill>
            <w14:solidFill>
              <w14:schemeClr w14:val="tx1"/>
            </w14:solidFill>
          </w14:textFill>
        </w:rPr>
      </w:pPr>
      <w:bookmarkStart w:id="393" w:name="_Toc5318"/>
      <w:bookmarkStart w:id="394" w:name="_Toc57039916"/>
      <w:bookmarkStart w:id="395" w:name="_Toc57036157"/>
      <w:bookmarkStart w:id="396" w:name="_Toc54050930"/>
      <w:r>
        <w:rPr>
          <w:rFonts w:hint="default" w:ascii="Times New Roman" w:hAnsi="Times New Roman" w:eastAsia="仿宋" w:cs="Times New Roman"/>
          <w:color w:val="000000" w:themeColor="text1"/>
          <w14:textFill>
            <w14:solidFill>
              <w14:schemeClr w14:val="tx1"/>
            </w14:solidFill>
          </w14:textFill>
        </w:rPr>
        <w:t>6.6.4 信息公开内容和对象</w:t>
      </w:r>
      <w:bookmarkEnd w:id="393"/>
      <w:bookmarkEnd w:id="394"/>
      <w:bookmarkEnd w:id="395"/>
      <w:bookmarkEnd w:id="396"/>
    </w:p>
    <w:p>
      <w:pPr>
        <w:spacing w:line="360" w:lineRule="auto"/>
        <w:ind w:firstLine="565" w:firstLineChars="202"/>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信息公开内容为事故发生单位概况，事故发生的时间、地点以及事故现场情况，事故类型及污染物排放的种类、数量，污染物排放已污染的范围，事故可能受影响的区域，已经采取的应急措施等。</w:t>
      </w:r>
    </w:p>
    <w:p>
      <w:pPr>
        <w:spacing w:line="360" w:lineRule="auto"/>
        <w:ind w:firstLine="565" w:firstLineChars="202"/>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rPr>
        <w:t>信息公开对象为事故发生区域及周边可能受影响区域内的居民和企事业单位等。</w:t>
      </w:r>
    </w:p>
    <w:p>
      <w:pPr>
        <w:pStyle w:val="22"/>
        <w:ind w:left="0" w:leftChars="0"/>
        <w:outlineLvl w:val="1"/>
        <w:rPr>
          <w:rFonts w:hint="default" w:ascii="Times New Roman" w:hAnsi="Times New Roman" w:eastAsia="仿宋" w:cs="Times New Roman"/>
          <w:b/>
          <w:szCs w:val="28"/>
        </w:rPr>
      </w:pPr>
      <w:bookmarkStart w:id="397" w:name="_Toc16067"/>
      <w:bookmarkStart w:id="398" w:name="_Toc4555"/>
      <w:bookmarkStart w:id="399" w:name="_Toc533172111"/>
      <w:bookmarkStart w:id="400" w:name="_Toc29255"/>
      <w:bookmarkStart w:id="401" w:name="_Toc54050931"/>
      <w:r>
        <w:rPr>
          <w:rFonts w:hint="default" w:ascii="Times New Roman" w:hAnsi="Times New Roman" w:eastAsia="仿宋" w:cs="Times New Roman"/>
          <w:b/>
          <w:szCs w:val="28"/>
        </w:rPr>
        <w:t>6.7应急终止</w:t>
      </w:r>
      <w:bookmarkEnd w:id="397"/>
      <w:bookmarkEnd w:id="398"/>
      <w:bookmarkEnd w:id="399"/>
      <w:bookmarkEnd w:id="400"/>
      <w:bookmarkEnd w:id="401"/>
    </w:p>
    <w:p>
      <w:pPr>
        <w:pStyle w:val="4"/>
        <w:rPr>
          <w:rFonts w:hint="default" w:ascii="Times New Roman" w:hAnsi="Times New Roman" w:eastAsia="仿宋" w:cs="Times New Roman"/>
          <w:color w:val="000000" w:themeColor="text1"/>
          <w14:textFill>
            <w14:solidFill>
              <w14:schemeClr w14:val="tx1"/>
            </w14:solidFill>
          </w14:textFill>
        </w:rPr>
      </w:pPr>
      <w:bookmarkStart w:id="402" w:name="_Toc54050932"/>
      <w:bookmarkStart w:id="403" w:name="_Toc57036159"/>
      <w:bookmarkStart w:id="404" w:name="_Toc1430"/>
      <w:bookmarkStart w:id="405" w:name="_Toc57039918"/>
      <w:bookmarkStart w:id="406" w:name="_Toc24893"/>
      <w:r>
        <w:rPr>
          <w:rFonts w:hint="default" w:ascii="Times New Roman" w:hAnsi="Times New Roman" w:eastAsia="仿宋" w:cs="Times New Roman"/>
          <w:color w:val="000000" w:themeColor="text1"/>
          <w14:textFill>
            <w14:solidFill>
              <w14:schemeClr w14:val="tx1"/>
            </w14:solidFill>
          </w14:textFill>
        </w:rPr>
        <w:t>6.7.1 应急终止的条件</w:t>
      </w:r>
      <w:bookmarkEnd w:id="402"/>
      <w:bookmarkEnd w:id="403"/>
      <w:bookmarkEnd w:id="404"/>
      <w:bookmarkEnd w:id="405"/>
      <w:bookmarkEnd w:id="406"/>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符合下列条件之一的，即满足应急终止条件：</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（1）事件现场危险状态得到控制，事件发生条件已经消除；</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（2）确认事件发生地人群健康、环境、生物及生态指标已经恢复到常态水平；</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（3）应急监测项目监测结果达到环境质量标准；</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（4）事件所造成的危害已经被彻底消除，无继发可能；</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（5）事件现场的各种专业应急处置行动已无继续的必要；</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（6）采取了必要的防护措施以保护公众免受再次危害，并使事件可能引起的中长期影响趋于合理且尽量低的水平。</w:t>
      </w:r>
    </w:p>
    <w:p>
      <w:pPr>
        <w:pStyle w:val="4"/>
        <w:rPr>
          <w:rFonts w:hint="default" w:ascii="Times New Roman" w:hAnsi="Times New Roman" w:eastAsia="仿宋" w:cs="Times New Roman"/>
          <w:color w:val="000000" w:themeColor="text1"/>
          <w14:textFill>
            <w14:solidFill>
              <w14:schemeClr w14:val="tx1"/>
            </w14:solidFill>
          </w14:textFill>
        </w:rPr>
      </w:pPr>
      <w:bookmarkStart w:id="407" w:name="_Toc57039919"/>
      <w:bookmarkStart w:id="408" w:name="_Toc57036160"/>
      <w:bookmarkStart w:id="409" w:name="_Toc54050933"/>
      <w:bookmarkStart w:id="410" w:name="_Toc29192"/>
      <w:bookmarkStart w:id="411" w:name="_Toc10711"/>
      <w:r>
        <w:rPr>
          <w:rFonts w:hint="default" w:ascii="Times New Roman" w:hAnsi="Times New Roman" w:eastAsia="仿宋" w:cs="Times New Roman"/>
          <w:color w:val="000000" w:themeColor="text1"/>
          <w14:textFill>
            <w14:solidFill>
              <w14:schemeClr w14:val="tx1"/>
            </w14:solidFill>
          </w14:textFill>
        </w:rPr>
        <w:t>6.7.2 应急终止的程序</w:t>
      </w:r>
      <w:bookmarkEnd w:id="407"/>
      <w:bookmarkEnd w:id="408"/>
      <w:bookmarkEnd w:id="409"/>
      <w:bookmarkEnd w:id="410"/>
      <w:bookmarkEnd w:id="411"/>
    </w:p>
    <w:p>
      <w:pPr>
        <w:spacing w:line="360" w:lineRule="auto"/>
        <w:ind w:firstLine="560" w:firstLineChars="200"/>
        <w:rPr>
          <w:rFonts w:hint="default" w:ascii="Times New Roman" w:hAnsi="Times New Roman" w:eastAsia="仿宋" w:cs="Times New Roman"/>
          <w:sz w:val="28"/>
          <w:szCs w:val="28"/>
          <w:lang w:bidi="en-US"/>
        </w:rPr>
      </w:pPr>
      <w:bookmarkStart w:id="412" w:name="_Toc11941"/>
      <w:r>
        <w:rPr>
          <w:rFonts w:hint="default" w:ascii="Times New Roman" w:hAnsi="Times New Roman" w:eastAsia="仿宋" w:cs="Times New Roman"/>
          <w:sz w:val="28"/>
          <w:szCs w:val="28"/>
          <w:lang w:bidi="en-US"/>
        </w:rPr>
        <w:t>（1）当事故现场及周围的危险满足应急终止条件，经过现场各专业应急小组人员检查确认，由现场应急指挥人员批准，宣布应急状态结束，结束救援工作。</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（2）由应急指挥长授权专人通知相关部门、周边地区及人员事故危险已解除，应急结束。</w:t>
      </w:r>
    </w:p>
    <w:p>
      <w:pPr>
        <w:pStyle w:val="4"/>
        <w:rPr>
          <w:rFonts w:hint="default" w:ascii="Times New Roman" w:hAnsi="Times New Roman" w:eastAsia="仿宋" w:cs="Times New Roman"/>
          <w:color w:val="000000" w:themeColor="text1"/>
          <w14:textFill>
            <w14:solidFill>
              <w14:schemeClr w14:val="tx1"/>
            </w14:solidFill>
          </w14:textFill>
        </w:rPr>
      </w:pPr>
      <w:bookmarkStart w:id="413" w:name="_Toc19433"/>
      <w:bookmarkStart w:id="414" w:name="_Toc54050934"/>
      <w:bookmarkStart w:id="415" w:name="_Toc57036161"/>
      <w:bookmarkStart w:id="416" w:name="_Toc57039920"/>
      <w:r>
        <w:rPr>
          <w:rFonts w:hint="default" w:ascii="Times New Roman" w:hAnsi="Times New Roman" w:eastAsia="仿宋" w:cs="Times New Roman"/>
          <w:color w:val="000000" w:themeColor="text1"/>
          <w14:textFill>
            <w14:solidFill>
              <w14:schemeClr w14:val="tx1"/>
            </w14:solidFill>
          </w14:textFill>
        </w:rPr>
        <w:t>6.7.3 应急终止后的行动</w:t>
      </w:r>
      <w:bookmarkEnd w:id="412"/>
      <w:bookmarkEnd w:id="413"/>
      <w:bookmarkEnd w:id="414"/>
      <w:bookmarkEnd w:id="415"/>
      <w:bookmarkEnd w:id="416"/>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（1）事故情况上报事项：事故伤亡人数、重</w:t>
      </w:r>
      <w:r>
        <w:rPr>
          <w:rFonts w:hint="default" w:ascii="Times New Roman" w:hAnsi="Times New Roman" w:eastAsia="仿宋" w:cs="Times New Roman"/>
          <w:sz w:val="28"/>
          <w:szCs w:val="28"/>
          <w:lang w:val="en-US" w:eastAsia="zh-CN" w:bidi="en-US"/>
        </w:rPr>
        <w:t>/</w:t>
      </w:r>
      <w:r>
        <w:rPr>
          <w:rFonts w:hint="default" w:ascii="Times New Roman" w:hAnsi="Times New Roman" w:eastAsia="仿宋" w:cs="Times New Roman"/>
          <w:sz w:val="28"/>
          <w:szCs w:val="28"/>
          <w:lang w:bidi="en-US"/>
        </w:rPr>
        <w:t>轻伤人数、经济损失、参与响应情况、处理措施、经验教训、总结报告；</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（2）向事故调查组移交的相关事项：参与响应情况、救援措施、应急记录、相关图片、图纸、事故原因、后期处置相关事项等；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（3）应急救援结束：由应急指挥部批准宣布；</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（4）事故应急救援工作总结：由应急指挥部负责。总结内容：</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①写出书面报告；</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②收集整理所有应急记录、处置方案及措施、文件资料等；</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③总结事故应急救援预案的实施，应急救援预案保障，查清事故原因，总结经验教训；</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④评估事故损失及事故应急预案的适用性，并对预案进行修订，编制和完善应急预案；</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⑤同时制定出事故防范措施；</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⑥总结报告上报安全生产管理部门和相关部门；</w:t>
      </w:r>
    </w:p>
    <w:p>
      <w:pPr>
        <w:spacing w:line="360" w:lineRule="auto"/>
        <w:ind w:firstLine="560" w:firstLineChars="200"/>
        <w:rPr>
          <w:rFonts w:hint="default" w:ascii="Times New Roman" w:hAnsi="Times New Roman" w:eastAsia="仿宋" w:cs="Times New Roman"/>
          <w:sz w:val="28"/>
          <w:szCs w:val="28"/>
          <w:lang w:bidi="en-US"/>
        </w:rPr>
      </w:pPr>
      <w:r>
        <w:rPr>
          <w:rFonts w:hint="default" w:ascii="Times New Roman" w:hAnsi="Times New Roman" w:eastAsia="仿宋" w:cs="Times New Roman"/>
          <w:sz w:val="28"/>
          <w:szCs w:val="28"/>
          <w:lang w:bidi="en-US"/>
        </w:rPr>
        <w:t>⑦总结报告存档备案。</w:t>
      </w:r>
    </w:p>
    <w:p>
      <w:pPr>
        <w:pStyle w:val="19"/>
        <w:outlineLvl w:val="0"/>
        <w:rPr>
          <w:rFonts w:hint="default" w:ascii="Times New Roman" w:hAnsi="Times New Roman" w:eastAsia="仿宋" w:cs="Times New Roman"/>
          <w:sz w:val="36"/>
          <w:szCs w:val="36"/>
        </w:rPr>
      </w:pPr>
      <w:bookmarkStart w:id="417" w:name="_Toc20486"/>
      <w:bookmarkStart w:id="418" w:name="_Toc533172112"/>
      <w:bookmarkStart w:id="419" w:name="_Toc30145"/>
      <w:bookmarkStart w:id="420" w:name="_Toc25826"/>
      <w:bookmarkStart w:id="421" w:name="_Toc54050935"/>
      <w:bookmarkStart w:id="422" w:name="_Toc4071"/>
      <w:bookmarkStart w:id="423" w:name="_Toc26823"/>
      <w:bookmarkStart w:id="424" w:name="_Toc533172118"/>
      <w:r>
        <w:rPr>
          <w:rFonts w:hint="default" w:ascii="Times New Roman" w:hAnsi="Times New Roman" w:eastAsia="仿宋" w:cs="Times New Roman"/>
          <w:sz w:val="36"/>
          <w:szCs w:val="36"/>
        </w:rPr>
        <w:t>7.后期处理</w:t>
      </w:r>
      <w:bookmarkEnd w:id="417"/>
      <w:bookmarkEnd w:id="418"/>
      <w:bookmarkEnd w:id="419"/>
      <w:bookmarkEnd w:id="420"/>
      <w:bookmarkEnd w:id="421"/>
    </w:p>
    <w:p>
      <w:pPr>
        <w:pStyle w:val="22"/>
        <w:ind w:left="0" w:leftChars="0"/>
        <w:outlineLvl w:val="1"/>
        <w:rPr>
          <w:rFonts w:hint="default" w:ascii="Times New Roman" w:hAnsi="Times New Roman" w:eastAsia="仿宋" w:cs="Times New Roman"/>
          <w:b/>
          <w:szCs w:val="28"/>
        </w:rPr>
      </w:pPr>
      <w:bookmarkStart w:id="425" w:name="_Toc26654"/>
      <w:bookmarkStart w:id="426" w:name="_Toc54050936"/>
      <w:bookmarkStart w:id="427" w:name="_Toc10978"/>
      <w:bookmarkStart w:id="428" w:name="_Toc533172113"/>
      <w:bookmarkStart w:id="429" w:name="_Toc10206"/>
      <w:r>
        <w:rPr>
          <w:rFonts w:hint="default" w:ascii="Times New Roman" w:hAnsi="Times New Roman" w:eastAsia="仿宋" w:cs="Times New Roman"/>
          <w:b/>
          <w:szCs w:val="28"/>
        </w:rPr>
        <w:t>7.1 善后处置</w:t>
      </w:r>
      <w:bookmarkEnd w:id="425"/>
      <w:bookmarkEnd w:id="426"/>
      <w:bookmarkEnd w:id="427"/>
      <w:bookmarkEnd w:id="428"/>
      <w:bookmarkEnd w:id="429"/>
    </w:p>
    <w:p>
      <w:pPr>
        <w:spacing w:beforeLines="50"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bookmarkStart w:id="430" w:name="_Toc28163"/>
      <w:r>
        <w:rPr>
          <w:rFonts w:hint="default" w:ascii="Times New Roman" w:hAnsi="Times New Roman" w:eastAsia="仿宋" w:cs="Times New Roman"/>
          <w:color w:val="000000" w:themeColor="text1"/>
          <w:sz w:val="28"/>
          <w:szCs w:val="28"/>
          <w:lang w:bidi="en-US"/>
          <w14:textFill>
            <w14:solidFill>
              <w14:schemeClr w14:val="tx1"/>
            </w14:solidFill>
          </w14:textFill>
        </w:rPr>
        <w:t>根据法律、法规规定，努力做好善后处置工作：</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（1）认真及时做好造成损失的补偿工作；对于造成环境污染的土壤、水体必要时候按照法规要求进行补偿或污染修复；</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（2）做好受伤人员的医疗救治、工伤鉴定工作；</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（3）及时支付保险的赔付及补偿；</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（4）核算应急救援发生的费用，及时支付应急救援费用和征用应急物资的补偿；</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（5）收集整理事故应急救援记录、图纸、方案、措施等资料；</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（6）认真核实参加应急救援人员，清点救援装备器材及发生的费用；</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（7）安抚受伤及受影响人员，保证社会稳定，恢复正常秩序；</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（8）现场清理、消毒、灾后重建、尽快消除事故后果和影响，对现场废弃物料清理，并堆存于专门的收集场所；</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（9）制定防范措施，加强环保安全管理，深化环保、安全专项整治。加大环保、安全投入，对于污染物治理设施进行评估，加大投资或改造，防止事故再次发生；</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（10）认真落实环保、安全生产责任制和环保、安全操作规程；</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（11）修订和完善事故应急救援预案，制定事故防范措施；</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（12）总结经验汲取教训，查出事故原因，解决处理办法，写出总结报告。</w:t>
      </w:r>
    </w:p>
    <w:p>
      <w:pPr>
        <w:pStyle w:val="22"/>
        <w:ind w:left="0" w:leftChars="0"/>
        <w:outlineLvl w:val="1"/>
        <w:rPr>
          <w:rFonts w:hint="default" w:ascii="Times New Roman" w:hAnsi="Times New Roman" w:eastAsia="仿宋" w:cs="Times New Roman"/>
          <w:b/>
          <w:szCs w:val="28"/>
        </w:rPr>
      </w:pPr>
      <w:bookmarkStart w:id="431" w:name="_Toc12833"/>
      <w:bookmarkStart w:id="432" w:name="_Toc54050937"/>
      <w:bookmarkStart w:id="433" w:name="_Toc25753"/>
      <w:bookmarkStart w:id="434" w:name="_Toc533172114"/>
      <w:r>
        <w:rPr>
          <w:rFonts w:hint="default" w:ascii="Times New Roman" w:hAnsi="Times New Roman" w:eastAsia="仿宋" w:cs="Times New Roman"/>
          <w:b/>
          <w:szCs w:val="28"/>
        </w:rPr>
        <w:t>7.2 警戒与治安</w:t>
      </w:r>
      <w:bookmarkEnd w:id="430"/>
      <w:bookmarkEnd w:id="431"/>
      <w:bookmarkEnd w:id="432"/>
      <w:bookmarkEnd w:id="433"/>
      <w:bookmarkEnd w:id="434"/>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现场警戒治安</w:t>
      </w:r>
      <w:r>
        <w:rPr>
          <w:rFonts w:hint="default" w:ascii="Times New Roman" w:hAnsi="Times New Roman" w:eastAsia="仿宋" w:cs="Times New Roman"/>
          <w:color w:val="000000" w:themeColor="text1"/>
          <w:sz w:val="28"/>
          <w:szCs w:val="28"/>
          <w14:textFill>
            <w14:solidFill>
              <w14:schemeClr w14:val="tx1"/>
            </w14:solidFill>
          </w14:textFill>
        </w:rPr>
        <w:t>工作交由上级部门统一安排，公司警戒疏散组成员全力配合上级部门安排，协助警戒治安工作。</w:t>
      </w:r>
    </w:p>
    <w:p>
      <w:pPr>
        <w:pStyle w:val="22"/>
        <w:ind w:left="0" w:leftChars="0"/>
        <w:outlineLvl w:val="1"/>
        <w:rPr>
          <w:rFonts w:hint="default" w:ascii="Times New Roman" w:hAnsi="Times New Roman" w:eastAsia="仿宋" w:cs="Times New Roman"/>
          <w:b/>
          <w:szCs w:val="28"/>
        </w:rPr>
      </w:pPr>
      <w:bookmarkStart w:id="435" w:name="_Toc32036"/>
      <w:bookmarkStart w:id="436" w:name="_Toc11421"/>
      <w:bookmarkStart w:id="437" w:name="_Toc54050938"/>
      <w:bookmarkStart w:id="438" w:name="_Toc533172115"/>
      <w:bookmarkStart w:id="439" w:name="_Toc26932"/>
      <w:r>
        <w:rPr>
          <w:rFonts w:hint="default" w:ascii="Times New Roman" w:hAnsi="Times New Roman" w:eastAsia="仿宋" w:cs="Times New Roman"/>
          <w:b/>
          <w:szCs w:val="28"/>
        </w:rPr>
        <w:t>7.3 次生灾害防范</w:t>
      </w:r>
      <w:bookmarkEnd w:id="435"/>
      <w:bookmarkEnd w:id="436"/>
      <w:bookmarkEnd w:id="437"/>
      <w:bookmarkEnd w:id="438"/>
      <w:bookmarkEnd w:id="439"/>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（1）现场应急指挥部组织专家进行会商，判断事态发展趋势，制定次生灾害防范措施；</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（2）在事件处理过程中进行持续监测，接到应急状态解除令后，对事件现场及周边地表水、大气污染区域须继续监测，以判断事件现场是否有次生隐患，根据需要完成事件现场其他监测与评估；</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（3）现场应急指挥部进行动态评估，当有可能危及人员生命安全时，应立即指挥撤离；</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（4）现场应急处置人员应根据不同类型环境事件的特点，配备相应的专业防护装备，采取安全防护措施，严格执行应急人员出入事发现场程序；</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（5）根据突发环境事件的性质、特点，告知周围群众应采取的安全防护措施。</w:t>
      </w:r>
    </w:p>
    <w:p>
      <w:pPr>
        <w:pStyle w:val="22"/>
        <w:ind w:left="0" w:leftChars="0"/>
        <w:outlineLvl w:val="1"/>
        <w:rPr>
          <w:rFonts w:hint="default" w:ascii="Times New Roman" w:hAnsi="Times New Roman" w:eastAsia="仿宋" w:cs="Times New Roman"/>
          <w:b/>
          <w:szCs w:val="28"/>
        </w:rPr>
      </w:pPr>
      <w:bookmarkStart w:id="440" w:name="_Toc533172116"/>
      <w:bookmarkStart w:id="441" w:name="_Toc24052"/>
      <w:bookmarkStart w:id="442" w:name="_Toc12158"/>
      <w:bookmarkStart w:id="443" w:name="_Toc17774"/>
      <w:bookmarkStart w:id="444" w:name="_Toc54050939"/>
      <w:r>
        <w:rPr>
          <w:rFonts w:hint="default" w:ascii="Times New Roman" w:hAnsi="Times New Roman" w:eastAsia="仿宋" w:cs="Times New Roman"/>
          <w:b/>
          <w:szCs w:val="28"/>
        </w:rPr>
        <w:t>7.4 调查与评估</w:t>
      </w:r>
      <w:bookmarkEnd w:id="440"/>
      <w:bookmarkEnd w:id="441"/>
      <w:bookmarkEnd w:id="442"/>
      <w:bookmarkEnd w:id="443"/>
      <w:bookmarkEnd w:id="444"/>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应急状态解除后，由公司组织专门机构会同专家，对本次环境突发事故进行调查，并评价本次预案执行和应急期间采用的主要行动和措施进行总结和评价，提出相关建议，形成书面报告。书面报告包括以下内容：</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（1）环境事故事件发生的原因、过程、经济损失情况；</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（2）提出环境事故事件责任者和直接原因；</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（3）提出环境事故事件处理意见和防范措施建议；</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（4）事故发生部门在规定的时间内加以落实并将完成情况书面上报。</w:t>
      </w:r>
    </w:p>
    <w:p>
      <w:pPr>
        <w:pStyle w:val="22"/>
        <w:ind w:left="0" w:leftChars="0"/>
        <w:outlineLvl w:val="1"/>
        <w:rPr>
          <w:rFonts w:hint="default" w:ascii="Times New Roman" w:hAnsi="Times New Roman" w:eastAsia="仿宋" w:cs="Times New Roman"/>
          <w:b/>
          <w:szCs w:val="28"/>
        </w:rPr>
      </w:pPr>
      <w:bookmarkStart w:id="445" w:name="_Toc26087"/>
      <w:bookmarkStart w:id="446" w:name="_Toc30559"/>
      <w:bookmarkStart w:id="447" w:name="_Toc533172117"/>
      <w:bookmarkStart w:id="448" w:name="_Toc11248"/>
      <w:bookmarkStart w:id="449" w:name="_Toc54050940"/>
      <w:r>
        <w:rPr>
          <w:rFonts w:hint="default" w:ascii="Times New Roman" w:hAnsi="Times New Roman" w:eastAsia="仿宋" w:cs="Times New Roman"/>
          <w:b/>
          <w:szCs w:val="28"/>
        </w:rPr>
        <w:t>7.5 生产秩序恢复</w:t>
      </w:r>
      <w:bookmarkEnd w:id="445"/>
      <w:r>
        <w:rPr>
          <w:rFonts w:hint="default" w:ascii="Times New Roman" w:hAnsi="Times New Roman" w:eastAsia="仿宋" w:cs="Times New Roman"/>
          <w:b/>
          <w:szCs w:val="28"/>
        </w:rPr>
        <w:t>重建</w:t>
      </w:r>
      <w:bookmarkEnd w:id="446"/>
      <w:bookmarkEnd w:id="447"/>
      <w:bookmarkEnd w:id="448"/>
      <w:bookmarkEnd w:id="449"/>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突发环境事件应急处置结束后，应立即开展恢复与重建工作。</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对受伤人员安排后期救治；</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（2）按</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、地方政府事件调查组的要求，接受调查；按照管理权限立即组织开展事件调查工作；</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（3）组织进行灾难评估，符合条件的，尽快恢复生产；</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（4）</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根据评估损失情况，编制恢复和重建计划，由</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相关部门进行审批；</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（5）按照</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应急指挥部指令，应急指挥部向地方环保主管部门上报应急总结。并组织</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相关部门对应急响应过程和效果进行评审，整改存在的问题和缺陷，不断修订和完善应急救援预案。</w:t>
      </w:r>
    </w:p>
    <w:p>
      <w:pPr>
        <w:pStyle w:val="19"/>
        <w:outlineLvl w:val="0"/>
        <w:rPr>
          <w:rFonts w:hint="default" w:ascii="Times New Roman" w:hAnsi="Times New Roman" w:eastAsia="仿宋" w:cs="Times New Roman"/>
          <w:sz w:val="36"/>
          <w:szCs w:val="36"/>
        </w:rPr>
      </w:pPr>
      <w:bookmarkStart w:id="450" w:name="_Toc27854"/>
      <w:bookmarkStart w:id="451" w:name="_Toc54050941"/>
      <w:r>
        <w:rPr>
          <w:rFonts w:hint="default" w:ascii="Times New Roman" w:hAnsi="Times New Roman" w:eastAsia="仿宋" w:cs="Times New Roman"/>
          <w:sz w:val="36"/>
          <w:szCs w:val="36"/>
        </w:rPr>
        <w:t>8.应急保障措施</w:t>
      </w:r>
      <w:bookmarkEnd w:id="422"/>
      <w:bookmarkEnd w:id="423"/>
      <w:bookmarkEnd w:id="424"/>
      <w:bookmarkEnd w:id="450"/>
      <w:bookmarkEnd w:id="451"/>
    </w:p>
    <w:p>
      <w:pPr>
        <w:pStyle w:val="22"/>
        <w:ind w:left="0" w:leftChars="0"/>
        <w:outlineLvl w:val="1"/>
        <w:rPr>
          <w:rFonts w:hint="default" w:ascii="Times New Roman" w:hAnsi="Times New Roman" w:eastAsia="仿宋" w:cs="Times New Roman"/>
          <w:b/>
          <w:szCs w:val="28"/>
        </w:rPr>
      </w:pPr>
      <w:bookmarkStart w:id="452" w:name="_Toc533172119"/>
      <w:bookmarkStart w:id="453" w:name="_Toc54050942"/>
      <w:bookmarkStart w:id="454" w:name="_Toc10607"/>
      <w:bookmarkStart w:id="455" w:name="_Toc19080"/>
      <w:bookmarkStart w:id="456" w:name="_Toc12044"/>
      <w:r>
        <w:rPr>
          <w:rFonts w:hint="default" w:ascii="Times New Roman" w:hAnsi="Times New Roman" w:eastAsia="仿宋" w:cs="Times New Roman"/>
          <w:b/>
          <w:szCs w:val="28"/>
        </w:rPr>
        <w:t>8.1 人力资源保障</w:t>
      </w:r>
      <w:bookmarkEnd w:id="452"/>
      <w:bookmarkEnd w:id="453"/>
      <w:bookmarkEnd w:id="454"/>
      <w:bookmarkEnd w:id="455"/>
      <w:bookmarkEnd w:id="456"/>
    </w:p>
    <w:p>
      <w:pPr>
        <w:spacing w:line="360" w:lineRule="auto"/>
        <w:ind w:firstLine="560" w:firstLineChars="200"/>
        <w:rPr>
          <w:rFonts w:hint="default" w:ascii="Times New Roman" w:hAnsi="Times New Roman" w:eastAsia="仿宋" w:cs="Times New Roman"/>
          <w:sz w:val="28"/>
          <w:szCs w:val="28"/>
          <w:lang w:bidi="en-US"/>
        </w:rPr>
      </w:pPr>
      <w:bookmarkStart w:id="457" w:name="_Hlk525251144"/>
      <w:r>
        <w:rPr>
          <w:rFonts w:hint="default" w:ascii="Times New Roman" w:hAnsi="Times New Roman" w:eastAsia="仿宋" w:cs="Times New Roman"/>
          <w:sz w:val="28"/>
          <w:szCs w:val="28"/>
          <w:lang w:bidi="en-US"/>
        </w:rPr>
        <w:t>按照统一规划，参加区域应急联防；加强企业应急队伍的业务培训和应急演练，整合企业现有应急资源，提高装备水平；充分利用社会应急资源，提供应急期间的医疗卫生、治安保卫、交通维护和运输等应急救援力量的保障；加强广大员工应急能力建设，鼓励义务志愿者参与应急工作</w:t>
      </w:r>
      <w:bookmarkEnd w:id="457"/>
      <w:r>
        <w:rPr>
          <w:rFonts w:hint="default" w:ascii="Times New Roman" w:hAnsi="Times New Roman" w:eastAsia="仿宋" w:cs="Times New Roman"/>
          <w:sz w:val="28"/>
          <w:szCs w:val="28"/>
        </w:rPr>
        <w:t>。</w:t>
      </w:r>
    </w:p>
    <w:p>
      <w:pPr>
        <w:pStyle w:val="22"/>
        <w:ind w:left="0" w:leftChars="0"/>
        <w:outlineLvl w:val="1"/>
        <w:rPr>
          <w:rFonts w:hint="default" w:ascii="Times New Roman" w:hAnsi="Times New Roman" w:eastAsia="仿宋" w:cs="Times New Roman"/>
          <w:b/>
          <w:szCs w:val="28"/>
        </w:rPr>
      </w:pPr>
      <w:bookmarkStart w:id="458" w:name="_Toc533172120"/>
      <w:bookmarkStart w:id="459" w:name="_Toc8363"/>
      <w:bookmarkStart w:id="460" w:name="_Toc54050943"/>
      <w:bookmarkStart w:id="461" w:name="_Toc4638"/>
      <w:bookmarkStart w:id="462" w:name="_Toc26418"/>
      <w:r>
        <w:rPr>
          <w:rFonts w:hint="default" w:ascii="Times New Roman" w:hAnsi="Times New Roman" w:eastAsia="仿宋" w:cs="Times New Roman"/>
          <w:b/>
          <w:szCs w:val="28"/>
        </w:rPr>
        <w:t>8.2 资金保障</w:t>
      </w:r>
      <w:bookmarkEnd w:id="458"/>
      <w:bookmarkEnd w:id="459"/>
      <w:bookmarkEnd w:id="460"/>
      <w:bookmarkEnd w:id="461"/>
      <w:bookmarkEnd w:id="462"/>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kern w:val="0"/>
          <w:sz w:val="28"/>
          <w:szCs w:val="28"/>
        </w:rPr>
        <w:t>本公司用于突发环境事件应急资金</w:t>
      </w:r>
      <w:r>
        <w:rPr>
          <w:rFonts w:hint="default" w:ascii="Times New Roman" w:hAnsi="Times New Roman" w:eastAsia="仿宋" w:cs="Times New Roman"/>
          <w:sz w:val="28"/>
          <w:szCs w:val="28"/>
        </w:rPr>
        <w:t>，由企业财务部具体负责，每年初单列计划，专款专用，保证安全环保设施、装备及应急器材的有效、及时更换。</w:t>
      </w:r>
    </w:p>
    <w:p>
      <w:pPr>
        <w:pStyle w:val="22"/>
        <w:ind w:left="0" w:leftChars="0"/>
        <w:outlineLvl w:val="1"/>
        <w:rPr>
          <w:rFonts w:hint="default" w:ascii="Times New Roman" w:hAnsi="Times New Roman" w:eastAsia="仿宋" w:cs="Times New Roman"/>
          <w:b/>
          <w:szCs w:val="28"/>
        </w:rPr>
      </w:pPr>
      <w:bookmarkStart w:id="463" w:name="_Toc533172121"/>
      <w:bookmarkStart w:id="464" w:name="_Toc8086"/>
      <w:bookmarkStart w:id="465" w:name="_Toc54050944"/>
      <w:bookmarkStart w:id="466" w:name="_Toc23583"/>
      <w:bookmarkStart w:id="467" w:name="_Toc26571"/>
      <w:r>
        <w:rPr>
          <w:rFonts w:hint="default" w:ascii="Times New Roman" w:hAnsi="Times New Roman" w:eastAsia="仿宋" w:cs="Times New Roman"/>
          <w:b/>
          <w:szCs w:val="28"/>
        </w:rPr>
        <w:t>8.3 物资及应急设施保障</w:t>
      </w:r>
      <w:bookmarkEnd w:id="463"/>
      <w:bookmarkEnd w:id="464"/>
      <w:bookmarkEnd w:id="465"/>
      <w:bookmarkEnd w:id="466"/>
      <w:bookmarkEnd w:id="467"/>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各有关部门依据各自的职责，根据突发性环境污染事故处置的实际需要，积极做好相应的信息畅通保障工作。</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保障防控突发性环境污染事故所需经费、物资、设备等。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按照任务分工作好物资器材准备工作，准备必要的报警及现场联络工具；消防、抢修、冲洗器材和交通工具。各类器材应设专人保管，并定期检查保养，以备急用。</w:t>
      </w:r>
    </w:p>
    <w:p>
      <w:pPr>
        <w:pStyle w:val="22"/>
        <w:ind w:left="0" w:leftChars="0"/>
        <w:outlineLvl w:val="1"/>
        <w:rPr>
          <w:rFonts w:hint="default" w:ascii="Times New Roman" w:hAnsi="Times New Roman" w:eastAsia="仿宋" w:cs="Times New Roman"/>
          <w:b/>
          <w:szCs w:val="28"/>
        </w:rPr>
      </w:pPr>
      <w:bookmarkStart w:id="468" w:name="_Toc10896"/>
      <w:bookmarkStart w:id="469" w:name="_Toc533172122"/>
      <w:bookmarkStart w:id="470" w:name="_Toc12133"/>
      <w:bookmarkStart w:id="471" w:name="_Toc54050945"/>
      <w:bookmarkStart w:id="472" w:name="_Toc10888"/>
      <w:r>
        <w:rPr>
          <w:rFonts w:hint="default" w:ascii="Times New Roman" w:hAnsi="Times New Roman" w:eastAsia="仿宋" w:cs="Times New Roman"/>
          <w:b/>
          <w:szCs w:val="28"/>
        </w:rPr>
        <w:t>8.4 医疗卫生保障</w:t>
      </w:r>
      <w:bookmarkEnd w:id="468"/>
      <w:bookmarkEnd w:id="469"/>
      <w:bookmarkEnd w:id="470"/>
      <w:bookmarkEnd w:id="471"/>
      <w:bookmarkEnd w:id="472"/>
    </w:p>
    <w:p>
      <w:pPr>
        <w:topLinePunct/>
        <w:autoSpaceDN w:val="0"/>
        <w:spacing w:line="360" w:lineRule="auto"/>
        <w:ind w:firstLine="560" w:firstLineChars="200"/>
        <w:rPr>
          <w:rFonts w:hint="default" w:ascii="Times New Roman" w:hAnsi="Times New Roman" w:eastAsia="仿宋" w:cs="Times New Roman"/>
          <w:kern w:val="0"/>
          <w:sz w:val="28"/>
          <w:szCs w:val="28"/>
        </w:rPr>
      </w:pPr>
      <w:r>
        <w:rPr>
          <w:rFonts w:hint="default" w:ascii="Times New Roman" w:hAnsi="Times New Roman" w:eastAsia="仿宋" w:cs="Times New Roman"/>
          <w:kern w:val="0"/>
          <w:sz w:val="28"/>
          <w:szCs w:val="28"/>
        </w:rPr>
        <w:t>本公司医疗救护依托咸阳市中心医院东郊分院。</w:t>
      </w:r>
    </w:p>
    <w:p>
      <w:pPr>
        <w:pStyle w:val="22"/>
        <w:ind w:left="0" w:leftChars="0"/>
        <w:outlineLvl w:val="1"/>
        <w:rPr>
          <w:rFonts w:hint="default" w:ascii="Times New Roman" w:hAnsi="Times New Roman" w:eastAsia="仿宋" w:cs="Times New Roman"/>
          <w:b/>
          <w:szCs w:val="28"/>
        </w:rPr>
      </w:pPr>
      <w:bookmarkStart w:id="473" w:name="_Toc54050946"/>
      <w:bookmarkStart w:id="474" w:name="_Toc522015407"/>
      <w:bookmarkStart w:id="475" w:name="_Toc533172123"/>
      <w:bookmarkStart w:id="476" w:name="_Toc22361"/>
      <w:bookmarkStart w:id="477" w:name="_Toc19951"/>
      <w:r>
        <w:rPr>
          <w:rFonts w:hint="default" w:ascii="Times New Roman" w:hAnsi="Times New Roman" w:eastAsia="仿宋" w:cs="Times New Roman"/>
          <w:b/>
          <w:szCs w:val="28"/>
        </w:rPr>
        <w:t>8.5 交通运输保障</w:t>
      </w:r>
      <w:bookmarkEnd w:id="473"/>
      <w:bookmarkEnd w:id="474"/>
      <w:bookmarkEnd w:id="475"/>
      <w:bookmarkEnd w:id="476"/>
      <w:bookmarkEnd w:id="477"/>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企业平时安排常驻车辆，以备应急抢险时调用。</w:t>
      </w:r>
    </w:p>
    <w:p>
      <w:pPr>
        <w:pStyle w:val="22"/>
        <w:ind w:left="0" w:leftChars="0"/>
        <w:outlineLvl w:val="1"/>
        <w:rPr>
          <w:rFonts w:hint="default" w:ascii="Times New Roman" w:hAnsi="Times New Roman" w:eastAsia="仿宋" w:cs="Times New Roman"/>
          <w:b/>
          <w:szCs w:val="28"/>
        </w:rPr>
      </w:pPr>
      <w:bookmarkStart w:id="478" w:name="_Toc54050947"/>
      <w:bookmarkStart w:id="479" w:name="_Toc533172124"/>
      <w:bookmarkStart w:id="480" w:name="_Toc13640"/>
      <w:bookmarkStart w:id="481" w:name="_Toc8741"/>
      <w:bookmarkStart w:id="482" w:name="_Toc522015408"/>
      <w:r>
        <w:rPr>
          <w:rFonts w:hint="default" w:ascii="Times New Roman" w:hAnsi="Times New Roman" w:eastAsia="仿宋" w:cs="Times New Roman"/>
          <w:b/>
          <w:szCs w:val="28"/>
        </w:rPr>
        <w:t>8.6 治安维护</w:t>
      </w:r>
      <w:bookmarkEnd w:id="478"/>
      <w:bookmarkEnd w:id="479"/>
      <w:bookmarkEnd w:id="480"/>
      <w:bookmarkEnd w:id="481"/>
      <w:bookmarkEnd w:id="482"/>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治安维护工作由警戒疏散组承担，确保抢险过程中的警戒与治安维护工作。同时，与西咸新区公安局秦汉新城分局建立联系，必要时请求派出所支援现场，维护治安。</w:t>
      </w:r>
    </w:p>
    <w:p>
      <w:pPr>
        <w:pStyle w:val="22"/>
        <w:ind w:left="0" w:leftChars="0"/>
        <w:outlineLvl w:val="1"/>
        <w:rPr>
          <w:rFonts w:hint="default" w:ascii="Times New Roman" w:hAnsi="Times New Roman" w:eastAsia="仿宋" w:cs="Times New Roman"/>
          <w:b/>
          <w:szCs w:val="28"/>
        </w:rPr>
      </w:pPr>
      <w:bookmarkStart w:id="483" w:name="_Toc31995"/>
      <w:bookmarkStart w:id="484" w:name="_Toc522015409"/>
      <w:bookmarkStart w:id="485" w:name="_Toc533172125"/>
      <w:bookmarkStart w:id="486" w:name="_Toc21057"/>
      <w:bookmarkStart w:id="487" w:name="_Toc54050948"/>
      <w:r>
        <w:rPr>
          <w:rFonts w:hint="default" w:ascii="Times New Roman" w:hAnsi="Times New Roman" w:eastAsia="仿宋" w:cs="Times New Roman"/>
          <w:b/>
          <w:szCs w:val="28"/>
        </w:rPr>
        <w:t>8.7 通讯保障</w:t>
      </w:r>
      <w:bookmarkEnd w:id="483"/>
      <w:bookmarkEnd w:id="484"/>
      <w:bookmarkEnd w:id="485"/>
      <w:bookmarkEnd w:id="486"/>
      <w:bookmarkEnd w:id="487"/>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通讯联络组负责建立、完善应急通讯系统，配备必要的应急通讯器材，在应急工作中确保应急通信畅通并负责保障生产调度指挥系统运行可靠。</w:t>
      </w:r>
    </w:p>
    <w:p>
      <w:pPr>
        <w:pStyle w:val="22"/>
        <w:ind w:left="0" w:leftChars="0"/>
        <w:outlineLvl w:val="1"/>
        <w:rPr>
          <w:rFonts w:hint="default" w:ascii="Times New Roman" w:hAnsi="Times New Roman" w:eastAsia="仿宋" w:cs="Times New Roman"/>
          <w:b/>
          <w:szCs w:val="28"/>
        </w:rPr>
      </w:pPr>
      <w:bookmarkStart w:id="488" w:name="_Toc27447"/>
      <w:bookmarkStart w:id="489" w:name="_Toc28986"/>
      <w:bookmarkStart w:id="490" w:name="_Toc533172126"/>
      <w:bookmarkStart w:id="491" w:name="_Toc522015411"/>
      <w:bookmarkStart w:id="492" w:name="_Toc54050949"/>
      <w:r>
        <w:rPr>
          <w:rFonts w:hint="default" w:ascii="Times New Roman" w:hAnsi="Times New Roman" w:eastAsia="仿宋" w:cs="Times New Roman"/>
          <w:b/>
          <w:szCs w:val="28"/>
        </w:rPr>
        <w:t>8.8 应急资料</w:t>
      </w:r>
      <w:bookmarkEnd w:id="488"/>
      <w:bookmarkEnd w:id="489"/>
      <w:bookmarkEnd w:id="490"/>
      <w:bookmarkEnd w:id="491"/>
      <w:bookmarkEnd w:id="492"/>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应急时可能用到的资料主要有：</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（1）厂区平面图、应急物资分布图；</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（2）应急人员联系电话；</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（3）外部单位联系电话；</w:t>
      </w:r>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（4）当地政府部门电话；</w:t>
      </w:r>
    </w:p>
    <w:p>
      <w:pPr>
        <w:pStyle w:val="19"/>
        <w:outlineLvl w:val="0"/>
        <w:rPr>
          <w:rFonts w:hint="default" w:ascii="Times New Roman" w:hAnsi="Times New Roman" w:eastAsia="仿宋" w:cs="Times New Roman"/>
          <w:sz w:val="36"/>
          <w:szCs w:val="36"/>
        </w:rPr>
      </w:pPr>
      <w:bookmarkStart w:id="493" w:name="_Toc8942"/>
      <w:bookmarkStart w:id="494" w:name="_Toc21990"/>
      <w:bookmarkStart w:id="495" w:name="_Toc533172127"/>
      <w:bookmarkStart w:id="496" w:name="_Toc54050950"/>
      <w:r>
        <w:rPr>
          <w:rFonts w:hint="default" w:ascii="Times New Roman" w:hAnsi="Times New Roman" w:eastAsia="仿宋" w:cs="Times New Roman"/>
          <w:sz w:val="36"/>
          <w:szCs w:val="36"/>
        </w:rPr>
        <w:t>9.监督与管理</w:t>
      </w:r>
      <w:bookmarkEnd w:id="493"/>
      <w:bookmarkEnd w:id="494"/>
      <w:bookmarkEnd w:id="495"/>
      <w:bookmarkEnd w:id="496"/>
    </w:p>
    <w:p>
      <w:pPr>
        <w:pStyle w:val="22"/>
        <w:ind w:left="0" w:leftChars="0"/>
        <w:outlineLvl w:val="1"/>
        <w:rPr>
          <w:rFonts w:hint="default" w:ascii="Times New Roman" w:hAnsi="Times New Roman" w:eastAsia="仿宋" w:cs="Times New Roman"/>
          <w:b/>
          <w:szCs w:val="28"/>
        </w:rPr>
      </w:pPr>
      <w:bookmarkStart w:id="497" w:name="_Toc25012"/>
      <w:bookmarkStart w:id="498" w:name="_Toc533172128"/>
      <w:bookmarkStart w:id="499" w:name="_Toc18853"/>
      <w:bookmarkStart w:id="500" w:name="_Toc54050951"/>
      <w:bookmarkStart w:id="501" w:name="_Toc19564"/>
      <w:bookmarkStart w:id="502" w:name="_Toc12269"/>
      <w:bookmarkStart w:id="503" w:name="_Toc5108"/>
      <w:bookmarkStart w:id="504" w:name="_Toc10444"/>
      <w:bookmarkStart w:id="505" w:name="_Toc3128"/>
      <w:bookmarkStart w:id="506" w:name="_Toc20037"/>
      <w:bookmarkStart w:id="507" w:name="_Toc7606"/>
      <w:r>
        <w:rPr>
          <w:rFonts w:hint="default" w:ascii="Times New Roman" w:hAnsi="Times New Roman" w:eastAsia="仿宋" w:cs="Times New Roman"/>
          <w:b/>
          <w:szCs w:val="28"/>
        </w:rPr>
        <w:t>9.1 应急预案演练</w:t>
      </w:r>
      <w:bookmarkEnd w:id="497"/>
      <w:bookmarkEnd w:id="498"/>
      <w:bookmarkEnd w:id="499"/>
      <w:bookmarkEnd w:id="500"/>
      <w:bookmarkEnd w:id="501"/>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应急预案发布后，由</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应急指挥部组织，按照应急预案内容，根据</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人员的业务和危险点源性质分布等识别评价的实际情况进行演练，把责任落实到每个岗位。举行应急救援演练，使从业人员熟知和掌握事故应急救援知识。</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组织机构：</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应急指挥部。</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范围：根据突发环境事件类型确定演练范围。一般分为车间部门演练及</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级演练，必要时可扩大至周边可能受影响的区域。</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频次：每年至少举行一次。</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规模：</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全体工作人员、危险区域企业等。</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内容：</w:t>
      </w:r>
      <w:r>
        <w:rPr>
          <w:rFonts w:hint="default" w:ascii="Times New Roman" w:hAnsi="Times New Roman" w:eastAsia="仿宋" w:cs="Times New Roman"/>
          <w:color w:val="000000" w:themeColor="text1"/>
          <w:sz w:val="28"/>
          <w:szCs w:val="28"/>
          <w14:textFill>
            <w14:solidFill>
              <w14:schemeClr w14:val="tx1"/>
            </w14:solidFill>
          </w14:textFill>
        </w:rPr>
        <w:t>公司</w:t>
      </w:r>
      <w:r>
        <w:rPr>
          <w:rFonts w:hint="default" w:ascii="Times New Roman" w:hAnsi="Times New Roman" w:eastAsia="仿宋" w:cs="Times New Roman"/>
          <w:color w:val="000000" w:themeColor="text1"/>
          <w:sz w:val="28"/>
          <w:szCs w:val="28"/>
          <w:lang w:bidi="en-US"/>
          <w14:textFill>
            <w14:solidFill>
              <w14:schemeClr w14:val="tx1"/>
            </w14:solidFill>
          </w14:textFill>
        </w:rPr>
        <w:t>突发环境事件应急预案内容。</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方式：模拟事故方式。</w:t>
      </w:r>
    </w:p>
    <w:p>
      <w:pPr>
        <w:spacing w:line="360" w:lineRule="auto"/>
        <w:ind w:firstLine="560" w:firstLineChars="200"/>
        <w:rPr>
          <w:rFonts w:hint="default" w:ascii="Times New Roman" w:hAnsi="Times New Roman" w:eastAsia="仿宋" w:cs="Times New Roman"/>
          <w:color w:val="000000" w:themeColor="text1"/>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总结与评估：演练完毕后写出总结评估报告，检验应急预案的可行性、适用性和存在的问题，便于完善修订应急预案。演练总结及其他材料应在指挥部办公室存档。</w:t>
      </w:r>
    </w:p>
    <w:p>
      <w:pPr>
        <w:pStyle w:val="22"/>
        <w:ind w:left="0" w:leftChars="0"/>
        <w:outlineLvl w:val="1"/>
        <w:rPr>
          <w:rFonts w:hint="default" w:ascii="Times New Roman" w:hAnsi="Times New Roman" w:eastAsia="仿宋" w:cs="Times New Roman"/>
          <w:b/>
          <w:szCs w:val="28"/>
        </w:rPr>
      </w:pPr>
      <w:bookmarkStart w:id="508" w:name="_Toc8768"/>
      <w:bookmarkStart w:id="509" w:name="_Toc533172129"/>
      <w:bookmarkStart w:id="510" w:name="_Toc10566"/>
      <w:bookmarkStart w:id="511" w:name="_Toc5715"/>
      <w:bookmarkStart w:id="512" w:name="_Toc54050952"/>
      <w:r>
        <w:rPr>
          <w:rFonts w:hint="default" w:ascii="Times New Roman" w:hAnsi="Times New Roman" w:eastAsia="仿宋" w:cs="Times New Roman"/>
          <w:b/>
          <w:szCs w:val="28"/>
        </w:rPr>
        <w:t>9.2 应急培训教育</w:t>
      </w:r>
      <w:bookmarkEnd w:id="508"/>
      <w:bookmarkEnd w:id="509"/>
      <w:bookmarkEnd w:id="510"/>
      <w:bookmarkEnd w:id="511"/>
      <w:bookmarkEnd w:id="512"/>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为了确保企业建立快速、有序、有效的应急反应能力，企业员工必须熟悉厂内的突发事故类型、风险特性，并掌握正确的应急措施，必须对全体员工进行应急培训。另外，应采取一定措施进行公众环境安全知识的宣传教育。</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（一）培训计划</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应急人员定期培训：每年不少于一次，时间不少于6个小时。</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培训内容：法律法规、标准、规范、制度和应急预案演练内容。</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（二）培训内容</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应急救援队伍的培训内容</w:t>
      </w:r>
    </w:p>
    <w:p>
      <w:pPr>
        <w:spacing w:line="360" w:lineRule="auto"/>
        <w:ind w:firstLine="56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①消防抢险</w:t>
      </w:r>
      <w:r>
        <w:rPr>
          <w:rFonts w:hint="default" w:ascii="Times New Roman" w:hAnsi="Times New Roman" w:eastAsia="仿宋" w:cs="Times New Roman"/>
          <w:color w:val="000000" w:themeColor="text1"/>
          <w:sz w:val="28"/>
          <w:szCs w:val="28"/>
          <w14:textFill>
            <w14:solidFill>
              <w14:schemeClr w14:val="tx1"/>
            </w14:solidFill>
          </w14:textFill>
        </w:rPr>
        <w:t>组</w:t>
      </w:r>
      <w:r>
        <w:rPr>
          <w:rFonts w:hint="default" w:ascii="Times New Roman" w:hAnsi="Times New Roman" w:eastAsia="仿宋" w:cs="Times New Roman"/>
          <w:color w:val="000000" w:themeColor="text1"/>
          <w:sz w:val="28"/>
          <w:szCs w:val="28"/>
          <w:lang w:bidi="en-US"/>
          <w14:textFill>
            <w14:solidFill>
              <w14:schemeClr w14:val="tx1"/>
            </w14:solidFill>
          </w14:textFill>
        </w:rPr>
        <w:t>：各种灭火物资的使用方法、各种物质的灭火方法、地面洗消方法、洗消废水疏导方法、应急抢修处置方法；</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②通讯联络</w:t>
      </w:r>
      <w:r>
        <w:rPr>
          <w:rFonts w:hint="default" w:ascii="Times New Roman" w:hAnsi="Times New Roman" w:eastAsia="仿宋" w:cs="Times New Roman"/>
          <w:color w:val="000000" w:themeColor="text1"/>
          <w:sz w:val="28"/>
          <w:szCs w:val="28"/>
          <w14:textFill>
            <w14:solidFill>
              <w14:schemeClr w14:val="tx1"/>
            </w14:solidFill>
          </w14:textFill>
        </w:rPr>
        <w:t>组</w:t>
      </w:r>
      <w:r>
        <w:rPr>
          <w:rFonts w:hint="default" w:ascii="Times New Roman" w:hAnsi="Times New Roman" w:eastAsia="仿宋" w:cs="Times New Roman"/>
          <w:color w:val="000000" w:themeColor="text1"/>
          <w:sz w:val="28"/>
          <w:szCs w:val="28"/>
          <w:lang w:bidi="en-US"/>
          <w14:textFill>
            <w14:solidFill>
              <w14:schemeClr w14:val="tx1"/>
            </w14:solidFill>
          </w14:textFill>
        </w:rPr>
        <w:t>：突发事件信息上报方法、突发事件宣传引导方法；</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③医疗救护组：常规受伤人员的急救方法；</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④警戒疏散组；人员疏散方法；</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⑤善后处理组：调查、取证方法培训，事故现场洗消方法培训。</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（三）培训方式</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通过外部环保相关知识学习、安全消防知识培训；内部环保安全知识学习、技能操作、应急演练等。</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（四）培训要求</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①认真遵守法律、法规、标准、规范、安全规章制度；</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②接受上级安全机构对法人、安全管理人员、特种作业人员及其他工作人员的安全培训和学习；积极参加各级环保机构对于企业环保、应急、清洁生产等培训要求；</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③企业按安全管理规定组织职工定期、不定期的环保安全消防知识学习和培训。提高从业人员安全意识、事故预防和应急处置能力；</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 xml:space="preserve">④组织员工学习和掌握应急救援知识、自救、互救知识，达到应急时既能统一指挥、密切配合，又能提高应急处置、安全防范、保护自己、保护他人的能力； </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⑤从业人员自觉学习环境保护、消防安全知识，积极参与环境保护、消防安全培训和各项活动，掌握环境保护、安全消防方针、政策、法律、法规，实现企业生产与环境保护、安全的两个统一发展。</w:t>
      </w:r>
    </w:p>
    <w:p>
      <w:pPr>
        <w:pStyle w:val="22"/>
        <w:ind w:left="0" w:leftChars="0"/>
        <w:outlineLvl w:val="1"/>
        <w:rPr>
          <w:rFonts w:hint="default" w:ascii="Times New Roman" w:hAnsi="Times New Roman" w:eastAsia="仿宋" w:cs="Times New Roman"/>
          <w:b/>
          <w:szCs w:val="28"/>
        </w:rPr>
      </w:pPr>
      <w:bookmarkStart w:id="513" w:name="_Toc19605"/>
      <w:bookmarkStart w:id="514" w:name="_Toc533172130"/>
      <w:bookmarkStart w:id="515" w:name="_Toc54050953"/>
      <w:bookmarkStart w:id="516" w:name="_Toc7918"/>
      <w:bookmarkStart w:id="517" w:name="_Toc17959"/>
      <w:r>
        <w:rPr>
          <w:rFonts w:hint="default" w:ascii="Times New Roman" w:hAnsi="Times New Roman" w:eastAsia="仿宋" w:cs="Times New Roman"/>
          <w:b/>
          <w:szCs w:val="28"/>
        </w:rPr>
        <w:t>9.3 责任与奖惩</w:t>
      </w:r>
      <w:bookmarkEnd w:id="513"/>
      <w:bookmarkEnd w:id="514"/>
      <w:bookmarkEnd w:id="515"/>
      <w:bookmarkEnd w:id="516"/>
      <w:bookmarkEnd w:id="517"/>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（1）奖则</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对在应急工作中作出突出贡献的个人给予表彰和奖励。</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①及时发现险情，并采取有效措施制止险情发生，给予通报表彰，视险情程度，酌情给予现金奖励；</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②在抢险过程中，奋不顾身，为控制险情发展，做出突出贡献的，给予</w:t>
      </w:r>
      <w:r>
        <w:rPr>
          <w:rFonts w:hint="default" w:ascii="Times New Roman" w:hAnsi="Times New Roman" w:eastAsia="仿宋" w:cs="Times New Roman"/>
          <w:color w:val="000000" w:themeColor="text1"/>
          <w:sz w:val="28"/>
          <w:szCs w:val="28"/>
          <w:lang w:val="en-US" w:eastAsia="zh-CN" w:bidi="en-US"/>
          <w14:textFill>
            <w14:solidFill>
              <w14:schemeClr w14:val="tx1"/>
            </w14:solidFill>
          </w14:textFill>
        </w:rPr>
        <w:t>晋升</w:t>
      </w:r>
      <w:r>
        <w:rPr>
          <w:rFonts w:hint="default" w:ascii="Times New Roman" w:hAnsi="Times New Roman" w:eastAsia="仿宋" w:cs="Times New Roman"/>
          <w:color w:val="000000" w:themeColor="text1"/>
          <w:sz w:val="28"/>
          <w:szCs w:val="28"/>
          <w:lang w:bidi="en-US"/>
          <w14:textFill>
            <w14:solidFill>
              <w14:schemeClr w14:val="tx1"/>
            </w14:solidFill>
          </w14:textFill>
        </w:rPr>
        <w:t>和现金奖励。</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bookmarkStart w:id="518" w:name="_Toc17539"/>
      <w:r>
        <w:rPr>
          <w:rFonts w:hint="default" w:ascii="Times New Roman" w:hAnsi="Times New Roman" w:eastAsia="仿宋" w:cs="Times New Roman"/>
          <w:color w:val="000000" w:themeColor="text1"/>
          <w:sz w:val="28"/>
          <w:szCs w:val="28"/>
          <w:lang w:bidi="en-US"/>
          <w14:textFill>
            <w14:solidFill>
              <w14:schemeClr w14:val="tx1"/>
            </w14:solidFill>
          </w14:textFill>
        </w:rPr>
        <w:t>（2）罚则</w:t>
      </w:r>
      <w:bookmarkEnd w:id="518"/>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应急处置工作实行领导负责制和责任追究制。</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对迟报、谎报、瞒报和漏报情况或在应急工作中有其它失职、渎职、畏缩不前等行为的，按规定给予处罚：</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①对发生非人为原因的环境突发事件的现场当事人迟报、谎报、瞒报和漏报行为的，视其情节分别给予行政警告、记过、开除处分；给予行政处分的同时，可同时给予经济处罚；</w:t>
      </w:r>
    </w:p>
    <w:p>
      <w:pPr>
        <w:spacing w:line="360" w:lineRule="auto"/>
        <w:ind w:firstLine="560" w:firstLineChars="200"/>
        <w:rPr>
          <w:rFonts w:hint="default" w:ascii="Times New Roman" w:hAnsi="Times New Roman" w:eastAsia="仿宋" w:cs="Times New Roman"/>
          <w:color w:val="000000" w:themeColor="text1"/>
          <w:sz w:val="28"/>
          <w:szCs w:val="28"/>
          <w:lang w:bidi="en-US"/>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②在对事故处理过程中，发生的失职、渎职、畏缩不前的，部门领导在事故处理过程中，配合不力的，要追究责任，对事故处理造成不利影响的，视其情节分别给予行政警告、记过、开除处分；给予行政处分的同时，可同时给予经济处罚；</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lang w:bidi="en-US"/>
          <w14:textFill>
            <w14:solidFill>
              <w14:schemeClr w14:val="tx1"/>
            </w14:solidFill>
          </w14:textFill>
        </w:rPr>
        <w:t>③对事故中由于失职、渎职造成重大人员、财产损失，构成犯罪的，移交司法机关，依法处置。</w:t>
      </w:r>
    </w:p>
    <w:p>
      <w:pPr>
        <w:pStyle w:val="22"/>
        <w:ind w:left="0" w:leftChars="0"/>
        <w:outlineLvl w:val="1"/>
        <w:rPr>
          <w:rFonts w:hint="default" w:ascii="Times New Roman" w:hAnsi="Times New Roman" w:eastAsia="仿宋" w:cs="Times New Roman"/>
          <w:b/>
          <w:szCs w:val="28"/>
        </w:rPr>
      </w:pPr>
      <w:bookmarkStart w:id="519" w:name="_Toc493088670"/>
      <w:bookmarkStart w:id="520" w:name="_Toc533172131"/>
      <w:bookmarkStart w:id="521" w:name="_Toc54050954"/>
      <w:bookmarkStart w:id="522" w:name="_Toc26072"/>
      <w:bookmarkStart w:id="523" w:name="_Toc4137"/>
      <w:bookmarkStart w:id="524" w:name="_Toc9336"/>
      <w:r>
        <w:rPr>
          <w:rFonts w:hint="default" w:ascii="Times New Roman" w:hAnsi="Times New Roman" w:eastAsia="仿宋" w:cs="Times New Roman"/>
          <w:b/>
          <w:szCs w:val="28"/>
        </w:rPr>
        <w:t>9.4 预案管理</w:t>
      </w:r>
      <w:bookmarkEnd w:id="519"/>
      <w:bookmarkEnd w:id="520"/>
      <w:bookmarkEnd w:id="521"/>
      <w:bookmarkEnd w:id="522"/>
      <w:bookmarkEnd w:id="523"/>
      <w:bookmarkEnd w:id="524"/>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应急指挥部负责制订和管理公司突发环境事件应急预案，并组织预案的培训演练和评估。</w:t>
      </w:r>
    </w:p>
    <w:p>
      <w:pPr>
        <w:spacing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应急指挥部应组织</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主要人员</w:t>
      </w:r>
      <w:r>
        <w:rPr>
          <w:rFonts w:hint="default" w:ascii="Times New Roman" w:hAnsi="Times New Roman" w:eastAsia="仿宋" w:cs="Times New Roman"/>
          <w:color w:val="000000" w:themeColor="text1"/>
          <w:sz w:val="28"/>
          <w:szCs w:val="28"/>
          <w14:textFill>
            <w14:solidFill>
              <w14:schemeClr w14:val="tx1"/>
            </w14:solidFill>
          </w14:textFill>
        </w:rPr>
        <w:t>至少每三年对预案进行一次修订</w:t>
      </w:r>
      <w:r>
        <w:rPr>
          <w:rFonts w:hint="default" w:ascii="Times New Roman" w:hAnsi="Times New Roman" w:eastAsia="仿宋" w:cs="Times New Roman"/>
          <w:color w:val="000000" w:themeColor="text1"/>
          <w:sz w:val="28"/>
          <w:szCs w:val="28"/>
          <w:lang w:eastAsia="zh-CN"/>
          <w14:textFill>
            <w14:solidFill>
              <w14:schemeClr w14:val="tx1"/>
            </w14:solidFill>
          </w14:textFill>
        </w:rPr>
        <w:t>，</w:t>
      </w:r>
      <w:r>
        <w:rPr>
          <w:rFonts w:hint="default" w:ascii="Times New Roman" w:hAnsi="Times New Roman" w:eastAsia="仿宋" w:cs="Times New Roman"/>
          <w:color w:val="000000" w:themeColor="text1"/>
          <w:sz w:val="28"/>
          <w:szCs w:val="28"/>
          <w14:textFill>
            <w14:solidFill>
              <w14:schemeClr w14:val="tx1"/>
            </w14:solidFill>
          </w14:textFill>
        </w:rPr>
        <w:t>应急预案的修订按公司文件执行。</w:t>
      </w:r>
    </w:p>
    <w:p>
      <w:pPr>
        <w:spacing w:after="120"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因以下原因出现不符合项，应及时对本预案进行相应的调整：</w:t>
      </w:r>
    </w:p>
    <w:p>
      <w:pPr>
        <w:spacing w:after="120"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1、新法律法规、标准的颁布实施；</w:t>
      </w:r>
    </w:p>
    <w:p>
      <w:pPr>
        <w:spacing w:after="120"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2、相关法律法规、标准的修订；</w:t>
      </w:r>
    </w:p>
    <w:p>
      <w:pPr>
        <w:spacing w:after="120"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r>
        <w:rPr>
          <w:rFonts w:hint="default" w:ascii="Times New Roman" w:hAnsi="Times New Roman" w:eastAsia="仿宋" w:cs="Times New Roman"/>
          <w:color w:val="000000" w:themeColor="text1"/>
          <w:sz w:val="28"/>
          <w:szCs w:val="28"/>
          <w14:textFill>
            <w14:solidFill>
              <w14:schemeClr w14:val="tx1"/>
            </w14:solidFill>
          </w14:textFill>
        </w:rPr>
        <w:t>3、预案演练或事件应急处置中发现不符合项；</w:t>
      </w:r>
    </w:p>
    <w:p>
      <w:pPr>
        <w:spacing w:after="120" w:line="360" w:lineRule="auto"/>
        <w:ind w:firstLine="560" w:firstLineChars="200"/>
        <w:rPr>
          <w:rFonts w:hint="default" w:ascii="Times New Roman" w:hAnsi="Times New Roman" w:eastAsia="仿宋" w:cs="Times New Roman"/>
          <w:color w:val="000000" w:themeColor="text1"/>
          <w:sz w:val="28"/>
          <w:szCs w:val="28"/>
          <w14:textFill>
            <w14:solidFill>
              <w14:schemeClr w14:val="tx1"/>
            </w14:solidFill>
          </w14:textFill>
        </w:rPr>
      </w:pPr>
      <w:bookmarkStart w:id="525" w:name="_Toc54050955"/>
      <w:bookmarkStart w:id="526" w:name="_Toc57039941"/>
      <w:bookmarkStart w:id="527" w:name="_Toc57036182"/>
      <w:r>
        <w:rPr>
          <w:rFonts w:hint="default" w:ascii="Times New Roman" w:hAnsi="Times New Roman" w:eastAsia="仿宋" w:cs="Times New Roman"/>
          <w:color w:val="000000" w:themeColor="text1"/>
          <w:sz w:val="28"/>
          <w:szCs w:val="28"/>
          <w14:textFill>
            <w14:solidFill>
              <w14:schemeClr w14:val="tx1"/>
            </w14:solidFill>
          </w14:textFill>
        </w:rPr>
        <w:t>4、其它原因</w:t>
      </w:r>
      <w:r>
        <w:rPr>
          <w:rFonts w:hint="default" w:ascii="Times New Roman" w:hAnsi="Times New Roman" w:eastAsia="仿宋" w:cs="Times New Roman"/>
          <w:color w:val="000000" w:themeColor="text1"/>
          <w:sz w:val="28"/>
          <w:szCs w:val="28"/>
          <w:lang w:val="en-US" w:eastAsia="zh-CN"/>
          <w14:textFill>
            <w14:solidFill>
              <w14:schemeClr w14:val="tx1"/>
            </w14:solidFill>
          </w14:textFill>
        </w:rPr>
        <w:t>等</w:t>
      </w:r>
      <w:r>
        <w:rPr>
          <w:rFonts w:hint="default" w:ascii="Times New Roman" w:hAnsi="Times New Roman" w:eastAsia="仿宋" w:cs="Times New Roman"/>
          <w:color w:val="000000" w:themeColor="text1"/>
          <w:sz w:val="28"/>
          <w:szCs w:val="28"/>
          <w14:textFill>
            <w14:solidFill>
              <w14:schemeClr w14:val="tx1"/>
            </w14:solidFill>
          </w14:textFill>
        </w:rPr>
        <w:t>。</w:t>
      </w:r>
      <w:bookmarkEnd w:id="525"/>
      <w:bookmarkEnd w:id="526"/>
      <w:bookmarkEnd w:id="527"/>
    </w:p>
    <w:p>
      <w:pPr>
        <w:pStyle w:val="19"/>
        <w:outlineLvl w:val="0"/>
        <w:rPr>
          <w:rFonts w:hint="default" w:ascii="Times New Roman" w:hAnsi="Times New Roman" w:eastAsia="仿宋" w:cs="Times New Roman"/>
          <w:sz w:val="36"/>
          <w:szCs w:val="36"/>
        </w:rPr>
      </w:pPr>
      <w:bookmarkStart w:id="528" w:name="_Toc29654"/>
      <w:bookmarkStart w:id="529" w:name="_Toc54050956"/>
      <w:r>
        <w:rPr>
          <w:rFonts w:hint="default" w:ascii="Times New Roman" w:hAnsi="Times New Roman" w:eastAsia="仿宋" w:cs="Times New Roman"/>
          <w:sz w:val="36"/>
          <w:szCs w:val="36"/>
        </w:rPr>
        <w:t>10 附  则</w:t>
      </w:r>
      <w:bookmarkEnd w:id="502"/>
      <w:bookmarkEnd w:id="503"/>
      <w:bookmarkEnd w:id="504"/>
      <w:bookmarkEnd w:id="505"/>
      <w:bookmarkEnd w:id="506"/>
      <w:bookmarkEnd w:id="507"/>
      <w:bookmarkEnd w:id="528"/>
      <w:bookmarkEnd w:id="529"/>
    </w:p>
    <w:p>
      <w:pPr>
        <w:pStyle w:val="22"/>
        <w:ind w:left="0" w:leftChars="0"/>
        <w:outlineLvl w:val="1"/>
        <w:rPr>
          <w:rFonts w:hint="default" w:ascii="Times New Roman" w:hAnsi="Times New Roman" w:eastAsia="仿宋" w:cs="Times New Roman"/>
          <w:b/>
          <w:szCs w:val="28"/>
        </w:rPr>
      </w:pPr>
      <w:bookmarkStart w:id="530" w:name="_Toc243218029"/>
      <w:bookmarkStart w:id="531" w:name="_Toc20711"/>
      <w:bookmarkStart w:id="532" w:name="_Toc397703362"/>
      <w:bookmarkStart w:id="533" w:name="_Toc422071071"/>
      <w:bookmarkStart w:id="534" w:name="_Toc242849969"/>
      <w:bookmarkStart w:id="535" w:name="_Toc404415197"/>
      <w:bookmarkStart w:id="536" w:name="_Toc402279583"/>
      <w:bookmarkStart w:id="537" w:name="_Toc23843"/>
      <w:bookmarkStart w:id="538" w:name="_Toc435102168"/>
      <w:bookmarkStart w:id="539" w:name="_Toc29058"/>
      <w:bookmarkStart w:id="540" w:name="_Toc1936"/>
      <w:bookmarkStart w:id="541" w:name="_Toc26924"/>
      <w:bookmarkStart w:id="542" w:name="_Toc22420"/>
      <w:bookmarkStart w:id="543" w:name="_Toc419273357"/>
      <w:bookmarkStart w:id="544" w:name="_Toc1626"/>
      <w:bookmarkStart w:id="545" w:name="_Toc22886"/>
      <w:bookmarkStart w:id="546" w:name="_Toc21212"/>
      <w:bookmarkStart w:id="547" w:name="_Toc445"/>
      <w:bookmarkStart w:id="548" w:name="_Toc13650"/>
      <w:bookmarkStart w:id="549" w:name="_Toc28901"/>
      <w:bookmarkStart w:id="550" w:name="_Toc241053059"/>
      <w:bookmarkStart w:id="551" w:name="_Toc27833"/>
      <w:bookmarkStart w:id="552" w:name="_Toc394682445"/>
      <w:bookmarkStart w:id="553" w:name="_Toc27939"/>
      <w:bookmarkStart w:id="554" w:name="_Toc404769430"/>
      <w:bookmarkStart w:id="555" w:name="_Toc407713306"/>
      <w:bookmarkStart w:id="556" w:name="_Toc5979"/>
      <w:bookmarkStart w:id="557" w:name="_Toc19263"/>
      <w:bookmarkStart w:id="558" w:name="_Toc246239608"/>
      <w:bookmarkStart w:id="559" w:name="_Toc18433"/>
      <w:bookmarkStart w:id="560" w:name="_Toc404769238"/>
      <w:bookmarkStart w:id="561" w:name="_Toc397703257"/>
      <w:bookmarkStart w:id="562" w:name="_Toc395116870"/>
      <w:bookmarkStart w:id="563" w:name="_Toc404414997"/>
      <w:bookmarkStart w:id="564" w:name="_Toc395117046"/>
      <w:bookmarkStart w:id="565" w:name="_Toc286324627"/>
      <w:bookmarkStart w:id="566" w:name="_Toc54050957"/>
      <w:r>
        <w:rPr>
          <w:rFonts w:hint="default" w:ascii="Times New Roman" w:hAnsi="Times New Roman" w:eastAsia="仿宋" w:cs="Times New Roman"/>
          <w:b/>
          <w:szCs w:val="28"/>
        </w:rPr>
        <w:t>10.1 有关名词、术语</w:t>
      </w:r>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应急预案：</w:t>
      </w:r>
      <w:r>
        <w:rPr>
          <w:rFonts w:hint="default" w:ascii="Times New Roman" w:hAnsi="Times New Roman" w:eastAsia="仿宋" w:cs="Times New Roman"/>
          <w:sz w:val="28"/>
          <w:szCs w:val="28"/>
        </w:rPr>
        <w:t>指针对突发公共事件事先制定的，用以明确事前、事发、事中、事后的各个进程中，谁来做，怎样做，何时做以及用什么资源来做的应急反应工作方案。</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总体应急预案：</w:t>
      </w:r>
      <w:r>
        <w:rPr>
          <w:rFonts w:hint="default" w:ascii="Times New Roman" w:hAnsi="Times New Roman" w:eastAsia="仿宋" w:cs="Times New Roman"/>
          <w:sz w:val="28"/>
          <w:szCs w:val="28"/>
        </w:rPr>
        <w:t>指某个地区、部门、单位为应对所有可能发生的突发公共事件而制定的综合性应急预案。</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专项应急预案：</w:t>
      </w:r>
      <w:r>
        <w:rPr>
          <w:rFonts w:hint="default" w:ascii="Times New Roman" w:hAnsi="Times New Roman" w:eastAsia="仿宋" w:cs="Times New Roman"/>
          <w:sz w:val="28"/>
          <w:szCs w:val="28"/>
        </w:rPr>
        <w:t>指地方人民政府的有关部门、单位根据其职责分工为应对某类具有重大影响的突发公共事件而制定的应急预案。专项预案通常作为总体预案的组成部分，有时也称为分预案。</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应急处置：</w:t>
      </w:r>
      <w:r>
        <w:rPr>
          <w:rFonts w:hint="default" w:ascii="Times New Roman" w:hAnsi="Times New Roman" w:eastAsia="仿宋" w:cs="Times New Roman"/>
          <w:sz w:val="28"/>
          <w:szCs w:val="28"/>
        </w:rPr>
        <w:t>指对即将发生或正在发生或已经发生的突发公共事件所采取的一系列的应急响应以降低损失、影响的处理措施。</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监测：</w:t>
      </w:r>
      <w:r>
        <w:rPr>
          <w:rFonts w:hint="default" w:ascii="Times New Roman" w:hAnsi="Times New Roman" w:eastAsia="仿宋" w:cs="Times New Roman"/>
          <w:sz w:val="28"/>
          <w:szCs w:val="28"/>
        </w:rPr>
        <w:t>指通过各种方式、方法观测收集有关突发公共事件的信息并进行分析处理、评估预测的过程。</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预警：</w:t>
      </w:r>
      <w:r>
        <w:rPr>
          <w:rFonts w:hint="default" w:ascii="Times New Roman" w:hAnsi="Times New Roman" w:eastAsia="仿宋" w:cs="Times New Roman"/>
          <w:sz w:val="28"/>
          <w:szCs w:val="28"/>
        </w:rPr>
        <w:t>指根据监测到的突发公共事件信息，依据有关法律法规、应急预案中的相关规定，提前发布相应级别的警报，并提出相关应急措施建议。</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应急状态：</w:t>
      </w:r>
      <w:r>
        <w:rPr>
          <w:rFonts w:hint="default" w:ascii="Times New Roman" w:hAnsi="Times New Roman" w:eastAsia="仿宋" w:cs="Times New Roman"/>
          <w:sz w:val="28"/>
          <w:szCs w:val="28"/>
        </w:rPr>
        <w:t>指为应对已经发生或者可能发生的突发公共事件，在某个地区，政府组织社会各方力量在一段时间内依据非常态下的有关法律法规和应急预案采取的有关措施和所呈现的状态。</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先期处置：</w:t>
      </w:r>
      <w:r>
        <w:rPr>
          <w:rFonts w:hint="default" w:ascii="Times New Roman" w:hAnsi="Times New Roman" w:eastAsia="仿宋" w:cs="Times New Roman"/>
          <w:sz w:val="28"/>
          <w:szCs w:val="28"/>
        </w:rPr>
        <w:t>指突发公共事件即将发生、正在发生或发生后，事发地人民政府在第一时间内所采取的应急响应措施。</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应急联动：</w:t>
      </w:r>
      <w:r>
        <w:rPr>
          <w:rFonts w:hint="default" w:ascii="Times New Roman" w:hAnsi="Times New Roman" w:eastAsia="仿宋" w:cs="Times New Roman"/>
          <w:sz w:val="28"/>
          <w:szCs w:val="28"/>
        </w:rPr>
        <w:t>指在突发公共事件应急处置过程中，市、县人民政府及其部门联动，必要时，与军队、武警部队联动，互相支持，社会各方面密切配合、各司其职、协同作战，全力以赴做好各项应急处置工作的应急工作机制。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扩大应急：</w:t>
      </w:r>
      <w:r>
        <w:rPr>
          <w:rFonts w:hint="default" w:ascii="Times New Roman" w:hAnsi="Times New Roman" w:eastAsia="仿宋" w:cs="Times New Roman"/>
          <w:sz w:val="28"/>
          <w:szCs w:val="28"/>
        </w:rPr>
        <w:t>指突发公共事件危害、影响程度、范围有扩大趋势时，为有效控制突发公共事件发展态势，应急委员会等机构或者单位通过采取进一步有力措施、请求支援等方式，以尽快使受影响地域、领域恢复到正常状态的各种应急处置程序、措施的总称。</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紧急状态：</w:t>
      </w:r>
      <w:r>
        <w:rPr>
          <w:rFonts w:hint="default" w:ascii="Times New Roman" w:hAnsi="Times New Roman" w:eastAsia="仿宋" w:cs="Times New Roman"/>
          <w:sz w:val="28"/>
          <w:szCs w:val="28"/>
        </w:rPr>
        <w:t>指在特定的地区或者全市范围发生或者即将发生的威胁公众生命、健康和财产安全、影响国家政权机关正常行使权力的特别严重突发公共事件，采取常态下的措施难以有效控制和消除严重危害时，有关国家机关按照法定权限和程序宣布该特定地域进入的一种临时性严重危机状态。</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次生、衍生事件：</w:t>
      </w:r>
      <w:r>
        <w:rPr>
          <w:rFonts w:hint="default" w:ascii="Times New Roman" w:hAnsi="Times New Roman" w:eastAsia="仿宋" w:cs="Times New Roman"/>
          <w:sz w:val="28"/>
          <w:szCs w:val="28"/>
        </w:rPr>
        <w:t>是指某一突发公共事件所派生或者因处置不当而引发的其他事件。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耦合事件：</w:t>
      </w:r>
      <w:r>
        <w:rPr>
          <w:rFonts w:hint="default" w:ascii="Times New Roman" w:hAnsi="Times New Roman" w:eastAsia="仿宋" w:cs="Times New Roman"/>
          <w:sz w:val="28"/>
          <w:szCs w:val="28"/>
        </w:rPr>
        <w:t>是指在同一地区、同一时段内发生的两个以上相互关联的突发公共事件。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后期处置：</w:t>
      </w:r>
      <w:r>
        <w:rPr>
          <w:rFonts w:hint="default" w:ascii="Times New Roman" w:hAnsi="Times New Roman" w:eastAsia="仿宋" w:cs="Times New Roman"/>
          <w:sz w:val="28"/>
          <w:szCs w:val="28"/>
        </w:rPr>
        <w:t>是指突发公共事件得到基本控制后，为使生产、工作、生活、社会秩序和生态环境恢复正常所采取的一系列善后处理行动。</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应急准备：</w:t>
      </w:r>
      <w:r>
        <w:rPr>
          <w:rFonts w:hint="default" w:ascii="Times New Roman" w:hAnsi="Times New Roman" w:eastAsia="仿宋" w:cs="Times New Roman"/>
          <w:sz w:val="28"/>
          <w:szCs w:val="28"/>
        </w:rPr>
        <w:t>针对可能发生的事故，为迅速、有序地开展应急行动而预先进行的组织准备和应急保障。</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应急响应：</w:t>
      </w:r>
      <w:r>
        <w:rPr>
          <w:rFonts w:hint="default" w:ascii="Times New Roman" w:hAnsi="Times New Roman" w:eastAsia="仿宋" w:cs="Times New Roman"/>
          <w:sz w:val="28"/>
          <w:szCs w:val="28"/>
        </w:rPr>
        <w:t>事故发生后，有关组织或人员采取的应急行动。</w:t>
      </w:r>
    </w:p>
    <w:p>
      <w:pPr>
        <w:spacing w:line="360" w:lineRule="auto"/>
        <w:ind w:firstLine="562" w:firstLineChars="200"/>
        <w:rPr>
          <w:rFonts w:hint="default" w:ascii="Times New Roman" w:hAnsi="Times New Roman" w:eastAsia="仿宋" w:cs="Times New Roman"/>
          <w:kern w:val="0"/>
          <w:sz w:val="28"/>
          <w:szCs w:val="28"/>
        </w:rPr>
      </w:pPr>
      <w:r>
        <w:rPr>
          <w:rFonts w:hint="default" w:ascii="Times New Roman" w:hAnsi="Times New Roman" w:eastAsia="仿宋" w:cs="Times New Roman"/>
          <w:b/>
          <w:kern w:val="0"/>
          <w:sz w:val="28"/>
          <w:szCs w:val="28"/>
        </w:rPr>
        <w:t>应急救援：</w:t>
      </w:r>
      <w:r>
        <w:rPr>
          <w:rFonts w:hint="default" w:ascii="Times New Roman" w:hAnsi="Times New Roman" w:eastAsia="仿宋" w:cs="Times New Roman"/>
          <w:kern w:val="0"/>
          <w:sz w:val="28"/>
          <w:szCs w:val="28"/>
        </w:rPr>
        <w:t>在应急响应过程中，为消除、减少事故危害，防止事故扩大或恶化，最大限度地降低事故造成的损失或危害而采取的救援措施或行动。</w:t>
      </w:r>
    </w:p>
    <w:p>
      <w:pPr>
        <w:spacing w:line="360" w:lineRule="auto"/>
        <w:ind w:firstLine="562" w:firstLineChars="200"/>
        <w:rPr>
          <w:rFonts w:hint="default" w:ascii="Times New Roman" w:hAnsi="Times New Roman" w:eastAsia="仿宋" w:cs="Times New Roman"/>
          <w:sz w:val="28"/>
          <w:szCs w:val="28"/>
        </w:rPr>
      </w:pPr>
      <w:r>
        <w:rPr>
          <w:rFonts w:hint="default" w:ascii="Times New Roman" w:hAnsi="Times New Roman" w:eastAsia="仿宋" w:cs="Times New Roman"/>
          <w:b/>
          <w:kern w:val="0"/>
          <w:sz w:val="28"/>
          <w:szCs w:val="28"/>
        </w:rPr>
        <w:t>恢复：</w:t>
      </w:r>
      <w:r>
        <w:rPr>
          <w:rFonts w:hint="default" w:ascii="Times New Roman" w:hAnsi="Times New Roman" w:eastAsia="仿宋" w:cs="Times New Roman"/>
          <w:kern w:val="0"/>
          <w:sz w:val="28"/>
          <w:szCs w:val="28"/>
        </w:rPr>
        <w:t>事故的影响得到初步控制后，为使生产、工作、生活和生态环</w:t>
      </w:r>
      <w:r>
        <w:rPr>
          <w:rFonts w:hint="default" w:ascii="Times New Roman" w:hAnsi="Times New Roman" w:eastAsia="仿宋" w:cs="Times New Roman"/>
          <w:sz w:val="28"/>
          <w:szCs w:val="28"/>
        </w:rPr>
        <w:t>境尽快恢复到正常状态而采取的措施或行动。</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环境事件：</w:t>
      </w:r>
      <w:r>
        <w:rPr>
          <w:rFonts w:hint="default" w:ascii="Times New Roman" w:hAnsi="Times New Roman" w:eastAsia="仿宋" w:cs="Times New Roman"/>
          <w:sz w:val="28"/>
          <w:szCs w:val="28"/>
        </w:rPr>
        <w:t>是指由于违反环境保护法律法规的经济、社会活动与行为，以及意外因素的影响或不可抗拒的自然灾害等原因致使环境受到污染，人体健康受到危害，社会经济与人民群众财产受到损失，造成不良社会影响的突发性事件。</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突发性环境污染事件：</w:t>
      </w:r>
      <w:r>
        <w:rPr>
          <w:rFonts w:hint="default" w:ascii="Times New Roman" w:hAnsi="Times New Roman" w:eastAsia="仿宋" w:cs="Times New Roman"/>
          <w:sz w:val="28"/>
          <w:szCs w:val="28"/>
        </w:rPr>
        <w:t>指突然发生，造成或者可能造成重大人员伤亡、重大财产损失和对全国或者某一地区的经济社会稳定、政治安定构成重大威胁和损害，有重大社会影响的涉及公共安全的环境事故。</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环境应急：</w:t>
      </w:r>
      <w:r>
        <w:rPr>
          <w:rFonts w:hint="default" w:ascii="Times New Roman" w:hAnsi="Times New Roman" w:eastAsia="仿宋" w:cs="Times New Roman"/>
          <w:sz w:val="28"/>
          <w:szCs w:val="28"/>
        </w:rPr>
        <w:t>针对可能或已发生的突发性环境污染事故需要立即采取某些超出正常工作程序的行动，以避免事件发生或减轻事件后果的状态，也称为紧急状态；同时也泛指立即采取超出正常工作程序的行动。</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应急监测：</w:t>
      </w:r>
      <w:r>
        <w:rPr>
          <w:rFonts w:hint="default" w:ascii="Times New Roman" w:hAnsi="Times New Roman" w:eastAsia="仿宋" w:cs="Times New Roman"/>
          <w:sz w:val="28"/>
          <w:szCs w:val="28"/>
        </w:rPr>
        <w:t>环境应急情况下，为发现和查明环境污染情况和污染范围而进行的环境监测。包括定点监测和动态监测。</w:t>
      </w:r>
    </w:p>
    <w:p>
      <w:pPr>
        <w:pStyle w:val="25"/>
        <w:widowControl w:val="0"/>
        <w:spacing w:before="0" w:beforeAutospacing="0" w:after="0" w:afterAutospacing="0" w:line="360" w:lineRule="auto"/>
        <w:ind w:firstLine="562" w:firstLineChars="200"/>
        <w:jc w:val="both"/>
        <w:rPr>
          <w:rFonts w:hint="default" w:ascii="Times New Roman" w:hAnsi="Times New Roman" w:eastAsia="仿宋" w:cs="Times New Roman"/>
          <w:sz w:val="28"/>
          <w:szCs w:val="28"/>
        </w:rPr>
      </w:pPr>
      <w:r>
        <w:rPr>
          <w:rFonts w:hint="default" w:ascii="Times New Roman" w:hAnsi="Times New Roman" w:eastAsia="仿宋" w:cs="Times New Roman"/>
          <w:b/>
          <w:sz w:val="28"/>
          <w:szCs w:val="28"/>
        </w:rPr>
        <w:t>应急演习：</w:t>
      </w:r>
      <w:r>
        <w:rPr>
          <w:rFonts w:hint="default" w:ascii="Times New Roman" w:hAnsi="Times New Roman" w:eastAsia="仿宋" w:cs="Times New Roman"/>
          <w:sz w:val="28"/>
          <w:szCs w:val="28"/>
        </w:rPr>
        <w:t>为检验应急计划的有效性、应急准备的完善性、应急响应能力的适应性和应急人员的协同性而进行的一种模拟应急响应的实践活动，根据所涉及的内容和范围的不同，可分为单项演习(演习)、综合演习和指挥中心、现场应急组织联合进行的联合演习。</w:t>
      </w:r>
    </w:p>
    <w:p>
      <w:pPr>
        <w:pStyle w:val="22"/>
        <w:ind w:left="0" w:leftChars="0"/>
        <w:outlineLvl w:val="1"/>
        <w:rPr>
          <w:rFonts w:hint="default" w:ascii="Times New Roman" w:hAnsi="Times New Roman" w:eastAsia="仿宋" w:cs="Times New Roman"/>
          <w:b/>
          <w:szCs w:val="28"/>
        </w:rPr>
      </w:pPr>
      <w:bookmarkStart w:id="567" w:name="_Toc6863"/>
      <w:bookmarkStart w:id="568" w:name="_Toc24747"/>
      <w:bookmarkStart w:id="569" w:name="_Toc54050958"/>
      <w:bookmarkStart w:id="570" w:name="_Toc3900"/>
      <w:bookmarkStart w:id="571" w:name="_Toc29481"/>
      <w:bookmarkStart w:id="572" w:name="_Toc11785"/>
      <w:bookmarkStart w:id="573" w:name="_Toc24679"/>
      <w:bookmarkStart w:id="574" w:name="_Toc18233"/>
      <w:bookmarkStart w:id="575" w:name="_Toc404415198"/>
      <w:bookmarkStart w:id="576" w:name="_Toc407713307"/>
      <w:bookmarkStart w:id="577" w:name="_Toc9759"/>
      <w:bookmarkStart w:id="578" w:name="_Toc395117047"/>
      <w:bookmarkStart w:id="579" w:name="_Toc395116871"/>
      <w:bookmarkStart w:id="580" w:name="_Toc397703258"/>
      <w:bookmarkStart w:id="581" w:name="_Toc21984"/>
      <w:bookmarkStart w:id="582" w:name="_Toc30674"/>
      <w:bookmarkStart w:id="583" w:name="_Toc404769239"/>
      <w:bookmarkStart w:id="584" w:name="_Toc31497"/>
      <w:bookmarkStart w:id="585" w:name="_Toc12499"/>
      <w:bookmarkStart w:id="586" w:name="_Toc404414998"/>
      <w:bookmarkStart w:id="587" w:name="_Toc242849970"/>
      <w:bookmarkStart w:id="588" w:name="_Toc397703363"/>
      <w:bookmarkStart w:id="589" w:name="_Toc25009"/>
      <w:bookmarkStart w:id="590" w:name="_Toc18930"/>
      <w:bookmarkStart w:id="591" w:name="_Toc419273358"/>
      <w:bookmarkStart w:id="592" w:name="_Toc404769431"/>
      <w:bookmarkStart w:id="593" w:name="_Toc435102169"/>
      <w:bookmarkStart w:id="594" w:name="_Toc8430"/>
      <w:bookmarkStart w:id="595" w:name="_Toc8783"/>
      <w:bookmarkStart w:id="596" w:name="_Toc246239609"/>
      <w:bookmarkStart w:id="597" w:name="_Toc286324628"/>
      <w:bookmarkStart w:id="598" w:name="_Toc243218030"/>
      <w:bookmarkStart w:id="599" w:name="_Toc11239"/>
      <w:bookmarkStart w:id="600" w:name="_Toc241053060"/>
      <w:bookmarkStart w:id="601" w:name="_Toc422071072"/>
      <w:bookmarkStart w:id="602" w:name="_Toc402279584"/>
      <w:bookmarkStart w:id="603" w:name="_Toc394682446"/>
      <w:r>
        <w:rPr>
          <w:rFonts w:hint="default" w:ascii="Times New Roman" w:hAnsi="Times New Roman" w:eastAsia="仿宋" w:cs="Times New Roman"/>
          <w:b/>
          <w:szCs w:val="28"/>
        </w:rPr>
        <w:t>10.2 预案管理与更新</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随着应急救援相关法律法规的制定、修改和完善，部门职责或应急资源发生变化，或者应急过程中出现新的情况，发现存在的问题，应当及时修订、更新、完善预案。按照预案管理规定，每三年进行一次修订。</w:t>
      </w:r>
    </w:p>
    <w:p>
      <w:pPr>
        <w:pStyle w:val="22"/>
        <w:ind w:left="0" w:leftChars="0"/>
        <w:outlineLvl w:val="1"/>
        <w:rPr>
          <w:rFonts w:hint="default" w:ascii="Times New Roman" w:hAnsi="Times New Roman" w:eastAsia="仿宋" w:cs="Times New Roman"/>
          <w:b/>
          <w:szCs w:val="28"/>
        </w:rPr>
      </w:pPr>
      <w:bookmarkStart w:id="604" w:name="_Toc404769240"/>
      <w:bookmarkStart w:id="605" w:name="_Toc9843"/>
      <w:bookmarkStart w:id="606" w:name="_Toc24998"/>
      <w:bookmarkStart w:id="607" w:name="_Toc404415199"/>
      <w:bookmarkStart w:id="608" w:name="_Toc21767"/>
      <w:bookmarkStart w:id="609" w:name="_Toc242849971"/>
      <w:bookmarkStart w:id="610" w:name="_Toc397703259"/>
      <w:bookmarkStart w:id="611" w:name="_Toc29184"/>
      <w:bookmarkStart w:id="612" w:name="_Toc243218031"/>
      <w:bookmarkStart w:id="613" w:name="_Toc397703364"/>
      <w:bookmarkStart w:id="614" w:name="_Toc246239610"/>
      <w:bookmarkStart w:id="615" w:name="_Toc404414999"/>
      <w:bookmarkStart w:id="616" w:name="_Toc1564"/>
      <w:bookmarkStart w:id="617" w:name="_Toc15374"/>
      <w:bookmarkStart w:id="618" w:name="_Toc419273359"/>
      <w:bookmarkStart w:id="619" w:name="_Toc7356"/>
      <w:bookmarkStart w:id="620" w:name="_Toc22339"/>
      <w:bookmarkStart w:id="621" w:name="_Toc21939"/>
      <w:bookmarkStart w:id="622" w:name="_Toc16720"/>
      <w:bookmarkStart w:id="623" w:name="_Toc395116872"/>
      <w:bookmarkStart w:id="624" w:name="_Toc28804"/>
      <w:bookmarkStart w:id="625" w:name="_Toc54050959"/>
      <w:bookmarkStart w:id="626" w:name="_Toc402279585"/>
      <w:bookmarkStart w:id="627" w:name="_Toc286324629"/>
      <w:bookmarkStart w:id="628" w:name="_Toc435102170"/>
      <w:bookmarkStart w:id="629" w:name="_Toc241053061"/>
      <w:bookmarkStart w:id="630" w:name="_Toc6959"/>
      <w:bookmarkStart w:id="631" w:name="_Toc404769432"/>
      <w:bookmarkStart w:id="632" w:name="_Toc26486"/>
      <w:bookmarkStart w:id="633" w:name="_Toc31806"/>
      <w:bookmarkStart w:id="634" w:name="_Toc395117048"/>
      <w:bookmarkStart w:id="635" w:name="_Toc407713308"/>
      <w:bookmarkStart w:id="636" w:name="_Toc625"/>
      <w:bookmarkStart w:id="637" w:name="_Toc394682447"/>
      <w:bookmarkStart w:id="638" w:name="_Toc24042"/>
      <w:bookmarkStart w:id="639" w:name="_Toc5417"/>
      <w:bookmarkStart w:id="640" w:name="_Toc422071073"/>
      <w:r>
        <w:rPr>
          <w:rFonts w:hint="default" w:ascii="Times New Roman" w:hAnsi="Times New Roman" w:eastAsia="仿宋" w:cs="Times New Roman"/>
          <w:b/>
          <w:szCs w:val="28"/>
        </w:rPr>
        <w:t>10.3 地方沟通与协作</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p>
    <w:p>
      <w:pPr>
        <w:spacing w:line="360" w:lineRule="auto"/>
        <w:ind w:firstLine="560" w:firstLineChars="20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建立与地方环境应急机构的联系，组织参与地方救援活动，开展与之相关的交流与合作。</w:t>
      </w:r>
    </w:p>
    <w:p>
      <w:pPr>
        <w:pStyle w:val="22"/>
        <w:ind w:left="0" w:leftChars="0"/>
        <w:outlineLvl w:val="1"/>
        <w:rPr>
          <w:rFonts w:hint="default" w:ascii="Times New Roman" w:hAnsi="Times New Roman" w:eastAsia="仿宋" w:cs="Times New Roman"/>
          <w:b/>
          <w:szCs w:val="28"/>
        </w:rPr>
      </w:pPr>
      <w:bookmarkStart w:id="641" w:name="_Toc27900"/>
      <w:bookmarkStart w:id="642" w:name="_Toc395116873"/>
      <w:bookmarkStart w:id="643" w:name="_Toc24191"/>
      <w:bookmarkStart w:id="644" w:name="_Toc422071074"/>
      <w:bookmarkStart w:id="645" w:name="_Toc3711"/>
      <w:bookmarkStart w:id="646" w:name="_Toc25878"/>
      <w:bookmarkStart w:id="647" w:name="_Toc404769433"/>
      <w:bookmarkStart w:id="648" w:name="_Toc246239611"/>
      <w:bookmarkStart w:id="649" w:name="_Toc286324630"/>
      <w:bookmarkStart w:id="650" w:name="_Toc14379"/>
      <w:bookmarkStart w:id="651" w:name="_Toc5414"/>
      <w:bookmarkStart w:id="652" w:name="_Toc7966"/>
      <w:bookmarkStart w:id="653" w:name="_Toc242849972"/>
      <w:bookmarkStart w:id="654" w:name="_Toc243218032"/>
      <w:bookmarkStart w:id="655" w:name="_Toc27694"/>
      <w:bookmarkStart w:id="656" w:name="_Toc397703260"/>
      <w:bookmarkStart w:id="657" w:name="_Toc404769241"/>
      <w:bookmarkStart w:id="658" w:name="_Toc11892"/>
      <w:bookmarkStart w:id="659" w:name="_Toc27013"/>
      <w:bookmarkStart w:id="660" w:name="_Toc15318"/>
      <w:bookmarkStart w:id="661" w:name="_Toc402279586"/>
      <w:bookmarkStart w:id="662" w:name="_Toc394682448"/>
      <w:bookmarkStart w:id="663" w:name="_Toc7085"/>
      <w:bookmarkStart w:id="664" w:name="_Toc10325"/>
      <w:bookmarkStart w:id="665" w:name="_Toc12174"/>
      <w:bookmarkStart w:id="666" w:name="_Toc435102171"/>
      <w:bookmarkStart w:id="667" w:name="_Toc407713309"/>
      <w:bookmarkStart w:id="668" w:name="_Toc241053062"/>
      <w:bookmarkStart w:id="669" w:name="_Toc16360"/>
      <w:bookmarkStart w:id="670" w:name="_Toc404415200"/>
      <w:bookmarkStart w:id="671" w:name="_Toc419273360"/>
      <w:bookmarkStart w:id="672" w:name="_Toc397703365"/>
      <w:bookmarkStart w:id="673" w:name="_Toc395117049"/>
      <w:bookmarkStart w:id="674" w:name="_Toc404415000"/>
      <w:bookmarkStart w:id="675" w:name="_Toc14143"/>
      <w:bookmarkStart w:id="676" w:name="_Toc29034"/>
      <w:bookmarkStart w:id="677" w:name="_Toc54050960"/>
      <w:r>
        <w:rPr>
          <w:rFonts w:hint="default" w:ascii="Times New Roman" w:hAnsi="Times New Roman" w:eastAsia="仿宋" w:cs="Times New Roman"/>
          <w:b/>
          <w:szCs w:val="28"/>
        </w:rPr>
        <w:t>10.4</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Start w:id="678" w:name="_Toc25020"/>
      <w:bookmarkStart w:id="679" w:name="_Toc243218035"/>
      <w:bookmarkStart w:id="680" w:name="_Toc404769436"/>
      <w:bookmarkStart w:id="681" w:name="_Toc29322"/>
      <w:bookmarkStart w:id="682" w:name="_Toc402279589"/>
      <w:bookmarkStart w:id="683" w:name="_Toc27740"/>
      <w:bookmarkStart w:id="684" w:name="_Toc419273363"/>
      <w:bookmarkStart w:id="685" w:name="_Toc1620"/>
      <w:bookmarkStart w:id="686" w:name="_Toc19250"/>
      <w:bookmarkStart w:id="687" w:name="_Toc407713312"/>
      <w:bookmarkStart w:id="688" w:name="_Toc397703263"/>
      <w:bookmarkStart w:id="689" w:name="_Toc286324633"/>
      <w:bookmarkStart w:id="690" w:name="_Toc24586"/>
      <w:bookmarkStart w:id="691" w:name="_Toc422071077"/>
      <w:bookmarkStart w:id="692" w:name="_Toc27002"/>
      <w:bookmarkStart w:id="693" w:name="_Toc397703368"/>
      <w:bookmarkStart w:id="694" w:name="_Toc6362"/>
      <w:bookmarkStart w:id="695" w:name="_Toc404415003"/>
      <w:bookmarkStart w:id="696" w:name="_Toc19394"/>
      <w:bookmarkStart w:id="697" w:name="_Toc394682451"/>
      <w:bookmarkStart w:id="698" w:name="_Toc246239614"/>
      <w:bookmarkStart w:id="699" w:name="_Toc17395"/>
      <w:bookmarkStart w:id="700" w:name="_Toc7921"/>
      <w:bookmarkStart w:id="701" w:name="_Toc242849975"/>
      <w:bookmarkStart w:id="702" w:name="_Toc435102174"/>
      <w:bookmarkStart w:id="703" w:name="_Toc404769244"/>
      <w:bookmarkStart w:id="704" w:name="_Toc13617"/>
      <w:bookmarkStart w:id="705" w:name="_Toc395116876"/>
      <w:bookmarkStart w:id="706" w:name="_Toc9012"/>
      <w:bookmarkStart w:id="707" w:name="_Toc31904"/>
      <w:bookmarkStart w:id="708" w:name="_Toc395117052"/>
      <w:bookmarkStart w:id="709" w:name="_Toc11504"/>
      <w:bookmarkStart w:id="710" w:name="_Toc404415203"/>
      <w:bookmarkStart w:id="711" w:name="_Toc241053065"/>
      <w:r>
        <w:rPr>
          <w:rFonts w:hint="default" w:ascii="Times New Roman" w:hAnsi="Times New Roman" w:eastAsia="仿宋" w:cs="Times New Roman"/>
          <w:b/>
          <w:szCs w:val="28"/>
        </w:rPr>
        <w:t xml:space="preserve"> 预案实施时间</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p>
    <w:p>
      <w:pPr>
        <w:spacing w:line="360" w:lineRule="auto"/>
        <w:ind w:firstLine="560" w:firstLineChars="200"/>
        <w:rPr>
          <w:rFonts w:hint="default" w:ascii="Times New Roman" w:hAnsi="Times New Roman" w:eastAsia="仿宋" w:cs="Times New Roman"/>
          <w:sz w:val="36"/>
          <w:szCs w:val="36"/>
        </w:rPr>
        <w:sectPr>
          <w:footerReference r:id="rId10" w:type="default"/>
          <w:pgSz w:w="11906" w:h="16838"/>
          <w:pgMar w:top="1440" w:right="1800" w:bottom="1440" w:left="1800" w:header="851" w:footer="992" w:gutter="0"/>
          <w:pgBorders>
            <w:top w:val="none" w:sz="0" w:space="0"/>
            <w:left w:val="none" w:sz="0" w:space="0"/>
            <w:bottom w:val="none" w:sz="0" w:space="0"/>
            <w:right w:val="none" w:sz="0" w:space="0"/>
          </w:pgBorders>
          <w:pgNumType w:fmt="decimal" w:start="1"/>
          <w:cols w:space="425" w:num="1"/>
          <w:docGrid w:type="lines" w:linePitch="312" w:charSpace="0"/>
        </w:sectPr>
      </w:pPr>
      <w:r>
        <w:rPr>
          <w:rFonts w:hint="default" w:ascii="Times New Roman" w:hAnsi="Times New Roman" w:eastAsia="仿宋" w:cs="Times New Roman"/>
          <w:sz w:val="28"/>
          <w:szCs w:val="28"/>
        </w:rPr>
        <w:t>本预案自批准备案之日起施行。</w:t>
      </w:r>
      <w:bookmarkStart w:id="712" w:name="_Toc26909"/>
    </w:p>
    <w:bookmarkEnd w:id="712"/>
    <w:p>
      <w:pPr>
        <w:pStyle w:val="19"/>
        <w:outlineLvl w:val="0"/>
        <w:rPr>
          <w:rFonts w:hint="default" w:ascii="Times New Roman" w:hAnsi="Times New Roman" w:eastAsia="仿宋" w:cs="Times New Roman"/>
          <w:sz w:val="30"/>
          <w:szCs w:val="30"/>
        </w:rPr>
      </w:pPr>
      <w:bookmarkStart w:id="713" w:name="_Toc13699"/>
      <w:bookmarkStart w:id="714" w:name="_Toc2199"/>
      <w:bookmarkStart w:id="715" w:name="_Toc11798"/>
      <w:bookmarkStart w:id="716" w:name="_Toc54050963"/>
      <w:r>
        <w:rPr>
          <w:rFonts w:hint="default" w:ascii="Times New Roman" w:hAnsi="Times New Roman" w:eastAsia="仿宋" w:cs="Times New Roman"/>
          <w:sz w:val="30"/>
          <w:szCs w:val="30"/>
        </w:rPr>
        <w:t>附件</w:t>
      </w:r>
      <w:r>
        <w:rPr>
          <w:rFonts w:hint="default" w:ascii="Times New Roman" w:hAnsi="Times New Roman" w:eastAsia="仿宋" w:cs="Times New Roman"/>
          <w:sz w:val="30"/>
          <w:szCs w:val="30"/>
          <w:lang w:val="en-US" w:eastAsia="zh-CN"/>
        </w:rPr>
        <w:t>1</w:t>
      </w:r>
      <w:r>
        <w:rPr>
          <w:rFonts w:hint="default" w:ascii="Times New Roman" w:hAnsi="Times New Roman" w:eastAsia="仿宋" w:cs="Times New Roman"/>
          <w:sz w:val="30"/>
          <w:szCs w:val="30"/>
        </w:rPr>
        <w:t xml:space="preserve"> 企业应急救援组织名单</w:t>
      </w:r>
      <w:bookmarkEnd w:id="713"/>
      <w:bookmarkEnd w:id="714"/>
      <w:bookmarkEnd w:id="715"/>
      <w:bookmarkEnd w:id="716"/>
      <w:bookmarkStart w:id="717" w:name="_Toc27835"/>
    </w:p>
    <w:tbl>
      <w:tblPr>
        <w:tblStyle w:val="28"/>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7"/>
        <w:gridCol w:w="1581"/>
        <w:gridCol w:w="1578"/>
        <w:gridCol w:w="1975"/>
        <w:gridCol w:w="19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 w:hRule="atLeast"/>
          <w:jc w:val="center"/>
        </w:trPr>
        <w:tc>
          <w:tcPr>
            <w:tcW w:w="1766" w:type="pct"/>
            <w:gridSpan w:val="2"/>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应急职务</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姓名</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单位职务/岗位</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电话</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5"/>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一、应急救援指挥部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66" w:type="pct"/>
            <w:gridSpan w:val="2"/>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总指挥</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郭红梅</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总经理</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15399249916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66" w:type="pct"/>
            <w:gridSpan w:val="2"/>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副总指挥</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eastAsia" w:ascii="Times New Roman" w:hAnsi="Times New Roman" w:eastAsia="仿宋" w:cs="Times New Roman"/>
                <w:b w:val="0"/>
                <w:bCs w:val="0"/>
                <w:kern w:val="0"/>
                <w:sz w:val="24"/>
                <w:szCs w:val="24"/>
                <w:lang w:val="en-US" w:eastAsia="zh-CN"/>
              </w:rPr>
              <w:t>李亚丽</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eastAsia" w:ascii="Times New Roman" w:hAnsi="Times New Roman" w:eastAsia="仿宋" w:cs="Times New Roman"/>
                <w:b w:val="0"/>
                <w:bCs w:val="0"/>
                <w:kern w:val="0"/>
                <w:sz w:val="24"/>
                <w:szCs w:val="24"/>
                <w:lang w:val="en-US" w:eastAsia="zh-CN"/>
              </w:rPr>
              <w:t>厂长</w:t>
            </w:r>
          </w:p>
        </w:tc>
        <w:tc>
          <w:tcPr>
            <w:tcW w:w="1148"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13892022873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66" w:type="pct"/>
            <w:gridSpan w:val="2"/>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应急办公室主任</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eastAsia="zh-CN"/>
              </w:rPr>
              <w:t>李亚丽</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eastAsia" w:ascii="Times New Roman" w:hAnsi="Times New Roman" w:eastAsia="仿宋" w:cs="Times New Roman"/>
                <w:b w:val="0"/>
                <w:bCs w:val="0"/>
                <w:kern w:val="0"/>
                <w:sz w:val="24"/>
                <w:szCs w:val="24"/>
                <w:lang w:val="en-US" w:eastAsia="zh-CN"/>
              </w:rPr>
              <w:t>厂长</w:t>
            </w:r>
          </w:p>
        </w:tc>
        <w:tc>
          <w:tcPr>
            <w:tcW w:w="1148"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13892022873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00" w:type="pct"/>
            <w:gridSpan w:val="5"/>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二、应急救援小组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Merge w:val="restar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抢险灭火组</w:t>
            </w:r>
          </w:p>
        </w:tc>
        <w:tc>
          <w:tcPr>
            <w:tcW w:w="927"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组长</w:t>
            </w:r>
          </w:p>
        </w:tc>
        <w:tc>
          <w:tcPr>
            <w:tcW w:w="926"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刘小雷</w:t>
            </w:r>
          </w:p>
        </w:tc>
        <w:tc>
          <w:tcPr>
            <w:tcW w:w="1159"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工人</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13720453893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Merge w:val="continue"/>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p>
        </w:tc>
        <w:tc>
          <w:tcPr>
            <w:tcW w:w="927"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组员</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朱红伟</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工人</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13892021327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Merge w:val="continue"/>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p>
        </w:tc>
        <w:tc>
          <w:tcPr>
            <w:tcW w:w="927"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组员</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葛光远</w:t>
            </w:r>
          </w:p>
        </w:tc>
        <w:tc>
          <w:tcPr>
            <w:tcW w:w="1159"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工人</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18091002246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物资供应组</w:t>
            </w:r>
          </w:p>
        </w:tc>
        <w:tc>
          <w:tcPr>
            <w:tcW w:w="927"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组长</w:t>
            </w:r>
          </w:p>
        </w:tc>
        <w:tc>
          <w:tcPr>
            <w:tcW w:w="926"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李亚丽</w:t>
            </w:r>
          </w:p>
        </w:tc>
        <w:tc>
          <w:tcPr>
            <w:tcW w:w="1159"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厂长</w:t>
            </w:r>
          </w:p>
        </w:tc>
        <w:tc>
          <w:tcPr>
            <w:tcW w:w="1148"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13892022873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警戒疏导组</w:t>
            </w:r>
          </w:p>
        </w:tc>
        <w:tc>
          <w:tcPr>
            <w:tcW w:w="927"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组长</w:t>
            </w:r>
          </w:p>
        </w:tc>
        <w:tc>
          <w:tcPr>
            <w:tcW w:w="926"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马飞</w:t>
            </w:r>
          </w:p>
        </w:tc>
        <w:tc>
          <w:tcPr>
            <w:tcW w:w="1159"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技术员</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15389358985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医疗救护组</w:t>
            </w:r>
          </w:p>
        </w:tc>
        <w:tc>
          <w:tcPr>
            <w:tcW w:w="927"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组长</w:t>
            </w:r>
          </w:p>
        </w:tc>
        <w:tc>
          <w:tcPr>
            <w:tcW w:w="926"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刘光辉</w:t>
            </w:r>
          </w:p>
        </w:tc>
        <w:tc>
          <w:tcPr>
            <w:tcW w:w="1159"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工人</w:t>
            </w:r>
          </w:p>
        </w:tc>
        <w:tc>
          <w:tcPr>
            <w:tcW w:w="1148"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13619187982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通讯联络组</w:t>
            </w:r>
          </w:p>
        </w:tc>
        <w:tc>
          <w:tcPr>
            <w:tcW w:w="927"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组长</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eastAsia" w:ascii="Times New Roman" w:hAnsi="Times New Roman" w:eastAsia="仿宋" w:cs="Times New Roman"/>
                <w:b w:val="0"/>
                <w:bCs w:val="0"/>
                <w:kern w:val="0"/>
                <w:sz w:val="24"/>
                <w:szCs w:val="24"/>
                <w:lang w:val="en-US" w:eastAsia="zh-CN"/>
              </w:rPr>
              <w:t>郭红梅</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eastAsia" w:ascii="Times New Roman" w:hAnsi="Times New Roman" w:eastAsia="仿宋" w:cs="Times New Roman"/>
                <w:b w:val="0"/>
                <w:bCs w:val="0"/>
                <w:kern w:val="0"/>
                <w:sz w:val="24"/>
                <w:szCs w:val="24"/>
                <w:lang w:val="en-US" w:eastAsia="zh-CN"/>
              </w:rPr>
              <w:t>总经理</w:t>
            </w:r>
          </w:p>
        </w:tc>
        <w:tc>
          <w:tcPr>
            <w:tcW w:w="1148" w:type="pct"/>
            <w:vAlign w:val="center"/>
          </w:tcPr>
          <w:p>
            <w:pPr>
              <w:autoSpaceDE w:val="0"/>
              <w:autoSpaceDN w:val="0"/>
              <w:adjustRightInd w:val="0"/>
              <w:jc w:val="center"/>
              <w:rPr>
                <w:rFonts w:hint="eastAsia"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15399249916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3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善后处理组</w:t>
            </w:r>
          </w:p>
        </w:tc>
        <w:tc>
          <w:tcPr>
            <w:tcW w:w="927"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组长</w:t>
            </w:r>
          </w:p>
        </w:tc>
        <w:tc>
          <w:tcPr>
            <w:tcW w:w="92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李亚丽</w:t>
            </w:r>
          </w:p>
        </w:tc>
        <w:tc>
          <w:tcPr>
            <w:tcW w:w="1159"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厂长</w:t>
            </w:r>
          </w:p>
        </w:tc>
        <w:tc>
          <w:tcPr>
            <w:tcW w:w="1148"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13892022873</w:t>
            </w:r>
          </w:p>
        </w:tc>
      </w:tr>
    </w:tbl>
    <w:p>
      <w:pPr>
        <w:bidi w:val="0"/>
        <w:rPr>
          <w:rFonts w:hint="default"/>
          <w:lang w:val="en-US" w:eastAsia="zh-CN"/>
        </w:rPr>
      </w:pPr>
      <w:bookmarkStart w:id="718" w:name="_Toc1255"/>
      <w:bookmarkStart w:id="719" w:name="_Toc54050964"/>
    </w:p>
    <w:p>
      <w:pPr>
        <w:bidi w:val="0"/>
        <w:rPr>
          <w:rFonts w:hint="default"/>
          <w:lang w:val="en-US" w:eastAsia="zh-CN"/>
        </w:rPr>
      </w:pPr>
    </w:p>
    <w:p>
      <w:pPr>
        <w:pStyle w:val="19"/>
        <w:outlineLvl w:val="0"/>
        <w:rPr>
          <w:rFonts w:hint="default" w:ascii="Times New Roman" w:hAnsi="Times New Roman" w:eastAsia="仿宋" w:cs="Times New Roman"/>
          <w:sz w:val="30"/>
          <w:szCs w:val="30"/>
        </w:rPr>
      </w:pPr>
      <w:r>
        <w:rPr>
          <w:rFonts w:hint="default" w:ascii="Times New Roman" w:hAnsi="Times New Roman" w:eastAsia="仿宋" w:cs="Times New Roman"/>
          <w:sz w:val="30"/>
          <w:szCs w:val="30"/>
          <w:lang w:val="en-US" w:eastAsia="zh-CN"/>
        </w:rPr>
        <w:t xml:space="preserve">附件2 </w:t>
      </w:r>
      <w:r>
        <w:rPr>
          <w:rFonts w:hint="default" w:ascii="Times New Roman" w:hAnsi="Times New Roman" w:eastAsia="仿宋" w:cs="Times New Roman"/>
          <w:sz w:val="30"/>
          <w:szCs w:val="30"/>
        </w:rPr>
        <w:t>消防</w:t>
      </w:r>
      <w:r>
        <w:rPr>
          <w:rFonts w:hint="default" w:ascii="Times New Roman" w:hAnsi="Times New Roman" w:eastAsia="仿宋" w:cs="Times New Roman"/>
          <w:sz w:val="30"/>
          <w:szCs w:val="30"/>
          <w:lang w:eastAsia="zh-CN"/>
        </w:rPr>
        <w:t>、</w:t>
      </w:r>
      <w:r>
        <w:rPr>
          <w:rFonts w:hint="default" w:ascii="Times New Roman" w:hAnsi="Times New Roman" w:eastAsia="仿宋" w:cs="Times New Roman"/>
          <w:sz w:val="30"/>
          <w:szCs w:val="30"/>
        </w:rPr>
        <w:t>应急</w:t>
      </w:r>
      <w:r>
        <w:rPr>
          <w:rFonts w:hint="default" w:ascii="Times New Roman" w:hAnsi="Times New Roman" w:eastAsia="仿宋" w:cs="Times New Roman"/>
          <w:sz w:val="30"/>
          <w:szCs w:val="30"/>
          <w:lang w:val="en-US" w:eastAsia="zh-CN"/>
        </w:rPr>
        <w:t>物资</w:t>
      </w:r>
      <w:r>
        <w:rPr>
          <w:rFonts w:hint="default" w:ascii="Times New Roman" w:hAnsi="Times New Roman" w:eastAsia="仿宋" w:cs="Times New Roman"/>
          <w:sz w:val="30"/>
          <w:szCs w:val="30"/>
        </w:rPr>
        <w:t>清单</w:t>
      </w:r>
      <w:bookmarkEnd w:id="718"/>
    </w:p>
    <w:tbl>
      <w:tblPr>
        <w:tblStyle w:val="28"/>
        <w:tblW w:w="5264" w:type="pct"/>
        <w:jc w:val="center"/>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Layout w:type="autofit"/>
        <w:tblCellMar>
          <w:top w:w="0" w:type="dxa"/>
          <w:left w:w="0" w:type="dxa"/>
          <w:bottom w:w="0" w:type="dxa"/>
          <w:right w:w="0" w:type="dxa"/>
        </w:tblCellMar>
      </w:tblPr>
      <w:tblGrid>
        <w:gridCol w:w="765"/>
        <w:gridCol w:w="1780"/>
        <w:gridCol w:w="2030"/>
        <w:gridCol w:w="2202"/>
        <w:gridCol w:w="1978"/>
      </w:tblGrid>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35" w:hRule="exact"/>
          <w:jc w:val="center"/>
        </w:trPr>
        <w:tc>
          <w:tcPr>
            <w:tcW w:w="437"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序号</w:t>
            </w:r>
          </w:p>
        </w:tc>
        <w:tc>
          <w:tcPr>
            <w:tcW w:w="1016"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设施名称</w:t>
            </w:r>
          </w:p>
        </w:tc>
        <w:tc>
          <w:tcPr>
            <w:tcW w:w="1159"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数量</w:t>
            </w:r>
          </w:p>
        </w:tc>
        <w:tc>
          <w:tcPr>
            <w:tcW w:w="1257"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存放地点</w:t>
            </w:r>
          </w:p>
        </w:tc>
        <w:tc>
          <w:tcPr>
            <w:tcW w:w="1129" w:type="pct"/>
            <w:tcBorders>
              <w:right w:val="single" w:color="000000" w:sz="4" w:space="0"/>
            </w:tcBorders>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rPr>
              <w:t>管理人</w:t>
            </w:r>
          </w:p>
        </w:tc>
      </w:tr>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35" w:hRule="exact"/>
          <w:jc w:val="center"/>
        </w:trPr>
        <w:tc>
          <w:tcPr>
            <w:tcW w:w="437"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default" w:ascii="Times New Roman" w:hAnsi="Times New Roman" w:eastAsia="仿宋" w:cs="Times New Roman"/>
                <w:sz w:val="24"/>
                <w:szCs w:val="24"/>
                <w:lang w:val="en-US" w:eastAsia="zh-CN"/>
              </w:rPr>
              <w:t>1</w:t>
            </w:r>
          </w:p>
        </w:tc>
        <w:tc>
          <w:tcPr>
            <w:tcW w:w="1016" w:type="pct"/>
            <w:noWrap w:val="0"/>
            <w:vAlign w:val="center"/>
          </w:tcPr>
          <w:p>
            <w:pPr>
              <w:pStyle w:val="10"/>
              <w:spacing w:line="240" w:lineRule="auto"/>
              <w:ind w:firstLine="0" w:firstLineChars="0"/>
              <w:jc w:val="center"/>
              <w:rPr>
                <w:rFonts w:hint="default" w:ascii="Times New Roman" w:hAnsi="Times New Roman" w:eastAsia="仿宋" w:cs="Times New Roman"/>
                <w:kern w:val="2"/>
                <w:sz w:val="24"/>
                <w:szCs w:val="24"/>
                <w:lang w:val="en-US" w:eastAsia="zh-CN" w:bidi="ar-SA"/>
              </w:rPr>
            </w:pPr>
            <w:r>
              <w:rPr>
                <w:rFonts w:hint="default" w:ascii="Times New Roman" w:hAnsi="Times New Roman" w:eastAsia="仿宋" w:cs="Times New Roman"/>
                <w:sz w:val="24"/>
                <w:szCs w:val="24"/>
                <w:lang w:val="en-US" w:eastAsia="zh-CN"/>
              </w:rPr>
              <w:t>干粉灭火器</w:t>
            </w:r>
          </w:p>
        </w:tc>
        <w:tc>
          <w:tcPr>
            <w:tcW w:w="1159" w:type="pct"/>
            <w:noWrap w:val="0"/>
            <w:vAlign w:val="center"/>
          </w:tcPr>
          <w:p>
            <w:pPr>
              <w:pStyle w:val="10"/>
              <w:spacing w:line="240" w:lineRule="auto"/>
              <w:ind w:firstLine="0" w:firstLineChars="0"/>
              <w:jc w:val="center"/>
              <w:rPr>
                <w:rFonts w:hint="default" w:ascii="Times New Roman" w:hAnsi="Times New Roman" w:eastAsia="仿宋" w:cs="Times New Roman"/>
                <w:kern w:val="2"/>
                <w:sz w:val="24"/>
                <w:szCs w:val="24"/>
                <w:lang w:val="en-US" w:eastAsia="zh-CN" w:bidi="ar-SA"/>
              </w:rPr>
            </w:pPr>
            <w:r>
              <w:rPr>
                <w:rFonts w:hint="eastAsia" w:ascii="Times New Roman" w:hAnsi="Times New Roman" w:eastAsia="仿宋" w:cs="Times New Roman"/>
                <w:sz w:val="24"/>
                <w:szCs w:val="24"/>
                <w:lang w:val="en-US" w:eastAsia="zh-CN"/>
              </w:rPr>
              <w:t>6</w:t>
            </w:r>
            <w:r>
              <w:rPr>
                <w:rFonts w:hint="default" w:ascii="Times New Roman" w:hAnsi="Times New Roman" w:eastAsia="仿宋" w:cs="Times New Roman"/>
                <w:sz w:val="24"/>
                <w:szCs w:val="24"/>
                <w:lang w:val="en-US" w:eastAsia="zh-CN"/>
              </w:rPr>
              <w:t>个4KG</w:t>
            </w:r>
          </w:p>
        </w:tc>
        <w:tc>
          <w:tcPr>
            <w:tcW w:w="1257" w:type="pct"/>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车间门口</w:t>
            </w:r>
          </w:p>
        </w:tc>
        <w:tc>
          <w:tcPr>
            <w:tcW w:w="1129" w:type="pct"/>
            <w:vMerge w:val="restart"/>
            <w:tcBorders>
              <w:right w:val="single" w:color="000000" w:sz="4" w:space="0"/>
            </w:tcBorders>
            <w:noWrap w:val="0"/>
            <w:vAlign w:val="center"/>
          </w:tcPr>
          <w:p>
            <w:pPr>
              <w:pStyle w:val="10"/>
              <w:spacing w:line="240" w:lineRule="auto"/>
              <w:ind w:firstLine="0" w:firstLineChars="0"/>
              <w:jc w:val="center"/>
              <w:rPr>
                <w:rFonts w:hint="eastAsia"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刘光辉</w:t>
            </w:r>
            <w:r>
              <w:rPr>
                <w:rFonts w:hint="eastAsia" w:ascii="Times New Roman" w:hAnsi="Times New Roman" w:eastAsia="仿宋" w:cs="Times New Roman"/>
                <w:sz w:val="24"/>
                <w:szCs w:val="24"/>
                <w:lang w:eastAsia="zh-CN"/>
              </w:rPr>
              <w:t>13619187982</w:t>
            </w:r>
          </w:p>
        </w:tc>
      </w:tr>
      <w:tr>
        <w:tblPrEx>
          <w:tblBorders>
            <w:top w:val="single" w:color="000000" w:sz="4" w:space="0"/>
            <w:left w:val="none" w:color="auto" w:sz="0" w:space="0"/>
            <w:bottom w:val="single" w:color="auto" w:sz="4" w:space="0"/>
            <w:right w:val="none" w:color="auto" w:sz="0" w:space="0"/>
            <w:insideH w:val="single" w:color="000000" w:sz="4" w:space="0"/>
            <w:insideV w:val="single" w:color="000000" w:sz="4" w:space="0"/>
          </w:tblBorders>
          <w:tblCellMar>
            <w:top w:w="0" w:type="dxa"/>
            <w:left w:w="0" w:type="dxa"/>
            <w:bottom w:w="0" w:type="dxa"/>
            <w:right w:w="0" w:type="dxa"/>
          </w:tblCellMar>
        </w:tblPrEx>
        <w:trPr>
          <w:trHeight w:val="335" w:hRule="exact"/>
          <w:jc w:val="center"/>
        </w:trPr>
        <w:tc>
          <w:tcPr>
            <w:tcW w:w="437" w:type="pct"/>
            <w:tcBorders>
              <w:left w:val="single" w:color="000000" w:sz="4" w:space="0"/>
            </w:tcBorders>
            <w:noWrap w:val="0"/>
            <w:vAlign w:val="center"/>
          </w:tcPr>
          <w:p>
            <w:pPr>
              <w:pStyle w:val="10"/>
              <w:spacing w:line="240" w:lineRule="auto"/>
              <w:ind w:firstLine="0"/>
              <w:jc w:val="center"/>
              <w:rPr>
                <w:rFonts w:hint="default" w:ascii="Times New Roman" w:hAnsi="Times New Roman" w:eastAsia="仿宋" w:cs="Times New Roman"/>
                <w:sz w:val="24"/>
                <w:szCs w:val="24"/>
                <w:lang w:val="en-US" w:eastAsia="zh-CN"/>
              </w:rPr>
            </w:pPr>
            <w:r>
              <w:rPr>
                <w:rFonts w:hint="eastAsia" w:ascii="Times New Roman" w:hAnsi="Times New Roman" w:eastAsia="仿宋" w:cs="Times New Roman"/>
                <w:sz w:val="24"/>
                <w:szCs w:val="24"/>
                <w:lang w:val="en-US" w:eastAsia="zh-CN"/>
              </w:rPr>
              <w:t>2</w:t>
            </w:r>
          </w:p>
        </w:tc>
        <w:tc>
          <w:tcPr>
            <w:tcW w:w="1016" w:type="pct"/>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eastAsia="zh-CN"/>
              </w:rPr>
              <w:t>铁锨</w:t>
            </w:r>
          </w:p>
        </w:tc>
        <w:tc>
          <w:tcPr>
            <w:tcW w:w="1159" w:type="pct"/>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bidi="ar-SA"/>
              </w:rPr>
            </w:pPr>
            <w:r>
              <w:rPr>
                <w:rFonts w:hint="default" w:ascii="Times New Roman" w:hAnsi="Times New Roman" w:eastAsia="仿宋" w:cs="Times New Roman"/>
                <w:sz w:val="24"/>
                <w:szCs w:val="24"/>
                <w:lang w:val="en-US" w:eastAsia="zh-CN"/>
              </w:rPr>
              <w:t>4把</w:t>
            </w:r>
          </w:p>
        </w:tc>
        <w:tc>
          <w:tcPr>
            <w:tcW w:w="1257" w:type="pct"/>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bidi="ar-SA"/>
              </w:rPr>
            </w:pPr>
            <w:r>
              <w:rPr>
                <w:rFonts w:hint="eastAsia" w:eastAsia="仿宋" w:cs="Times New Roman"/>
                <w:sz w:val="24"/>
                <w:szCs w:val="24"/>
                <w:lang w:val="en-US" w:eastAsia="zh-CN"/>
              </w:rPr>
              <w:t>库房</w:t>
            </w:r>
            <w:bookmarkStart w:id="744" w:name="_GoBack"/>
            <w:bookmarkEnd w:id="744"/>
          </w:p>
        </w:tc>
        <w:tc>
          <w:tcPr>
            <w:tcW w:w="1129" w:type="pct"/>
            <w:vMerge w:val="continue"/>
            <w:tcBorders>
              <w:right w:val="single" w:color="000000" w:sz="4" w:space="0"/>
            </w:tcBorders>
            <w:noWrap w:val="0"/>
            <w:vAlign w:val="center"/>
          </w:tcPr>
          <w:p>
            <w:pPr>
              <w:pStyle w:val="10"/>
              <w:spacing w:line="240" w:lineRule="auto"/>
              <w:ind w:firstLine="0" w:firstLineChars="0"/>
              <w:jc w:val="center"/>
              <w:rPr>
                <w:rFonts w:hint="default" w:ascii="Times New Roman" w:hAnsi="Times New Roman" w:eastAsia="仿宋" w:cs="Times New Roman"/>
                <w:sz w:val="24"/>
                <w:szCs w:val="24"/>
                <w:lang w:val="en-US" w:eastAsia="zh-CN"/>
              </w:rPr>
            </w:pPr>
          </w:p>
        </w:tc>
      </w:tr>
    </w:tbl>
    <w:p>
      <w:pPr>
        <w:bidi w:val="0"/>
        <w:rPr>
          <w:rFonts w:hint="default"/>
        </w:rPr>
      </w:pPr>
    </w:p>
    <w:p>
      <w:pPr>
        <w:bidi w:val="0"/>
        <w:rPr>
          <w:rFonts w:hint="default"/>
          <w:lang w:val="en-US" w:eastAsia="zh-CN"/>
        </w:rPr>
      </w:pPr>
      <w:bookmarkStart w:id="720" w:name="_Toc23580"/>
    </w:p>
    <w:p>
      <w:pPr>
        <w:bidi w:val="0"/>
        <w:rPr>
          <w:rFonts w:hint="default"/>
          <w:lang w:val="en-US" w:eastAsia="zh-CN"/>
        </w:rPr>
      </w:pPr>
    </w:p>
    <w:p>
      <w:pPr>
        <w:pStyle w:val="19"/>
        <w:outlineLvl w:val="0"/>
        <w:rPr>
          <w:rFonts w:hint="default" w:ascii="Times New Roman" w:hAnsi="Times New Roman" w:eastAsia="仿宋" w:cs="Times New Roman"/>
          <w:sz w:val="30"/>
          <w:szCs w:val="30"/>
          <w:lang w:val="en-US" w:eastAsia="zh-CN"/>
        </w:rPr>
      </w:pPr>
      <w:r>
        <w:rPr>
          <w:rFonts w:hint="default" w:ascii="Times New Roman" w:hAnsi="Times New Roman" w:eastAsia="仿宋" w:cs="Times New Roman"/>
          <w:sz w:val="30"/>
          <w:szCs w:val="30"/>
          <w:lang w:val="en-US" w:eastAsia="zh-CN"/>
        </w:rPr>
        <w:t>附件3 外部应急救援组织及联系方法</w:t>
      </w:r>
      <w:bookmarkEnd w:id="717"/>
      <w:bookmarkEnd w:id="719"/>
      <w:bookmarkEnd w:id="720"/>
    </w:p>
    <w:tbl>
      <w:tblPr>
        <w:tblStyle w:val="28"/>
        <w:tblW w:w="5122" w:type="pct"/>
        <w:tblInd w:w="-2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92"/>
        <w:gridCol w:w="3993"/>
        <w:gridCol w:w="2309"/>
        <w:gridCol w:w="13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trPr>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bookmarkStart w:id="721" w:name="_Toc28870"/>
            <w:bookmarkStart w:id="722" w:name="_Toc26145"/>
            <w:r>
              <w:rPr>
                <w:rFonts w:hint="default" w:ascii="Times New Roman" w:hAnsi="Times New Roman" w:eastAsia="仿宋" w:cs="Times New Roman"/>
                <w:b w:val="0"/>
                <w:bCs w:val="0"/>
                <w:kern w:val="0"/>
                <w:sz w:val="24"/>
                <w:szCs w:val="24"/>
                <w:lang w:val="en-US" w:eastAsia="zh-CN"/>
              </w:rPr>
              <w:t>序号</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外部应急救援单位</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联系电话</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1</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西咸新区</w:t>
            </w:r>
            <w:r>
              <w:rPr>
                <w:rFonts w:hint="default" w:ascii="Times New Roman" w:hAnsi="Times New Roman" w:eastAsia="仿宋" w:cs="Times New Roman"/>
                <w:b w:val="0"/>
                <w:bCs w:val="0"/>
                <w:kern w:val="0"/>
                <w:sz w:val="24"/>
                <w:szCs w:val="24"/>
                <w:lang w:val="en-US" w:eastAsia="zh-CN"/>
              </w:rPr>
              <w:t>生态环境局</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029-33186000</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2</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rPr>
              <w:t>秦汉新城</w:t>
            </w:r>
            <w:r>
              <w:rPr>
                <w:rFonts w:hint="default" w:ascii="Times New Roman" w:hAnsi="Times New Roman" w:eastAsia="仿宋" w:cs="Times New Roman"/>
                <w:b w:val="0"/>
                <w:bCs w:val="0"/>
                <w:kern w:val="0"/>
                <w:sz w:val="24"/>
                <w:szCs w:val="24"/>
                <w:lang w:val="en-US" w:eastAsia="zh-CN"/>
              </w:rPr>
              <w:t>管委会办公室</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029-33185000</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3</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rPr>
              <w:t>秦汉新城</w:t>
            </w:r>
            <w:r>
              <w:rPr>
                <w:rFonts w:hint="default" w:ascii="Times New Roman" w:hAnsi="Times New Roman" w:eastAsia="仿宋" w:cs="Times New Roman"/>
                <w:b w:val="0"/>
                <w:bCs w:val="0"/>
                <w:kern w:val="0"/>
                <w:sz w:val="24"/>
                <w:szCs w:val="24"/>
                <w:lang w:val="en-US" w:eastAsia="zh-CN"/>
              </w:rPr>
              <w:t>生态环境局</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029-33185030</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4</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秦汉新城消防大队</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029--33185703</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119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5</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西咸新区公安局秦汉新城分局</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029-33185021</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3" w:hRule="atLeast"/>
        </w:trPr>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6</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西咸新区秦汉新城应急管理局</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029-33185321</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7</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咸阳市中心医院东郊分院</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029-33253932</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rPr>
              <w:t>120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8</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咸阳恒泰热处理技术有限公司</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15229805903</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bookmarkStart w:id="723" w:name="_Toc54050965"/>
            <w:r>
              <w:rPr>
                <w:rFonts w:hint="eastAsia" w:ascii="Times New Roman" w:hAnsi="Times New Roman" w:eastAsia="仿宋" w:cs="Times New Roman"/>
                <w:b w:val="0"/>
                <w:bCs w:val="0"/>
                <w:kern w:val="0"/>
                <w:sz w:val="24"/>
                <w:szCs w:val="24"/>
                <w:lang w:val="en-US" w:eastAsia="zh-CN"/>
              </w:rPr>
              <w:t>9</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eastAsia="zh-CN"/>
              </w:rPr>
              <w:t>陕西山水秦韵家居有限公司</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eastAsia="zh-CN"/>
              </w:rPr>
              <w:t>18106636789</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eastAsia" w:ascii="Times New Roman" w:hAnsi="Times New Roman" w:eastAsia="仿宋" w:cs="Times New Roman"/>
                <w:b w:val="0"/>
                <w:bCs w:val="0"/>
                <w:kern w:val="0"/>
                <w:sz w:val="24"/>
                <w:szCs w:val="24"/>
                <w:lang w:val="en-US" w:eastAsia="zh-CN"/>
              </w:rPr>
              <w:t>10</w:t>
            </w:r>
          </w:p>
        </w:tc>
        <w:tc>
          <w:tcPr>
            <w:tcW w:w="2286"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eastAsia="zh-CN"/>
              </w:rPr>
              <w:t>陕西雅尚斯家具有限公司</w:t>
            </w:r>
          </w:p>
        </w:tc>
        <w:tc>
          <w:tcPr>
            <w:tcW w:w="1322"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rPr>
            </w:pPr>
            <w:r>
              <w:rPr>
                <w:rFonts w:hint="default" w:ascii="Times New Roman" w:hAnsi="Times New Roman" w:eastAsia="仿宋" w:cs="Times New Roman"/>
                <w:b w:val="0"/>
                <w:bCs w:val="0"/>
                <w:kern w:val="0"/>
                <w:sz w:val="24"/>
                <w:szCs w:val="24"/>
                <w:lang w:val="en-US" w:eastAsia="zh-CN"/>
              </w:rPr>
              <w:t>13700289111</w:t>
            </w:r>
          </w:p>
        </w:tc>
        <w:tc>
          <w:tcPr>
            <w:tcW w:w="765" w:type="pct"/>
            <w:vAlign w:val="center"/>
          </w:tcPr>
          <w:p>
            <w:pPr>
              <w:autoSpaceDE w:val="0"/>
              <w:autoSpaceDN w:val="0"/>
              <w:adjustRightInd w:val="0"/>
              <w:jc w:val="center"/>
              <w:rPr>
                <w:rFonts w:hint="default" w:ascii="Times New Roman" w:hAnsi="Times New Roman" w:eastAsia="仿宋" w:cs="Times New Roman"/>
                <w:b w:val="0"/>
                <w:bCs w:val="0"/>
                <w:kern w:val="0"/>
                <w:sz w:val="24"/>
                <w:szCs w:val="24"/>
                <w:lang w:val="en-US" w:eastAsia="zh-CN"/>
              </w:rPr>
            </w:pPr>
            <w:r>
              <w:rPr>
                <w:rFonts w:hint="default" w:ascii="Times New Roman" w:hAnsi="Times New Roman" w:eastAsia="仿宋" w:cs="Times New Roman"/>
                <w:b w:val="0"/>
                <w:bCs w:val="0"/>
                <w:kern w:val="0"/>
                <w:sz w:val="24"/>
                <w:szCs w:val="24"/>
                <w:lang w:val="en-US"/>
              </w:rPr>
              <w:t>/</w:t>
            </w:r>
          </w:p>
        </w:tc>
      </w:tr>
    </w:tbl>
    <w:p>
      <w:pPr>
        <w:bidi w:val="0"/>
        <w:rPr>
          <w:rFonts w:hint="default" w:ascii="Times New Roman" w:hAnsi="Times New Roman" w:eastAsia="仿宋" w:cs="Times New Roman"/>
        </w:rPr>
      </w:pPr>
    </w:p>
    <w:p>
      <w:pPr>
        <w:bidi w:val="0"/>
        <w:rPr>
          <w:rFonts w:hint="default"/>
        </w:rPr>
      </w:pPr>
      <w:bookmarkStart w:id="724" w:name="_Toc31996"/>
    </w:p>
    <w:p>
      <w:pPr>
        <w:bidi w:val="0"/>
        <w:rPr>
          <w:rFonts w:hint="default"/>
        </w:rPr>
      </w:pPr>
    </w:p>
    <w:p>
      <w:pPr>
        <w:pStyle w:val="19"/>
        <w:spacing w:line="240" w:lineRule="auto"/>
        <w:outlineLvl w:val="0"/>
        <w:rPr>
          <w:rFonts w:hint="default" w:ascii="Times New Roman" w:hAnsi="Times New Roman" w:eastAsia="仿宋" w:cs="Times New Roman"/>
          <w:sz w:val="28"/>
          <w:szCs w:val="28"/>
        </w:rPr>
      </w:pPr>
      <w:r>
        <w:rPr>
          <w:rFonts w:hint="default" w:ascii="Times New Roman" w:hAnsi="Times New Roman" w:eastAsia="仿宋" w:cs="Times New Roman"/>
          <w:sz w:val="28"/>
          <w:szCs w:val="28"/>
        </w:rPr>
        <w:t>附件</w:t>
      </w:r>
      <w:r>
        <w:rPr>
          <w:rFonts w:hint="default" w:ascii="Times New Roman" w:hAnsi="Times New Roman" w:eastAsia="仿宋" w:cs="Times New Roman"/>
          <w:sz w:val="28"/>
          <w:szCs w:val="28"/>
          <w:lang w:val="en-US" w:eastAsia="zh-CN"/>
        </w:rPr>
        <w:t>4</w:t>
      </w:r>
      <w:r>
        <w:rPr>
          <w:rFonts w:hint="default" w:ascii="Times New Roman" w:hAnsi="Times New Roman" w:eastAsia="仿宋" w:cs="Times New Roman"/>
          <w:sz w:val="28"/>
          <w:szCs w:val="28"/>
        </w:rPr>
        <w:t xml:space="preserve"> 应急相应行动流程图</w:t>
      </w:r>
      <w:bookmarkEnd w:id="721"/>
      <w:bookmarkEnd w:id="722"/>
      <w:bookmarkEnd w:id="723"/>
      <w:bookmarkEnd w:id="724"/>
    </w:p>
    <w:p>
      <w:pPr>
        <w:spacing w:line="360" w:lineRule="auto"/>
        <w:rPr>
          <w:rFonts w:hint="default" w:ascii="Times New Roman" w:hAnsi="Times New Roman" w:eastAsia="仿宋" w:cs="Times New Roman"/>
        </w:rPr>
      </w:pPr>
      <w:r>
        <w:rPr>
          <w:rFonts w:hint="default" w:ascii="Times New Roman" w:hAnsi="Times New Roman" w:eastAsia="仿宋" w:cs="Times New Roman"/>
        </w:rPr>
        <w:drawing>
          <wp:inline distT="0" distB="0" distL="114300" distR="114300">
            <wp:extent cx="5314315" cy="4932045"/>
            <wp:effectExtent l="0" t="0" r="635" b="1905"/>
            <wp:docPr id="116" name="图片 111" descr="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1" descr="流程"/>
                    <pic:cNvPicPr>
                      <a:picLocks noChangeAspect="1"/>
                    </pic:cNvPicPr>
                  </pic:nvPicPr>
                  <pic:blipFill>
                    <a:blip r:embed="rId20" cstate="print"/>
                    <a:stretch>
                      <a:fillRect/>
                    </a:stretch>
                  </pic:blipFill>
                  <pic:spPr>
                    <a:xfrm>
                      <a:off x="0" y="0"/>
                      <a:ext cx="5311972" cy="4932045"/>
                    </a:xfrm>
                    <a:prstGeom prst="rect">
                      <a:avLst/>
                    </a:prstGeom>
                  </pic:spPr>
                </pic:pic>
              </a:graphicData>
            </a:graphic>
          </wp:inline>
        </w:drawing>
      </w:r>
    </w:p>
    <w:p>
      <w:pPr>
        <w:pStyle w:val="19"/>
        <w:outlineLvl w:val="0"/>
        <w:rPr>
          <w:rFonts w:hint="default" w:ascii="Times New Roman" w:hAnsi="Times New Roman" w:eastAsia="仿宋" w:cs="Times New Roman"/>
          <w:sz w:val="28"/>
          <w:szCs w:val="28"/>
        </w:rPr>
      </w:pPr>
      <w:bookmarkStart w:id="725" w:name="_Toc16644"/>
      <w:bookmarkStart w:id="726" w:name="_Toc31515"/>
      <w:bookmarkStart w:id="727" w:name="_Toc54050966"/>
      <w:bookmarkStart w:id="728" w:name="_Toc17937"/>
      <w:r>
        <w:rPr>
          <w:rFonts w:hint="default" w:ascii="Times New Roman" w:hAnsi="Times New Roman" w:eastAsia="仿宋" w:cs="Times New Roman"/>
          <w:sz w:val="28"/>
          <w:szCs w:val="28"/>
        </w:rPr>
        <w:t>附件</w:t>
      </w:r>
      <w:r>
        <w:rPr>
          <w:rFonts w:hint="default" w:ascii="Times New Roman" w:hAnsi="Times New Roman" w:eastAsia="仿宋" w:cs="Times New Roman"/>
          <w:sz w:val="28"/>
          <w:szCs w:val="28"/>
          <w:lang w:val="en-US" w:eastAsia="zh-CN"/>
        </w:rPr>
        <w:t>5</w:t>
      </w:r>
      <w:r>
        <w:rPr>
          <w:rFonts w:hint="default" w:ascii="Times New Roman" w:hAnsi="Times New Roman" w:eastAsia="仿宋" w:cs="Times New Roman"/>
          <w:sz w:val="28"/>
          <w:szCs w:val="28"/>
        </w:rPr>
        <w:t xml:space="preserve"> </w:t>
      </w:r>
      <w:bookmarkEnd w:id="725"/>
      <w:r>
        <w:rPr>
          <w:rFonts w:hint="default" w:ascii="Times New Roman" w:hAnsi="Times New Roman" w:eastAsia="仿宋" w:cs="Times New Roman"/>
          <w:sz w:val="28"/>
          <w:szCs w:val="28"/>
          <w:lang w:val="en-US" w:eastAsia="zh-CN"/>
        </w:rPr>
        <w:t>企业</w:t>
      </w:r>
      <w:r>
        <w:rPr>
          <w:rFonts w:hint="default" w:ascii="Times New Roman" w:hAnsi="Times New Roman" w:eastAsia="仿宋" w:cs="Times New Roman"/>
          <w:sz w:val="28"/>
          <w:szCs w:val="28"/>
        </w:rPr>
        <w:t>地理位置图</w:t>
      </w:r>
      <w:bookmarkEnd w:id="726"/>
      <w:bookmarkEnd w:id="727"/>
      <w:bookmarkEnd w:id="728"/>
    </w:p>
    <w:p>
      <w:pPr>
        <w:bidi w:val="0"/>
        <w:jc w:val="center"/>
      </w:pPr>
      <w:r>
        <w:drawing>
          <wp:inline distT="0" distB="0" distL="114300" distR="114300">
            <wp:extent cx="5495925" cy="3000375"/>
            <wp:effectExtent l="0" t="0" r="9525" b="9525"/>
            <wp:docPr id="14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6"/>
                    <pic:cNvPicPr>
                      <a:picLocks noChangeAspect="1"/>
                    </pic:cNvPicPr>
                  </pic:nvPicPr>
                  <pic:blipFill>
                    <a:blip r:embed="rId21"/>
                    <a:stretch>
                      <a:fillRect/>
                    </a:stretch>
                  </pic:blipFill>
                  <pic:spPr>
                    <a:xfrm>
                      <a:off x="0" y="0"/>
                      <a:ext cx="5495925" cy="3000375"/>
                    </a:xfrm>
                    <a:prstGeom prst="rect">
                      <a:avLst/>
                    </a:prstGeom>
                    <a:noFill/>
                    <a:ln>
                      <a:noFill/>
                    </a:ln>
                  </pic:spPr>
                </pic:pic>
              </a:graphicData>
            </a:graphic>
          </wp:inline>
        </w:drawing>
      </w:r>
    </w:p>
    <w:p>
      <w:pPr>
        <w:pStyle w:val="19"/>
        <w:spacing w:line="240" w:lineRule="auto"/>
        <w:outlineLvl w:val="0"/>
        <w:rPr>
          <w:rFonts w:hint="default" w:ascii="Times New Roman" w:hAnsi="Times New Roman" w:eastAsia="仿宋" w:cs="Times New Roman"/>
          <w:sz w:val="28"/>
          <w:szCs w:val="28"/>
        </w:rPr>
      </w:pPr>
      <w:bookmarkStart w:id="729" w:name="_Toc54050967"/>
      <w:bookmarkStart w:id="730" w:name="_Toc29352"/>
      <w:bookmarkStart w:id="731" w:name="_Toc18977"/>
      <w:bookmarkStart w:id="732" w:name="_Toc5401"/>
      <w:r>
        <w:rPr>
          <w:rFonts w:hint="default" w:ascii="Times New Roman" w:hAnsi="Times New Roman" w:eastAsia="仿宋" w:cs="Times New Roman"/>
          <w:sz w:val="28"/>
          <w:szCs w:val="28"/>
        </w:rPr>
        <w:t>附件6 企业四邻现状图</w:t>
      </w:r>
      <w:bookmarkEnd w:id="729"/>
      <w:bookmarkEnd w:id="730"/>
      <w:bookmarkEnd w:id="731"/>
      <w:bookmarkEnd w:id="732"/>
    </w:p>
    <w:p>
      <w:pPr>
        <w:bidi w:val="0"/>
        <w:jc w:val="center"/>
        <w:rPr>
          <w:rFonts w:hint="default" w:ascii="Times New Roman" w:hAnsi="Times New Roman" w:eastAsia="仿宋" w:cs="Times New Roman"/>
        </w:rPr>
      </w:pPr>
      <w:r>
        <w:drawing>
          <wp:inline distT="0" distB="0" distL="114300" distR="114300">
            <wp:extent cx="5276850" cy="4086225"/>
            <wp:effectExtent l="0" t="0" r="0" b="9525"/>
            <wp:docPr id="14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5"/>
                    <pic:cNvPicPr>
                      <a:picLocks noChangeAspect="1"/>
                    </pic:cNvPicPr>
                  </pic:nvPicPr>
                  <pic:blipFill>
                    <a:blip r:embed="rId22"/>
                    <a:stretch>
                      <a:fillRect/>
                    </a:stretch>
                  </pic:blipFill>
                  <pic:spPr>
                    <a:xfrm>
                      <a:off x="0" y="0"/>
                      <a:ext cx="5276850" cy="4086225"/>
                    </a:xfrm>
                    <a:prstGeom prst="rect">
                      <a:avLst/>
                    </a:prstGeom>
                    <a:noFill/>
                    <a:ln>
                      <a:noFill/>
                    </a:ln>
                  </pic:spPr>
                </pic:pic>
              </a:graphicData>
            </a:graphic>
          </wp:inline>
        </w:drawing>
      </w:r>
    </w:p>
    <w:p>
      <w:pPr>
        <w:pStyle w:val="19"/>
        <w:outlineLvl w:val="0"/>
        <w:rPr>
          <w:rFonts w:hint="default" w:ascii="Times New Roman" w:hAnsi="Times New Roman" w:eastAsia="仿宋" w:cs="Times New Roman"/>
          <w:sz w:val="28"/>
          <w:szCs w:val="28"/>
        </w:rPr>
      </w:pPr>
      <w:bookmarkStart w:id="733" w:name="_Toc14518"/>
      <w:r>
        <w:rPr>
          <w:rFonts w:hint="default" w:ascii="Times New Roman" w:hAnsi="Times New Roman" w:eastAsia="仿宋" w:cs="Times New Roman"/>
          <w:sz w:val="28"/>
          <w:szCs w:val="28"/>
        </w:rPr>
        <w:t>附件7</w:t>
      </w:r>
      <w:r>
        <w:rPr>
          <w:rFonts w:hint="eastAsia"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rPr>
        <w:t>企业监测点位</w:t>
      </w:r>
      <w:bookmarkEnd w:id="733"/>
    </w:p>
    <w:p>
      <w:pPr>
        <w:pStyle w:val="27"/>
        <w:ind w:left="0" w:leftChars="0" w:firstLine="0" w:firstLineChars="0"/>
        <w:rPr>
          <w:rFonts w:hint="default"/>
        </w:rPr>
        <w:sectPr>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pPr>
      <w:r>
        <w:drawing>
          <wp:inline distT="0" distB="0" distL="114300" distR="114300">
            <wp:extent cx="5236210" cy="3639185"/>
            <wp:effectExtent l="0" t="0" r="2540" b="18415"/>
            <wp:docPr id="14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图片 4"/>
                    <pic:cNvPicPr>
                      <a:picLocks noChangeAspect="1"/>
                    </pic:cNvPicPr>
                  </pic:nvPicPr>
                  <pic:blipFill>
                    <a:blip r:embed="rId23"/>
                    <a:stretch>
                      <a:fillRect/>
                    </a:stretch>
                  </pic:blipFill>
                  <pic:spPr>
                    <a:xfrm>
                      <a:off x="0" y="0"/>
                      <a:ext cx="5236210" cy="3639185"/>
                    </a:xfrm>
                    <a:prstGeom prst="rect">
                      <a:avLst/>
                    </a:prstGeom>
                    <a:noFill/>
                    <a:ln>
                      <a:noFill/>
                    </a:ln>
                  </pic:spPr>
                </pic:pic>
              </a:graphicData>
            </a:graphic>
          </wp:inline>
        </w:drawing>
      </w:r>
    </w:p>
    <w:p>
      <w:pPr>
        <w:pStyle w:val="19"/>
        <w:outlineLvl w:val="0"/>
        <w:rPr>
          <w:rFonts w:hint="default" w:ascii="Times New Roman" w:hAnsi="Times New Roman" w:eastAsia="仿宋" w:cs="Times New Roman"/>
          <w:sz w:val="28"/>
          <w:szCs w:val="28"/>
        </w:rPr>
      </w:pPr>
      <w:bookmarkStart w:id="734" w:name="_Toc29338"/>
      <w:bookmarkStart w:id="735" w:name="_Toc26627"/>
      <w:bookmarkStart w:id="736" w:name="_Toc54050920"/>
      <w:bookmarkStart w:id="737" w:name="_Toc54050921"/>
      <w:bookmarkStart w:id="738" w:name="_Toc14667"/>
      <w:bookmarkStart w:id="739" w:name="_Toc48811927"/>
      <w:bookmarkStart w:id="740" w:name="_Toc28193"/>
      <w:bookmarkStart w:id="741" w:name="_Toc54050973"/>
      <w:r>
        <w:rPr>
          <w:rFonts w:hint="default" w:ascii="Times New Roman" w:hAnsi="Times New Roman" w:eastAsia="仿宋" w:cs="Times New Roman"/>
          <w:sz w:val="28"/>
          <w:szCs w:val="28"/>
        </w:rPr>
        <w:t>附件</w:t>
      </w:r>
      <w:r>
        <w:rPr>
          <w:rFonts w:hint="default" w:ascii="Times New Roman" w:hAnsi="Times New Roman" w:eastAsia="仿宋" w:cs="Times New Roman"/>
          <w:sz w:val="28"/>
          <w:szCs w:val="28"/>
          <w:lang w:val="en-US" w:eastAsia="zh-CN"/>
        </w:rPr>
        <w:t>8</w:t>
      </w:r>
      <w:r>
        <w:rPr>
          <w:rFonts w:hint="eastAsia"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rPr>
        <w:t>事故应急处置卡</w:t>
      </w:r>
      <w:bookmarkEnd w:id="734"/>
    </w:p>
    <w:p>
      <w:pPr>
        <w:spacing w:line="440" w:lineRule="exact"/>
        <w:jc w:val="center"/>
        <w:rPr>
          <w:rFonts w:hint="default" w:ascii="Times New Roman" w:hAnsi="Times New Roman" w:eastAsia="仿宋" w:cs="Times New Roman"/>
          <w:b/>
          <w:sz w:val="24"/>
          <w:szCs w:val="24"/>
        </w:rPr>
      </w:pPr>
      <w:r>
        <w:rPr>
          <w:rFonts w:hint="default" w:ascii="Times New Roman" w:hAnsi="Times New Roman" w:eastAsia="仿宋" w:cs="Times New Roman"/>
          <w:b/>
          <w:sz w:val="24"/>
          <w:szCs w:val="24"/>
        </w:rPr>
        <w:t>废气处理设施故障应急处置卡</w:t>
      </w:r>
    </w:p>
    <w:tbl>
      <w:tblPr>
        <w:tblStyle w:val="28"/>
        <w:tblW w:w="867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6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8679" w:type="dxa"/>
            <w:vAlign w:val="center"/>
          </w:tcPr>
          <w:p>
            <w:pPr>
              <w:spacing w:line="360" w:lineRule="auto"/>
              <w:jc w:val="center"/>
              <w:rPr>
                <w:rFonts w:hint="default" w:ascii="Times New Roman" w:hAnsi="Times New Roman" w:eastAsia="仿宋" w:cs="Times New Roman"/>
                <w:sz w:val="24"/>
                <w:szCs w:val="24"/>
              </w:rPr>
            </w:pPr>
            <w:r>
              <w:rPr>
                <w:rFonts w:hint="default" w:ascii="Times New Roman" w:hAnsi="Times New Roman" w:eastAsia="仿宋" w:cs="Times New Roman"/>
                <w:b/>
                <w:sz w:val="24"/>
                <w:szCs w:val="24"/>
              </w:rPr>
              <w:t>废气处理设施故障事故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8679" w:type="dxa"/>
            <w:vAlign w:val="center"/>
          </w:tcPr>
          <w:p>
            <w:pPr>
              <w:spacing w:line="360" w:lineRule="auto"/>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危险特性：废气处理设施发生故障，</w:t>
            </w:r>
            <w:r>
              <w:rPr>
                <w:rFonts w:hint="default" w:ascii="Times New Roman" w:hAnsi="Times New Roman" w:eastAsia="仿宋" w:cs="Times New Roman"/>
                <w:kern w:val="21"/>
                <w:sz w:val="24"/>
                <w:szCs w:val="24"/>
              </w:rPr>
              <w:t>对大气环境造成污染</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7" w:hRule="atLeast"/>
          <w:jc w:val="center"/>
        </w:trPr>
        <w:tc>
          <w:tcPr>
            <w:tcW w:w="8679" w:type="dxa"/>
            <w:tcBorders>
              <w:bottom w:val="single" w:color="auto" w:sz="4" w:space="0"/>
            </w:tcBorders>
            <w:vAlign w:val="center"/>
          </w:tcPr>
          <w:p>
            <w:pPr>
              <w:spacing w:line="360" w:lineRule="auto"/>
              <w:jc w:val="center"/>
              <w:rPr>
                <w:rFonts w:hint="default" w:ascii="Times New Roman" w:hAnsi="Times New Roman" w:eastAsia="仿宋" w:cs="Times New Roman"/>
                <w:sz w:val="24"/>
                <w:szCs w:val="24"/>
              </w:rPr>
            </w:pPr>
            <w:r>
              <w:rPr>
                <w:rFonts w:hint="default" w:ascii="Times New Roman" w:hAnsi="Times New Roman" w:eastAsia="仿宋" w:cs="Times New Roman"/>
                <w:b/>
                <w:sz w:val="24"/>
                <w:szCs w:val="24"/>
              </w:rPr>
              <w:t>现场采取的处置方式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5" w:hRule="atLeast"/>
          <w:jc w:val="center"/>
        </w:trPr>
        <w:tc>
          <w:tcPr>
            <w:tcW w:w="8679" w:type="dxa"/>
            <w:vAlign w:val="center"/>
          </w:tcPr>
          <w:p>
            <w:pPr>
              <w:spacing w:line="360" w:lineRule="auto"/>
              <w:ind w:firstLine="480" w:firstLineChars="200"/>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r>
              <w:rPr>
                <w:rFonts w:hint="default" w:ascii="Times New Roman" w:hAnsi="Times New Roman" w:eastAsia="仿宋" w:cs="Times New Roman"/>
                <w:bCs/>
                <w:sz w:val="24"/>
                <w:szCs w:val="24"/>
              </w:rPr>
              <w:t>立刻通知应急抢险组对装置进行抢修</w:t>
            </w:r>
            <w:r>
              <w:rPr>
                <w:rFonts w:hint="default" w:ascii="Times New Roman" w:hAnsi="Times New Roman" w:eastAsia="仿宋" w:cs="Times New Roman"/>
                <w:sz w:val="24"/>
                <w:szCs w:val="24"/>
              </w:rPr>
              <w:t>。</w:t>
            </w:r>
          </w:p>
          <w:p>
            <w:pPr>
              <w:spacing w:line="360" w:lineRule="auto"/>
              <w:ind w:firstLine="480" w:firstLineChars="200"/>
              <w:rPr>
                <w:rFonts w:hint="default" w:ascii="Times New Roman" w:hAnsi="Times New Roman" w:eastAsia="仿宋" w:cs="Times New Roman"/>
                <w:sz w:val="24"/>
                <w:szCs w:val="24"/>
              </w:rPr>
            </w:pPr>
            <w:r>
              <w:rPr>
                <w:rFonts w:hint="default" w:ascii="Times New Roman" w:hAnsi="Times New Roman" w:eastAsia="仿宋" w:cs="Times New Roman"/>
                <w:kern w:val="0"/>
                <w:sz w:val="24"/>
                <w:szCs w:val="24"/>
              </w:rPr>
              <w:t>2、</w:t>
            </w:r>
            <w:r>
              <w:rPr>
                <w:rFonts w:hint="default" w:ascii="Times New Roman" w:hAnsi="Times New Roman" w:eastAsia="仿宋" w:cs="Times New Roman"/>
                <w:bCs/>
                <w:sz w:val="24"/>
                <w:szCs w:val="24"/>
              </w:rPr>
              <w:t>抢修人员接到通知后，及时到达现场进行抢修，判断故障原因，并及时修复，使之正常运行</w:t>
            </w:r>
            <w:r>
              <w:rPr>
                <w:rFonts w:hint="default" w:ascii="Times New Roman" w:hAnsi="Times New Roman" w:eastAsia="仿宋" w:cs="Times New Roman"/>
                <w:sz w:val="24"/>
                <w:szCs w:val="24"/>
              </w:rPr>
              <w:t>。</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3、抢修期间，公司内停止生产，直到抢修结束，以减少废气产生量。</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kern w:val="0"/>
                <w:sz w:val="24"/>
                <w:szCs w:val="24"/>
              </w:rPr>
              <w:t>4、</w:t>
            </w:r>
            <w:r>
              <w:rPr>
                <w:rFonts w:hint="default" w:ascii="Times New Roman" w:hAnsi="Times New Roman" w:eastAsia="仿宋" w:cs="Times New Roman"/>
                <w:bCs/>
                <w:sz w:val="24"/>
                <w:szCs w:val="24"/>
              </w:rPr>
              <w:t>抢修结束后，废气处理设施运行正常后，指挥中心通知恢复正常生产</w:t>
            </w:r>
            <w:r>
              <w:rPr>
                <w:rFonts w:hint="default" w:ascii="Times New Roman" w:hAnsi="Times New Roman" w:eastAsia="仿宋" w:cs="Times New Roman"/>
                <w:sz w:val="24"/>
                <w:szCs w:val="24"/>
              </w:rPr>
              <w:t>。</w:t>
            </w:r>
          </w:p>
          <w:p>
            <w:pPr>
              <w:spacing w:line="360" w:lineRule="auto"/>
              <w:ind w:firstLine="480" w:firstLineChars="200"/>
              <w:rPr>
                <w:rFonts w:hint="default" w:ascii="Times New Roman" w:hAnsi="Times New Roman" w:eastAsia="仿宋" w:cs="Times New Roman"/>
                <w:sz w:val="24"/>
                <w:szCs w:val="24"/>
              </w:rPr>
            </w:pPr>
            <w:r>
              <w:rPr>
                <w:rFonts w:hint="default" w:ascii="Times New Roman" w:hAnsi="Times New Roman" w:eastAsia="仿宋" w:cs="Times New Roman"/>
                <w:bCs/>
                <w:sz w:val="24"/>
                <w:szCs w:val="24"/>
              </w:rPr>
              <w:t>5、及时对事故发生情况、应急措施等进行记录，并调查事故起因，编写汇报材料，及时进行总结。</w:t>
            </w:r>
          </w:p>
        </w:tc>
      </w:tr>
      <w:bookmarkEnd w:id="735"/>
      <w:bookmarkEnd w:id="736"/>
    </w:tbl>
    <w:p>
      <w:pPr>
        <w:spacing w:line="440" w:lineRule="exact"/>
        <w:jc w:val="center"/>
        <w:rPr>
          <w:rFonts w:hint="default" w:ascii="Times New Roman" w:hAnsi="Times New Roman" w:eastAsia="仿宋" w:cs="Times New Roman"/>
          <w:b/>
          <w:sz w:val="24"/>
          <w:szCs w:val="24"/>
          <w:lang w:val="en-US" w:eastAsia="zh-CN"/>
        </w:rPr>
      </w:pPr>
      <w:bookmarkStart w:id="742" w:name="_Toc57036200"/>
      <w:r>
        <w:rPr>
          <w:rFonts w:hint="default" w:ascii="Times New Roman" w:hAnsi="Times New Roman" w:eastAsia="仿宋" w:cs="Times New Roman"/>
          <w:b/>
          <w:sz w:val="24"/>
          <w:szCs w:val="24"/>
          <w:lang w:val="en-US" w:eastAsia="zh-CN"/>
        </w:rPr>
        <w:t>火灾处置卡</w:t>
      </w:r>
      <w:bookmarkEnd w:id="737"/>
      <w:bookmarkEnd w:id="738"/>
      <w:bookmarkEnd w:id="742"/>
    </w:p>
    <w:tbl>
      <w:tblPr>
        <w:tblStyle w:val="28"/>
        <w:tblW w:w="863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82"/>
        <w:gridCol w:w="684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1782" w:type="dxa"/>
            <w:shd w:val="clear" w:color="auto" w:fill="auto"/>
            <w:vAlign w:val="center"/>
          </w:tcPr>
          <w:p>
            <w:pPr>
              <w:spacing w:line="240" w:lineRule="auto"/>
              <w:jc w:val="center"/>
              <w:rPr>
                <w:rFonts w:hint="default" w:ascii="Times New Roman" w:hAnsi="Times New Roman" w:eastAsia="仿宋" w:cs="Times New Roman"/>
                <w:b/>
                <w:bCs/>
                <w:kern w:val="0"/>
                <w:sz w:val="24"/>
                <w:szCs w:val="24"/>
              </w:rPr>
            </w:pPr>
            <w:r>
              <w:rPr>
                <w:rFonts w:hint="default" w:ascii="Times New Roman" w:hAnsi="Times New Roman" w:eastAsia="仿宋" w:cs="Times New Roman"/>
                <w:b/>
                <w:bCs/>
                <w:kern w:val="0"/>
                <w:sz w:val="24"/>
                <w:szCs w:val="24"/>
              </w:rPr>
              <w:t>突发环境事件</w:t>
            </w:r>
          </w:p>
        </w:tc>
        <w:tc>
          <w:tcPr>
            <w:tcW w:w="6849" w:type="dxa"/>
            <w:shd w:val="clear" w:color="auto" w:fill="auto"/>
            <w:vAlign w:val="center"/>
          </w:tcPr>
          <w:p>
            <w:pPr>
              <w:spacing w:line="240" w:lineRule="auto"/>
              <w:jc w:val="center"/>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原料堆放区、</w:t>
            </w:r>
            <w:r>
              <w:rPr>
                <w:rFonts w:hint="default" w:ascii="Times New Roman" w:hAnsi="Times New Roman" w:eastAsia="仿宋" w:cs="Times New Roman"/>
                <w:kern w:val="0"/>
                <w:sz w:val="24"/>
                <w:szCs w:val="24"/>
                <w:lang w:val="en-US" w:eastAsia="zh-CN"/>
              </w:rPr>
              <w:t>成品/半成品</w:t>
            </w:r>
            <w:r>
              <w:rPr>
                <w:rFonts w:hint="default" w:ascii="Times New Roman" w:hAnsi="Times New Roman" w:eastAsia="仿宋" w:cs="Times New Roman"/>
                <w:kern w:val="0"/>
                <w:sz w:val="24"/>
                <w:szCs w:val="24"/>
              </w:rPr>
              <w:t>堆放区发生火灾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782" w:type="dxa"/>
            <w:shd w:val="clear" w:color="auto" w:fill="auto"/>
            <w:vAlign w:val="center"/>
          </w:tcPr>
          <w:p>
            <w:pPr>
              <w:spacing w:line="240" w:lineRule="auto"/>
              <w:jc w:val="center"/>
              <w:rPr>
                <w:rFonts w:hint="default" w:ascii="Times New Roman" w:hAnsi="Times New Roman" w:eastAsia="仿宋" w:cs="Times New Roman"/>
                <w:b/>
                <w:bCs/>
                <w:kern w:val="0"/>
                <w:sz w:val="24"/>
                <w:szCs w:val="24"/>
              </w:rPr>
            </w:pPr>
            <w:r>
              <w:rPr>
                <w:rFonts w:hint="default" w:ascii="Times New Roman" w:hAnsi="Times New Roman" w:eastAsia="仿宋" w:cs="Times New Roman"/>
                <w:b/>
                <w:bCs/>
                <w:kern w:val="0"/>
                <w:sz w:val="24"/>
                <w:szCs w:val="24"/>
              </w:rPr>
              <w:t>风险物质</w:t>
            </w:r>
          </w:p>
        </w:tc>
        <w:tc>
          <w:tcPr>
            <w:tcW w:w="6849" w:type="dxa"/>
            <w:shd w:val="clear" w:color="auto" w:fill="auto"/>
            <w:vAlign w:val="center"/>
          </w:tcPr>
          <w:p>
            <w:pPr>
              <w:spacing w:line="240" w:lineRule="auto"/>
              <w:ind w:firstLine="480" w:firstLineChars="200"/>
              <w:jc w:val="center"/>
              <w:rPr>
                <w:rFonts w:hint="default" w:ascii="Times New Roman" w:hAnsi="Times New Roman" w:eastAsia="仿宋" w:cs="Times New Roman"/>
                <w:kern w:val="0"/>
                <w:sz w:val="24"/>
                <w:szCs w:val="24"/>
              </w:rPr>
            </w:pPr>
            <w:r>
              <w:rPr>
                <w:rFonts w:hint="default" w:ascii="Times New Roman" w:hAnsi="Times New Roman" w:eastAsia="仿宋" w:cs="Times New Roman"/>
                <w:kern w:val="0"/>
                <w:sz w:val="24"/>
                <w:szCs w:val="24"/>
              </w:rPr>
              <w:t>CO、烟尘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82" w:type="dxa"/>
            <w:shd w:val="clear" w:color="auto" w:fill="auto"/>
            <w:vAlign w:val="center"/>
          </w:tcPr>
          <w:p>
            <w:pPr>
              <w:pStyle w:val="10"/>
              <w:spacing w:line="360" w:lineRule="auto"/>
              <w:ind w:firstLine="0"/>
              <w:jc w:val="center"/>
              <w:rPr>
                <w:rFonts w:hint="default" w:ascii="Times New Roman" w:hAnsi="Times New Roman" w:eastAsia="仿宋" w:cs="Times New Roman"/>
                <w:b/>
                <w:color w:val="000000" w:themeColor="text1"/>
                <w:sz w:val="24"/>
                <w:szCs w:val="24"/>
                <w14:textFill>
                  <w14:solidFill>
                    <w14:schemeClr w14:val="tx1"/>
                  </w14:solidFill>
                </w14:textFill>
              </w:rPr>
            </w:pPr>
            <w:r>
              <w:rPr>
                <w:rFonts w:hint="default" w:ascii="Times New Roman" w:hAnsi="Times New Roman" w:eastAsia="仿宋" w:cs="Times New Roman"/>
                <w:b/>
                <w:color w:val="000000" w:themeColor="text1"/>
                <w:sz w:val="24"/>
                <w:szCs w:val="24"/>
                <w14:textFill>
                  <w14:solidFill>
                    <w14:schemeClr w14:val="tx1"/>
                  </w14:solidFill>
                </w14:textFill>
              </w:rPr>
              <w:t>应急措施及操作流程</w:t>
            </w:r>
          </w:p>
        </w:tc>
        <w:tc>
          <w:tcPr>
            <w:tcW w:w="6849" w:type="dxa"/>
            <w:shd w:val="clear" w:color="auto" w:fill="auto"/>
            <w:vAlign w:val="center"/>
          </w:tcPr>
          <w:p>
            <w:pPr>
              <w:spacing w:line="360" w:lineRule="auto"/>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1.火灾应急处理</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（1）火灾扑救过程中，消防人员立即上报应急指挥部，应急指挥部立即通知相关应急人员，启动相应的应急预案；</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（2）穿戴好各类防护用具；</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（3）使用临近的灭火器、消防沙进行灭火</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（4）火势无法控制时，迅速求助消防部门，消防部门到来后，配合消防人员进行灭火；</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（5）处理完后将含物料的消防沙和消防水作危废处理。</w:t>
            </w:r>
          </w:p>
          <w:p>
            <w:pPr>
              <w:spacing w:line="360" w:lineRule="auto"/>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2.一氧化碳中毒急救</w:t>
            </w:r>
          </w:p>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吸入：迅速脱离现场至空气新鲜处。保持呼吸道通畅。如呼吸困难，给输氧。呼吸心跳停止时，立即进行人工呼吸和胸外心脏按压术。就医。</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5" w:hRule="atLeast"/>
          <w:jc w:val="center"/>
        </w:trPr>
        <w:tc>
          <w:tcPr>
            <w:tcW w:w="1782" w:type="dxa"/>
            <w:shd w:val="clear" w:color="auto" w:fill="auto"/>
            <w:vAlign w:val="center"/>
          </w:tcPr>
          <w:p>
            <w:pPr>
              <w:pStyle w:val="10"/>
              <w:spacing w:line="360" w:lineRule="auto"/>
              <w:ind w:firstLine="0"/>
              <w:jc w:val="center"/>
              <w:rPr>
                <w:rFonts w:hint="default" w:ascii="Times New Roman" w:hAnsi="Times New Roman" w:eastAsia="仿宋" w:cs="Times New Roman"/>
                <w:b/>
                <w:color w:val="000000" w:themeColor="text1"/>
                <w:sz w:val="24"/>
                <w:szCs w:val="24"/>
                <w14:textFill>
                  <w14:solidFill>
                    <w14:schemeClr w14:val="tx1"/>
                  </w14:solidFill>
                </w14:textFill>
              </w:rPr>
            </w:pPr>
            <w:r>
              <w:rPr>
                <w:rFonts w:hint="default" w:ascii="Times New Roman" w:hAnsi="Times New Roman" w:eastAsia="仿宋" w:cs="Times New Roman"/>
                <w:b/>
                <w:color w:val="000000" w:themeColor="text1"/>
                <w:sz w:val="24"/>
                <w:szCs w:val="24"/>
                <w14:textFill>
                  <w14:solidFill>
                    <w14:schemeClr w14:val="tx1"/>
                  </w14:solidFill>
                </w14:textFill>
              </w:rPr>
              <w:t>应急物资</w:t>
            </w:r>
          </w:p>
        </w:tc>
        <w:tc>
          <w:tcPr>
            <w:tcW w:w="6849" w:type="dxa"/>
            <w:shd w:val="clear" w:color="auto" w:fill="auto"/>
            <w:vAlign w:val="center"/>
          </w:tcPr>
          <w:p>
            <w:pPr>
              <w:spacing w:line="360" w:lineRule="auto"/>
              <w:rPr>
                <w:rFonts w:hint="default" w:ascii="Times New Roman" w:hAnsi="Times New Roman" w:eastAsia="仿宋" w:cs="Times New Roman"/>
                <w:bCs/>
                <w:sz w:val="24"/>
                <w:szCs w:val="24"/>
                <w:lang w:val="en-US" w:eastAsia="zh-CN"/>
              </w:rPr>
            </w:pPr>
            <w:r>
              <w:rPr>
                <w:rFonts w:hint="default" w:ascii="Times New Roman" w:hAnsi="Times New Roman" w:eastAsia="仿宋" w:cs="Times New Roman"/>
                <w:bCs/>
                <w:sz w:val="24"/>
                <w:szCs w:val="24"/>
              </w:rPr>
              <w:t>干粉灭火器</w:t>
            </w:r>
            <w:r>
              <w:rPr>
                <w:rFonts w:hint="default" w:ascii="Times New Roman" w:hAnsi="Times New Roman" w:eastAsia="仿宋" w:cs="Times New Roman"/>
                <w:bCs/>
                <w:sz w:val="24"/>
                <w:szCs w:val="24"/>
                <w:lang w:val="en-US" w:eastAsia="zh-CN"/>
              </w:rPr>
              <w:t>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782" w:type="dxa"/>
            <w:shd w:val="clear" w:color="auto" w:fill="auto"/>
            <w:vAlign w:val="center"/>
          </w:tcPr>
          <w:p>
            <w:pPr>
              <w:pStyle w:val="10"/>
              <w:spacing w:line="360" w:lineRule="auto"/>
              <w:ind w:firstLine="0"/>
              <w:jc w:val="center"/>
              <w:rPr>
                <w:rFonts w:hint="default" w:ascii="Times New Roman" w:hAnsi="Times New Roman" w:eastAsia="仿宋" w:cs="Times New Roman"/>
                <w:b/>
                <w:color w:val="000000" w:themeColor="text1"/>
                <w:sz w:val="24"/>
                <w:szCs w:val="24"/>
                <w14:textFill>
                  <w14:solidFill>
                    <w14:schemeClr w14:val="tx1"/>
                  </w14:solidFill>
                </w14:textFill>
              </w:rPr>
            </w:pPr>
            <w:r>
              <w:rPr>
                <w:rFonts w:hint="default" w:ascii="Times New Roman" w:hAnsi="Times New Roman" w:eastAsia="仿宋" w:cs="Times New Roman"/>
                <w:b/>
                <w:color w:val="000000" w:themeColor="text1"/>
                <w:sz w:val="24"/>
                <w:szCs w:val="24"/>
                <w14:textFill>
                  <w14:solidFill>
                    <w14:schemeClr w14:val="tx1"/>
                  </w14:solidFill>
                </w14:textFill>
              </w:rPr>
              <w:t>应急人员</w:t>
            </w:r>
          </w:p>
        </w:tc>
        <w:tc>
          <w:tcPr>
            <w:tcW w:w="6849" w:type="dxa"/>
            <w:shd w:val="clear" w:color="auto" w:fill="auto"/>
            <w:vAlign w:val="center"/>
          </w:tcPr>
          <w:p>
            <w:pPr>
              <w:spacing w:line="360" w:lineRule="auto"/>
              <w:ind w:firstLine="480" w:firstLineChars="200"/>
              <w:rPr>
                <w:rFonts w:hint="default" w:ascii="Times New Roman" w:hAnsi="Times New Roman" w:eastAsia="仿宋" w:cs="Times New Roman"/>
                <w:bCs/>
                <w:sz w:val="24"/>
                <w:szCs w:val="24"/>
              </w:rPr>
            </w:pPr>
            <w:r>
              <w:rPr>
                <w:rFonts w:hint="default" w:ascii="Times New Roman" w:hAnsi="Times New Roman" w:eastAsia="仿宋" w:cs="Times New Roman"/>
                <w:bCs/>
                <w:sz w:val="24"/>
                <w:szCs w:val="24"/>
              </w:rPr>
              <w:t>本公司应急指挥部及其下设的各应急救援小组</w:t>
            </w:r>
          </w:p>
        </w:tc>
      </w:tr>
    </w:tbl>
    <w:p>
      <w:pPr>
        <w:pStyle w:val="19"/>
        <w:outlineLvl w:val="0"/>
        <w:rPr>
          <w:rFonts w:hint="default" w:ascii="Times New Roman" w:hAnsi="Times New Roman" w:eastAsia="仿宋" w:cs="Times New Roman"/>
          <w:sz w:val="28"/>
          <w:szCs w:val="28"/>
        </w:rPr>
      </w:pPr>
      <w:bookmarkStart w:id="743" w:name="_Toc28910"/>
      <w:r>
        <w:rPr>
          <w:rFonts w:hint="default" w:ascii="Times New Roman" w:hAnsi="Times New Roman" w:eastAsia="仿宋" w:cs="Times New Roman"/>
          <w:sz w:val="28"/>
          <w:szCs w:val="28"/>
        </w:rPr>
        <w:t xml:space="preserve">附表 </w:t>
      </w:r>
      <w:r>
        <w:rPr>
          <w:rFonts w:hint="eastAsia" w:ascii="Times New Roman" w:hAnsi="Times New Roman" w:eastAsia="仿宋" w:cs="Times New Roman"/>
          <w:sz w:val="28"/>
          <w:szCs w:val="28"/>
          <w:lang w:val="en-US" w:eastAsia="zh-CN"/>
        </w:rPr>
        <w:t xml:space="preserve"> </w:t>
      </w:r>
      <w:r>
        <w:rPr>
          <w:rFonts w:hint="default" w:ascii="Times New Roman" w:hAnsi="Times New Roman" w:eastAsia="仿宋" w:cs="Times New Roman"/>
          <w:sz w:val="28"/>
          <w:szCs w:val="28"/>
        </w:rPr>
        <w:t>标准化格式文本</w:t>
      </w:r>
      <w:bookmarkEnd w:id="739"/>
      <w:bookmarkEnd w:id="740"/>
      <w:bookmarkEnd w:id="741"/>
      <w:bookmarkEnd w:id="743"/>
    </w:p>
    <w:p>
      <w:pPr>
        <w:autoSpaceDE w:val="0"/>
        <w:autoSpaceDN w:val="0"/>
        <w:spacing w:line="36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预警通知单</w:t>
      </w:r>
    </w:p>
    <w:p>
      <w:pPr>
        <w:autoSpaceDE w:val="0"/>
        <w:autoSpaceDN w:val="0"/>
        <w:spacing w:line="360" w:lineRule="auto"/>
        <w:jc w:val="both"/>
        <w:rPr>
          <w:rFonts w:hint="default" w:ascii="Times New Roman" w:hAnsi="Times New Roman" w:eastAsia="仿宋" w:cs="Times New Roman"/>
          <w:sz w:val="24"/>
          <w:szCs w:val="24"/>
        </w:rPr>
      </w:pPr>
      <w:r>
        <w:rPr>
          <w:rFonts w:hint="default" w:ascii="Times New Roman" w:hAnsi="Times New Roman" w:eastAsia="仿宋" w:cs="Times New Roman"/>
          <w:kern w:val="0"/>
          <w:sz w:val="24"/>
          <w:szCs w:val="24"/>
        </w:rPr>
        <w:t>预警通知（      ）第    号</w:t>
      </w:r>
    </w:p>
    <w:tbl>
      <w:tblPr>
        <w:tblStyle w:val="28"/>
        <w:tblW w:w="886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522"/>
        <w:gridCol w:w="2121"/>
        <w:gridCol w:w="2322"/>
        <w:gridCol w:w="19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7"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发送时间</w:t>
            </w:r>
          </w:p>
        </w:tc>
        <w:tc>
          <w:tcPr>
            <w:tcW w:w="212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3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签发人</w:t>
            </w:r>
          </w:p>
        </w:tc>
        <w:tc>
          <w:tcPr>
            <w:tcW w:w="190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主送单位</w:t>
            </w:r>
          </w:p>
        </w:tc>
        <w:tc>
          <w:tcPr>
            <w:tcW w:w="634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预警级别</w:t>
            </w:r>
          </w:p>
        </w:tc>
        <w:tc>
          <w:tcPr>
            <w:tcW w:w="634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预警概要</w:t>
            </w:r>
          </w:p>
        </w:tc>
        <w:tc>
          <w:tcPr>
            <w:tcW w:w="634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1" w:hRule="atLeast"/>
          <w:jc w:val="center"/>
        </w:trPr>
        <w:tc>
          <w:tcPr>
            <w:tcW w:w="2522"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预警措施及工作要求</w:t>
            </w:r>
          </w:p>
        </w:tc>
        <w:tc>
          <w:tcPr>
            <w:tcW w:w="6344"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rPr>
                <w:rFonts w:hint="default" w:ascii="Times New Roman" w:hAnsi="Times New Roman" w:eastAsia="仿宋" w:cs="Times New Roman"/>
                <w:sz w:val="24"/>
                <w:szCs w:val="24"/>
              </w:rPr>
            </w:pPr>
          </w:p>
        </w:tc>
      </w:tr>
    </w:tbl>
    <w:p>
      <w:pPr>
        <w:autoSpaceDE w:val="0"/>
        <w:autoSpaceDN w:val="0"/>
        <w:spacing w:line="36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突发环境污染事件应急记录单</w:t>
      </w:r>
    </w:p>
    <w:tbl>
      <w:tblPr>
        <w:tblStyle w:val="28"/>
        <w:tblW w:w="8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44"/>
        <w:gridCol w:w="7"/>
        <w:gridCol w:w="1538"/>
        <w:gridCol w:w="1545"/>
        <w:gridCol w:w="1544"/>
        <w:gridCol w:w="1545"/>
        <w:gridCol w:w="11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接警人姓名</w:t>
            </w:r>
          </w:p>
        </w:tc>
        <w:tc>
          <w:tcPr>
            <w:tcW w:w="1545"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接警日期</w:t>
            </w:r>
          </w:p>
        </w:tc>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接警时间</w:t>
            </w:r>
          </w:p>
        </w:tc>
        <w:tc>
          <w:tcPr>
            <w:tcW w:w="11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8" w:hRule="atLeast"/>
          <w:jc w:val="center"/>
        </w:trPr>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报警人姓名</w:t>
            </w:r>
          </w:p>
        </w:tc>
        <w:tc>
          <w:tcPr>
            <w:tcW w:w="1545"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报警人单位</w:t>
            </w:r>
          </w:p>
        </w:tc>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报警电话</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联系电话</w:t>
            </w:r>
          </w:p>
        </w:tc>
        <w:tc>
          <w:tcPr>
            <w:tcW w:w="11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71" w:hRule="atLeast"/>
          <w:jc w:val="center"/>
        </w:trPr>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w:t>
            </w:r>
          </w:p>
        </w:tc>
        <w:tc>
          <w:tcPr>
            <w:tcW w:w="1545"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发生时间</w:t>
            </w:r>
          </w:p>
        </w:tc>
        <w:tc>
          <w:tcPr>
            <w:tcW w:w="15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54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w:t>
            </w:r>
          </w:p>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发生地点</w:t>
            </w:r>
          </w:p>
        </w:tc>
        <w:tc>
          <w:tcPr>
            <w:tcW w:w="11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3" w:hRule="atLeast"/>
          <w:jc w:val="center"/>
        </w:trPr>
        <w:tc>
          <w:tcPr>
            <w:tcW w:w="155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应急事件发生的地点、性质、范围、严重程度</w:t>
            </w:r>
          </w:p>
        </w:tc>
        <w:tc>
          <w:tcPr>
            <w:tcW w:w="7278"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 w:hRule="atLeast"/>
          <w:jc w:val="center"/>
        </w:trPr>
        <w:tc>
          <w:tcPr>
            <w:tcW w:w="155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突发事件已造成影响和发展趋势</w:t>
            </w:r>
          </w:p>
        </w:tc>
        <w:tc>
          <w:tcPr>
            <w:tcW w:w="7278"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6" w:hRule="atLeast"/>
          <w:jc w:val="center"/>
        </w:trPr>
        <w:tc>
          <w:tcPr>
            <w:tcW w:w="155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已采取控制措施及效果</w:t>
            </w:r>
          </w:p>
        </w:tc>
        <w:tc>
          <w:tcPr>
            <w:tcW w:w="7278"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bl>
    <w:p>
      <w:pPr>
        <w:autoSpaceDE w:val="0"/>
        <w:autoSpaceDN w:val="0"/>
        <w:spacing w:line="36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突发环境污染事件报告单</w:t>
      </w:r>
    </w:p>
    <w:tbl>
      <w:tblPr>
        <w:tblStyle w:val="28"/>
        <w:tblW w:w="88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44"/>
        <w:gridCol w:w="460"/>
        <w:gridCol w:w="2306"/>
        <w:gridCol w:w="922"/>
        <w:gridCol w:w="1382"/>
        <w:gridCol w:w="460"/>
        <w:gridCol w:w="15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18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事件发生</w:t>
            </w:r>
          </w:p>
        </w:tc>
        <w:tc>
          <w:tcPr>
            <w:tcW w:w="3688"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1842"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w:t>
            </w:r>
          </w:p>
        </w:tc>
        <w:tc>
          <w:tcPr>
            <w:tcW w:w="150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3" w:hRule="atLeast"/>
          <w:jc w:val="center"/>
        </w:trPr>
        <w:tc>
          <w:tcPr>
            <w:tcW w:w="1844"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事件简题</w:t>
            </w:r>
          </w:p>
        </w:tc>
        <w:tc>
          <w:tcPr>
            <w:tcW w:w="7033" w:type="dxa"/>
            <w:gridSpan w:val="6"/>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3" w:hRule="atLeast"/>
          <w:jc w:val="center"/>
        </w:trPr>
        <w:tc>
          <w:tcPr>
            <w:tcW w:w="8877" w:type="dxa"/>
            <w:gridSpan w:val="7"/>
            <w:tcBorders>
              <w:top w:val="single" w:color="auto" w:sz="4" w:space="0"/>
              <w:left w:val="single" w:color="auto" w:sz="4" w:space="0"/>
              <w:bottom w:val="single" w:color="auto" w:sz="4" w:space="0"/>
              <w:right w:val="single" w:color="auto" w:sz="4" w:space="0"/>
            </w:tcBorders>
          </w:tcPr>
          <w:p>
            <w:pPr>
              <w:autoSpaceDE w:val="0"/>
              <w:autoSpaceDN w:val="0"/>
              <w:spacing w:line="240" w:lineRule="auto"/>
              <w:jc w:val="left"/>
              <w:rPr>
                <w:rFonts w:hint="default" w:ascii="Times New Roman" w:hAnsi="Times New Roman" w:eastAsia="仿宋" w:cs="Times New Roman"/>
                <w:sz w:val="24"/>
                <w:szCs w:val="24"/>
              </w:rPr>
            </w:pPr>
          </w:p>
          <w:p>
            <w:pPr>
              <w:autoSpaceDE w:val="0"/>
              <w:autoSpaceDN w:val="0"/>
              <w:spacing w:line="240" w:lineRule="auto"/>
              <w:ind w:firstLine="480" w:firstLineChars="20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基本经过（事件发生、扩大和采取的措施、初步原因判断）：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05" w:hRule="atLeast"/>
          <w:jc w:val="center"/>
        </w:trPr>
        <w:tc>
          <w:tcPr>
            <w:tcW w:w="8877" w:type="dxa"/>
            <w:gridSpan w:val="7"/>
            <w:tcBorders>
              <w:top w:val="single" w:color="auto" w:sz="4" w:space="0"/>
              <w:left w:val="single" w:color="auto" w:sz="4" w:space="0"/>
              <w:bottom w:val="single" w:color="auto" w:sz="4" w:space="0"/>
              <w:right w:val="single" w:color="auto" w:sz="4" w:space="0"/>
            </w:tcBorders>
          </w:tcPr>
          <w:p>
            <w:pPr>
              <w:autoSpaceDE w:val="0"/>
              <w:autoSpaceDN w:val="0"/>
              <w:spacing w:line="240" w:lineRule="auto"/>
              <w:jc w:val="left"/>
              <w:rPr>
                <w:rFonts w:hint="default" w:ascii="Times New Roman" w:hAnsi="Times New Roman" w:eastAsia="仿宋" w:cs="Times New Roman"/>
                <w:sz w:val="24"/>
                <w:szCs w:val="24"/>
              </w:rPr>
            </w:pPr>
          </w:p>
          <w:p>
            <w:pPr>
              <w:autoSpaceDE w:val="0"/>
              <w:autoSpaceDN w:val="0"/>
              <w:spacing w:line="240" w:lineRule="auto"/>
              <w:ind w:firstLine="480" w:firstLineChars="200"/>
              <w:jc w:val="left"/>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事件后果（环境污染程度、财产损失或可能造成的社会不良影响等）的初步估计：</w:t>
            </w:r>
          </w:p>
          <w:p>
            <w:pPr>
              <w:autoSpaceDE w:val="0"/>
              <w:autoSpaceDN w:val="0"/>
              <w:spacing w:line="240" w:lineRule="auto"/>
              <w:jc w:val="left"/>
              <w:rPr>
                <w:rFonts w:hint="default" w:ascii="Times New Roman" w:hAnsi="Times New Roman" w:eastAsia="仿宋" w:cs="Times New Roman"/>
                <w:sz w:val="24"/>
                <w:szCs w:val="24"/>
              </w:rPr>
            </w:pPr>
          </w:p>
          <w:p>
            <w:pPr>
              <w:autoSpaceDE w:val="0"/>
              <w:autoSpaceDN w:val="0"/>
              <w:spacing w:line="240" w:lineRule="auto"/>
              <w:ind w:firstLine="480" w:firstLineChars="200"/>
              <w:jc w:val="left"/>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6" w:hRule="atLeast"/>
          <w:jc w:val="center"/>
        </w:trPr>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填报人姓名</w:t>
            </w:r>
          </w:p>
        </w:tc>
        <w:tc>
          <w:tcPr>
            <w:tcW w:w="23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单位</w:t>
            </w:r>
          </w:p>
        </w:tc>
        <w:tc>
          <w:tcPr>
            <w:tcW w:w="1963"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7" w:hRule="atLeast"/>
          <w:jc w:val="center"/>
        </w:trPr>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联系方式</w:t>
            </w:r>
          </w:p>
        </w:tc>
        <w:tc>
          <w:tcPr>
            <w:tcW w:w="23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30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信息来源</w:t>
            </w:r>
          </w:p>
        </w:tc>
        <w:tc>
          <w:tcPr>
            <w:tcW w:w="1963"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bl>
    <w:p>
      <w:pPr>
        <w:autoSpaceDE w:val="0"/>
        <w:autoSpaceDN w:val="0"/>
        <w:spacing w:line="24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单位突发环境事件报告表（初报）</w:t>
      </w:r>
    </w:p>
    <w:tbl>
      <w:tblPr>
        <w:tblStyle w:val="28"/>
        <w:tblW w:w="887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25"/>
        <w:gridCol w:w="863"/>
        <w:gridCol w:w="1707"/>
        <w:gridCol w:w="1440"/>
        <w:gridCol w:w="1051"/>
        <w:gridCol w:w="21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8" w:hRule="atLeast"/>
          <w:jc w:val="center"/>
        </w:trPr>
        <w:tc>
          <w:tcPr>
            <w:tcW w:w="1625"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报告方式</w:t>
            </w:r>
          </w:p>
        </w:tc>
        <w:tc>
          <w:tcPr>
            <w:tcW w:w="86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1</w:t>
            </w:r>
          </w:p>
        </w:tc>
        <w:tc>
          <w:tcPr>
            <w:tcW w:w="1707"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电话报告</w:t>
            </w:r>
          </w:p>
        </w:tc>
        <w:tc>
          <w:tcPr>
            <w:tcW w:w="1440" w:type="dxa"/>
            <w:vMerge w:val="restart"/>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报告人</w:t>
            </w:r>
          </w:p>
        </w:tc>
        <w:tc>
          <w:tcPr>
            <w:tcW w:w="105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内部</w:t>
            </w:r>
          </w:p>
        </w:tc>
        <w:tc>
          <w:tcPr>
            <w:tcW w:w="219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1625" w:type="dxa"/>
            <w:vMerge w:val="continue"/>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Times New Roman" w:hAnsi="Times New Roman" w:eastAsia="仿宋" w:cs="Times New Roman"/>
                <w:sz w:val="24"/>
                <w:szCs w:val="24"/>
              </w:rPr>
            </w:pPr>
          </w:p>
        </w:tc>
        <w:tc>
          <w:tcPr>
            <w:tcW w:w="86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2</w:t>
            </w:r>
          </w:p>
        </w:tc>
        <w:tc>
          <w:tcPr>
            <w:tcW w:w="1707"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书面报告</w:t>
            </w:r>
          </w:p>
        </w:tc>
        <w:tc>
          <w:tcPr>
            <w:tcW w:w="1440" w:type="dxa"/>
            <w:vMerge w:val="continue"/>
            <w:tcBorders>
              <w:top w:val="single" w:color="auto" w:sz="4" w:space="0"/>
              <w:left w:val="single" w:color="auto" w:sz="4" w:space="0"/>
              <w:bottom w:val="single" w:color="auto" w:sz="4" w:space="0"/>
              <w:right w:val="single" w:color="auto" w:sz="4" w:space="0"/>
            </w:tcBorders>
            <w:vAlign w:val="center"/>
          </w:tcPr>
          <w:p>
            <w:pPr>
              <w:spacing w:line="240" w:lineRule="auto"/>
              <w:rPr>
                <w:rFonts w:hint="default" w:ascii="Times New Roman" w:hAnsi="Times New Roman" w:eastAsia="仿宋" w:cs="Times New Roman"/>
                <w:sz w:val="24"/>
                <w:szCs w:val="24"/>
              </w:rPr>
            </w:pPr>
          </w:p>
        </w:tc>
        <w:tc>
          <w:tcPr>
            <w:tcW w:w="105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外部</w:t>
            </w:r>
          </w:p>
        </w:tc>
        <w:tc>
          <w:tcPr>
            <w:tcW w:w="219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报告时间</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2"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单位名称</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地址</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法人代表</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49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联系电话</w:t>
            </w:r>
          </w:p>
        </w:tc>
        <w:tc>
          <w:tcPr>
            <w:tcW w:w="219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1"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传真</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49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Email</w:t>
            </w:r>
          </w:p>
        </w:tc>
        <w:tc>
          <w:tcPr>
            <w:tcW w:w="219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发生位置</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491"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设备设施名称</w:t>
            </w:r>
          </w:p>
        </w:tc>
        <w:tc>
          <w:tcPr>
            <w:tcW w:w="2191"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物料名称</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4"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类型</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8"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污染物名称</w:t>
            </w: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数量</w:t>
            </w:r>
          </w:p>
        </w:tc>
        <w:tc>
          <w:tcPr>
            <w:tcW w:w="4682"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4682"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2570"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c>
          <w:tcPr>
            <w:tcW w:w="4682"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已污染范围</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可能受影响区域</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9"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潜在的危害程度转化方式趋向</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3"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已采取的应急措施</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7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建议采取措施</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6" w:hRule="atLeast"/>
          <w:jc w:val="center"/>
        </w:trPr>
        <w:tc>
          <w:tcPr>
            <w:tcW w:w="162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r>
              <w:rPr>
                <w:rFonts w:hint="default" w:ascii="Times New Roman" w:hAnsi="Times New Roman" w:eastAsia="仿宋" w:cs="Times New Roman"/>
                <w:sz w:val="24"/>
                <w:szCs w:val="24"/>
              </w:rPr>
              <w:t>直接人员伤亡和财产经济损失</w:t>
            </w:r>
          </w:p>
        </w:tc>
        <w:tc>
          <w:tcPr>
            <w:tcW w:w="7252"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 w:val="24"/>
                <w:szCs w:val="24"/>
              </w:rPr>
            </w:pPr>
          </w:p>
        </w:tc>
      </w:tr>
    </w:tbl>
    <w:p>
      <w:pPr>
        <w:autoSpaceDE w:val="0"/>
        <w:autoSpaceDN w:val="0"/>
        <w:spacing w:line="24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单位突发环境事件报告表（续报）</w:t>
      </w:r>
    </w:p>
    <w:tbl>
      <w:tblPr>
        <w:tblStyle w:val="28"/>
        <w:tblW w:w="90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43"/>
        <w:gridCol w:w="2105"/>
        <w:gridCol w:w="459"/>
        <w:gridCol w:w="1680"/>
        <w:gridCol w:w="306"/>
        <w:gridCol w:w="25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报告方式</w:t>
            </w:r>
          </w:p>
        </w:tc>
        <w:tc>
          <w:tcPr>
            <w:tcW w:w="2564"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电话报告或网络报告</w:t>
            </w:r>
          </w:p>
        </w:tc>
        <w:tc>
          <w:tcPr>
            <w:tcW w:w="1680"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报告人</w:t>
            </w:r>
          </w:p>
        </w:tc>
        <w:tc>
          <w:tcPr>
            <w:tcW w:w="2812" w:type="dxa"/>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6"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报告时间</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单位名称</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地址</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93"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法人代表</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c>
          <w:tcPr>
            <w:tcW w:w="2445"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联系电话</w:t>
            </w:r>
          </w:p>
        </w:tc>
        <w:tc>
          <w:tcPr>
            <w:tcW w:w="25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传真</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c>
          <w:tcPr>
            <w:tcW w:w="2445"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Email</w:t>
            </w:r>
          </w:p>
        </w:tc>
        <w:tc>
          <w:tcPr>
            <w:tcW w:w="25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61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发生位置</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c>
          <w:tcPr>
            <w:tcW w:w="2445" w:type="dxa"/>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设备设施名称</w:t>
            </w:r>
          </w:p>
        </w:tc>
        <w:tc>
          <w:tcPr>
            <w:tcW w:w="2506"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物料名称</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6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类型</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污染物名称</w:t>
            </w:r>
          </w:p>
        </w:tc>
        <w:tc>
          <w:tcPr>
            <w:tcW w:w="2105"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数量</w:t>
            </w:r>
          </w:p>
        </w:tc>
        <w:tc>
          <w:tcPr>
            <w:tcW w:w="4951" w:type="dxa"/>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17"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r>
              <w:rPr>
                <w:rFonts w:hint="default" w:ascii="Times New Roman" w:hAnsi="Times New Roman" w:eastAsia="仿宋" w:cs="Times New Roman"/>
                <w:sz w:val="24"/>
                <w:szCs w:val="24"/>
              </w:rPr>
              <w:t>事件发生原因</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82"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kern w:val="2"/>
                <w:sz w:val="21"/>
                <w:szCs w:val="24"/>
                <w:lang w:val="en-US" w:eastAsia="zh-CN" w:bidi="ar-SA"/>
              </w:rPr>
            </w:pPr>
            <w:r>
              <w:rPr>
                <w:rFonts w:hint="default" w:ascii="Times New Roman" w:hAnsi="Times New Roman" w:eastAsia="仿宋" w:cs="Times New Roman"/>
                <w:sz w:val="24"/>
                <w:szCs w:val="24"/>
              </w:rPr>
              <w:t>事件发生过程</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49"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kern w:val="2"/>
                <w:sz w:val="21"/>
                <w:szCs w:val="24"/>
                <w:lang w:val="en-US" w:eastAsia="zh-CN" w:bidi="ar-SA"/>
              </w:rPr>
            </w:pPr>
            <w:r>
              <w:rPr>
                <w:rFonts w:hint="default" w:ascii="Times New Roman" w:hAnsi="Times New Roman" w:eastAsia="仿宋" w:cs="Times New Roman"/>
                <w:sz w:val="24"/>
                <w:szCs w:val="24"/>
              </w:rPr>
              <w:t>事件进展情况</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31" w:hRule="atLeast"/>
          <w:jc w:val="center"/>
        </w:trPr>
        <w:tc>
          <w:tcPr>
            <w:tcW w:w="2043" w:type="dxa"/>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kern w:val="2"/>
                <w:sz w:val="21"/>
                <w:szCs w:val="24"/>
                <w:lang w:val="en-US" w:eastAsia="zh-CN" w:bidi="ar-SA"/>
              </w:rPr>
            </w:pPr>
            <w:r>
              <w:rPr>
                <w:rFonts w:hint="default" w:ascii="Times New Roman" w:hAnsi="Times New Roman" w:eastAsia="仿宋" w:cs="Times New Roman"/>
                <w:sz w:val="24"/>
                <w:szCs w:val="24"/>
              </w:rPr>
              <w:t>采取的应急措施</w:t>
            </w:r>
          </w:p>
        </w:tc>
        <w:tc>
          <w:tcPr>
            <w:tcW w:w="7056" w:type="dxa"/>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240" w:lineRule="auto"/>
              <w:jc w:val="center"/>
              <w:rPr>
                <w:rFonts w:hint="default" w:ascii="Times New Roman" w:hAnsi="Times New Roman" w:eastAsia="仿宋" w:cs="Times New Roman"/>
                <w:szCs w:val="24"/>
              </w:rPr>
            </w:pPr>
          </w:p>
        </w:tc>
      </w:tr>
    </w:tbl>
    <w:p>
      <w:pPr>
        <w:autoSpaceDE w:val="0"/>
        <w:autoSpaceDN w:val="0"/>
        <w:spacing w:line="240" w:lineRule="auto"/>
        <w:jc w:val="center"/>
        <w:rPr>
          <w:rFonts w:hint="default" w:ascii="Times New Roman" w:hAnsi="Times New Roman" w:eastAsia="仿宋" w:cs="Times New Roman"/>
          <w:b/>
          <w:kern w:val="0"/>
          <w:sz w:val="28"/>
          <w:szCs w:val="20"/>
        </w:rPr>
      </w:pPr>
      <w:r>
        <w:rPr>
          <w:rFonts w:hint="default" w:ascii="Times New Roman" w:hAnsi="Times New Roman" w:eastAsia="仿宋" w:cs="Times New Roman"/>
          <w:b/>
          <w:kern w:val="0"/>
          <w:sz w:val="28"/>
          <w:szCs w:val="20"/>
        </w:rPr>
        <w:t>单位突发环境事件报告表（处理结果报告）</w:t>
      </w:r>
    </w:p>
    <w:tbl>
      <w:tblPr>
        <w:tblStyle w:val="28"/>
        <w:tblW w:w="52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01"/>
        <w:gridCol w:w="2250"/>
        <w:gridCol w:w="428"/>
        <w:gridCol w:w="1553"/>
        <w:gridCol w:w="283"/>
        <w:gridCol w:w="29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报告方式</w:t>
            </w:r>
          </w:p>
        </w:tc>
        <w:tc>
          <w:tcPr>
            <w:tcW w:w="1483" w:type="pct"/>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电话报告或网络报告</w:t>
            </w:r>
          </w:p>
        </w:tc>
        <w:tc>
          <w:tcPr>
            <w:tcW w:w="860"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报告人</w:t>
            </w:r>
          </w:p>
        </w:tc>
        <w:tc>
          <w:tcPr>
            <w:tcW w:w="1768" w:type="pct"/>
            <w:gridSpan w:val="2"/>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报告时间</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单位名称</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地址</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省      市      区      乡（镇）      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法人代表</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54" w:type="pct"/>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联系电话</w:t>
            </w:r>
          </w:p>
        </w:tc>
        <w:tc>
          <w:tcPr>
            <w:tcW w:w="1611"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传真</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54" w:type="pct"/>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Email</w:t>
            </w:r>
          </w:p>
        </w:tc>
        <w:tc>
          <w:tcPr>
            <w:tcW w:w="1611"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发生位置</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54" w:type="pct"/>
            <w:gridSpan w:val="3"/>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设备设施名称</w:t>
            </w:r>
          </w:p>
        </w:tc>
        <w:tc>
          <w:tcPr>
            <w:tcW w:w="1611"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物料名称</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44"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类型</w:t>
            </w:r>
          </w:p>
        </w:tc>
        <w:tc>
          <w:tcPr>
            <w:tcW w:w="4112" w:type="pct"/>
            <w:gridSpan w:val="5"/>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泄漏□      火灾□      爆炸□      其它□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污染物名称</w:t>
            </w: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数量</w:t>
            </w: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排放去向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9"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87"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1246" w:type="pct"/>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c>
          <w:tcPr>
            <w:tcW w:w="2865" w:type="pct"/>
            <w:gridSpan w:val="4"/>
            <w:tcBorders>
              <w:top w:val="single" w:color="auto" w:sz="4" w:space="0"/>
              <w:left w:val="single" w:color="auto" w:sz="4" w:space="0"/>
              <w:bottom w:val="single" w:color="auto" w:sz="4" w:space="0"/>
              <w:right w:val="single" w:color="auto" w:sz="4" w:space="0"/>
            </w:tcBorders>
            <w:vAlign w:val="center"/>
          </w:tcPr>
          <w:p>
            <w:pPr>
              <w:autoSpaceDE w:val="0"/>
              <w:autoSpaceDN w:val="0"/>
              <w:spacing w:line="360" w:lineRule="auto"/>
              <w:jc w:val="center"/>
              <w:rPr>
                <w:rFonts w:hint="default" w:ascii="Times New Roman" w:hAnsi="Times New Roman" w:eastAsia="仿宋" w:cs="Times New Roman"/>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75" w:hRule="atLeast"/>
          <w:jc w:val="center"/>
        </w:trPr>
        <w:tc>
          <w:tcPr>
            <w:tcW w:w="5000" w:type="pct"/>
            <w:gridSpan w:val="6"/>
            <w:tcBorders>
              <w:top w:val="single" w:color="auto" w:sz="4" w:space="0"/>
              <w:left w:val="single" w:color="auto" w:sz="4" w:space="0"/>
              <w:bottom w:val="single" w:color="auto" w:sz="4" w:space="0"/>
              <w:right w:val="single" w:color="auto" w:sz="4" w:space="0"/>
            </w:tcBorders>
          </w:tcPr>
          <w:p>
            <w:pPr>
              <w:autoSpaceDE w:val="0"/>
              <w:autoSpaceDN w:val="0"/>
              <w:spacing w:line="360" w:lineRule="auto"/>
              <w:jc w:val="left"/>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报告正文：</w:t>
            </w:r>
          </w:p>
          <w:p>
            <w:pPr>
              <w:pStyle w:val="42"/>
              <w:widowControl/>
              <w:numPr>
                <w:ilvl w:val="0"/>
                <w:numId w:val="3"/>
              </w:numPr>
              <w:spacing w:line="360" w:lineRule="auto"/>
              <w:ind w:left="0" w:firstLineChars="0"/>
              <w:jc w:val="left"/>
              <w:rPr>
                <w:rFonts w:hint="default" w:ascii="Times New Roman" w:hAnsi="Times New Roman" w:eastAsia="仿宋" w:cs="Times New Roman"/>
                <w:szCs w:val="24"/>
              </w:rPr>
            </w:pPr>
            <w:r>
              <w:rPr>
                <w:rFonts w:hint="default" w:ascii="Times New Roman" w:hAnsi="Times New Roman" w:eastAsia="仿宋" w:cs="Times New Roman"/>
                <w:sz w:val="24"/>
              </w:rPr>
              <w:t>处理事件的措施，过程和结果：</w:t>
            </w:r>
          </w:p>
          <w:p>
            <w:pPr>
              <w:autoSpaceDE w:val="0"/>
              <w:autoSpaceDN w:val="0"/>
              <w:spacing w:line="360" w:lineRule="auto"/>
              <w:jc w:val="left"/>
              <w:rPr>
                <w:rFonts w:hint="default" w:ascii="Times New Roman" w:hAnsi="Times New Roman" w:eastAsia="仿宋" w:cs="Times New Roman"/>
                <w:szCs w:val="24"/>
              </w:rPr>
            </w:pPr>
          </w:p>
          <w:p>
            <w:pPr>
              <w:pStyle w:val="42"/>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污染的范围和程度：</w:t>
            </w:r>
          </w:p>
          <w:p>
            <w:pPr>
              <w:autoSpaceDE w:val="0"/>
              <w:autoSpaceDN w:val="0"/>
              <w:spacing w:line="360" w:lineRule="auto"/>
              <w:jc w:val="left"/>
              <w:rPr>
                <w:rFonts w:hint="default" w:ascii="Times New Roman" w:hAnsi="Times New Roman" w:eastAsia="仿宋" w:cs="Times New Roman"/>
                <w:szCs w:val="24"/>
              </w:rPr>
            </w:pPr>
          </w:p>
          <w:p>
            <w:pPr>
              <w:pStyle w:val="42"/>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事件潜在或间接的危害、社会影响：</w:t>
            </w:r>
          </w:p>
          <w:p>
            <w:pPr>
              <w:pStyle w:val="17"/>
              <w:rPr>
                <w:rFonts w:hint="default" w:ascii="Times New Roman" w:hAnsi="Times New Roman" w:eastAsia="仿宋" w:cs="Times New Roman"/>
              </w:rPr>
            </w:pPr>
          </w:p>
          <w:p>
            <w:pPr>
              <w:pStyle w:val="17"/>
              <w:rPr>
                <w:rFonts w:hint="default" w:ascii="Times New Roman" w:hAnsi="Times New Roman" w:eastAsia="仿宋" w:cs="Times New Roman"/>
              </w:rPr>
            </w:pPr>
          </w:p>
          <w:p>
            <w:pPr>
              <w:pStyle w:val="42"/>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处理后的遗留问题：</w:t>
            </w:r>
          </w:p>
          <w:p>
            <w:pPr>
              <w:autoSpaceDE w:val="0"/>
              <w:autoSpaceDN w:val="0"/>
              <w:spacing w:line="360" w:lineRule="auto"/>
              <w:jc w:val="left"/>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 xml:space="preserve">        </w:t>
            </w:r>
          </w:p>
          <w:p>
            <w:pPr>
              <w:pStyle w:val="42"/>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参加处理工作的有关部门和工作内容：</w:t>
            </w:r>
          </w:p>
          <w:p>
            <w:pPr>
              <w:autoSpaceDE w:val="0"/>
              <w:autoSpaceDN w:val="0"/>
              <w:spacing w:line="360" w:lineRule="auto"/>
              <w:jc w:val="left"/>
              <w:rPr>
                <w:rFonts w:hint="default" w:ascii="Times New Roman" w:hAnsi="Times New Roman" w:eastAsia="仿宋" w:cs="Times New Roman"/>
                <w:szCs w:val="24"/>
              </w:rPr>
            </w:pPr>
          </w:p>
          <w:p>
            <w:pPr>
              <w:pStyle w:val="42"/>
              <w:widowControl/>
              <w:numPr>
                <w:ilvl w:val="0"/>
                <w:numId w:val="3"/>
              </w:numPr>
              <w:spacing w:line="360" w:lineRule="auto"/>
              <w:ind w:left="0" w:firstLineChars="0"/>
              <w:jc w:val="left"/>
              <w:rPr>
                <w:rFonts w:hint="default" w:ascii="Times New Roman" w:hAnsi="Times New Roman" w:eastAsia="仿宋" w:cs="Times New Roman"/>
                <w:sz w:val="24"/>
              </w:rPr>
            </w:pPr>
            <w:r>
              <w:rPr>
                <w:rFonts w:hint="default" w:ascii="Times New Roman" w:hAnsi="Times New Roman" w:eastAsia="仿宋" w:cs="Times New Roman"/>
                <w:sz w:val="24"/>
              </w:rPr>
              <w:t>有关危害与损失的证明文件等详细情况：</w:t>
            </w:r>
          </w:p>
          <w:p>
            <w:pPr>
              <w:autoSpaceDE w:val="0"/>
              <w:autoSpaceDN w:val="0"/>
              <w:spacing w:line="360" w:lineRule="auto"/>
              <w:jc w:val="left"/>
              <w:rPr>
                <w:rFonts w:hint="default" w:ascii="Times New Roman" w:hAnsi="Times New Roman" w:eastAsia="仿宋" w:cs="Times New Roman"/>
                <w:szCs w:val="24"/>
              </w:rPr>
            </w:pPr>
          </w:p>
          <w:p>
            <w:pPr>
              <w:autoSpaceDE w:val="0"/>
              <w:autoSpaceDN w:val="0"/>
              <w:spacing w:line="360" w:lineRule="auto"/>
              <w:jc w:val="right"/>
              <w:rPr>
                <w:rFonts w:hint="default" w:ascii="Times New Roman" w:hAnsi="Times New Roman" w:eastAsia="仿宋" w:cs="Times New Roman"/>
                <w:szCs w:val="24"/>
              </w:rPr>
            </w:pPr>
            <w:r>
              <w:rPr>
                <w:rFonts w:hint="default" w:ascii="Times New Roman" w:hAnsi="Times New Roman" w:eastAsia="仿宋" w:cs="Times New Roman"/>
                <w:kern w:val="0"/>
                <w:sz w:val="24"/>
                <w:szCs w:val="24"/>
              </w:rPr>
              <w:t>（不够可附页）</w:t>
            </w:r>
          </w:p>
        </w:tc>
      </w:tr>
    </w:tbl>
    <w:p>
      <w:pPr>
        <w:pStyle w:val="10"/>
        <w:spacing w:line="360" w:lineRule="auto"/>
        <w:ind w:firstLine="0"/>
        <w:jc w:val="both"/>
        <w:rPr>
          <w:rFonts w:hint="default" w:ascii="Times New Roman" w:hAnsi="Times New Roman" w:eastAsia="仿宋" w:cs="Times New Roman"/>
          <w:b/>
          <w:sz w:val="28"/>
          <w:szCs w:val="28"/>
        </w:rPr>
      </w:pPr>
    </w:p>
    <w:sectPr>
      <w:footerReference r:id="rId11" w:type="default"/>
      <w:pgSz w:w="11906" w:h="16838"/>
      <w:pgMar w:top="1440" w:right="1800" w:bottom="1440" w:left="1800" w:header="851" w:footer="992" w:gutter="0"/>
      <w:pgBorders>
        <w:top w:val="none" w:sz="0" w:space="0"/>
        <w:left w:val="none" w:sz="0" w:space="0"/>
        <w:bottom w:val="none" w:sz="0" w:space="0"/>
        <w:right w:val="none" w:sz="0" w:space="0"/>
      </w:pgBorders>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43" w:usb2="00000009" w:usb3="00000000" w:csb0="400001FF" w:csb1="FFFF0000"/>
  </w:font>
  <w:font w:name="宋体">
    <w:panose1 w:val="02010600030101010101"/>
    <w:charset w:val="88"/>
    <w:family w:val="moder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华文仿宋">
    <w:panose1 w:val="02010600040101010101"/>
    <w:charset w:val="86"/>
    <w:family w:val="auto"/>
    <w:pitch w:val="default"/>
    <w:sig w:usb0="00000287" w:usb1="080F0000" w:usb2="00000000" w:usb3="00000000" w:csb0="0004009F" w:csb1="DFD70000"/>
  </w:font>
  <w:font w:name="Tahoma">
    <w:panose1 w:val="020B0604030504040204"/>
    <w:charset w:val="00"/>
    <w:family w:val="swiss"/>
    <w:pitch w:val="default"/>
    <w:sig w:usb0="E1002EFF" w:usb1="C000605B" w:usb2="00000029" w:usb3="00000000" w:csb0="200101FF" w:csb1="20280000"/>
  </w:font>
  <w:font w:name="微软雅黑">
    <w:panose1 w:val="020B0503020204020204"/>
    <w:charset w:val="86"/>
    <w:family w:val="swiss"/>
    <w:pitch w:val="default"/>
    <w:sig w:usb0="80000287" w:usb1="28CF3C52" w:usb2="00000016" w:usb3="00000000" w:csb0="0004001F" w:csb1="00000000"/>
  </w:font>
  <w:font w:name="仿宋">
    <w:panose1 w:val="02010609060101010101"/>
    <w:charset w:val="86"/>
    <w:family w:val="modern"/>
    <w:pitch w:val="default"/>
    <w:sig w:usb0="800002BF" w:usb1="38CF7CFA" w:usb2="00000016" w:usb3="00000000" w:csb0="00040001" w:csb1="00000000"/>
  </w:font>
  <w:font w:name="Arial Unicode MS">
    <w:panose1 w:val="020B0604020202020204"/>
    <w:charset w:val="86"/>
    <w:family w:val="roman"/>
    <w:pitch w:val="default"/>
    <w:sig w:usb0="FFFFFFFF" w:usb1="E9FFFFFF" w:usb2="0000003F" w:usb3="00000000" w:csb0="603F01FF" w:csb1="FFFF0000"/>
  </w:font>
  <w:font w:name="Cambria">
    <w:panose1 w:val="02040503050406030204"/>
    <w:charset w:val="00"/>
    <w:family w:val="roman"/>
    <w:pitch w:val="default"/>
    <w:sig w:usb0="E00002FF" w:usb1="400004FF" w:usb2="00000000" w:usb3="00000000" w:csb0="2000019F" w:csb1="00000000"/>
  </w:font>
  <w:font w:name="仿宋_GB2312">
    <w:altName w:val="仿宋"/>
    <w:panose1 w:val="00000000000000000000"/>
    <w:charset w:val="86"/>
    <w:family w:val="modern"/>
    <w:pitch w:val="default"/>
    <w:sig w:usb0="00000000" w:usb1="00000000" w:usb2="00000000" w:usb3="00000000" w:csb0="00040000"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Verdana">
    <w:panose1 w:val="020B0604030504040204"/>
    <w:charset w:val="00"/>
    <w:family w:val="swiss"/>
    <w:pitch w:val="default"/>
    <w:sig w:usb0="A10006FF" w:usb1="4000205B" w:usb2="00000010" w:usb3="00000000" w:csb0="2000019F" w:csb1="00000000"/>
  </w:font>
  <w:font w:name="MingLiU">
    <w:altName w:val="PMingLiU-ExtB"/>
    <w:panose1 w:val="02020509000000000000"/>
    <w:charset w:val="88"/>
    <w:family w:val="modern"/>
    <w:pitch w:val="default"/>
    <w:sig w:usb0="00000000" w:usb1="00000000" w:usb2="00000016" w:usb3="00000000" w:csb0="00100001" w:csb1="00000000"/>
  </w:font>
  <w:font w:name="Calibri Light">
    <w:panose1 w:val="020F0302020204030204"/>
    <w:charset w:val="00"/>
    <w:family w:val="swiss"/>
    <w:pitch w:val="default"/>
    <w:sig w:usb0="A00002EF" w:usb1="4000207B" w:usb2="00000000" w:usb3="00000000" w:csb0="2000019F" w:csb1="00000000"/>
  </w:font>
  <w:font w:name="宋?">
    <w:altName w:val="宋体"/>
    <w:panose1 w:val="00000000000000000000"/>
    <w:charset w:val="81"/>
    <w:family w:val="auto"/>
    <w:pitch w:val="default"/>
    <w:sig w:usb0="00000000" w:usb1="0000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p>
  <w:p>
    <w:pPr>
      <w:pStyle w:val="1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p>
  <w:p>
    <w:pPr>
      <w:pStyle w:val="1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94"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sdt>
                          <w:sdtPr>
                            <w:id w:val="12953438"/>
                            <w:docPartObj>
                              <w:docPartGallery w:val="autotext"/>
                            </w:docPartObj>
                          </w:sdtPr>
                          <w:sdtContent>
                            <w:p>
                              <w:pPr>
                                <w:pStyle w:val="17"/>
                                <w:jc w:val="center"/>
                              </w:pPr>
                              <w:r>
                                <w:fldChar w:fldCharType="begin"/>
                              </w:r>
                              <w:r>
                                <w:instrText xml:space="preserve"> PAGE   \* MERGEFORMAT </w:instrText>
                              </w:r>
                              <w:r>
                                <w:fldChar w:fldCharType="separate"/>
                              </w:r>
                              <w:r>
                                <w:rPr>
                                  <w:lang w:val="zh-CN"/>
                                </w:rPr>
                                <w:t>26</w:t>
                              </w:r>
                              <w:r>
                                <w:rPr>
                                  <w:lang w:val="zh-CN"/>
                                </w:rPr>
                                <w:fldChar w:fldCharType="end"/>
                              </w:r>
                            </w:p>
                          </w:sdtContent>
                        </w:sdt>
                        <w:p>
                          <w:pPr>
                            <w:pStyle w:val="17"/>
                          </w:pPr>
                        </w:p>
                      </w:txbxContent>
                    </wps:txbx>
                    <wps:bodyPr wrap="none" lIns="0" tIns="0" rIns="0" bIns="0" upright="0">
                      <a:spAutoFit/>
                    </wps:bodyPr>
                  </wps:wsp>
                </a:graphicData>
              </a:graphic>
            </wp:anchor>
          </w:drawing>
        </mc:Choice>
        <mc:Fallback>
          <w:pict>
            <v:shape id="文本框 2"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zSVju0AAAAAUBAAAPAAAAAAAAAAEAIAAAACIAAABkcnMv&#10;ZG93bnJldi54bWxQSwECFAAUAAAACACHTuJAF51k3NIBAACjAwAADgAAAAAAAAABACAAAAAfAQAA&#10;ZHJzL2Uyb0RvYy54bWxQSwUGAAAAAAYABgBZAQAAYwUAAAAA&#10;">
              <v:fill on="f" focussize="0,0"/>
              <v:stroke on="f" weight="0.5pt"/>
              <v:imagedata o:title=""/>
              <o:lock v:ext="edit" aspectratio="f"/>
              <v:textbox inset="0mm,0mm,0mm,0mm" style="mso-fit-shape-to-text:t;">
                <w:txbxContent>
                  <w:sdt>
                    <w:sdtPr>
                      <w:id w:val="12953438"/>
                      <w:docPartObj>
                        <w:docPartGallery w:val="autotext"/>
                      </w:docPartObj>
                    </w:sdtPr>
                    <w:sdtContent>
                      <w:p>
                        <w:pPr>
                          <w:pStyle w:val="17"/>
                          <w:jc w:val="center"/>
                        </w:pPr>
                        <w:r>
                          <w:fldChar w:fldCharType="begin"/>
                        </w:r>
                        <w:r>
                          <w:instrText xml:space="preserve"> PAGE   \* MERGEFORMAT </w:instrText>
                        </w:r>
                        <w:r>
                          <w:fldChar w:fldCharType="separate"/>
                        </w:r>
                        <w:r>
                          <w:rPr>
                            <w:lang w:val="zh-CN"/>
                          </w:rPr>
                          <w:t>26</w:t>
                        </w:r>
                        <w:r>
                          <w:rPr>
                            <w:lang w:val="zh-CN"/>
                          </w:rPr>
                          <w:fldChar w:fldCharType="end"/>
                        </w:r>
                      </w:p>
                    </w:sdtContent>
                  </w:sdt>
                  <w:p>
                    <w:pPr>
                      <w:pStyle w:val="17"/>
                    </w:pPr>
                  </w:p>
                </w:txbxContent>
              </v:textbox>
            </v:shape>
          </w:pict>
        </mc:Fallback>
      </mc:AlternateContent>
    </w:r>
  </w:p>
  <w:p>
    <w:pPr>
      <w:pStyle w:val="17"/>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95"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p>
                          <w:pPr>
                            <w:pStyle w:val="17"/>
                            <w:jc w:val="center"/>
                          </w:pPr>
                          <w:r>
                            <w:fldChar w:fldCharType="begin"/>
                          </w:r>
                          <w:r>
                            <w:instrText xml:space="preserve"> PAGE   \* MERGEFORMAT </w:instrText>
                          </w:r>
                          <w:r>
                            <w:fldChar w:fldCharType="separate"/>
                          </w:r>
                          <w:r>
                            <w:rPr>
                              <w:lang w:val="zh-CN"/>
                            </w:rPr>
                            <w:t>0</w:t>
                          </w:r>
                          <w:r>
                            <w:rPr>
                              <w:lang w:val="zh-CN"/>
                            </w:rPr>
                            <w:fldChar w:fldCharType="end"/>
                          </w:r>
                        </w:p>
                      </w:txbxContent>
                    </wps:txbx>
                    <wps:bodyPr wrap="none" lIns="0" tIns="0" rIns="0" bIns="0" upright="0">
                      <a:spAutoFit/>
                    </wps:bodyPr>
                  </wps:wsp>
                </a:graphicData>
              </a:graphic>
            </wp:anchor>
          </w:drawing>
        </mc:Choice>
        <mc:Fallback>
          <w:pict>
            <v:shape id="文本框 1"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s0lY7tAAAAAFAQAADwAAAAAAAAABACAAAAAiAAAAZHJz&#10;L2Rvd25yZXYueG1sUEsBAhQAFAAAAAgAh07iQPoC7rrTAQAAowMAAA4AAAAAAAAAAQAgAAAAHwEA&#10;AGRycy9lMm9Eb2MueG1sUEsFBgAAAAAGAAYAWQEAAGQFAAAAAA==&#10;">
              <v:fill on="f" focussize="0,0"/>
              <v:stroke on="f" weight="0.5pt"/>
              <v:imagedata o:title=""/>
              <o:lock v:ext="edit" aspectratio="f"/>
              <v:textbox inset="0mm,0mm,0mm,0mm" style="mso-fit-shape-to-text:t;">
                <w:txbxContent>
                  <w:p>
                    <w:pPr>
                      <w:pStyle w:val="17"/>
                      <w:jc w:val="center"/>
                    </w:pPr>
                    <w:r>
                      <w:fldChar w:fldCharType="begin"/>
                    </w:r>
                    <w:r>
                      <w:instrText xml:space="preserve"> PAGE   \* MERGEFORMAT </w:instrText>
                    </w:r>
                    <w:r>
                      <w:fldChar w:fldCharType="separate"/>
                    </w:r>
                    <w:r>
                      <w:rPr>
                        <w:lang w:val="zh-CN"/>
                      </w:rPr>
                      <w:t>0</w:t>
                    </w:r>
                    <w:r>
                      <w:rPr>
                        <w:lang w:val="zh-CN"/>
                      </w:rPr>
                      <w:fldChar w:fldCharType="end"/>
                    </w:r>
                  </w:p>
                </w:txbxContent>
              </v:textbox>
            </v:shape>
          </w:pict>
        </mc:Fallback>
      </mc:AlternateContent>
    </w:r>
  </w:p>
  <w:p>
    <w:pPr>
      <w:pStyle w:val="17"/>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96"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txbx>
                      <w:txbxContent>
                        <w:sdt>
                          <w:sdtPr>
                            <w:id w:val="12953438"/>
                            <w:docPartObj>
                              <w:docPartGallery w:val="autotext"/>
                            </w:docPartObj>
                          </w:sdtPr>
                          <w:sdtContent>
                            <w:p>
                              <w:pPr>
                                <w:pStyle w:val="17"/>
                                <w:jc w:val="center"/>
                              </w:pPr>
                              <w:r>
                                <w:fldChar w:fldCharType="begin"/>
                              </w:r>
                              <w:r>
                                <w:instrText xml:space="preserve"> PAGE   \* MERGEFORMAT </w:instrText>
                              </w:r>
                              <w:r>
                                <w:fldChar w:fldCharType="separate"/>
                              </w:r>
                              <w:r>
                                <w:rPr>
                                  <w:lang w:val="zh-CN"/>
                                </w:rPr>
                                <w:t>26</w:t>
                              </w:r>
                              <w:r>
                                <w:rPr>
                                  <w:lang w:val="zh-CN"/>
                                </w:rPr>
                                <w:fldChar w:fldCharType="end"/>
                              </w:r>
                            </w:p>
                          </w:sdtContent>
                        </w:sdt>
                        <w:p>
                          <w:pPr>
                            <w:pStyle w:val="17"/>
                          </w:pPr>
                        </w:p>
                      </w:txbxContent>
                    </wps:txbx>
                    <wps:bodyPr wrap="none" lIns="0" tIns="0" rIns="0" bIns="0" upright="0">
                      <a:spAutoFit/>
                    </wps:bodyPr>
                  </wps:wsp>
                </a:graphicData>
              </a:graphic>
            </wp:anchor>
          </w:drawing>
        </mc:Choice>
        <mc:Fallback>
          <w:pict>
            <v:shape id="文本框 3"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&#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">
              <v:fill on="f" focussize="0,0"/>
              <v:stroke on="f" weight="0.5pt"/>
              <v:imagedata o:title=""/>
              <o:lock v:ext="edit" aspectratio="f"/>
              <v:textbox inset="0mm,0mm,0mm,0mm" style="mso-fit-shape-to-text:t;">
                <w:txbxContent>
                  <w:sdt>
                    <w:sdtPr>
                      <w:id w:val="12953438"/>
                      <w:docPartObj>
                        <w:docPartGallery w:val="autotext"/>
                      </w:docPartObj>
                    </w:sdtPr>
                    <w:sdtContent>
                      <w:p>
                        <w:pPr>
                          <w:pStyle w:val="17"/>
                          <w:jc w:val="center"/>
                        </w:pPr>
                        <w:r>
                          <w:fldChar w:fldCharType="begin"/>
                        </w:r>
                        <w:r>
                          <w:instrText xml:space="preserve"> PAGE   \* MERGEFORMAT </w:instrText>
                        </w:r>
                        <w:r>
                          <w:fldChar w:fldCharType="separate"/>
                        </w:r>
                        <w:r>
                          <w:rPr>
                            <w:lang w:val="zh-CN"/>
                          </w:rPr>
                          <w:t>26</w:t>
                        </w:r>
                        <w:r>
                          <w:rPr>
                            <w:lang w:val="zh-CN"/>
                          </w:rPr>
                          <w:fldChar w:fldCharType="end"/>
                        </w:r>
                      </w:p>
                    </w:sdtContent>
                  </w:sdt>
                  <w:p>
                    <w:pPr>
                      <w:pStyle w:val="17"/>
                    </w:pPr>
                  </w:p>
                </w:txbxContent>
              </v:textbox>
            </v:shape>
          </w:pict>
        </mc:Fallback>
      </mc:AlternateContent>
    </w:r>
  </w:p>
  <w:p>
    <w:pPr>
      <w:pStyle w:val="1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7"/>
      <w:jc w:val="center"/>
      <w:rPr>
        <w:sz w:val="28"/>
        <w:szCs w:val="28"/>
      </w:rPr>
    </w:pPr>
    <w:r>
      <w:rPr>
        <w:sz w:val="2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3"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7"/>
                          </w:pPr>
                          <w:r>
                            <w:fldChar w:fldCharType="begin"/>
                          </w:r>
                          <w:r>
                            <w:instrText xml:space="preserve"> PAGE  \* MERGEFORMAT </w:instrText>
                          </w:r>
                          <w:r>
                            <w:fldChar w:fldCharType="separate"/>
                          </w:r>
                          <w:r>
                            <w:t>92</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文本框 7"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PY3nqczAgAAZAQAAA4AAAAAAAAAAQAgAAAAHwEAAGRycy9lMm9Eb2MueG1sUEsF&#10;BgAAAAAGAAYAWQEAAMQFAAAAAA==&#10;">
              <v:fill on="f" focussize="0,0"/>
              <v:stroke on="f" weight="0.5pt"/>
              <v:imagedata o:title=""/>
              <o:lock v:ext="edit" aspectratio="f"/>
              <v:textbox inset="0mm,0mm,0mm,0mm" style="mso-fit-shape-to-text:t;">
                <w:txbxContent>
                  <w:p>
                    <w:pPr>
                      <w:pStyle w:val="17"/>
                    </w:pPr>
                    <w:r>
                      <w:fldChar w:fldCharType="begin"/>
                    </w:r>
                    <w:r>
                      <w:instrText xml:space="preserve"> PAGE  \* MERGEFORMAT </w:instrText>
                    </w:r>
                    <w:r>
                      <w:fldChar w:fldCharType="separate"/>
                    </w:r>
                    <w:r>
                      <w:t>92</w:t>
                    </w:r>
                    <w:r>
                      <w:fldChar w:fldCharType="end"/>
                    </w:r>
                  </w:p>
                </w:txbxContent>
              </v:textbox>
            </v:shape>
          </w:pict>
        </mc:Fallback>
      </mc:AlternateContent>
    </w:r>
  </w:p>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none" w:color="auto" w:sz="0" w:space="0"/>
      </w:pBdr>
      <w:jc w:val="both"/>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咸阳鑫艺机械设备有限公司突发环境事件应急预案</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single" w:color="auto" w:sz="4" w:space="0"/>
      </w:pBdr>
      <w:jc w:val="right"/>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咸阳鑫艺机械设备有限公司突发环境事件应急预案</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Bdr>
        <w:bottom w:val="single" w:color="auto" w:sz="4" w:space="0"/>
      </w:pBdr>
      <w:jc w:val="right"/>
      <w:rPr>
        <w:rFonts w:hint="eastAsia" w:ascii="仿宋" w:hAnsi="仿宋" w:eastAsia="仿宋" w:cs="仿宋"/>
        <w:color w:val="000000"/>
        <w:sz w:val="24"/>
        <w:szCs w:val="24"/>
      </w:rPr>
    </w:pPr>
    <w:r>
      <w:rPr>
        <w:rFonts w:hint="eastAsia" w:ascii="仿宋" w:hAnsi="仿宋" w:eastAsia="仿宋" w:cs="仿宋"/>
        <w:color w:val="000000"/>
        <w:sz w:val="24"/>
        <w:szCs w:val="24"/>
        <w:lang w:val="en-US" w:eastAsia="zh-CN"/>
      </w:rPr>
      <w:t>咸阳鑫艺机械设备有限公司突发环境事件应急预案</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A7B023B1"/>
    <w:multiLevelType w:val="singleLevel"/>
    <w:tmpl w:val="A7B023B1"/>
    <w:lvl w:ilvl="0" w:tentative="0">
      <w:start w:val="1"/>
      <w:numFmt w:val="decimal"/>
      <w:suff w:val="nothing"/>
      <w:lvlText w:val="（%1）"/>
      <w:lvlJc w:val="left"/>
      <w:rPr>
        <w:rFonts w:hint="default"/>
        <w:b w:val="0"/>
        <w:bCs w:val="0"/>
        <w:sz w:val="24"/>
        <w:szCs w:val="24"/>
      </w:rPr>
    </w:lvl>
  </w:abstractNum>
  <w:abstractNum w:abstractNumId="1">
    <w:nsid w:val="00000005"/>
    <w:multiLevelType w:val="multilevel"/>
    <w:tmpl w:val="00000005"/>
    <w:lvl w:ilvl="0" w:tentative="0">
      <w:start w:val="1"/>
      <w:numFmt w:val="japaneseCounting"/>
      <w:lvlText w:val="%1、"/>
      <w:lvlJc w:val="left"/>
      <w:pPr>
        <w:tabs>
          <w:tab w:val="left" w:pos="0"/>
        </w:tabs>
        <w:ind w:left="945" w:hanging="480"/>
      </w:p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2">
    <w:nsid w:val="5FC440CE"/>
    <w:multiLevelType w:val="singleLevel"/>
    <w:tmpl w:val="5FC440CE"/>
    <w:lvl w:ilvl="0" w:tentative="0">
      <w:start w:val="2"/>
      <w:numFmt w:val="decimal"/>
      <w:suff w:val="nothing"/>
      <w:lvlText w:val="（%1）"/>
      <w:lvlJc w:val="left"/>
    </w:lvl>
  </w:abstractNum>
  <w:num w:numId="1">
    <w:abstractNumId w:val="2"/>
  </w:num>
  <w:num w:numId="2">
    <w:abstractNumId w:val="0"/>
  </w:num>
  <w:num w:numId="3">
    <w:abstractNumId w:val="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2F0A"/>
    <w:rsid w:val="0001698C"/>
    <w:rsid w:val="00022267"/>
    <w:rsid w:val="0003318C"/>
    <w:rsid w:val="00042B1A"/>
    <w:rsid w:val="00051C17"/>
    <w:rsid w:val="000559B2"/>
    <w:rsid w:val="000661FA"/>
    <w:rsid w:val="000764C0"/>
    <w:rsid w:val="000A483E"/>
    <w:rsid w:val="000A77C9"/>
    <w:rsid w:val="000B052D"/>
    <w:rsid w:val="000B3A44"/>
    <w:rsid w:val="000B490B"/>
    <w:rsid w:val="000D0869"/>
    <w:rsid w:val="000E6075"/>
    <w:rsid w:val="000F07EC"/>
    <w:rsid w:val="00106520"/>
    <w:rsid w:val="00111B8A"/>
    <w:rsid w:val="00127DB4"/>
    <w:rsid w:val="00145702"/>
    <w:rsid w:val="001517C1"/>
    <w:rsid w:val="00153238"/>
    <w:rsid w:val="00184709"/>
    <w:rsid w:val="00196181"/>
    <w:rsid w:val="001A6F33"/>
    <w:rsid w:val="001B5A89"/>
    <w:rsid w:val="001E0549"/>
    <w:rsid w:val="001E5E51"/>
    <w:rsid w:val="001E6649"/>
    <w:rsid w:val="00223E48"/>
    <w:rsid w:val="0023787C"/>
    <w:rsid w:val="0026111F"/>
    <w:rsid w:val="00273144"/>
    <w:rsid w:val="00282449"/>
    <w:rsid w:val="00291AA5"/>
    <w:rsid w:val="002D1C7B"/>
    <w:rsid w:val="002E4BB2"/>
    <w:rsid w:val="002E7426"/>
    <w:rsid w:val="003007AB"/>
    <w:rsid w:val="003229A6"/>
    <w:rsid w:val="00336642"/>
    <w:rsid w:val="0034087A"/>
    <w:rsid w:val="00366EAE"/>
    <w:rsid w:val="003816B5"/>
    <w:rsid w:val="003A1D75"/>
    <w:rsid w:val="003D25AD"/>
    <w:rsid w:val="00400A48"/>
    <w:rsid w:val="00414071"/>
    <w:rsid w:val="00416222"/>
    <w:rsid w:val="00416BE3"/>
    <w:rsid w:val="00424DCF"/>
    <w:rsid w:val="0042585D"/>
    <w:rsid w:val="0043255C"/>
    <w:rsid w:val="004646BF"/>
    <w:rsid w:val="004857AE"/>
    <w:rsid w:val="00491D81"/>
    <w:rsid w:val="004B3BB0"/>
    <w:rsid w:val="004C4CF8"/>
    <w:rsid w:val="004C4FBC"/>
    <w:rsid w:val="004C7538"/>
    <w:rsid w:val="004D074D"/>
    <w:rsid w:val="004D3A09"/>
    <w:rsid w:val="00514882"/>
    <w:rsid w:val="00517CD4"/>
    <w:rsid w:val="00522F0C"/>
    <w:rsid w:val="0052554A"/>
    <w:rsid w:val="00533740"/>
    <w:rsid w:val="005353C9"/>
    <w:rsid w:val="00535F51"/>
    <w:rsid w:val="005711A4"/>
    <w:rsid w:val="005953A4"/>
    <w:rsid w:val="005E0F99"/>
    <w:rsid w:val="005E4030"/>
    <w:rsid w:val="005E5B92"/>
    <w:rsid w:val="00605AA0"/>
    <w:rsid w:val="00624249"/>
    <w:rsid w:val="006416BD"/>
    <w:rsid w:val="00642B22"/>
    <w:rsid w:val="00683138"/>
    <w:rsid w:val="00692F89"/>
    <w:rsid w:val="006A53CB"/>
    <w:rsid w:val="006A549F"/>
    <w:rsid w:val="006D2654"/>
    <w:rsid w:val="006F3D89"/>
    <w:rsid w:val="007211D8"/>
    <w:rsid w:val="0074265E"/>
    <w:rsid w:val="00752796"/>
    <w:rsid w:val="00752EC0"/>
    <w:rsid w:val="00763641"/>
    <w:rsid w:val="007809F2"/>
    <w:rsid w:val="00791B3B"/>
    <w:rsid w:val="007B6089"/>
    <w:rsid w:val="007B7B22"/>
    <w:rsid w:val="00821B54"/>
    <w:rsid w:val="0082401D"/>
    <w:rsid w:val="00825CE2"/>
    <w:rsid w:val="00845AFF"/>
    <w:rsid w:val="00847C27"/>
    <w:rsid w:val="00852166"/>
    <w:rsid w:val="00854E37"/>
    <w:rsid w:val="00867826"/>
    <w:rsid w:val="008678B8"/>
    <w:rsid w:val="0087025B"/>
    <w:rsid w:val="00871638"/>
    <w:rsid w:val="00890C5A"/>
    <w:rsid w:val="0089592E"/>
    <w:rsid w:val="008A5FCE"/>
    <w:rsid w:val="008E6BD5"/>
    <w:rsid w:val="008F6CFD"/>
    <w:rsid w:val="00926E85"/>
    <w:rsid w:val="00947000"/>
    <w:rsid w:val="00952854"/>
    <w:rsid w:val="00954FA1"/>
    <w:rsid w:val="00972A80"/>
    <w:rsid w:val="00982C9A"/>
    <w:rsid w:val="00983C57"/>
    <w:rsid w:val="009961EC"/>
    <w:rsid w:val="009A06A9"/>
    <w:rsid w:val="009A6B4F"/>
    <w:rsid w:val="009B18D3"/>
    <w:rsid w:val="009C2A69"/>
    <w:rsid w:val="009E098F"/>
    <w:rsid w:val="009E2CF2"/>
    <w:rsid w:val="00A205D7"/>
    <w:rsid w:val="00A24B2B"/>
    <w:rsid w:val="00A42C14"/>
    <w:rsid w:val="00A440FB"/>
    <w:rsid w:val="00A552B0"/>
    <w:rsid w:val="00A61FCD"/>
    <w:rsid w:val="00A709B3"/>
    <w:rsid w:val="00AB1AD5"/>
    <w:rsid w:val="00AC5DDB"/>
    <w:rsid w:val="00AF3B13"/>
    <w:rsid w:val="00B01A0A"/>
    <w:rsid w:val="00B273B1"/>
    <w:rsid w:val="00B70FF9"/>
    <w:rsid w:val="00B85F99"/>
    <w:rsid w:val="00B919E6"/>
    <w:rsid w:val="00BA2F0A"/>
    <w:rsid w:val="00BE7B79"/>
    <w:rsid w:val="00C01151"/>
    <w:rsid w:val="00C056A1"/>
    <w:rsid w:val="00C201F2"/>
    <w:rsid w:val="00C23E33"/>
    <w:rsid w:val="00C31E12"/>
    <w:rsid w:val="00C32F4B"/>
    <w:rsid w:val="00C46871"/>
    <w:rsid w:val="00C500DD"/>
    <w:rsid w:val="00C52933"/>
    <w:rsid w:val="00C652B5"/>
    <w:rsid w:val="00C67F9D"/>
    <w:rsid w:val="00C70B16"/>
    <w:rsid w:val="00C943F5"/>
    <w:rsid w:val="00CA0377"/>
    <w:rsid w:val="00CA0C24"/>
    <w:rsid w:val="00CB42DB"/>
    <w:rsid w:val="00CD1B57"/>
    <w:rsid w:val="00CD3681"/>
    <w:rsid w:val="00CE027A"/>
    <w:rsid w:val="00CE09B9"/>
    <w:rsid w:val="00D1502B"/>
    <w:rsid w:val="00DA57F3"/>
    <w:rsid w:val="00DA73D6"/>
    <w:rsid w:val="00DB1ADB"/>
    <w:rsid w:val="00DB400F"/>
    <w:rsid w:val="00DC0619"/>
    <w:rsid w:val="00DC1C89"/>
    <w:rsid w:val="00DC746A"/>
    <w:rsid w:val="00DD537C"/>
    <w:rsid w:val="00E45166"/>
    <w:rsid w:val="00E57618"/>
    <w:rsid w:val="00E64AEB"/>
    <w:rsid w:val="00E9189A"/>
    <w:rsid w:val="00E92C17"/>
    <w:rsid w:val="00EA29F2"/>
    <w:rsid w:val="00EB27D2"/>
    <w:rsid w:val="00EC4736"/>
    <w:rsid w:val="00EC4E14"/>
    <w:rsid w:val="00EC755E"/>
    <w:rsid w:val="00EE58D6"/>
    <w:rsid w:val="00F20E15"/>
    <w:rsid w:val="00F471E1"/>
    <w:rsid w:val="00F47995"/>
    <w:rsid w:val="00F648E1"/>
    <w:rsid w:val="00F70240"/>
    <w:rsid w:val="00F83A6A"/>
    <w:rsid w:val="00F86F13"/>
    <w:rsid w:val="00F93A64"/>
    <w:rsid w:val="00FB2488"/>
    <w:rsid w:val="00FB4E3C"/>
    <w:rsid w:val="00FE09B1"/>
    <w:rsid w:val="00FF2120"/>
    <w:rsid w:val="01A71F55"/>
    <w:rsid w:val="01C92E12"/>
    <w:rsid w:val="020E10E0"/>
    <w:rsid w:val="02A63E4C"/>
    <w:rsid w:val="02AA797F"/>
    <w:rsid w:val="03226137"/>
    <w:rsid w:val="04132E63"/>
    <w:rsid w:val="04B01826"/>
    <w:rsid w:val="05696CE3"/>
    <w:rsid w:val="05BE46E1"/>
    <w:rsid w:val="061612DE"/>
    <w:rsid w:val="06861E85"/>
    <w:rsid w:val="06D73158"/>
    <w:rsid w:val="07214AE0"/>
    <w:rsid w:val="072F2474"/>
    <w:rsid w:val="08BF2997"/>
    <w:rsid w:val="08D0206B"/>
    <w:rsid w:val="0933778B"/>
    <w:rsid w:val="09774E11"/>
    <w:rsid w:val="0A1A5C84"/>
    <w:rsid w:val="0A4120F4"/>
    <w:rsid w:val="0AD728EB"/>
    <w:rsid w:val="0BB25B5A"/>
    <w:rsid w:val="0C4E1A30"/>
    <w:rsid w:val="0C942CD2"/>
    <w:rsid w:val="0C9B6B2D"/>
    <w:rsid w:val="0D3F66AD"/>
    <w:rsid w:val="0D73648F"/>
    <w:rsid w:val="0D9869C7"/>
    <w:rsid w:val="0DEF575A"/>
    <w:rsid w:val="0E034762"/>
    <w:rsid w:val="0E3E30BF"/>
    <w:rsid w:val="0ED0515E"/>
    <w:rsid w:val="0EEE6FF4"/>
    <w:rsid w:val="0F207542"/>
    <w:rsid w:val="0F2C5AA8"/>
    <w:rsid w:val="0FEB66CA"/>
    <w:rsid w:val="10316EDB"/>
    <w:rsid w:val="10E91216"/>
    <w:rsid w:val="11B83B0B"/>
    <w:rsid w:val="13312B78"/>
    <w:rsid w:val="13BE70A4"/>
    <w:rsid w:val="13BF13AE"/>
    <w:rsid w:val="13D435C3"/>
    <w:rsid w:val="14330DCC"/>
    <w:rsid w:val="1518766E"/>
    <w:rsid w:val="1588600E"/>
    <w:rsid w:val="15E4071A"/>
    <w:rsid w:val="16283F46"/>
    <w:rsid w:val="1659159D"/>
    <w:rsid w:val="16AE6C2A"/>
    <w:rsid w:val="16E02623"/>
    <w:rsid w:val="17033CF1"/>
    <w:rsid w:val="17152604"/>
    <w:rsid w:val="175B2F73"/>
    <w:rsid w:val="17620FF1"/>
    <w:rsid w:val="17793F91"/>
    <w:rsid w:val="180122FE"/>
    <w:rsid w:val="19243583"/>
    <w:rsid w:val="1A084F59"/>
    <w:rsid w:val="1A102917"/>
    <w:rsid w:val="1A72393F"/>
    <w:rsid w:val="1A927DEE"/>
    <w:rsid w:val="1B324F49"/>
    <w:rsid w:val="1B431F3F"/>
    <w:rsid w:val="1BEE7844"/>
    <w:rsid w:val="1C3D7DD1"/>
    <w:rsid w:val="1CB95C68"/>
    <w:rsid w:val="1D5153AA"/>
    <w:rsid w:val="1D5202F0"/>
    <w:rsid w:val="1D5743A3"/>
    <w:rsid w:val="1D6D74C0"/>
    <w:rsid w:val="1DAB38D3"/>
    <w:rsid w:val="1DF67ECE"/>
    <w:rsid w:val="1E121BB6"/>
    <w:rsid w:val="1E194657"/>
    <w:rsid w:val="1E24512A"/>
    <w:rsid w:val="1E420A22"/>
    <w:rsid w:val="1E942616"/>
    <w:rsid w:val="1F987D42"/>
    <w:rsid w:val="1FD20BD5"/>
    <w:rsid w:val="1FF71224"/>
    <w:rsid w:val="203F7941"/>
    <w:rsid w:val="20C61B64"/>
    <w:rsid w:val="20EB4ADA"/>
    <w:rsid w:val="20EB7E1E"/>
    <w:rsid w:val="20EF3748"/>
    <w:rsid w:val="213C3D03"/>
    <w:rsid w:val="216048A3"/>
    <w:rsid w:val="22670683"/>
    <w:rsid w:val="226807C2"/>
    <w:rsid w:val="22921D77"/>
    <w:rsid w:val="22A63563"/>
    <w:rsid w:val="22C363A0"/>
    <w:rsid w:val="22CA34FC"/>
    <w:rsid w:val="23AB6A70"/>
    <w:rsid w:val="23AD23F4"/>
    <w:rsid w:val="24352312"/>
    <w:rsid w:val="247A5DC8"/>
    <w:rsid w:val="24863D15"/>
    <w:rsid w:val="24DA4474"/>
    <w:rsid w:val="25B80CED"/>
    <w:rsid w:val="25CD3466"/>
    <w:rsid w:val="26385897"/>
    <w:rsid w:val="26F15FE2"/>
    <w:rsid w:val="271B51E1"/>
    <w:rsid w:val="273F595C"/>
    <w:rsid w:val="277D41B6"/>
    <w:rsid w:val="27F94DF4"/>
    <w:rsid w:val="281E062C"/>
    <w:rsid w:val="287F66AF"/>
    <w:rsid w:val="28C9408C"/>
    <w:rsid w:val="28F53C6D"/>
    <w:rsid w:val="293E5E17"/>
    <w:rsid w:val="29B334C4"/>
    <w:rsid w:val="29E2405A"/>
    <w:rsid w:val="29EB7DA4"/>
    <w:rsid w:val="2A7551DE"/>
    <w:rsid w:val="2AEC64B9"/>
    <w:rsid w:val="2B3C49F2"/>
    <w:rsid w:val="2B5B716C"/>
    <w:rsid w:val="2BB83A23"/>
    <w:rsid w:val="2BE71D10"/>
    <w:rsid w:val="2BF56B07"/>
    <w:rsid w:val="2C301482"/>
    <w:rsid w:val="2CED4ED4"/>
    <w:rsid w:val="2D34534D"/>
    <w:rsid w:val="2D3B1C07"/>
    <w:rsid w:val="2E234A63"/>
    <w:rsid w:val="2E6804A1"/>
    <w:rsid w:val="2E6E6734"/>
    <w:rsid w:val="2E763AA2"/>
    <w:rsid w:val="2ECE093A"/>
    <w:rsid w:val="2F7E5F0F"/>
    <w:rsid w:val="2F881C8D"/>
    <w:rsid w:val="309E417F"/>
    <w:rsid w:val="30C1784D"/>
    <w:rsid w:val="31621562"/>
    <w:rsid w:val="31C51296"/>
    <w:rsid w:val="31D303D3"/>
    <w:rsid w:val="31D4315F"/>
    <w:rsid w:val="31FE2144"/>
    <w:rsid w:val="32462C1F"/>
    <w:rsid w:val="32B1509B"/>
    <w:rsid w:val="344C0E47"/>
    <w:rsid w:val="3485355D"/>
    <w:rsid w:val="35097495"/>
    <w:rsid w:val="36003346"/>
    <w:rsid w:val="37775617"/>
    <w:rsid w:val="37810D53"/>
    <w:rsid w:val="3785794B"/>
    <w:rsid w:val="37CD5310"/>
    <w:rsid w:val="38134772"/>
    <w:rsid w:val="3852723D"/>
    <w:rsid w:val="38A72CE6"/>
    <w:rsid w:val="38F40407"/>
    <w:rsid w:val="390467A9"/>
    <w:rsid w:val="3941725C"/>
    <w:rsid w:val="39E11C36"/>
    <w:rsid w:val="3A637A4C"/>
    <w:rsid w:val="3ABC675B"/>
    <w:rsid w:val="3C026ACB"/>
    <w:rsid w:val="3C091D72"/>
    <w:rsid w:val="3C173720"/>
    <w:rsid w:val="3C720FA1"/>
    <w:rsid w:val="3D374455"/>
    <w:rsid w:val="3D82769E"/>
    <w:rsid w:val="3D9A6A87"/>
    <w:rsid w:val="3E2F056C"/>
    <w:rsid w:val="3F4C63D1"/>
    <w:rsid w:val="3FC17D66"/>
    <w:rsid w:val="3FD273E9"/>
    <w:rsid w:val="3FE04BA0"/>
    <w:rsid w:val="400D1418"/>
    <w:rsid w:val="406C2928"/>
    <w:rsid w:val="40AC204E"/>
    <w:rsid w:val="40FC1152"/>
    <w:rsid w:val="40FD22D6"/>
    <w:rsid w:val="415C2072"/>
    <w:rsid w:val="41A9165B"/>
    <w:rsid w:val="42D32305"/>
    <w:rsid w:val="42E634D2"/>
    <w:rsid w:val="43492C4A"/>
    <w:rsid w:val="434E4917"/>
    <w:rsid w:val="43E04FC2"/>
    <w:rsid w:val="440F06E2"/>
    <w:rsid w:val="444368D8"/>
    <w:rsid w:val="446B26E9"/>
    <w:rsid w:val="452C4F34"/>
    <w:rsid w:val="45BE4776"/>
    <w:rsid w:val="45DE7E62"/>
    <w:rsid w:val="46291873"/>
    <w:rsid w:val="4638647A"/>
    <w:rsid w:val="4659113F"/>
    <w:rsid w:val="467B6B88"/>
    <w:rsid w:val="467F76CD"/>
    <w:rsid w:val="46CE3BCE"/>
    <w:rsid w:val="476535E0"/>
    <w:rsid w:val="47AE0CD5"/>
    <w:rsid w:val="48BB4D69"/>
    <w:rsid w:val="48CC566E"/>
    <w:rsid w:val="48D85F9F"/>
    <w:rsid w:val="4928591B"/>
    <w:rsid w:val="4B0B78E8"/>
    <w:rsid w:val="4B195358"/>
    <w:rsid w:val="4BE35F8B"/>
    <w:rsid w:val="4BFB77E4"/>
    <w:rsid w:val="4C6730E9"/>
    <w:rsid w:val="4CC343A4"/>
    <w:rsid w:val="4CC57981"/>
    <w:rsid w:val="4CC86AEA"/>
    <w:rsid w:val="4D1877AA"/>
    <w:rsid w:val="4D66355F"/>
    <w:rsid w:val="4D9C612D"/>
    <w:rsid w:val="4D9E3ADF"/>
    <w:rsid w:val="4DF231C4"/>
    <w:rsid w:val="4F0D5F98"/>
    <w:rsid w:val="4F970C55"/>
    <w:rsid w:val="4FA31911"/>
    <w:rsid w:val="50C22768"/>
    <w:rsid w:val="50D70A75"/>
    <w:rsid w:val="519404E9"/>
    <w:rsid w:val="51DA0BAC"/>
    <w:rsid w:val="520F20D5"/>
    <w:rsid w:val="522612D1"/>
    <w:rsid w:val="52C63FFA"/>
    <w:rsid w:val="52D510DD"/>
    <w:rsid w:val="52E21EA8"/>
    <w:rsid w:val="53160A18"/>
    <w:rsid w:val="533114BC"/>
    <w:rsid w:val="533C410F"/>
    <w:rsid w:val="53433A22"/>
    <w:rsid w:val="5365351F"/>
    <w:rsid w:val="53B224AF"/>
    <w:rsid w:val="543D2CA5"/>
    <w:rsid w:val="548C1D57"/>
    <w:rsid w:val="54A9752C"/>
    <w:rsid w:val="54D3592B"/>
    <w:rsid w:val="5535524E"/>
    <w:rsid w:val="55F31FBD"/>
    <w:rsid w:val="560F6A49"/>
    <w:rsid w:val="56FF5A87"/>
    <w:rsid w:val="57766E4A"/>
    <w:rsid w:val="57972B77"/>
    <w:rsid w:val="57C812CC"/>
    <w:rsid w:val="57DB182E"/>
    <w:rsid w:val="583A2C5D"/>
    <w:rsid w:val="58932ADA"/>
    <w:rsid w:val="589B7836"/>
    <w:rsid w:val="58AF6194"/>
    <w:rsid w:val="58BE77DA"/>
    <w:rsid w:val="58C8138F"/>
    <w:rsid w:val="58CD3A9F"/>
    <w:rsid w:val="58E07ECD"/>
    <w:rsid w:val="590668AC"/>
    <w:rsid w:val="59427AA2"/>
    <w:rsid w:val="5A0E33D0"/>
    <w:rsid w:val="5A554873"/>
    <w:rsid w:val="5A5A50BE"/>
    <w:rsid w:val="5A5E2399"/>
    <w:rsid w:val="5A7D7A81"/>
    <w:rsid w:val="5B0C3D54"/>
    <w:rsid w:val="5B534476"/>
    <w:rsid w:val="5B5877B4"/>
    <w:rsid w:val="5B666245"/>
    <w:rsid w:val="5C8A0C3F"/>
    <w:rsid w:val="5CF00296"/>
    <w:rsid w:val="5D1954B1"/>
    <w:rsid w:val="5D2C5079"/>
    <w:rsid w:val="5D675F3E"/>
    <w:rsid w:val="5DA1333A"/>
    <w:rsid w:val="5DCE1022"/>
    <w:rsid w:val="5E0E25AB"/>
    <w:rsid w:val="5E691F2E"/>
    <w:rsid w:val="5EBC4673"/>
    <w:rsid w:val="5FB62A3F"/>
    <w:rsid w:val="607B1952"/>
    <w:rsid w:val="60B73903"/>
    <w:rsid w:val="60B86D15"/>
    <w:rsid w:val="60D401C4"/>
    <w:rsid w:val="60D4670E"/>
    <w:rsid w:val="60D904D6"/>
    <w:rsid w:val="610914C1"/>
    <w:rsid w:val="611623AE"/>
    <w:rsid w:val="61233CB3"/>
    <w:rsid w:val="61755995"/>
    <w:rsid w:val="62C22FE3"/>
    <w:rsid w:val="632135B3"/>
    <w:rsid w:val="63865A02"/>
    <w:rsid w:val="642D6F84"/>
    <w:rsid w:val="64D62DD6"/>
    <w:rsid w:val="65054AB7"/>
    <w:rsid w:val="65A014AA"/>
    <w:rsid w:val="65E35DB0"/>
    <w:rsid w:val="67B37AFB"/>
    <w:rsid w:val="680F73E0"/>
    <w:rsid w:val="68AF2210"/>
    <w:rsid w:val="68B129FA"/>
    <w:rsid w:val="69DA54A5"/>
    <w:rsid w:val="6A1E1583"/>
    <w:rsid w:val="6A3516CA"/>
    <w:rsid w:val="6A416036"/>
    <w:rsid w:val="6CBE25AD"/>
    <w:rsid w:val="6D133FD9"/>
    <w:rsid w:val="6D2F273B"/>
    <w:rsid w:val="6DA733AD"/>
    <w:rsid w:val="6DBB0E6F"/>
    <w:rsid w:val="6DCA389B"/>
    <w:rsid w:val="6E075828"/>
    <w:rsid w:val="6E5B5558"/>
    <w:rsid w:val="6E6B39FA"/>
    <w:rsid w:val="6E6F39F8"/>
    <w:rsid w:val="701E540D"/>
    <w:rsid w:val="7040028B"/>
    <w:rsid w:val="7062098D"/>
    <w:rsid w:val="70795A07"/>
    <w:rsid w:val="714154B3"/>
    <w:rsid w:val="71961B5F"/>
    <w:rsid w:val="733F05B3"/>
    <w:rsid w:val="739969EE"/>
    <w:rsid w:val="74844DB7"/>
    <w:rsid w:val="74E62FB1"/>
    <w:rsid w:val="7525511B"/>
    <w:rsid w:val="753A6F94"/>
    <w:rsid w:val="75484763"/>
    <w:rsid w:val="755D5376"/>
    <w:rsid w:val="758B792E"/>
    <w:rsid w:val="75E25645"/>
    <w:rsid w:val="75E84FDF"/>
    <w:rsid w:val="762B0425"/>
    <w:rsid w:val="77783C0E"/>
    <w:rsid w:val="77AF5970"/>
    <w:rsid w:val="78003D80"/>
    <w:rsid w:val="795159E3"/>
    <w:rsid w:val="798C7422"/>
    <w:rsid w:val="79F07177"/>
    <w:rsid w:val="79F3757E"/>
    <w:rsid w:val="7AF410C1"/>
    <w:rsid w:val="7C823A9B"/>
    <w:rsid w:val="7D517392"/>
    <w:rsid w:val="7D583D85"/>
    <w:rsid w:val="7D730671"/>
    <w:rsid w:val="7DA80B51"/>
    <w:rsid w:val="7DF05AB6"/>
    <w:rsid w:val="7EB740DC"/>
    <w:rsid w:val="7F5A2FC0"/>
    <w:rsid w:val="7F5B5F3A"/>
    <w:rsid w:val="7FD37656"/>
    <w:rsid w:val="7FF279F7"/>
    <w:rsid w:val="7FF96C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weight="0.5pt" color="#F5F3F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nhideWhenUsed="0" w:uiPriority="99"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qFormat="1" w:uiPriority="99"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qFormat="1" w:uiPriority="99" w:semiHidden="0" w:name="Body Text 3"/>
    <w:lsdException w:unhideWhenUsed="0" w:uiPriority="0" w:semiHidden="0" w:name="Body Text Indent 2"/>
    <w:lsdException w:unhideWhenUsed="0" w:uiPriority="0" w:semiHidden="0" w:name="Body Text Indent 3"/>
    <w:lsdException w:qFormat="1" w:uiPriority="99"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paragraph" w:styleId="3">
    <w:name w:val="heading 1"/>
    <w:basedOn w:val="1"/>
    <w:next w:val="1"/>
    <w:link w:val="33"/>
    <w:qFormat/>
    <w:uiPriority w:val="9"/>
    <w:pPr>
      <w:keepNext/>
      <w:keepLines/>
      <w:spacing w:before="260" w:after="260"/>
      <w:outlineLvl w:val="0"/>
    </w:pPr>
    <w:rPr>
      <w:rFonts w:eastAsia="华文仿宋"/>
      <w:b/>
      <w:bCs/>
      <w:kern w:val="44"/>
      <w:sz w:val="32"/>
      <w:szCs w:val="44"/>
    </w:rPr>
  </w:style>
  <w:style w:type="paragraph" w:styleId="2">
    <w:name w:val="heading 2"/>
    <w:basedOn w:val="1"/>
    <w:next w:val="1"/>
    <w:link w:val="34"/>
    <w:qFormat/>
    <w:uiPriority w:val="9"/>
    <w:pPr>
      <w:keepNext/>
      <w:keepLines/>
      <w:spacing w:before="260" w:after="260"/>
      <w:outlineLvl w:val="1"/>
    </w:pPr>
    <w:rPr>
      <w:rFonts w:eastAsia="华文仿宋"/>
      <w:b/>
      <w:bCs/>
      <w:sz w:val="30"/>
      <w:szCs w:val="32"/>
    </w:rPr>
  </w:style>
  <w:style w:type="paragraph" w:styleId="4">
    <w:name w:val="heading 3"/>
    <w:basedOn w:val="1"/>
    <w:next w:val="1"/>
    <w:link w:val="35"/>
    <w:qFormat/>
    <w:uiPriority w:val="99"/>
    <w:pPr>
      <w:keepNext/>
      <w:keepLines/>
      <w:spacing w:line="360" w:lineRule="auto"/>
      <w:outlineLvl w:val="2"/>
    </w:pPr>
    <w:rPr>
      <w:rFonts w:eastAsia="华文仿宋"/>
      <w:b/>
      <w:kern w:val="0"/>
      <w:sz w:val="28"/>
      <w:szCs w:val="20"/>
    </w:rPr>
  </w:style>
  <w:style w:type="character" w:default="1" w:styleId="30">
    <w:name w:val="Default Paragraph Font"/>
    <w:semiHidden/>
    <w:unhideWhenUsed/>
    <w:qFormat/>
    <w:uiPriority w:val="1"/>
  </w:style>
  <w:style w:type="table" w:default="1" w:styleId="28">
    <w:name w:val="Normal Table"/>
    <w:semiHidden/>
    <w:unhideWhenUsed/>
    <w:qFormat/>
    <w:uiPriority w:val="99"/>
    <w:tblPr>
      <w:tblCellMar>
        <w:top w:w="0" w:type="dxa"/>
        <w:left w:w="108" w:type="dxa"/>
        <w:bottom w:w="0" w:type="dxa"/>
        <w:right w:w="108" w:type="dxa"/>
      </w:tblCellMar>
    </w:tblPr>
  </w:style>
  <w:style w:type="paragraph" w:styleId="5">
    <w:name w:val="toc 7"/>
    <w:basedOn w:val="1"/>
    <w:next w:val="1"/>
    <w:unhideWhenUsed/>
    <w:qFormat/>
    <w:uiPriority w:val="39"/>
    <w:pPr>
      <w:ind w:left="2520" w:leftChars="1200"/>
    </w:pPr>
    <w:rPr>
      <w:rFonts w:asciiTheme="minorHAnsi" w:hAnsiTheme="minorHAnsi" w:eastAsiaTheme="minorEastAsia" w:cstheme="minorBidi"/>
    </w:rPr>
  </w:style>
  <w:style w:type="paragraph" w:styleId="6">
    <w:name w:val="Normal Indent"/>
    <w:basedOn w:val="1"/>
    <w:link w:val="78"/>
    <w:qFormat/>
    <w:uiPriority w:val="0"/>
    <w:pPr>
      <w:widowControl/>
      <w:adjustRightInd w:val="0"/>
      <w:snapToGrid w:val="0"/>
      <w:spacing w:after="200"/>
      <w:ind w:firstLine="420"/>
      <w:jc w:val="left"/>
    </w:pPr>
    <w:rPr>
      <w:rFonts w:ascii="Tahoma" w:hAnsi="Tahoma" w:eastAsia="微软雅黑"/>
      <w:kern w:val="0"/>
      <w:sz w:val="22"/>
      <w:szCs w:val="20"/>
    </w:rPr>
  </w:style>
  <w:style w:type="paragraph" w:styleId="7">
    <w:name w:val="Body Text 3"/>
    <w:basedOn w:val="1"/>
    <w:unhideWhenUsed/>
    <w:qFormat/>
    <w:uiPriority w:val="99"/>
    <w:pPr>
      <w:spacing w:after="120"/>
    </w:pPr>
    <w:rPr>
      <w:sz w:val="16"/>
      <w:szCs w:val="16"/>
    </w:rPr>
  </w:style>
  <w:style w:type="paragraph" w:styleId="8">
    <w:name w:val="Body Text"/>
    <w:basedOn w:val="1"/>
    <w:qFormat/>
    <w:uiPriority w:val="99"/>
    <w:rPr>
      <w:sz w:val="28"/>
      <w:szCs w:val="28"/>
    </w:rPr>
  </w:style>
  <w:style w:type="paragraph" w:styleId="9">
    <w:name w:val="Body Text Indent"/>
    <w:basedOn w:val="1"/>
    <w:qFormat/>
    <w:uiPriority w:val="0"/>
    <w:pPr>
      <w:ind w:left="420" w:leftChars="200"/>
    </w:pPr>
  </w:style>
  <w:style w:type="paragraph" w:styleId="10">
    <w:name w:val="Block Text"/>
    <w:basedOn w:val="1"/>
    <w:link w:val="36"/>
    <w:unhideWhenUsed/>
    <w:qFormat/>
    <w:uiPriority w:val="99"/>
    <w:pPr>
      <w:spacing w:line="500" w:lineRule="exact"/>
      <w:ind w:firstLine="960"/>
      <w:jc w:val="left"/>
    </w:pPr>
  </w:style>
  <w:style w:type="paragraph" w:styleId="11">
    <w:name w:val="toc 5"/>
    <w:basedOn w:val="1"/>
    <w:next w:val="1"/>
    <w:unhideWhenUsed/>
    <w:qFormat/>
    <w:uiPriority w:val="39"/>
    <w:pPr>
      <w:ind w:left="1680" w:leftChars="800"/>
    </w:pPr>
    <w:rPr>
      <w:rFonts w:asciiTheme="minorHAnsi" w:hAnsiTheme="minorHAnsi" w:eastAsiaTheme="minorEastAsia" w:cstheme="minorBidi"/>
    </w:rPr>
  </w:style>
  <w:style w:type="paragraph" w:styleId="12">
    <w:name w:val="toc 3"/>
    <w:basedOn w:val="1"/>
    <w:next w:val="1"/>
    <w:unhideWhenUsed/>
    <w:qFormat/>
    <w:uiPriority w:val="39"/>
    <w:pPr>
      <w:widowControl/>
      <w:spacing w:before="120" w:after="120" w:line="276" w:lineRule="auto"/>
      <w:jc w:val="center"/>
      <w:outlineLvl w:val="1"/>
    </w:pPr>
    <w:rPr>
      <w:rFonts w:ascii="仿宋" w:hAnsi="仿宋" w:eastAsia="仿宋" w:cstheme="minorBidi"/>
      <w:b/>
      <w:kern w:val="0"/>
      <w:sz w:val="28"/>
    </w:rPr>
  </w:style>
  <w:style w:type="paragraph" w:styleId="13">
    <w:name w:val="Plain Text"/>
    <w:basedOn w:val="1"/>
    <w:link w:val="67"/>
    <w:qFormat/>
    <w:uiPriority w:val="0"/>
    <w:rPr>
      <w:rFonts w:ascii="宋体" w:hAnsi="Courier New"/>
      <w:kern w:val="0"/>
      <w:sz w:val="20"/>
      <w:szCs w:val="24"/>
    </w:rPr>
  </w:style>
  <w:style w:type="paragraph" w:styleId="14">
    <w:name w:val="toc 8"/>
    <w:basedOn w:val="1"/>
    <w:next w:val="1"/>
    <w:unhideWhenUsed/>
    <w:qFormat/>
    <w:uiPriority w:val="39"/>
    <w:pPr>
      <w:ind w:left="2940" w:leftChars="1400"/>
    </w:pPr>
    <w:rPr>
      <w:rFonts w:asciiTheme="minorHAnsi" w:hAnsiTheme="minorHAnsi" w:eastAsiaTheme="minorEastAsia" w:cstheme="minorBidi"/>
    </w:rPr>
  </w:style>
  <w:style w:type="paragraph" w:styleId="15">
    <w:name w:val="Date"/>
    <w:basedOn w:val="1"/>
    <w:next w:val="1"/>
    <w:link w:val="81"/>
    <w:qFormat/>
    <w:uiPriority w:val="0"/>
    <w:pPr>
      <w:ind w:left="100" w:leftChars="2500"/>
    </w:pPr>
    <w:rPr>
      <w:rFonts w:ascii="宋体"/>
      <w:spacing w:val="5"/>
      <w:sz w:val="24"/>
      <w:szCs w:val="24"/>
    </w:rPr>
  </w:style>
  <w:style w:type="paragraph" w:styleId="16">
    <w:name w:val="Balloon Text"/>
    <w:basedOn w:val="1"/>
    <w:link w:val="56"/>
    <w:qFormat/>
    <w:uiPriority w:val="0"/>
    <w:rPr>
      <w:sz w:val="18"/>
      <w:szCs w:val="18"/>
    </w:rPr>
  </w:style>
  <w:style w:type="paragraph" w:styleId="17">
    <w:name w:val="footer"/>
    <w:basedOn w:val="1"/>
    <w:link w:val="82"/>
    <w:unhideWhenUsed/>
    <w:qFormat/>
    <w:uiPriority w:val="99"/>
    <w:pPr>
      <w:tabs>
        <w:tab w:val="center" w:pos="4153"/>
        <w:tab w:val="right" w:pos="8306"/>
      </w:tabs>
      <w:snapToGrid w:val="0"/>
      <w:jc w:val="left"/>
    </w:pPr>
    <w:rPr>
      <w:kern w:val="0"/>
      <w:sz w:val="18"/>
      <w:szCs w:val="18"/>
    </w:rPr>
  </w:style>
  <w:style w:type="paragraph" w:styleId="18">
    <w:name w:val="header"/>
    <w:basedOn w:val="1"/>
    <w:link w:val="37"/>
    <w:unhideWhenUsed/>
    <w:qFormat/>
    <w:uiPriority w:val="99"/>
    <w:pPr>
      <w:pBdr>
        <w:bottom w:val="single" w:color="auto" w:sz="6" w:space="1"/>
      </w:pBdr>
      <w:tabs>
        <w:tab w:val="center" w:pos="4153"/>
        <w:tab w:val="right" w:pos="8306"/>
      </w:tabs>
      <w:snapToGrid w:val="0"/>
      <w:jc w:val="center"/>
    </w:pPr>
    <w:rPr>
      <w:kern w:val="0"/>
      <w:sz w:val="18"/>
      <w:szCs w:val="18"/>
    </w:rPr>
  </w:style>
  <w:style w:type="paragraph" w:styleId="19">
    <w:name w:val="toc 1"/>
    <w:basedOn w:val="1"/>
    <w:next w:val="1"/>
    <w:unhideWhenUsed/>
    <w:qFormat/>
    <w:uiPriority w:val="39"/>
    <w:pPr>
      <w:tabs>
        <w:tab w:val="left" w:pos="630"/>
        <w:tab w:val="right" w:leader="dot" w:pos="9064"/>
      </w:tabs>
      <w:spacing w:line="360" w:lineRule="auto"/>
    </w:pPr>
    <w:rPr>
      <w:rFonts w:ascii="仿宋" w:hAnsi="仿宋" w:eastAsiaTheme="minorEastAsia"/>
      <w:b/>
      <w:sz w:val="30"/>
      <w:szCs w:val="24"/>
    </w:rPr>
  </w:style>
  <w:style w:type="paragraph" w:styleId="20">
    <w:name w:val="toc 4"/>
    <w:basedOn w:val="1"/>
    <w:next w:val="1"/>
    <w:unhideWhenUsed/>
    <w:qFormat/>
    <w:uiPriority w:val="39"/>
    <w:pPr>
      <w:ind w:left="1260" w:leftChars="600"/>
    </w:pPr>
    <w:rPr>
      <w:rFonts w:asciiTheme="minorHAnsi" w:hAnsiTheme="minorHAnsi" w:eastAsiaTheme="minorEastAsia" w:cstheme="minorBidi"/>
    </w:rPr>
  </w:style>
  <w:style w:type="paragraph" w:styleId="21">
    <w:name w:val="toc 6"/>
    <w:basedOn w:val="1"/>
    <w:next w:val="1"/>
    <w:unhideWhenUsed/>
    <w:qFormat/>
    <w:uiPriority w:val="39"/>
    <w:pPr>
      <w:ind w:left="2100" w:leftChars="1000"/>
    </w:pPr>
    <w:rPr>
      <w:rFonts w:asciiTheme="minorHAnsi" w:hAnsiTheme="minorHAnsi" w:eastAsiaTheme="minorEastAsia" w:cstheme="minorBidi"/>
    </w:rPr>
  </w:style>
  <w:style w:type="paragraph" w:styleId="22">
    <w:name w:val="toc 2"/>
    <w:basedOn w:val="1"/>
    <w:next w:val="1"/>
    <w:unhideWhenUsed/>
    <w:qFormat/>
    <w:uiPriority w:val="39"/>
    <w:pPr>
      <w:spacing w:before="120" w:after="120"/>
      <w:ind w:left="420" w:leftChars="200"/>
    </w:pPr>
    <w:rPr>
      <w:rFonts w:eastAsiaTheme="minorEastAsia"/>
      <w:sz w:val="28"/>
    </w:rPr>
  </w:style>
  <w:style w:type="paragraph" w:styleId="23">
    <w:name w:val="toc 9"/>
    <w:basedOn w:val="1"/>
    <w:next w:val="1"/>
    <w:unhideWhenUsed/>
    <w:qFormat/>
    <w:uiPriority w:val="39"/>
    <w:pPr>
      <w:ind w:left="3360" w:leftChars="1600"/>
    </w:pPr>
    <w:rPr>
      <w:rFonts w:asciiTheme="minorHAnsi" w:hAnsiTheme="minorHAnsi" w:eastAsiaTheme="minorEastAsia" w:cstheme="minorBidi"/>
    </w:rPr>
  </w:style>
  <w:style w:type="paragraph" w:styleId="24">
    <w:name w:val="HTML Preformatted"/>
    <w:basedOn w:val="1"/>
    <w:link w:val="77"/>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Arial Unicode MS" w:eastAsia="Arial Unicode MS" w:cs="Arial Unicode MS"/>
      <w:kern w:val="0"/>
      <w:sz w:val="20"/>
      <w:szCs w:val="20"/>
    </w:rPr>
  </w:style>
  <w:style w:type="paragraph" w:styleId="25">
    <w:name w:val="Normal (Web)"/>
    <w:basedOn w:val="1"/>
    <w:qFormat/>
    <w:uiPriority w:val="0"/>
    <w:pPr>
      <w:widowControl/>
      <w:spacing w:before="100" w:beforeAutospacing="1" w:after="100" w:afterAutospacing="1"/>
      <w:jc w:val="left"/>
    </w:pPr>
    <w:rPr>
      <w:rFonts w:ascii="宋体" w:hAnsi="宋体" w:cs="宋体"/>
      <w:kern w:val="0"/>
      <w:sz w:val="24"/>
    </w:rPr>
  </w:style>
  <w:style w:type="paragraph" w:styleId="26">
    <w:name w:val="Title"/>
    <w:basedOn w:val="1"/>
    <w:next w:val="1"/>
    <w:qFormat/>
    <w:uiPriority w:val="0"/>
    <w:pPr>
      <w:jc w:val="center"/>
    </w:pPr>
    <w:rPr>
      <w:b/>
      <w:bCs/>
      <w:szCs w:val="32"/>
    </w:rPr>
  </w:style>
  <w:style w:type="paragraph" w:styleId="27">
    <w:name w:val="Body Text First Indent 2"/>
    <w:basedOn w:val="1"/>
    <w:next w:val="1"/>
    <w:qFormat/>
    <w:uiPriority w:val="0"/>
    <w:pPr>
      <w:ind w:firstLine="420" w:firstLineChars="200"/>
    </w:pPr>
  </w:style>
  <w:style w:type="table" w:styleId="29">
    <w:name w:val="Table Grid"/>
    <w:basedOn w:val="28"/>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1">
    <w:name w:val="Strong"/>
    <w:basedOn w:val="30"/>
    <w:qFormat/>
    <w:uiPriority w:val="0"/>
    <w:rPr>
      <w:b/>
      <w:bCs/>
    </w:rPr>
  </w:style>
  <w:style w:type="character" w:styleId="32">
    <w:name w:val="Hyperlink"/>
    <w:unhideWhenUsed/>
    <w:qFormat/>
    <w:uiPriority w:val="99"/>
    <w:rPr>
      <w:rFonts w:cs="Times New Roman"/>
      <w:color w:val="0000FF"/>
      <w:u w:val="single"/>
    </w:rPr>
  </w:style>
  <w:style w:type="character" w:customStyle="1" w:styleId="33">
    <w:name w:val="标题 1 Char"/>
    <w:link w:val="3"/>
    <w:qFormat/>
    <w:locked/>
    <w:uiPriority w:val="9"/>
    <w:rPr>
      <w:rFonts w:eastAsia="华文仿宋"/>
      <w:b/>
      <w:bCs/>
      <w:kern w:val="44"/>
      <w:sz w:val="32"/>
      <w:szCs w:val="44"/>
    </w:rPr>
  </w:style>
  <w:style w:type="character" w:customStyle="1" w:styleId="34">
    <w:name w:val="标题 2 Char"/>
    <w:link w:val="2"/>
    <w:qFormat/>
    <w:locked/>
    <w:uiPriority w:val="9"/>
    <w:rPr>
      <w:rFonts w:eastAsia="华文仿宋"/>
      <w:b/>
      <w:bCs/>
      <w:kern w:val="2"/>
      <w:sz w:val="30"/>
      <w:szCs w:val="32"/>
    </w:rPr>
  </w:style>
  <w:style w:type="character" w:customStyle="1" w:styleId="35">
    <w:name w:val="标题 3 Char"/>
    <w:link w:val="4"/>
    <w:qFormat/>
    <w:locked/>
    <w:uiPriority w:val="99"/>
    <w:rPr>
      <w:rFonts w:eastAsia="华文仿宋"/>
      <w:b/>
      <w:sz w:val="28"/>
    </w:rPr>
  </w:style>
  <w:style w:type="character" w:customStyle="1" w:styleId="36">
    <w:name w:val="文本块 Char"/>
    <w:link w:val="10"/>
    <w:qFormat/>
    <w:uiPriority w:val="99"/>
    <w:rPr>
      <w:kern w:val="2"/>
      <w:sz w:val="21"/>
      <w:szCs w:val="22"/>
    </w:rPr>
  </w:style>
  <w:style w:type="character" w:customStyle="1" w:styleId="37">
    <w:name w:val="页眉 Char"/>
    <w:basedOn w:val="30"/>
    <w:link w:val="18"/>
    <w:qFormat/>
    <w:locked/>
    <w:uiPriority w:val="99"/>
    <w:rPr>
      <w:sz w:val="18"/>
      <w:szCs w:val="18"/>
    </w:rPr>
  </w:style>
  <w:style w:type="paragraph" w:customStyle="1" w:styleId="38">
    <w:name w:val="TOC 标题1"/>
    <w:basedOn w:val="3"/>
    <w:next w:val="1"/>
    <w:qFormat/>
    <w:uiPriority w:val="39"/>
    <w:pPr>
      <w:widowControl/>
      <w:spacing w:before="480" w:after="0" w:line="276" w:lineRule="auto"/>
      <w:jc w:val="left"/>
      <w:outlineLvl w:val="9"/>
    </w:pPr>
    <w:rPr>
      <w:rFonts w:ascii="Cambria" w:hAnsi="Cambria" w:eastAsia="宋体"/>
      <w:color w:val="365F91"/>
      <w:kern w:val="0"/>
      <w:sz w:val="28"/>
      <w:szCs w:val="28"/>
    </w:rPr>
  </w:style>
  <w:style w:type="paragraph" w:customStyle="1" w:styleId="39">
    <w:name w:val="表头01"/>
    <w:basedOn w:val="1"/>
    <w:qFormat/>
    <w:uiPriority w:val="0"/>
    <w:pPr>
      <w:spacing w:line="360" w:lineRule="auto"/>
      <w:jc w:val="center"/>
    </w:pPr>
    <w:rPr>
      <w:b/>
      <w:szCs w:val="20"/>
    </w:rPr>
  </w:style>
  <w:style w:type="paragraph" w:customStyle="1" w:styleId="40">
    <w:name w:val="标题4"/>
    <w:basedOn w:val="1"/>
    <w:qFormat/>
    <w:uiPriority w:val="0"/>
    <w:rPr>
      <w:sz w:val="24"/>
      <w:szCs w:val="20"/>
    </w:rPr>
  </w:style>
  <w:style w:type="paragraph" w:customStyle="1" w:styleId="41">
    <w:name w:val="Default"/>
    <w:qFormat/>
    <w:uiPriority w:val="0"/>
    <w:pPr>
      <w:widowControl w:val="0"/>
      <w:autoSpaceDE w:val="0"/>
      <w:autoSpaceDN w:val="0"/>
      <w:adjustRightInd w:val="0"/>
    </w:pPr>
    <w:rPr>
      <w:rFonts w:ascii="仿宋" w:hAnsi="Times New Roman" w:eastAsia="仿宋" w:cs="仿宋"/>
      <w:color w:val="000000"/>
      <w:sz w:val="24"/>
      <w:szCs w:val="24"/>
      <w:lang w:val="en-US" w:eastAsia="zh-CN" w:bidi="ar-SA"/>
    </w:rPr>
  </w:style>
  <w:style w:type="paragraph" w:customStyle="1" w:styleId="42">
    <w:name w:val="msolistparagraph"/>
    <w:basedOn w:val="1"/>
    <w:qFormat/>
    <w:uiPriority w:val="0"/>
    <w:pPr>
      <w:ind w:firstLine="420" w:firstLineChars="200"/>
    </w:pPr>
    <w:rPr>
      <w:szCs w:val="24"/>
    </w:rPr>
  </w:style>
  <w:style w:type="paragraph" w:styleId="43">
    <w:name w:val="List Paragraph"/>
    <w:basedOn w:val="1"/>
    <w:qFormat/>
    <w:uiPriority w:val="99"/>
    <w:pPr>
      <w:ind w:left="1080" w:hanging="703"/>
    </w:pPr>
  </w:style>
  <w:style w:type="paragraph" w:customStyle="1" w:styleId="44">
    <w:name w:val="表格"/>
    <w:basedOn w:val="1"/>
    <w:qFormat/>
    <w:uiPriority w:val="0"/>
    <w:pPr>
      <w:spacing w:line="240" w:lineRule="atLeast"/>
      <w:jc w:val="center"/>
    </w:pPr>
    <w:rPr>
      <w:szCs w:val="21"/>
    </w:rPr>
  </w:style>
  <w:style w:type="character" w:customStyle="1" w:styleId="45">
    <w:name w:val="fontstyle01"/>
    <w:basedOn w:val="30"/>
    <w:qFormat/>
    <w:uiPriority w:val="0"/>
    <w:rPr>
      <w:rFonts w:ascii="宋体" w:hAnsi="宋体" w:eastAsia="宋体" w:cs="宋体"/>
      <w:color w:val="000000"/>
      <w:sz w:val="42"/>
      <w:szCs w:val="42"/>
    </w:rPr>
  </w:style>
  <w:style w:type="character" w:customStyle="1" w:styleId="46">
    <w:name w:val="fontstyle11"/>
    <w:basedOn w:val="30"/>
    <w:qFormat/>
    <w:uiPriority w:val="0"/>
    <w:rPr>
      <w:rFonts w:hint="default" w:ascii="Times New Roman" w:hAnsi="Times New Roman" w:cs="Times New Roman"/>
      <w:color w:val="000000"/>
      <w:sz w:val="28"/>
      <w:szCs w:val="28"/>
    </w:rPr>
  </w:style>
  <w:style w:type="character" w:customStyle="1" w:styleId="47">
    <w:name w:val="fontstyle21"/>
    <w:basedOn w:val="30"/>
    <w:qFormat/>
    <w:uiPriority w:val="0"/>
    <w:rPr>
      <w:rFonts w:hint="default" w:ascii="Times New Roman" w:hAnsi="Times New Roman" w:cs="Times New Roman"/>
      <w:color w:val="000000"/>
      <w:sz w:val="28"/>
      <w:szCs w:val="28"/>
    </w:rPr>
  </w:style>
  <w:style w:type="paragraph" w:customStyle="1" w:styleId="48">
    <w:name w:val="Table Paragraph"/>
    <w:basedOn w:val="1"/>
    <w:qFormat/>
    <w:uiPriority w:val="1"/>
    <w:pPr>
      <w:spacing w:before="37"/>
      <w:jc w:val="center"/>
    </w:pPr>
    <w:rPr>
      <w:rFonts w:ascii="宋体" w:hAnsi="宋体" w:cs="宋体"/>
      <w:lang w:val="zh-CN" w:bidi="zh-CN"/>
    </w:rPr>
  </w:style>
  <w:style w:type="paragraph" w:customStyle="1" w:styleId="49">
    <w:name w:val="报告正文"/>
    <w:basedOn w:val="1"/>
    <w:qFormat/>
    <w:uiPriority w:val="0"/>
    <w:pPr>
      <w:adjustRightInd w:val="0"/>
      <w:snapToGrid w:val="0"/>
      <w:spacing w:line="300" w:lineRule="auto"/>
    </w:pPr>
    <w:rPr>
      <w:rFonts w:ascii="宋体" w:eastAsia="仿宋"/>
      <w:sz w:val="28"/>
      <w:szCs w:val="20"/>
    </w:rPr>
  </w:style>
  <w:style w:type="paragraph" w:customStyle="1" w:styleId="50">
    <w:name w:val="三级标题"/>
    <w:basedOn w:val="1"/>
    <w:qFormat/>
    <w:uiPriority w:val="0"/>
    <w:pPr>
      <w:spacing w:line="360" w:lineRule="auto"/>
      <w:outlineLvl w:val="2"/>
    </w:pPr>
    <w:rPr>
      <w:b/>
      <w:sz w:val="24"/>
      <w:szCs w:val="28"/>
    </w:rPr>
  </w:style>
  <w:style w:type="paragraph" w:customStyle="1" w:styleId="51">
    <w:name w:val="简单回函地址"/>
    <w:basedOn w:val="1"/>
    <w:qFormat/>
    <w:uiPriority w:val="0"/>
    <w:rPr>
      <w:szCs w:val="20"/>
    </w:rPr>
  </w:style>
  <w:style w:type="paragraph" w:customStyle="1" w:styleId="52">
    <w:name w:val="正文2"/>
    <w:basedOn w:val="1"/>
    <w:qFormat/>
    <w:uiPriority w:val="0"/>
    <w:pPr>
      <w:spacing w:beforeLines="50" w:line="360" w:lineRule="auto"/>
      <w:ind w:firstLine="200" w:firstLineChars="200"/>
    </w:pPr>
    <w:rPr>
      <w:rFonts w:eastAsia="仿宋_GB2312"/>
      <w:kern w:val="0"/>
      <w:sz w:val="28"/>
      <w:szCs w:val="20"/>
    </w:rPr>
  </w:style>
  <w:style w:type="paragraph" w:customStyle="1" w:styleId="53">
    <w:name w:val="报告表 段"/>
    <w:basedOn w:val="1"/>
    <w:qFormat/>
    <w:uiPriority w:val="0"/>
    <w:pPr>
      <w:spacing w:line="360" w:lineRule="auto"/>
      <w:ind w:firstLine="470" w:firstLineChars="196"/>
    </w:pPr>
    <w:rPr>
      <w:rFonts w:ascii="宋体" w:hAnsi="宋体"/>
      <w:bCs/>
      <w:sz w:val="24"/>
      <w:szCs w:val="24"/>
    </w:rPr>
  </w:style>
  <w:style w:type="paragraph" w:customStyle="1" w:styleId="54">
    <w:name w:val="正文文本缩进 21"/>
    <w:basedOn w:val="1"/>
    <w:qFormat/>
    <w:uiPriority w:val="0"/>
    <w:pPr>
      <w:autoSpaceDE w:val="0"/>
      <w:autoSpaceDN w:val="0"/>
      <w:adjustRightInd w:val="0"/>
      <w:spacing w:line="300" w:lineRule="auto"/>
      <w:ind w:firstLine="560" w:firstLineChars="200"/>
      <w:textAlignment w:val="baseline"/>
    </w:pPr>
    <w:rPr>
      <w:rFonts w:ascii="宋体" w:hAnsi="宋体"/>
      <w:sz w:val="28"/>
      <w:szCs w:val="20"/>
    </w:rPr>
  </w:style>
  <w:style w:type="paragraph" w:customStyle="1" w:styleId="55">
    <w:name w:val="小标题"/>
    <w:basedOn w:val="1"/>
    <w:qFormat/>
    <w:uiPriority w:val="0"/>
    <w:pPr>
      <w:spacing w:line="360" w:lineRule="auto"/>
      <w:ind w:firstLine="480" w:firstLineChars="200"/>
    </w:pPr>
    <w:rPr>
      <w:sz w:val="24"/>
      <w:szCs w:val="20"/>
    </w:rPr>
  </w:style>
  <w:style w:type="character" w:customStyle="1" w:styleId="56">
    <w:name w:val="批注框文本 Char"/>
    <w:basedOn w:val="30"/>
    <w:link w:val="16"/>
    <w:qFormat/>
    <w:uiPriority w:val="0"/>
    <w:rPr>
      <w:kern w:val="2"/>
      <w:sz w:val="18"/>
      <w:szCs w:val="18"/>
    </w:rPr>
  </w:style>
  <w:style w:type="character" w:customStyle="1" w:styleId="57">
    <w:name w:val="18"/>
    <w:qFormat/>
    <w:uiPriority w:val="0"/>
    <w:rPr>
      <w:rFonts w:hint="eastAsia" w:ascii="PMingLiU" w:hAnsi="PMingLiU" w:eastAsia="PMingLiU"/>
      <w:b/>
      <w:bCs/>
      <w:color w:val="333333"/>
      <w:sz w:val="18"/>
      <w:szCs w:val="18"/>
    </w:rPr>
  </w:style>
  <w:style w:type="character" w:customStyle="1" w:styleId="58">
    <w:name w:val="17"/>
    <w:qFormat/>
    <w:uiPriority w:val="0"/>
    <w:rPr>
      <w:rFonts w:hint="eastAsia" w:ascii="宋体" w:hAnsi="宋体" w:eastAsia="宋体"/>
      <w:b/>
      <w:bCs/>
      <w:color w:val="000000"/>
      <w:sz w:val="24"/>
      <w:szCs w:val="24"/>
    </w:rPr>
  </w:style>
  <w:style w:type="character" w:customStyle="1" w:styleId="59">
    <w:name w:val="19"/>
    <w:qFormat/>
    <w:uiPriority w:val="0"/>
    <w:rPr>
      <w:rFonts w:hint="eastAsia" w:ascii="PMingLiU" w:hAnsi="PMingLiU" w:eastAsia="PMingLiU"/>
      <w:b/>
      <w:bCs/>
      <w:color w:val="000000"/>
      <w:sz w:val="24"/>
      <w:szCs w:val="24"/>
    </w:rPr>
  </w:style>
  <w:style w:type="character" w:customStyle="1" w:styleId="60">
    <w:name w:val="20"/>
    <w:qFormat/>
    <w:uiPriority w:val="0"/>
    <w:rPr>
      <w:rFonts w:hint="eastAsia" w:ascii="PMingLiU" w:hAnsi="PMingLiU" w:eastAsia="PMingLiU"/>
      <w:color w:val="333333"/>
      <w:sz w:val="18"/>
      <w:szCs w:val="18"/>
    </w:rPr>
  </w:style>
  <w:style w:type="character" w:customStyle="1" w:styleId="61">
    <w:name w:val="24"/>
    <w:qFormat/>
    <w:uiPriority w:val="0"/>
    <w:rPr>
      <w:rFonts w:hint="default" w:ascii="Verdana" w:hAnsi="Verdana"/>
      <w:color w:val="333333"/>
      <w:sz w:val="18"/>
      <w:szCs w:val="18"/>
    </w:rPr>
  </w:style>
  <w:style w:type="character" w:customStyle="1" w:styleId="62">
    <w:name w:val="21"/>
    <w:qFormat/>
    <w:uiPriority w:val="0"/>
    <w:rPr>
      <w:rFonts w:hint="eastAsia" w:ascii="宋体" w:hAnsi="宋体" w:eastAsia="宋体"/>
      <w:b/>
      <w:bCs/>
      <w:color w:val="333333"/>
      <w:sz w:val="24"/>
      <w:szCs w:val="24"/>
    </w:rPr>
  </w:style>
  <w:style w:type="character" w:customStyle="1" w:styleId="63">
    <w:name w:val="15"/>
    <w:qFormat/>
    <w:uiPriority w:val="0"/>
    <w:rPr>
      <w:rFonts w:hint="eastAsia" w:ascii="MingLiU" w:hAnsi="MingLiU" w:eastAsia="MingLiU"/>
      <w:color w:val="333333"/>
      <w:sz w:val="24"/>
      <w:szCs w:val="24"/>
    </w:rPr>
  </w:style>
  <w:style w:type="character" w:customStyle="1" w:styleId="64">
    <w:name w:val="16"/>
    <w:qFormat/>
    <w:uiPriority w:val="0"/>
    <w:rPr>
      <w:rFonts w:hint="eastAsia" w:ascii="宋体" w:hAnsi="宋体" w:eastAsia="宋体"/>
      <w:color w:val="333333"/>
      <w:sz w:val="24"/>
      <w:szCs w:val="24"/>
    </w:rPr>
  </w:style>
  <w:style w:type="character" w:customStyle="1" w:styleId="65">
    <w:name w:val="22"/>
    <w:qFormat/>
    <w:uiPriority w:val="0"/>
    <w:rPr>
      <w:rFonts w:hint="eastAsia" w:ascii="宋体" w:hAnsi="宋体" w:eastAsia="宋体"/>
      <w:color w:val="333333"/>
      <w:sz w:val="18"/>
      <w:szCs w:val="18"/>
    </w:rPr>
  </w:style>
  <w:style w:type="character" w:customStyle="1" w:styleId="66">
    <w:name w:val="23"/>
    <w:qFormat/>
    <w:uiPriority w:val="0"/>
    <w:rPr>
      <w:rFonts w:hint="eastAsia" w:ascii="宋体" w:hAnsi="宋体" w:eastAsia="宋体"/>
      <w:color w:val="000000"/>
      <w:sz w:val="24"/>
      <w:szCs w:val="24"/>
    </w:rPr>
  </w:style>
  <w:style w:type="character" w:customStyle="1" w:styleId="67">
    <w:name w:val="纯文本 Char"/>
    <w:basedOn w:val="30"/>
    <w:link w:val="13"/>
    <w:qFormat/>
    <w:uiPriority w:val="0"/>
    <w:rPr>
      <w:rFonts w:ascii="宋体" w:hAnsi="Courier New"/>
      <w:szCs w:val="24"/>
    </w:rPr>
  </w:style>
  <w:style w:type="paragraph" w:customStyle="1" w:styleId="68">
    <w:name w:val="TOC Heading"/>
    <w:basedOn w:val="3"/>
    <w:next w:val="1"/>
    <w:unhideWhenUsed/>
    <w:qFormat/>
    <w:uiPriority w:val="39"/>
    <w:pPr>
      <w:widowControl/>
      <w:spacing w:before="480" w:after="0" w:line="276" w:lineRule="auto"/>
      <w:jc w:val="left"/>
      <w:outlineLvl w:val="9"/>
    </w:pPr>
    <w:rPr>
      <w:rFonts w:asciiTheme="majorHAnsi" w:hAnsiTheme="majorHAnsi" w:eastAsiaTheme="majorEastAsia" w:cstheme="majorBidi"/>
      <w:color w:val="2E75B6" w:themeColor="accent1" w:themeShade="BF"/>
      <w:kern w:val="0"/>
      <w:sz w:val="28"/>
      <w:szCs w:val="28"/>
    </w:rPr>
  </w:style>
  <w:style w:type="paragraph" w:customStyle="1" w:styleId="69">
    <w:name w:val="一级-应"/>
    <w:basedOn w:val="3"/>
    <w:link w:val="70"/>
    <w:qFormat/>
    <w:uiPriority w:val="0"/>
    <w:pPr>
      <w:adjustRightInd w:val="0"/>
      <w:snapToGrid w:val="0"/>
      <w:spacing w:before="0" w:after="0"/>
      <w:jc w:val="left"/>
    </w:pPr>
    <w:rPr>
      <w:rFonts w:eastAsia="仿宋" w:cstheme="minorBidi"/>
      <w:bCs w:val="0"/>
      <w:sz w:val="36"/>
      <w:szCs w:val="36"/>
    </w:rPr>
  </w:style>
  <w:style w:type="character" w:customStyle="1" w:styleId="70">
    <w:name w:val="一级-应 字符"/>
    <w:basedOn w:val="30"/>
    <w:link w:val="69"/>
    <w:qFormat/>
    <w:uiPriority w:val="0"/>
    <w:rPr>
      <w:rFonts w:eastAsia="仿宋" w:cstheme="minorBidi"/>
      <w:b/>
      <w:kern w:val="44"/>
      <w:sz w:val="36"/>
      <w:szCs w:val="36"/>
    </w:rPr>
  </w:style>
  <w:style w:type="paragraph" w:customStyle="1" w:styleId="71">
    <w:name w:val="二级-应"/>
    <w:basedOn w:val="2"/>
    <w:link w:val="72"/>
    <w:qFormat/>
    <w:uiPriority w:val="0"/>
    <w:pPr>
      <w:keepNext w:val="0"/>
      <w:keepLines w:val="0"/>
      <w:autoSpaceDE w:val="0"/>
      <w:autoSpaceDN w:val="0"/>
      <w:adjustRightInd w:val="0"/>
      <w:snapToGrid w:val="0"/>
      <w:spacing w:before="0" w:after="0" w:line="360" w:lineRule="auto"/>
      <w:jc w:val="left"/>
    </w:pPr>
    <w:rPr>
      <w:rFonts w:ascii="仿宋" w:hAnsi="仿宋" w:eastAsia="仿宋"/>
      <w:bCs w:val="0"/>
      <w:kern w:val="0"/>
      <w:sz w:val="28"/>
      <w:szCs w:val="28"/>
      <w:lang w:bidi="zh-CN"/>
    </w:rPr>
  </w:style>
  <w:style w:type="character" w:customStyle="1" w:styleId="72">
    <w:name w:val="二级-应 字符"/>
    <w:basedOn w:val="30"/>
    <w:link w:val="71"/>
    <w:qFormat/>
    <w:uiPriority w:val="0"/>
    <w:rPr>
      <w:rFonts w:ascii="仿宋" w:hAnsi="仿宋" w:eastAsia="仿宋"/>
      <w:b/>
      <w:sz w:val="28"/>
      <w:szCs w:val="28"/>
      <w:lang w:bidi="zh-CN"/>
    </w:rPr>
  </w:style>
  <w:style w:type="paragraph" w:customStyle="1" w:styleId="73">
    <w:name w:val="三级-应"/>
    <w:basedOn w:val="4"/>
    <w:link w:val="74"/>
    <w:qFormat/>
    <w:uiPriority w:val="0"/>
    <w:pPr>
      <w:adjustRightInd w:val="0"/>
      <w:snapToGrid w:val="0"/>
      <w:jc w:val="left"/>
    </w:pPr>
    <w:rPr>
      <w:rFonts w:eastAsia="仿宋" w:cstheme="minorBidi"/>
      <w:kern w:val="2"/>
      <w:sz w:val="30"/>
      <w:szCs w:val="28"/>
    </w:rPr>
  </w:style>
  <w:style w:type="character" w:customStyle="1" w:styleId="74">
    <w:name w:val="三级-应 字符"/>
    <w:basedOn w:val="70"/>
    <w:link w:val="73"/>
    <w:qFormat/>
    <w:uiPriority w:val="0"/>
    <w:rPr>
      <w:rFonts w:eastAsia="仿宋" w:cstheme="minorBidi"/>
      <w:kern w:val="2"/>
      <w:sz w:val="30"/>
      <w:szCs w:val="28"/>
    </w:rPr>
  </w:style>
  <w:style w:type="paragraph" w:customStyle="1" w:styleId="75">
    <w:name w:val="Default1"/>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customStyle="1" w:styleId="76">
    <w:name w:val="样式1"/>
    <w:basedOn w:val="1"/>
    <w:qFormat/>
    <w:uiPriority w:val="99"/>
    <w:pPr>
      <w:autoSpaceDE w:val="0"/>
      <w:autoSpaceDN w:val="0"/>
      <w:adjustRightInd w:val="0"/>
      <w:snapToGrid w:val="0"/>
      <w:spacing w:line="600" w:lineRule="exact"/>
      <w:jc w:val="center"/>
    </w:pPr>
    <w:rPr>
      <w:rFonts w:ascii="Arial" w:hAnsi="宋?" w:eastAsia="仿宋" w:cs="Arial"/>
      <w:bCs/>
      <w:color w:val="000000"/>
      <w:kern w:val="0"/>
      <w:sz w:val="22"/>
      <w:szCs w:val="21"/>
      <w:lang w:val="zh-CN"/>
    </w:rPr>
  </w:style>
  <w:style w:type="character" w:customStyle="1" w:styleId="77">
    <w:name w:val="HTML 预设格式 Char"/>
    <w:basedOn w:val="30"/>
    <w:link w:val="24"/>
    <w:qFormat/>
    <w:uiPriority w:val="0"/>
    <w:rPr>
      <w:rFonts w:ascii="Arial Unicode MS" w:eastAsia="Arial Unicode MS" w:cs="Arial Unicode MS"/>
    </w:rPr>
  </w:style>
  <w:style w:type="character" w:customStyle="1" w:styleId="78">
    <w:name w:val="正文缩进 Char"/>
    <w:link w:val="6"/>
    <w:qFormat/>
    <w:uiPriority w:val="0"/>
    <w:rPr>
      <w:rFonts w:ascii="Tahoma" w:hAnsi="Tahoma" w:eastAsia="微软雅黑"/>
      <w:sz w:val="22"/>
    </w:rPr>
  </w:style>
  <w:style w:type="paragraph" w:customStyle="1" w:styleId="79">
    <w:name w:val="表格文字2"/>
    <w:basedOn w:val="1"/>
    <w:qFormat/>
    <w:uiPriority w:val="0"/>
    <w:pPr>
      <w:tabs>
        <w:tab w:val="left" w:pos="277"/>
        <w:tab w:val="left" w:pos="600"/>
        <w:tab w:val="left" w:pos="780"/>
        <w:tab w:val="left" w:pos="2517"/>
      </w:tabs>
      <w:adjustRightInd w:val="0"/>
      <w:snapToGrid w:val="0"/>
      <w:spacing w:before="60"/>
      <w:jc w:val="center"/>
      <w:textAlignment w:val="baseline"/>
    </w:pPr>
    <w:rPr>
      <w:kern w:val="0"/>
      <w:szCs w:val="21"/>
    </w:rPr>
  </w:style>
  <w:style w:type="paragraph" w:customStyle="1" w:styleId="80">
    <w:name w:val="1正文"/>
    <w:basedOn w:val="1"/>
    <w:qFormat/>
    <w:uiPriority w:val="0"/>
    <w:pPr>
      <w:adjustRightInd w:val="0"/>
      <w:snapToGrid w:val="0"/>
      <w:spacing w:line="360" w:lineRule="auto"/>
      <w:ind w:firstLine="560" w:firstLineChars="200"/>
    </w:pPr>
    <w:rPr>
      <w:rFonts w:ascii="宋体" w:eastAsia="仿宋_GB2312" w:cs="黑体"/>
      <w:spacing w:val="5"/>
      <w:sz w:val="28"/>
      <w:szCs w:val="28"/>
    </w:rPr>
  </w:style>
  <w:style w:type="character" w:customStyle="1" w:styleId="81">
    <w:name w:val="日期 Char"/>
    <w:basedOn w:val="30"/>
    <w:link w:val="15"/>
    <w:qFormat/>
    <w:uiPriority w:val="0"/>
    <w:rPr>
      <w:rFonts w:ascii="宋体"/>
      <w:spacing w:val="5"/>
      <w:kern w:val="2"/>
      <w:sz w:val="24"/>
      <w:szCs w:val="24"/>
    </w:rPr>
  </w:style>
  <w:style w:type="character" w:customStyle="1" w:styleId="82">
    <w:name w:val="页脚 Char"/>
    <w:basedOn w:val="30"/>
    <w:link w:val="17"/>
    <w:qFormat/>
    <w:uiPriority w:val="99"/>
    <w:rPr>
      <w:sz w:val="18"/>
      <w:szCs w:val="18"/>
    </w:rPr>
  </w:style>
  <w:style w:type="paragraph" w:customStyle="1" w:styleId="83">
    <w:name w:val="列出段落1"/>
    <w:basedOn w:val="1"/>
    <w:qFormat/>
    <w:uiPriority w:val="0"/>
    <w:pPr>
      <w:ind w:firstLine="200" w:firstLineChars="200"/>
    </w:pPr>
    <w:rPr>
      <w:rFonts w:ascii="Calibri" w:hAnsi="Calibri" w:cs="Calibri"/>
      <w:color w:val="000000"/>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header" Target="head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customXml" Target="../customXml/item2.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1.png"/><Relationship Id="rId22" Type="http://schemas.openxmlformats.org/officeDocument/2006/relationships/image" Target="media/image10.png"/><Relationship Id="rId21" Type="http://schemas.openxmlformats.org/officeDocument/2006/relationships/image" Target="media/image9.png"/><Relationship Id="rId20" Type="http://schemas.openxmlformats.org/officeDocument/2006/relationships/image" Target="media/image8.png"/><Relationship Id="rId2" Type="http://schemas.openxmlformats.org/officeDocument/2006/relationships/settings" Target="settings.xml"/><Relationship Id="rId19" Type="http://schemas.openxmlformats.org/officeDocument/2006/relationships/image" Target="media/image7.jpeg"/><Relationship Id="rId18" Type="http://schemas.openxmlformats.org/officeDocument/2006/relationships/image" Target="media/image6.jpeg"/><Relationship Id="rId17" Type="http://schemas.openxmlformats.org/officeDocument/2006/relationships/image" Target="media/image5.emf"/><Relationship Id="rId16" Type="http://schemas.openxmlformats.org/officeDocument/2006/relationships/image" Target="media/image4.png"/><Relationship Id="rId15" Type="http://schemas.openxmlformats.org/officeDocument/2006/relationships/image" Target="media/image3.jpe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6.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53ECB64-0CD3-40ED-B14F-490F41DB635F}">
  <ds:schemaRefs/>
</ds:datastoreItem>
</file>

<file path=docProps/app.xml><?xml version="1.0" encoding="utf-8"?>
<Properties xmlns="http://schemas.openxmlformats.org/officeDocument/2006/extended-properties" xmlns:vt="http://schemas.openxmlformats.org/officeDocument/2006/docPropsVTypes">
  <Template>Normal</Template>
  <Pages>71</Pages>
  <Words>27758</Words>
  <Characters>29805</Characters>
  <Lines>310</Lines>
  <Paragraphs>87</Paragraphs>
  <TotalTime>3</TotalTime>
  <ScaleCrop>false</ScaleCrop>
  <LinksUpToDate>false</LinksUpToDate>
  <CharactersWithSpaces>32576</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2020-10-19T10:34:00Z</dcterms:created>
  <dc:creator>apple</dc:creator>
  <cp:lastModifiedBy>文</cp:lastModifiedBy>
  <cp:lastPrinted>2020-11-23T08:34:00Z</cp:lastPrinted>
  <dcterms:modified xsi:type="dcterms:W3CDTF">2021-05-19T09:39:30Z</dcterms:modified>
  <cp:revision>33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FE598C35BAA34E6880BE40986614C5CF</vt:lpwstr>
  </property>
</Properties>
</file>