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646C02">
      <w:pPr>
        <w:spacing w:line="360" w:lineRule="auto"/>
        <w:jc w:val="center"/>
        <w:rPr>
          <w:rFonts w:ascii="Times New Roman" w:hAnsi="Times New Roman" w:eastAsia="仿宋_GB2312"/>
          <w:color w:val="000000"/>
          <w:sz w:val="28"/>
        </w:rPr>
      </w:pPr>
    </w:p>
    <w:p w14:paraId="51B0F558">
      <w:pPr>
        <w:spacing w:line="360" w:lineRule="auto"/>
        <w:jc w:val="center"/>
        <w:rPr>
          <w:rFonts w:ascii="Times New Roman" w:hAnsi="Times New Roman" w:eastAsia="华文新魏"/>
          <w:b/>
          <w:color w:val="000000"/>
          <w:sz w:val="48"/>
          <w:szCs w:val="48"/>
        </w:rPr>
      </w:pPr>
      <w:r>
        <w:rPr>
          <w:rFonts w:hint="eastAsia" w:ascii="Times New Roman" w:hAnsi="Times New Roman" w:eastAsia="华文新魏"/>
          <w:b/>
          <w:color w:val="000000"/>
          <w:sz w:val="48"/>
          <w:szCs w:val="48"/>
        </w:rPr>
        <w:t>蒸压加气混凝土砌块项目</w:t>
      </w:r>
      <w:r>
        <w:rPr>
          <w:rFonts w:ascii="Times New Roman" w:hAnsi="Times New Roman" w:eastAsia="华文新魏"/>
          <w:b/>
          <w:color w:val="000000"/>
          <w:sz w:val="48"/>
          <w:szCs w:val="48"/>
        </w:rPr>
        <w:t>竣工环境保护</w:t>
      </w:r>
    </w:p>
    <w:p w14:paraId="0CE1245F">
      <w:pPr>
        <w:spacing w:line="360" w:lineRule="auto"/>
        <w:jc w:val="center"/>
        <w:rPr>
          <w:rFonts w:ascii="Times New Roman" w:hAnsi="Times New Roman" w:eastAsia="华文新魏"/>
          <w:b/>
          <w:color w:val="000000"/>
          <w:sz w:val="48"/>
          <w:szCs w:val="48"/>
        </w:rPr>
      </w:pPr>
      <w:r>
        <w:rPr>
          <w:rFonts w:ascii="Times New Roman" w:hAnsi="Times New Roman" w:eastAsia="华文新魏"/>
          <w:b/>
          <w:color w:val="000000"/>
          <w:sz w:val="48"/>
          <w:szCs w:val="48"/>
        </w:rPr>
        <w:t>验收监测报告表</w:t>
      </w:r>
    </w:p>
    <w:p w14:paraId="69FC0EF8">
      <w:pPr>
        <w:jc w:val="center"/>
        <w:rPr>
          <w:rFonts w:ascii="Times New Roman" w:hAnsi="Times New Roman" w:eastAsia="华文新魏"/>
          <w:color w:val="000000"/>
          <w:sz w:val="28"/>
          <w:szCs w:val="28"/>
        </w:rPr>
      </w:pPr>
      <w:r>
        <w:rPr>
          <w:rFonts w:hint="eastAsia" w:ascii="Times New Roman" w:hAnsi="Times New Roman" w:eastAsia="华文新魏"/>
          <w:color w:val="000000"/>
          <w:sz w:val="28"/>
          <w:szCs w:val="28"/>
        </w:rPr>
        <w:t>（固体废物）</w:t>
      </w:r>
    </w:p>
    <w:p w14:paraId="337DCFE1">
      <w:pPr>
        <w:jc w:val="center"/>
        <w:rPr>
          <w:rFonts w:ascii="Times New Roman" w:hAnsi="Times New Roman" w:eastAsia="仿宋_GB2312"/>
          <w:color w:val="000000"/>
          <w:sz w:val="28"/>
        </w:rPr>
      </w:pPr>
    </w:p>
    <w:p w14:paraId="54CFC016">
      <w:pPr>
        <w:jc w:val="center"/>
        <w:rPr>
          <w:rFonts w:ascii="Times New Roman" w:hAnsi="Times New Roman" w:eastAsia="仿宋_GB2312"/>
          <w:color w:val="000000"/>
          <w:sz w:val="28"/>
        </w:rPr>
      </w:pPr>
    </w:p>
    <w:p w14:paraId="2B336695">
      <w:pPr>
        <w:jc w:val="center"/>
        <w:rPr>
          <w:rFonts w:ascii="Times New Roman" w:hAnsi="Times New Roman" w:eastAsia="仿宋_GB2312"/>
          <w:color w:val="000000"/>
          <w:sz w:val="28"/>
        </w:rPr>
      </w:pPr>
      <w:bookmarkStart w:id="0" w:name="_GoBack"/>
      <w:bookmarkEnd w:id="0"/>
    </w:p>
    <w:p w14:paraId="2070D867">
      <w:pPr>
        <w:jc w:val="center"/>
        <w:rPr>
          <w:rFonts w:ascii="Times New Roman" w:hAnsi="Times New Roman" w:eastAsia="仿宋_GB2312"/>
          <w:color w:val="000000"/>
          <w:sz w:val="28"/>
        </w:rPr>
      </w:pPr>
    </w:p>
    <w:p w14:paraId="1D03D411">
      <w:pPr>
        <w:jc w:val="center"/>
        <w:rPr>
          <w:rFonts w:ascii="Times New Roman" w:hAnsi="Times New Roman" w:eastAsia="仿宋_GB2312"/>
          <w:color w:val="000000"/>
          <w:sz w:val="28"/>
        </w:rPr>
      </w:pPr>
    </w:p>
    <w:p w14:paraId="305709DB">
      <w:pPr>
        <w:rPr>
          <w:rFonts w:ascii="Times New Roman" w:hAnsi="Times New Roman" w:eastAsia="华文新魏"/>
          <w:color w:val="000000"/>
          <w:sz w:val="28"/>
          <w:szCs w:val="28"/>
        </w:rPr>
      </w:pPr>
      <w:r>
        <w:rPr>
          <w:rFonts w:ascii="Times New Roman" w:hAnsi="Times New Roman" w:eastAsia="仿宋_GB2312"/>
          <w:color w:val="000000"/>
          <w:sz w:val="28"/>
        </w:rPr>
        <w:tab/>
      </w:r>
    </w:p>
    <w:p w14:paraId="3D4B8A60">
      <w:pPr>
        <w:ind w:firstLine="1680" w:firstLineChars="600"/>
        <w:rPr>
          <w:rFonts w:ascii="Times New Roman" w:hAnsi="Times New Roman" w:eastAsia="华文新魏"/>
          <w:color w:val="000000"/>
          <w:sz w:val="28"/>
          <w:szCs w:val="28"/>
          <w:u w:val="single"/>
        </w:rPr>
      </w:pPr>
      <w:r>
        <w:rPr>
          <w:rFonts w:ascii="Times New Roman" w:hAnsi="Times New Roman" w:eastAsia="华文新魏"/>
          <w:color w:val="000000"/>
          <w:sz w:val="28"/>
          <w:szCs w:val="28"/>
        </w:rPr>
        <w:t>建设单位: 陕西蓝邦环保建材有限公司</w:t>
      </w:r>
    </w:p>
    <w:p w14:paraId="5751B206">
      <w:pPr>
        <w:spacing w:line="360" w:lineRule="auto"/>
        <w:ind w:firstLine="1680" w:firstLineChars="600"/>
        <w:rPr>
          <w:rFonts w:ascii="Times New Roman" w:hAnsi="Times New Roman" w:eastAsia="华文新魏"/>
          <w:color w:val="000000"/>
          <w:sz w:val="28"/>
          <w:szCs w:val="28"/>
        </w:rPr>
      </w:pPr>
      <w:r>
        <w:rPr>
          <w:rFonts w:ascii="Times New Roman" w:hAnsi="Times New Roman" w:eastAsia="华文新魏"/>
          <w:color w:val="000000"/>
          <w:sz w:val="28"/>
          <w:szCs w:val="28"/>
        </w:rPr>
        <w:t xml:space="preserve">编制单位：陕西永信环境工程有限公司   </w:t>
      </w:r>
    </w:p>
    <w:p w14:paraId="07AFEF99">
      <w:pPr>
        <w:rPr>
          <w:rFonts w:ascii="Times New Roman" w:hAnsi="Times New Roman" w:eastAsia="仿宋_GB2312"/>
          <w:color w:val="000000"/>
          <w:sz w:val="28"/>
        </w:rPr>
      </w:pPr>
    </w:p>
    <w:p w14:paraId="4F24AE0B">
      <w:pPr>
        <w:rPr>
          <w:rFonts w:ascii="Times New Roman" w:hAnsi="Times New Roman" w:eastAsia="仿宋_GB2312"/>
          <w:color w:val="000000"/>
          <w:sz w:val="28"/>
        </w:rPr>
      </w:pPr>
    </w:p>
    <w:p w14:paraId="6809B16B">
      <w:pPr>
        <w:rPr>
          <w:rFonts w:ascii="Times New Roman" w:hAnsi="Times New Roman" w:eastAsia="华文新魏"/>
          <w:b/>
          <w:color w:val="000000"/>
          <w:sz w:val="30"/>
          <w:szCs w:val="30"/>
        </w:rPr>
      </w:pPr>
    </w:p>
    <w:p w14:paraId="216538F4">
      <w:pPr>
        <w:rPr>
          <w:rFonts w:ascii="Times New Roman" w:hAnsi="Times New Roman" w:eastAsia="华文新魏"/>
          <w:b/>
          <w:color w:val="000000"/>
          <w:sz w:val="30"/>
          <w:szCs w:val="30"/>
        </w:rPr>
      </w:pPr>
    </w:p>
    <w:p w14:paraId="76F7708F">
      <w:pPr>
        <w:jc w:val="center"/>
        <w:rPr>
          <w:rFonts w:ascii="Times New Roman" w:hAnsi="Times New Roman" w:eastAsia="华文新魏"/>
          <w:b/>
          <w:color w:val="000000"/>
          <w:sz w:val="30"/>
          <w:szCs w:val="30"/>
        </w:rPr>
      </w:pPr>
      <w:r>
        <w:rPr>
          <w:rFonts w:ascii="Times New Roman" w:hAnsi="Times New Roman" w:eastAsia="华文新魏"/>
          <w:b/>
          <w:color w:val="000000"/>
          <w:sz w:val="30"/>
          <w:szCs w:val="30"/>
        </w:rPr>
        <w:t>二</w:t>
      </w:r>
      <w:r>
        <w:rPr>
          <w:rFonts w:hint="eastAsia" w:ascii="Times New Roman" w:hAnsi="Times New Roman" w:eastAsia="华文新魏"/>
          <w:b/>
          <w:color w:val="000000"/>
          <w:sz w:val="30"/>
          <w:szCs w:val="30"/>
        </w:rPr>
        <w:t>O</w:t>
      </w:r>
      <w:r>
        <w:rPr>
          <w:rFonts w:ascii="Times New Roman" w:hAnsi="Times New Roman" w:eastAsia="华文新魏"/>
          <w:b/>
          <w:color w:val="000000"/>
          <w:sz w:val="30"/>
          <w:szCs w:val="30"/>
        </w:rPr>
        <w:t>一</w:t>
      </w:r>
      <w:r>
        <w:rPr>
          <w:rFonts w:hint="eastAsia" w:ascii="Times New Roman" w:hAnsi="Times New Roman" w:eastAsia="华文新魏"/>
          <w:b/>
          <w:color w:val="000000"/>
          <w:sz w:val="30"/>
          <w:szCs w:val="30"/>
        </w:rPr>
        <w:t>九</w:t>
      </w:r>
      <w:r>
        <w:rPr>
          <w:rFonts w:ascii="Times New Roman" w:hAnsi="Times New Roman" w:eastAsia="华文新魏"/>
          <w:b/>
          <w:color w:val="000000"/>
          <w:sz w:val="30"/>
          <w:szCs w:val="30"/>
        </w:rPr>
        <w:t>年</w:t>
      </w:r>
      <w:r>
        <w:rPr>
          <w:rFonts w:hint="eastAsia" w:ascii="Times New Roman" w:hAnsi="Times New Roman" w:eastAsia="华文新魏"/>
          <w:b/>
          <w:color w:val="000000"/>
          <w:sz w:val="30"/>
          <w:szCs w:val="30"/>
        </w:rPr>
        <w:t>七</w:t>
      </w:r>
      <w:r>
        <w:rPr>
          <w:rFonts w:ascii="Times New Roman" w:hAnsi="Times New Roman" w:eastAsia="华文新魏"/>
          <w:b/>
          <w:color w:val="000000"/>
          <w:sz w:val="30"/>
          <w:szCs w:val="30"/>
        </w:rPr>
        <w:t>月</w:t>
      </w:r>
    </w:p>
    <w:p w14:paraId="217EA6B5">
      <w:pPr>
        <w:rPr>
          <w:rFonts w:ascii="Times New Roman" w:hAnsi="Times New Roman" w:eastAsia="华文新魏"/>
          <w:color w:val="000000"/>
          <w:sz w:val="28"/>
          <w:szCs w:val="28"/>
        </w:rPr>
      </w:pPr>
    </w:p>
    <w:p w14:paraId="4B42F1D3">
      <w:pPr>
        <w:rPr>
          <w:rFonts w:ascii="Times New Roman" w:hAnsi="Times New Roman" w:eastAsia="仿宋_GB2312"/>
          <w:color w:val="000000"/>
          <w:sz w:val="32"/>
        </w:rPr>
      </w:pPr>
      <w:r>
        <w:rPr>
          <w:rFonts w:ascii="Times New Roman" w:hAnsi="Times New Roman" w:eastAsia="仿宋_GB2312"/>
          <w:color w:val="000000"/>
          <w:sz w:val="32"/>
        </w:rPr>
        <w:br w:type="page"/>
      </w:r>
      <w:r>
        <w:rPr>
          <w:rFonts w:ascii="Times New Roman" w:hAnsi="Times New Roman" w:eastAsia="仿宋_GB2312"/>
          <w:b/>
          <w:color w:val="000000"/>
          <w:sz w:val="28"/>
        </w:rPr>
        <w:tab/>
      </w:r>
    </w:p>
    <w:p w14:paraId="7627B021">
      <w:pPr>
        <w:spacing w:line="360" w:lineRule="auto"/>
        <w:rPr>
          <w:rFonts w:ascii="Times New Roman" w:hAnsi="Times New Roman" w:eastAsia="仿宋_GB2312"/>
          <w:b/>
          <w:color w:val="000000"/>
          <w:sz w:val="28"/>
        </w:rPr>
      </w:pPr>
      <w:r>
        <w:rPr>
          <w:rFonts w:ascii="Times New Roman" w:hAnsi="Times New Roman" w:eastAsia="仿宋_GB2312"/>
          <w:b/>
          <w:color w:val="000000"/>
          <w:sz w:val="28"/>
        </w:rPr>
        <w:t>建设单位法人代表:</w:t>
      </w:r>
      <w:r>
        <w:rPr>
          <w:rFonts w:hint="eastAsia" w:ascii="Times New Roman" w:hAnsi="Times New Roman" w:eastAsia="仿宋_GB2312"/>
          <w:b/>
          <w:color w:val="000000"/>
          <w:sz w:val="28"/>
        </w:rPr>
        <w:t>陈仙进</w:t>
      </w:r>
    </w:p>
    <w:p w14:paraId="6C34AB84">
      <w:pPr>
        <w:spacing w:line="360" w:lineRule="auto"/>
        <w:rPr>
          <w:rFonts w:ascii="Times New Roman" w:hAnsi="Times New Roman" w:eastAsia="仿宋_GB2312"/>
          <w:color w:val="000000"/>
          <w:sz w:val="28"/>
        </w:rPr>
      </w:pPr>
      <w:r>
        <w:rPr>
          <w:rFonts w:ascii="Times New Roman" w:hAnsi="Times New Roman" w:eastAsia="仿宋_GB2312"/>
          <w:b/>
          <w:color w:val="000000"/>
          <w:sz w:val="28"/>
        </w:rPr>
        <w:t>编制单位法人代表:蒲艳茹</w:t>
      </w:r>
    </w:p>
    <w:p w14:paraId="279B6049">
      <w:pPr>
        <w:spacing w:line="360" w:lineRule="auto"/>
        <w:rPr>
          <w:rFonts w:ascii="Times New Roman" w:hAnsi="Times New Roman" w:eastAsia="仿宋_GB2312"/>
          <w:b/>
          <w:color w:val="000000"/>
          <w:spacing w:val="7"/>
          <w:w w:val="79"/>
          <w:sz w:val="28"/>
        </w:rPr>
      </w:pPr>
      <w:r>
        <w:rPr>
          <w:rFonts w:ascii="Times New Roman" w:hAnsi="Times New Roman" w:eastAsia="仿宋_GB2312"/>
          <w:b/>
          <w:color w:val="000000"/>
          <w:spacing w:val="20"/>
          <w:w w:val="79"/>
          <w:sz w:val="28"/>
        </w:rPr>
        <w:t>项  目 负 责  人</w:t>
      </w:r>
      <w:r>
        <w:rPr>
          <w:rFonts w:ascii="Times New Roman" w:hAnsi="Times New Roman" w:eastAsia="仿宋_GB2312"/>
          <w:b/>
          <w:color w:val="000000"/>
          <w:spacing w:val="10"/>
          <w:w w:val="79"/>
          <w:sz w:val="28"/>
        </w:rPr>
        <w:t xml:space="preserve">: </w:t>
      </w:r>
      <w:r>
        <w:rPr>
          <w:rFonts w:hint="eastAsia" w:ascii="Times New Roman" w:hAnsi="Times New Roman" w:eastAsia="仿宋_GB2312"/>
          <w:b/>
          <w:color w:val="000000"/>
          <w:spacing w:val="20"/>
          <w:w w:val="79"/>
          <w:sz w:val="28"/>
        </w:rPr>
        <w:t>王  磊</w:t>
      </w:r>
    </w:p>
    <w:p w14:paraId="6EC57E76">
      <w:pPr>
        <w:spacing w:line="360" w:lineRule="auto"/>
        <w:rPr>
          <w:rFonts w:ascii="Times New Roman" w:hAnsi="Times New Roman" w:eastAsia="仿宋_GB2312"/>
          <w:b/>
          <w:color w:val="000000"/>
          <w:spacing w:val="20"/>
          <w:w w:val="79"/>
          <w:sz w:val="28"/>
        </w:rPr>
      </w:pPr>
      <w:r>
        <w:rPr>
          <w:rFonts w:ascii="Times New Roman" w:hAnsi="Times New Roman" w:eastAsia="仿宋_GB2312"/>
          <w:b/>
          <w:color w:val="000000"/>
          <w:spacing w:val="20"/>
          <w:w w:val="79"/>
          <w:sz w:val="28"/>
        </w:rPr>
        <w:t>填    表     人：王  磊</w:t>
      </w:r>
    </w:p>
    <w:p w14:paraId="2E66145C">
      <w:pPr>
        <w:spacing w:line="360" w:lineRule="auto"/>
        <w:rPr>
          <w:rFonts w:ascii="Times New Roman" w:hAnsi="Times New Roman" w:eastAsia="仿宋_GB2312"/>
          <w:color w:val="000000"/>
          <w:sz w:val="28"/>
        </w:rPr>
      </w:pPr>
      <w:r>
        <w:rPr>
          <w:rFonts w:ascii="Times New Roman" w:hAnsi="Times New Roman" w:eastAsia="仿宋_GB2312"/>
          <w:color w:val="000000"/>
          <w:sz w:val="28"/>
        </w:rPr>
        <w:tab/>
      </w:r>
    </w:p>
    <w:p w14:paraId="5B9F4B07">
      <w:pPr>
        <w:spacing w:line="360" w:lineRule="auto"/>
        <w:rPr>
          <w:rFonts w:ascii="Times New Roman" w:hAnsi="Times New Roman" w:eastAsia="仿宋_GB2312"/>
          <w:color w:val="000000"/>
          <w:sz w:val="28"/>
        </w:rPr>
      </w:pPr>
    </w:p>
    <w:p w14:paraId="5DEBB231">
      <w:pPr>
        <w:tabs>
          <w:tab w:val="left" w:pos="984"/>
        </w:tabs>
        <w:spacing w:line="360" w:lineRule="auto"/>
        <w:rPr>
          <w:rFonts w:ascii="Times New Roman" w:hAnsi="Times New Roman" w:eastAsia="仿宋_GB2312"/>
          <w:color w:val="000000"/>
          <w:sz w:val="28"/>
        </w:rPr>
      </w:pPr>
      <w:r>
        <w:rPr>
          <w:rFonts w:ascii="Times New Roman" w:hAnsi="Times New Roman" w:eastAsia="仿宋_GB2312"/>
          <w:color w:val="000000"/>
          <w:sz w:val="28"/>
        </w:rPr>
        <w:tab/>
      </w:r>
    </w:p>
    <w:p w14:paraId="583D8A6D">
      <w:pPr>
        <w:tabs>
          <w:tab w:val="left" w:pos="984"/>
        </w:tabs>
        <w:spacing w:line="360" w:lineRule="auto"/>
        <w:rPr>
          <w:rFonts w:ascii="Times New Roman" w:hAnsi="Times New Roman" w:eastAsia="仿宋_GB2312"/>
          <w:color w:val="000000"/>
          <w:sz w:val="28"/>
        </w:rPr>
      </w:pPr>
    </w:p>
    <w:p w14:paraId="3A0098E1">
      <w:pPr>
        <w:spacing w:line="360" w:lineRule="auto"/>
        <w:rPr>
          <w:rFonts w:ascii="Times New Roman" w:hAnsi="Times New Roman" w:eastAsia="仿宋_GB2312"/>
          <w:color w:val="000000"/>
          <w:sz w:val="28"/>
        </w:rPr>
      </w:pPr>
    </w:p>
    <w:p w14:paraId="3881EF45">
      <w:pPr>
        <w:spacing w:line="360" w:lineRule="auto"/>
        <w:rPr>
          <w:rFonts w:ascii="Times New Roman" w:hAnsi="Times New Roman" w:eastAsia="仿宋_GB2312"/>
          <w:color w:val="000000"/>
          <w:sz w:val="28"/>
        </w:rPr>
      </w:pPr>
    </w:p>
    <w:p w14:paraId="49228EB2">
      <w:pPr>
        <w:spacing w:line="360" w:lineRule="auto"/>
        <w:rPr>
          <w:rFonts w:ascii="Times New Roman" w:hAnsi="Times New Roman" w:eastAsia="仿宋_GB2312"/>
          <w:color w:val="000000"/>
          <w:sz w:val="28"/>
        </w:rPr>
      </w:pPr>
    </w:p>
    <w:p w14:paraId="2504C742">
      <w:pPr>
        <w:spacing w:line="360" w:lineRule="auto"/>
        <w:rPr>
          <w:rFonts w:ascii="Times New Roman" w:hAnsi="Times New Roman" w:eastAsia="仿宋_GB2312"/>
          <w:color w:val="000000"/>
          <w:sz w:val="18"/>
          <w:szCs w:val="21"/>
        </w:rPr>
      </w:pPr>
    </w:p>
    <w:p w14:paraId="25DC6AB9">
      <w:pPr>
        <w:spacing w:line="360" w:lineRule="auto"/>
        <w:ind w:left="4680" w:hanging="4680" w:hangingChars="2600"/>
        <w:rPr>
          <w:rFonts w:ascii="Times New Roman" w:hAnsi="Times New Roman" w:eastAsia="仿宋_GB2312"/>
          <w:color w:val="000000"/>
          <w:sz w:val="18"/>
          <w:szCs w:val="21"/>
        </w:rPr>
        <w:sectPr>
          <w:footerReference r:id="rId4" w:type="default"/>
          <w:pgSz w:w="11906" w:h="16838"/>
          <w:pgMar w:top="1440" w:right="1701" w:bottom="1440" w:left="1701" w:header="709" w:footer="709" w:gutter="0"/>
          <w:cols w:space="720" w:num="1"/>
          <w:docGrid w:linePitch="360" w:charSpace="0"/>
        </w:sectPr>
      </w:pPr>
    </w:p>
    <w:p w14:paraId="79E18ACB">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建设单位：陕西蓝邦环保建材有限公司（盖章）</w:t>
      </w:r>
    </w:p>
    <w:p w14:paraId="54C76767">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电话：</w:t>
      </w:r>
      <w:r>
        <w:rPr>
          <w:rFonts w:hint="eastAsia" w:ascii="Times New Roman" w:hAnsi="Times New Roman" w:eastAsia="仿宋_GB2312"/>
          <w:color w:val="000000"/>
          <w:sz w:val="28"/>
          <w:szCs w:val="28"/>
        </w:rPr>
        <w:t>13606723333</w:t>
      </w:r>
    </w:p>
    <w:p w14:paraId="05B9D36F">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邮编：71</w:t>
      </w:r>
      <w:r>
        <w:rPr>
          <w:rFonts w:hint="eastAsia" w:ascii="Times New Roman" w:hAnsi="Times New Roman" w:eastAsia="仿宋_GB2312"/>
          <w:color w:val="000000"/>
          <w:sz w:val="28"/>
          <w:szCs w:val="28"/>
        </w:rPr>
        <w:t>2000</w:t>
      </w:r>
    </w:p>
    <w:p w14:paraId="46E8AF38">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地址：</w:t>
      </w:r>
      <w:r>
        <w:rPr>
          <w:rFonts w:hint="eastAsia" w:ascii="Times New Roman" w:hAnsi="Times New Roman" w:eastAsia="仿宋_GB2312"/>
          <w:color w:val="000000"/>
          <w:sz w:val="28"/>
          <w:szCs w:val="28"/>
        </w:rPr>
        <w:t>陕西省西咸新区秦汉新城正阳街道柏家咀村2组</w:t>
      </w:r>
    </w:p>
    <w:p w14:paraId="569335D1">
      <w:pPr>
        <w:spacing w:line="360" w:lineRule="auto"/>
        <w:rPr>
          <w:rFonts w:ascii="Times New Roman" w:hAnsi="Times New Roman" w:eastAsia="仿宋_GB2312"/>
          <w:color w:val="000000"/>
          <w:sz w:val="28"/>
          <w:szCs w:val="28"/>
        </w:rPr>
      </w:pPr>
      <w:r>
        <w:rPr>
          <w:rFonts w:ascii="Times New Roman" w:hAnsi="Times New Roman" w:eastAsia="仿宋_GB2312"/>
          <w:color w:val="000000"/>
          <w:sz w:val="18"/>
          <w:szCs w:val="21"/>
        </w:rPr>
        <w:br w:type="column"/>
      </w:r>
      <w:r>
        <w:rPr>
          <w:rFonts w:ascii="Times New Roman" w:hAnsi="Times New Roman" w:eastAsia="仿宋_GB2312"/>
          <w:color w:val="000000"/>
          <w:sz w:val="28"/>
          <w:szCs w:val="28"/>
        </w:rPr>
        <w:t>编制单位：陕西永信环境工程有限公司（盖章）</w:t>
      </w:r>
    </w:p>
    <w:p w14:paraId="5AF22E62">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电话：029-83665160</w:t>
      </w:r>
    </w:p>
    <w:p w14:paraId="6E7F046E">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邮编：710000</w:t>
      </w:r>
    </w:p>
    <w:p w14:paraId="11E616F1">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地址：西安市凤城二路天地时代广场B座1913室</w:t>
      </w:r>
    </w:p>
    <w:p w14:paraId="4B95A3AF">
      <w:pPr>
        <w:spacing w:line="360" w:lineRule="auto"/>
        <w:rPr>
          <w:rFonts w:ascii="Times New Roman" w:hAnsi="Times New Roman" w:eastAsia="仿宋_GB2312"/>
          <w:color w:val="000000"/>
          <w:sz w:val="18"/>
          <w:szCs w:val="21"/>
        </w:rPr>
        <w:sectPr>
          <w:type w:val="continuous"/>
          <w:pgSz w:w="11906" w:h="16838"/>
          <w:pgMar w:top="1440" w:right="1701" w:bottom="1440" w:left="1701" w:header="709" w:footer="709" w:gutter="0"/>
          <w:cols w:space="425" w:num="2"/>
          <w:docGrid w:linePitch="360" w:charSpace="0"/>
        </w:sectPr>
      </w:pPr>
    </w:p>
    <w:p w14:paraId="2D04A735">
      <w:pPr>
        <w:spacing w:after="0" w:line="360" w:lineRule="auto"/>
        <w:rPr>
          <w:rFonts w:ascii="Times New Roman" w:hAnsi="Times New Roman" w:eastAsia="仿宋_GB2312"/>
          <w:b/>
          <w:color w:val="000000"/>
          <w:sz w:val="21"/>
          <w:szCs w:val="21"/>
        </w:rPr>
      </w:pPr>
      <w:r>
        <w:rPr>
          <w:rFonts w:ascii="Times New Roman" w:hAnsi="Times New Roman" w:eastAsia="仿宋_GB2312"/>
          <w:b/>
          <w:color w:val="000000"/>
          <w:sz w:val="21"/>
          <w:szCs w:val="21"/>
        </w:rPr>
        <w:t>表一</w:t>
      </w:r>
    </w:p>
    <w:tbl>
      <w:tblPr>
        <w:tblStyle w:val="10"/>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1971"/>
        <w:gridCol w:w="1858"/>
        <w:gridCol w:w="988"/>
        <w:gridCol w:w="765"/>
        <w:gridCol w:w="1035"/>
      </w:tblGrid>
      <w:tr w14:paraId="286D85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14:paraId="18591B74">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建设项目名称</w:t>
            </w:r>
          </w:p>
        </w:tc>
        <w:tc>
          <w:tcPr>
            <w:tcW w:w="6617" w:type="dxa"/>
            <w:gridSpan w:val="5"/>
            <w:vAlign w:val="center"/>
          </w:tcPr>
          <w:p w14:paraId="3BA080E6">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蒸压加气混凝土砌块项目</w:t>
            </w:r>
          </w:p>
        </w:tc>
      </w:tr>
      <w:tr w14:paraId="5F8836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14:paraId="76F6874C">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建设单位名称</w:t>
            </w:r>
          </w:p>
        </w:tc>
        <w:tc>
          <w:tcPr>
            <w:tcW w:w="6617" w:type="dxa"/>
            <w:gridSpan w:val="5"/>
            <w:vAlign w:val="center"/>
          </w:tcPr>
          <w:p w14:paraId="5035D470">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陕西蓝邦环保建材有限公司</w:t>
            </w:r>
          </w:p>
        </w:tc>
      </w:tr>
      <w:tr w14:paraId="4AFF13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14:paraId="6689479C">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建设项目性质</w:t>
            </w:r>
          </w:p>
        </w:tc>
        <w:tc>
          <w:tcPr>
            <w:tcW w:w="6617" w:type="dxa"/>
            <w:gridSpan w:val="5"/>
            <w:vAlign w:val="center"/>
          </w:tcPr>
          <w:p w14:paraId="7D33D320">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新建  改扩建</w:t>
            </w:r>
            <w:r>
              <w:rPr>
                <w:rFonts w:hint="eastAsia" w:ascii="MS Gothic" w:hAnsi="MS Gothic" w:eastAsia="MS Gothic" w:cs="MS Gothic"/>
                <w:color w:val="000000"/>
                <w:sz w:val="24"/>
                <w:szCs w:val="24"/>
              </w:rPr>
              <w:t>☑</w:t>
            </w:r>
            <w:r>
              <w:rPr>
                <w:rFonts w:ascii="Times New Roman" w:hAnsi="Times New Roman" w:eastAsia="宋体"/>
                <w:color w:val="000000"/>
                <w:sz w:val="24"/>
                <w:szCs w:val="24"/>
              </w:rPr>
              <w:t xml:space="preserve">  技改  迁建</w:t>
            </w:r>
          </w:p>
        </w:tc>
      </w:tr>
      <w:tr w14:paraId="1B5C6A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14:paraId="782D7837">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建设地点</w:t>
            </w:r>
          </w:p>
        </w:tc>
        <w:tc>
          <w:tcPr>
            <w:tcW w:w="6617" w:type="dxa"/>
            <w:gridSpan w:val="5"/>
            <w:vAlign w:val="center"/>
          </w:tcPr>
          <w:p w14:paraId="19036403">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陕西省西咸新区秦汉新城正阳街道柏家咀村2组</w:t>
            </w:r>
          </w:p>
        </w:tc>
      </w:tr>
      <w:tr w14:paraId="496F2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14:paraId="67509858">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主要产品名称</w:t>
            </w:r>
          </w:p>
        </w:tc>
        <w:tc>
          <w:tcPr>
            <w:tcW w:w="6617" w:type="dxa"/>
            <w:gridSpan w:val="5"/>
            <w:vAlign w:val="center"/>
          </w:tcPr>
          <w:p w14:paraId="5274917C">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粉煤灰蒸压加气混凝土砌块</w:t>
            </w:r>
          </w:p>
        </w:tc>
      </w:tr>
      <w:tr w14:paraId="0A86E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14:paraId="79F1DC59">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设计生产能力</w:t>
            </w:r>
          </w:p>
        </w:tc>
        <w:tc>
          <w:tcPr>
            <w:tcW w:w="6617" w:type="dxa"/>
            <w:gridSpan w:val="5"/>
            <w:vAlign w:val="center"/>
          </w:tcPr>
          <w:p w14:paraId="1B3680DF">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30万m</w:t>
            </w:r>
            <w:r>
              <w:rPr>
                <w:rFonts w:hint="eastAsia" w:ascii="Times New Roman" w:hAnsi="Times New Roman" w:eastAsia="宋体"/>
                <w:color w:val="000000"/>
                <w:sz w:val="24"/>
                <w:szCs w:val="24"/>
                <w:vertAlign w:val="superscript"/>
              </w:rPr>
              <w:t>3</w:t>
            </w:r>
            <w:r>
              <w:rPr>
                <w:rFonts w:hint="eastAsia" w:ascii="Times New Roman" w:hAnsi="Times New Roman" w:eastAsia="宋体"/>
                <w:color w:val="000000"/>
                <w:sz w:val="24"/>
                <w:szCs w:val="24"/>
              </w:rPr>
              <w:t>/a</w:t>
            </w:r>
          </w:p>
        </w:tc>
      </w:tr>
      <w:tr w14:paraId="4AD012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14:paraId="19D0EFE6">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实际生产能力</w:t>
            </w:r>
          </w:p>
        </w:tc>
        <w:tc>
          <w:tcPr>
            <w:tcW w:w="6617" w:type="dxa"/>
            <w:gridSpan w:val="5"/>
            <w:vAlign w:val="center"/>
          </w:tcPr>
          <w:p w14:paraId="6A1CD846">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30万m</w:t>
            </w:r>
            <w:r>
              <w:rPr>
                <w:rFonts w:hint="eastAsia" w:ascii="Times New Roman" w:hAnsi="Times New Roman" w:eastAsia="宋体"/>
                <w:color w:val="000000"/>
                <w:sz w:val="24"/>
                <w:szCs w:val="24"/>
                <w:vertAlign w:val="superscript"/>
              </w:rPr>
              <w:t>3</w:t>
            </w:r>
            <w:r>
              <w:rPr>
                <w:rFonts w:hint="eastAsia" w:ascii="Times New Roman" w:hAnsi="Times New Roman" w:eastAsia="宋体"/>
                <w:color w:val="000000"/>
                <w:sz w:val="24"/>
                <w:szCs w:val="24"/>
              </w:rPr>
              <w:t>/a</w:t>
            </w:r>
          </w:p>
        </w:tc>
      </w:tr>
      <w:tr w14:paraId="03A94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14:paraId="25080620">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建设项目环评时间</w:t>
            </w:r>
          </w:p>
        </w:tc>
        <w:tc>
          <w:tcPr>
            <w:tcW w:w="1971" w:type="dxa"/>
            <w:vAlign w:val="center"/>
          </w:tcPr>
          <w:p w14:paraId="20F50264">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201</w:t>
            </w:r>
            <w:r>
              <w:rPr>
                <w:rFonts w:hint="eastAsia" w:ascii="Times New Roman" w:hAnsi="Times New Roman" w:eastAsia="宋体"/>
                <w:color w:val="000000"/>
                <w:sz w:val="24"/>
                <w:szCs w:val="24"/>
              </w:rPr>
              <w:t>8</w:t>
            </w:r>
            <w:r>
              <w:rPr>
                <w:rFonts w:ascii="Times New Roman" w:hAnsi="Times New Roman" w:eastAsia="宋体"/>
                <w:color w:val="000000"/>
                <w:sz w:val="24"/>
                <w:szCs w:val="24"/>
              </w:rPr>
              <w:t>.</w:t>
            </w:r>
            <w:r>
              <w:rPr>
                <w:rFonts w:hint="eastAsia" w:ascii="Times New Roman" w:hAnsi="Times New Roman" w:eastAsia="宋体"/>
                <w:color w:val="000000"/>
                <w:sz w:val="24"/>
                <w:szCs w:val="24"/>
              </w:rPr>
              <w:t>11</w:t>
            </w:r>
          </w:p>
        </w:tc>
        <w:tc>
          <w:tcPr>
            <w:tcW w:w="1858" w:type="dxa"/>
            <w:vAlign w:val="center"/>
          </w:tcPr>
          <w:p w14:paraId="08AB329D">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开工建设时间</w:t>
            </w:r>
          </w:p>
        </w:tc>
        <w:tc>
          <w:tcPr>
            <w:tcW w:w="2788" w:type="dxa"/>
            <w:gridSpan w:val="3"/>
            <w:vAlign w:val="center"/>
          </w:tcPr>
          <w:p w14:paraId="43C03DFF">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201</w:t>
            </w:r>
            <w:r>
              <w:rPr>
                <w:rFonts w:hint="eastAsia" w:ascii="Times New Roman" w:hAnsi="Times New Roman" w:eastAsia="宋体"/>
                <w:color w:val="000000"/>
                <w:sz w:val="24"/>
                <w:szCs w:val="24"/>
              </w:rPr>
              <w:t>8</w:t>
            </w:r>
            <w:r>
              <w:rPr>
                <w:rFonts w:ascii="Times New Roman" w:hAnsi="Times New Roman" w:eastAsia="宋体"/>
                <w:color w:val="000000"/>
                <w:sz w:val="24"/>
                <w:szCs w:val="24"/>
              </w:rPr>
              <w:t>.</w:t>
            </w:r>
            <w:r>
              <w:rPr>
                <w:rFonts w:hint="eastAsia" w:ascii="Times New Roman" w:hAnsi="Times New Roman" w:eastAsia="宋体"/>
                <w:color w:val="000000"/>
                <w:sz w:val="24"/>
                <w:szCs w:val="24"/>
              </w:rPr>
              <w:t>12</w:t>
            </w:r>
          </w:p>
        </w:tc>
      </w:tr>
      <w:tr w14:paraId="057BFD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14:paraId="644A2BBD">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调试时间</w:t>
            </w:r>
          </w:p>
        </w:tc>
        <w:tc>
          <w:tcPr>
            <w:tcW w:w="1971" w:type="dxa"/>
            <w:vAlign w:val="center"/>
          </w:tcPr>
          <w:p w14:paraId="2922F6CD">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201</w:t>
            </w:r>
            <w:r>
              <w:rPr>
                <w:rFonts w:hint="eastAsia" w:ascii="Times New Roman" w:hAnsi="Times New Roman" w:eastAsia="宋体"/>
                <w:color w:val="000000"/>
                <w:sz w:val="24"/>
                <w:szCs w:val="24"/>
              </w:rPr>
              <w:t>9</w:t>
            </w:r>
            <w:r>
              <w:rPr>
                <w:rFonts w:ascii="Times New Roman" w:hAnsi="Times New Roman" w:eastAsia="宋体"/>
                <w:color w:val="000000"/>
                <w:sz w:val="24"/>
                <w:szCs w:val="24"/>
              </w:rPr>
              <w:t>.</w:t>
            </w:r>
            <w:r>
              <w:rPr>
                <w:rFonts w:hint="eastAsia" w:ascii="Times New Roman" w:hAnsi="Times New Roman" w:eastAsia="宋体"/>
                <w:color w:val="000000"/>
                <w:sz w:val="24"/>
                <w:szCs w:val="24"/>
              </w:rPr>
              <w:t>3</w:t>
            </w:r>
          </w:p>
        </w:tc>
        <w:tc>
          <w:tcPr>
            <w:tcW w:w="1858" w:type="dxa"/>
            <w:vAlign w:val="center"/>
          </w:tcPr>
          <w:p w14:paraId="2E80E8C4">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验收现场监测时间</w:t>
            </w:r>
          </w:p>
        </w:tc>
        <w:tc>
          <w:tcPr>
            <w:tcW w:w="2788" w:type="dxa"/>
            <w:gridSpan w:val="3"/>
            <w:vAlign w:val="center"/>
          </w:tcPr>
          <w:p w14:paraId="488E38D8">
            <w:pPr>
              <w:spacing w:after="0"/>
              <w:jc w:val="center"/>
              <w:rPr>
                <w:rFonts w:ascii="Times New Roman" w:hAnsi="Times New Roman" w:eastAsia="宋体"/>
                <w:color w:val="000000"/>
                <w:sz w:val="24"/>
                <w:szCs w:val="24"/>
              </w:rPr>
            </w:pPr>
            <w:r>
              <w:rPr>
                <w:rFonts w:ascii="Times New Roman" w:hAnsi="Times New Roman" w:eastAsia="宋体"/>
                <w:color w:val="000000" w:themeColor="text1"/>
                <w:sz w:val="24"/>
                <w:szCs w:val="24"/>
                <w14:textFill>
                  <w14:solidFill>
                    <w14:schemeClr w14:val="tx1"/>
                  </w14:solidFill>
                </w14:textFill>
              </w:rPr>
              <w:t>201</w:t>
            </w:r>
            <w:r>
              <w:rPr>
                <w:rFonts w:hint="eastAsia" w:ascii="Times New Roman" w:hAnsi="Times New Roman" w:eastAsia="宋体"/>
                <w:color w:val="000000" w:themeColor="text1"/>
                <w:sz w:val="24"/>
                <w:szCs w:val="24"/>
                <w14:textFill>
                  <w14:solidFill>
                    <w14:schemeClr w14:val="tx1"/>
                  </w14:solidFill>
                </w14:textFill>
              </w:rPr>
              <w:t>9</w:t>
            </w:r>
            <w:r>
              <w:rPr>
                <w:rFonts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04.17~04.18</w:t>
            </w:r>
          </w:p>
        </w:tc>
      </w:tr>
      <w:tr w14:paraId="581AFC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307" w:type="dxa"/>
            <w:vAlign w:val="center"/>
          </w:tcPr>
          <w:p w14:paraId="546D88B5">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环评报告表</w:t>
            </w:r>
          </w:p>
          <w:p w14:paraId="40F2D8AC">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审批部门</w:t>
            </w:r>
          </w:p>
        </w:tc>
        <w:tc>
          <w:tcPr>
            <w:tcW w:w="1971" w:type="dxa"/>
            <w:vAlign w:val="center"/>
          </w:tcPr>
          <w:p w14:paraId="360DDB78">
            <w:pPr>
              <w:spacing w:after="0"/>
              <w:jc w:val="center"/>
              <w:rPr>
                <w:rFonts w:ascii="Times New Roman" w:hAnsi="Times New Roman" w:eastAsia="宋体"/>
                <w:color w:val="000000"/>
                <w:sz w:val="24"/>
                <w:szCs w:val="24"/>
              </w:rPr>
            </w:pPr>
            <w:r>
              <w:rPr>
                <w:rFonts w:hint="eastAsia" w:ascii="Times New Roman" w:hAnsi="Times New Roman" w:eastAsia="宋体"/>
                <w:sz w:val="24"/>
                <w:szCs w:val="24"/>
              </w:rPr>
              <w:t>陕西省西咸新区秦汉新城行政审批与政务服务局</w:t>
            </w:r>
          </w:p>
        </w:tc>
        <w:tc>
          <w:tcPr>
            <w:tcW w:w="1858" w:type="dxa"/>
            <w:vAlign w:val="center"/>
          </w:tcPr>
          <w:p w14:paraId="7BECC48D">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环评报告表</w:t>
            </w:r>
          </w:p>
          <w:p w14:paraId="0C83EDE2">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编制单位</w:t>
            </w:r>
          </w:p>
        </w:tc>
        <w:tc>
          <w:tcPr>
            <w:tcW w:w="2788" w:type="dxa"/>
            <w:gridSpan w:val="3"/>
            <w:vAlign w:val="center"/>
          </w:tcPr>
          <w:p w14:paraId="766B1A5E">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重庆大润环境科学研究院有限公司</w:t>
            </w:r>
          </w:p>
        </w:tc>
      </w:tr>
      <w:tr w14:paraId="054D2B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14:paraId="7A192A71">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环保设施设计单位</w:t>
            </w:r>
          </w:p>
        </w:tc>
        <w:tc>
          <w:tcPr>
            <w:tcW w:w="1971" w:type="dxa"/>
            <w:vAlign w:val="center"/>
          </w:tcPr>
          <w:p w14:paraId="752DFB4D">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陕西蓝邦环保建材有限公司</w:t>
            </w:r>
          </w:p>
        </w:tc>
        <w:tc>
          <w:tcPr>
            <w:tcW w:w="1858" w:type="dxa"/>
            <w:vAlign w:val="center"/>
          </w:tcPr>
          <w:p w14:paraId="5CAD66C7">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环保设施施工单位</w:t>
            </w:r>
          </w:p>
        </w:tc>
        <w:tc>
          <w:tcPr>
            <w:tcW w:w="2788" w:type="dxa"/>
            <w:gridSpan w:val="3"/>
            <w:vAlign w:val="center"/>
          </w:tcPr>
          <w:p w14:paraId="3853CF1D">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陕西蓝邦环保建材有限公司</w:t>
            </w:r>
          </w:p>
        </w:tc>
      </w:tr>
      <w:tr w14:paraId="470550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14:paraId="642A4CF8">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投资总概算</w:t>
            </w:r>
          </w:p>
        </w:tc>
        <w:tc>
          <w:tcPr>
            <w:tcW w:w="1971" w:type="dxa"/>
            <w:vAlign w:val="center"/>
          </w:tcPr>
          <w:p w14:paraId="529E5787">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8000</w:t>
            </w:r>
            <w:r>
              <w:rPr>
                <w:rFonts w:ascii="Times New Roman" w:hAnsi="Times New Roman" w:eastAsia="宋体"/>
                <w:color w:val="000000"/>
                <w:sz w:val="24"/>
                <w:szCs w:val="24"/>
              </w:rPr>
              <w:t>万元</w:t>
            </w:r>
          </w:p>
        </w:tc>
        <w:tc>
          <w:tcPr>
            <w:tcW w:w="1858" w:type="dxa"/>
            <w:vAlign w:val="center"/>
          </w:tcPr>
          <w:p w14:paraId="369B0936">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环保投资总概算</w:t>
            </w:r>
          </w:p>
        </w:tc>
        <w:tc>
          <w:tcPr>
            <w:tcW w:w="988" w:type="dxa"/>
            <w:vAlign w:val="center"/>
          </w:tcPr>
          <w:p w14:paraId="693A03AD">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61.2</w:t>
            </w:r>
            <w:r>
              <w:rPr>
                <w:rFonts w:ascii="Times New Roman" w:hAnsi="Times New Roman" w:eastAsia="宋体"/>
                <w:color w:val="000000"/>
                <w:sz w:val="24"/>
                <w:szCs w:val="24"/>
              </w:rPr>
              <w:t>万元</w:t>
            </w:r>
          </w:p>
        </w:tc>
        <w:tc>
          <w:tcPr>
            <w:tcW w:w="765" w:type="dxa"/>
            <w:vAlign w:val="center"/>
          </w:tcPr>
          <w:p w14:paraId="6EBF4B02">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比例</w:t>
            </w:r>
          </w:p>
        </w:tc>
        <w:tc>
          <w:tcPr>
            <w:tcW w:w="1035" w:type="dxa"/>
            <w:vAlign w:val="center"/>
          </w:tcPr>
          <w:p w14:paraId="09D814D9">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0.77%</w:t>
            </w:r>
          </w:p>
        </w:tc>
      </w:tr>
      <w:tr w14:paraId="65BFC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307" w:type="dxa"/>
            <w:vAlign w:val="center"/>
          </w:tcPr>
          <w:p w14:paraId="70FA0C17">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实际总</w:t>
            </w:r>
            <w:r>
              <w:rPr>
                <w:rFonts w:hint="eastAsia" w:ascii="Times New Roman" w:hAnsi="Times New Roman" w:eastAsia="宋体"/>
                <w:color w:val="000000"/>
                <w:sz w:val="24"/>
                <w:szCs w:val="24"/>
              </w:rPr>
              <w:t>投资</w:t>
            </w:r>
          </w:p>
        </w:tc>
        <w:tc>
          <w:tcPr>
            <w:tcW w:w="1971" w:type="dxa"/>
            <w:vAlign w:val="center"/>
          </w:tcPr>
          <w:p w14:paraId="32771321">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8000</w:t>
            </w:r>
            <w:r>
              <w:rPr>
                <w:rFonts w:ascii="Times New Roman" w:hAnsi="Times New Roman" w:eastAsia="宋体"/>
                <w:color w:val="000000"/>
                <w:sz w:val="24"/>
                <w:szCs w:val="24"/>
              </w:rPr>
              <w:t>万元</w:t>
            </w:r>
          </w:p>
        </w:tc>
        <w:tc>
          <w:tcPr>
            <w:tcW w:w="1858" w:type="dxa"/>
            <w:vAlign w:val="center"/>
          </w:tcPr>
          <w:p w14:paraId="491918AF">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环保投资</w:t>
            </w:r>
          </w:p>
        </w:tc>
        <w:tc>
          <w:tcPr>
            <w:tcW w:w="988" w:type="dxa"/>
            <w:vAlign w:val="center"/>
          </w:tcPr>
          <w:p w14:paraId="12E33B0F">
            <w:pPr>
              <w:spacing w:after="0"/>
              <w:jc w:val="center"/>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73</w:t>
            </w:r>
            <w:r>
              <w:rPr>
                <w:rFonts w:ascii="Times New Roman" w:hAnsi="Times New Roman" w:eastAsia="宋体"/>
                <w:color w:val="000000" w:themeColor="text1"/>
                <w:sz w:val="24"/>
                <w:szCs w:val="24"/>
                <w14:textFill>
                  <w14:solidFill>
                    <w14:schemeClr w14:val="tx1"/>
                  </w14:solidFill>
                </w14:textFill>
              </w:rPr>
              <w:t>万元</w:t>
            </w:r>
          </w:p>
        </w:tc>
        <w:tc>
          <w:tcPr>
            <w:tcW w:w="765" w:type="dxa"/>
            <w:vAlign w:val="center"/>
          </w:tcPr>
          <w:p w14:paraId="04D46B23">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比例</w:t>
            </w:r>
          </w:p>
        </w:tc>
        <w:tc>
          <w:tcPr>
            <w:tcW w:w="1035" w:type="dxa"/>
            <w:vAlign w:val="center"/>
          </w:tcPr>
          <w:p w14:paraId="70880DD7">
            <w:pPr>
              <w:spacing w:after="0"/>
              <w:jc w:val="center"/>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0.91%</w:t>
            </w:r>
          </w:p>
        </w:tc>
      </w:tr>
      <w:tr w14:paraId="155A7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7" w:hRule="atLeast"/>
          <w:jc w:val="center"/>
        </w:trPr>
        <w:tc>
          <w:tcPr>
            <w:tcW w:w="2307" w:type="dxa"/>
            <w:vAlign w:val="center"/>
          </w:tcPr>
          <w:p w14:paraId="429AD5B4">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验收监测依据</w:t>
            </w:r>
          </w:p>
        </w:tc>
        <w:tc>
          <w:tcPr>
            <w:tcW w:w="6617" w:type="dxa"/>
            <w:gridSpan w:val="5"/>
            <w:vAlign w:val="center"/>
          </w:tcPr>
          <w:p w14:paraId="5B5305E2">
            <w:pPr>
              <w:spacing w:after="0" w:line="360" w:lineRule="auto"/>
              <w:jc w:val="both"/>
              <w:rPr>
                <w:rFonts w:ascii="Times New Roman" w:hAnsi="Times New Roman" w:eastAsia="宋体"/>
                <w:color w:val="000000"/>
                <w:sz w:val="24"/>
                <w:szCs w:val="24"/>
              </w:rPr>
            </w:pPr>
            <w:r>
              <w:rPr>
                <w:rFonts w:ascii="Times New Roman" w:hAnsi="Times New Roman" w:eastAsia="宋体"/>
                <w:color w:val="000000"/>
                <w:sz w:val="24"/>
                <w:szCs w:val="24"/>
              </w:rPr>
              <w:t>（1）《中华人民共和国环境保护法》 2015年1月1日；</w:t>
            </w:r>
          </w:p>
          <w:p w14:paraId="6AA61248">
            <w:pPr>
              <w:spacing w:after="0" w:line="360" w:lineRule="auto"/>
              <w:jc w:val="both"/>
              <w:rPr>
                <w:rFonts w:ascii="Times New Roman" w:hAnsi="Times New Roman" w:eastAsia="宋体"/>
                <w:color w:val="000000"/>
                <w:sz w:val="24"/>
                <w:szCs w:val="24"/>
              </w:rPr>
            </w:pPr>
            <w:r>
              <w:rPr>
                <w:rFonts w:ascii="Times New Roman" w:hAnsi="Times New Roman" w:eastAsia="宋体"/>
                <w:color w:val="000000"/>
                <w:sz w:val="24"/>
                <w:szCs w:val="24"/>
              </w:rPr>
              <w:t>（</w:t>
            </w:r>
            <w:r>
              <w:rPr>
                <w:rFonts w:hint="eastAsia" w:ascii="Times New Roman" w:hAnsi="Times New Roman" w:eastAsia="宋体"/>
                <w:color w:val="000000"/>
                <w:sz w:val="24"/>
                <w:szCs w:val="24"/>
              </w:rPr>
              <w:t>2</w:t>
            </w:r>
            <w:r>
              <w:rPr>
                <w:rFonts w:ascii="Times New Roman" w:hAnsi="Times New Roman" w:eastAsia="宋体"/>
                <w:color w:val="000000"/>
                <w:sz w:val="24"/>
                <w:szCs w:val="24"/>
              </w:rPr>
              <w:t>）</w:t>
            </w:r>
            <w:r>
              <w:rPr>
                <w:rFonts w:hint="eastAsia" w:ascii="Times New Roman" w:hAnsi="Times New Roman" w:eastAsia="宋体"/>
                <w:color w:val="000000"/>
                <w:sz w:val="24"/>
                <w:szCs w:val="24"/>
              </w:rPr>
              <w:t>《中华人民共和国固体废物污染环境防治法》</w:t>
            </w:r>
            <w:r>
              <w:rPr>
                <w:rFonts w:ascii="Times New Roman" w:hAnsi="Times New Roman" w:eastAsia="宋体"/>
                <w:color w:val="000000"/>
                <w:sz w:val="24"/>
                <w:szCs w:val="24"/>
              </w:rPr>
              <w:t xml:space="preserve"> 2016年11月7日；</w:t>
            </w:r>
          </w:p>
          <w:p w14:paraId="7B9AA3BF">
            <w:pPr>
              <w:spacing w:after="0" w:line="360" w:lineRule="auto"/>
              <w:jc w:val="both"/>
              <w:rPr>
                <w:rFonts w:ascii="Times New Roman" w:hAnsi="Times New Roman" w:eastAsia="宋体"/>
                <w:color w:val="000000"/>
                <w:sz w:val="24"/>
                <w:szCs w:val="24"/>
              </w:rPr>
            </w:pPr>
            <w:r>
              <w:rPr>
                <w:rFonts w:ascii="Times New Roman" w:hAnsi="Times New Roman" w:eastAsia="宋体"/>
                <w:color w:val="000000"/>
                <w:sz w:val="24"/>
                <w:szCs w:val="24"/>
              </w:rPr>
              <w:t>（</w:t>
            </w:r>
            <w:r>
              <w:rPr>
                <w:rFonts w:hint="eastAsia" w:ascii="Times New Roman" w:hAnsi="Times New Roman" w:eastAsia="宋体"/>
                <w:color w:val="000000"/>
                <w:sz w:val="24"/>
                <w:szCs w:val="24"/>
              </w:rPr>
              <w:t>3</w:t>
            </w:r>
            <w:r>
              <w:rPr>
                <w:rFonts w:ascii="Times New Roman" w:hAnsi="Times New Roman" w:eastAsia="宋体"/>
                <w:color w:val="000000"/>
                <w:sz w:val="24"/>
                <w:szCs w:val="24"/>
              </w:rPr>
              <w:t>）《国务院关于修改〈建设项目环境保护管理条例〉的决定》（2017年7月16日中华人民共和国国务院令第682号）；</w:t>
            </w:r>
          </w:p>
          <w:p w14:paraId="4BDC1E18">
            <w:pPr>
              <w:spacing w:after="0" w:line="360" w:lineRule="auto"/>
              <w:jc w:val="both"/>
              <w:rPr>
                <w:rFonts w:ascii="Times New Roman" w:hAnsi="Times New Roman" w:eastAsia="宋体"/>
                <w:color w:val="000000"/>
                <w:sz w:val="24"/>
                <w:szCs w:val="24"/>
              </w:rPr>
            </w:pPr>
            <w:r>
              <w:rPr>
                <w:rFonts w:ascii="Times New Roman" w:hAnsi="Times New Roman" w:eastAsia="宋体"/>
                <w:color w:val="000000"/>
                <w:sz w:val="24"/>
                <w:szCs w:val="24"/>
              </w:rPr>
              <w:t>（</w:t>
            </w:r>
            <w:r>
              <w:rPr>
                <w:rFonts w:hint="eastAsia" w:ascii="Times New Roman" w:hAnsi="Times New Roman" w:eastAsia="宋体"/>
                <w:color w:val="000000"/>
                <w:sz w:val="24"/>
                <w:szCs w:val="24"/>
              </w:rPr>
              <w:t>4</w:t>
            </w:r>
            <w:r>
              <w:rPr>
                <w:rFonts w:ascii="Times New Roman" w:hAnsi="Times New Roman" w:eastAsia="宋体"/>
                <w:color w:val="000000"/>
                <w:sz w:val="24"/>
                <w:szCs w:val="24"/>
              </w:rPr>
              <w:t>）《建设项目竣工环境保护验收暂行办法》（国环规环评［2017］4号）；</w:t>
            </w:r>
          </w:p>
          <w:p w14:paraId="4582420E">
            <w:pPr>
              <w:spacing w:after="0" w:line="360" w:lineRule="auto"/>
              <w:jc w:val="both"/>
              <w:rPr>
                <w:rFonts w:ascii="Times New Roman" w:hAnsi="Times New Roman" w:eastAsia="宋体"/>
                <w:color w:val="000000"/>
                <w:sz w:val="24"/>
                <w:szCs w:val="24"/>
              </w:rPr>
            </w:pPr>
            <w:r>
              <w:rPr>
                <w:rFonts w:ascii="Times New Roman" w:hAnsi="Times New Roman" w:eastAsia="宋体"/>
                <w:color w:val="000000"/>
                <w:sz w:val="24"/>
                <w:szCs w:val="24"/>
              </w:rPr>
              <w:t>（</w:t>
            </w:r>
            <w:r>
              <w:rPr>
                <w:rFonts w:hint="eastAsia" w:ascii="Times New Roman" w:hAnsi="Times New Roman" w:eastAsia="宋体"/>
                <w:color w:val="000000"/>
                <w:sz w:val="24"/>
                <w:szCs w:val="24"/>
              </w:rPr>
              <w:t>5</w:t>
            </w:r>
            <w:r>
              <w:rPr>
                <w:rFonts w:ascii="Times New Roman" w:hAnsi="Times New Roman" w:eastAsia="宋体"/>
                <w:color w:val="000000"/>
                <w:sz w:val="24"/>
                <w:szCs w:val="24"/>
              </w:rPr>
              <w:t>）《建设项目竣工环境保护验收技术指南 污染影响类》（生态环境部公告 2018年 第9号，2018年5月15日）；</w:t>
            </w:r>
          </w:p>
          <w:p w14:paraId="578918DE">
            <w:pPr>
              <w:spacing w:after="0" w:line="360" w:lineRule="auto"/>
              <w:jc w:val="both"/>
              <w:rPr>
                <w:rFonts w:ascii="Times New Roman" w:hAnsi="Times New Roman" w:eastAsia="宋体"/>
                <w:color w:val="000000"/>
                <w:sz w:val="24"/>
                <w:szCs w:val="24"/>
              </w:rPr>
            </w:pPr>
            <w:r>
              <w:rPr>
                <w:rFonts w:ascii="Times New Roman" w:hAnsi="Times New Roman" w:eastAsia="宋体"/>
                <w:color w:val="000000"/>
                <w:sz w:val="24"/>
                <w:szCs w:val="24"/>
              </w:rPr>
              <w:t>（</w:t>
            </w:r>
            <w:r>
              <w:rPr>
                <w:rFonts w:hint="eastAsia" w:ascii="Times New Roman" w:hAnsi="Times New Roman" w:eastAsia="宋体"/>
                <w:color w:val="000000"/>
                <w:sz w:val="24"/>
                <w:szCs w:val="24"/>
              </w:rPr>
              <w:t>6</w:t>
            </w:r>
            <w:r>
              <w:rPr>
                <w:rFonts w:ascii="Times New Roman" w:hAnsi="Times New Roman" w:eastAsia="宋体"/>
                <w:color w:val="000000"/>
                <w:sz w:val="24"/>
                <w:szCs w:val="24"/>
              </w:rPr>
              <w:t>）《</w:t>
            </w:r>
            <w:r>
              <w:rPr>
                <w:rFonts w:hint="eastAsia" w:ascii="Times New Roman" w:hAnsi="Times New Roman" w:eastAsia="宋体"/>
                <w:color w:val="000000"/>
                <w:sz w:val="24"/>
                <w:szCs w:val="24"/>
              </w:rPr>
              <w:t>陕西蓝邦环保建材有限公司蒸压加气混凝土砌块项目</w:t>
            </w:r>
            <w:r>
              <w:rPr>
                <w:rFonts w:ascii="Times New Roman" w:hAnsi="Times New Roman" w:eastAsia="宋体"/>
                <w:color w:val="000000"/>
                <w:sz w:val="24"/>
                <w:szCs w:val="24"/>
              </w:rPr>
              <w:t>环境影响报告表》</w:t>
            </w:r>
            <w:r>
              <w:rPr>
                <w:rFonts w:ascii="Times New Roman" w:hAnsi="Times New Roman" w:eastAsia="宋体"/>
                <w:sz w:val="24"/>
                <w:szCs w:val="24"/>
              </w:rPr>
              <w:t>（</w:t>
            </w:r>
            <w:r>
              <w:rPr>
                <w:rFonts w:hint="eastAsia" w:ascii="Times New Roman" w:hAnsi="Times New Roman" w:eastAsia="宋体"/>
                <w:sz w:val="24"/>
                <w:szCs w:val="24"/>
              </w:rPr>
              <w:t>中政国评（北京）科技有限公司</w:t>
            </w:r>
            <w:r>
              <w:rPr>
                <w:rFonts w:ascii="Times New Roman" w:hAnsi="Times New Roman" w:eastAsia="宋体"/>
                <w:sz w:val="24"/>
                <w:szCs w:val="24"/>
              </w:rPr>
              <w:t>，201</w:t>
            </w:r>
            <w:r>
              <w:rPr>
                <w:rFonts w:hint="eastAsia" w:ascii="Times New Roman" w:hAnsi="Times New Roman" w:eastAsia="宋体"/>
                <w:color w:val="000000"/>
                <w:sz w:val="24"/>
                <w:szCs w:val="24"/>
              </w:rPr>
              <w:t>8</w:t>
            </w:r>
            <w:r>
              <w:rPr>
                <w:rFonts w:ascii="Times New Roman" w:hAnsi="Times New Roman" w:eastAsia="宋体"/>
                <w:color w:val="000000"/>
                <w:sz w:val="24"/>
                <w:szCs w:val="24"/>
              </w:rPr>
              <w:t>年1</w:t>
            </w:r>
            <w:r>
              <w:rPr>
                <w:rFonts w:hint="eastAsia" w:ascii="Times New Roman" w:hAnsi="Times New Roman" w:eastAsia="宋体"/>
                <w:color w:val="000000"/>
                <w:sz w:val="24"/>
                <w:szCs w:val="24"/>
              </w:rPr>
              <w:t>0</w:t>
            </w:r>
            <w:r>
              <w:rPr>
                <w:rFonts w:ascii="Times New Roman" w:hAnsi="Times New Roman" w:eastAsia="宋体"/>
                <w:color w:val="000000"/>
                <w:sz w:val="24"/>
                <w:szCs w:val="24"/>
              </w:rPr>
              <w:t>月）；</w:t>
            </w:r>
          </w:p>
          <w:p w14:paraId="02676F35">
            <w:pPr>
              <w:spacing w:after="0" w:line="360" w:lineRule="auto"/>
              <w:jc w:val="both"/>
              <w:rPr>
                <w:rFonts w:ascii="Times New Roman" w:hAnsi="Times New Roman" w:eastAsia="宋体"/>
                <w:color w:val="000000"/>
                <w:sz w:val="24"/>
                <w:szCs w:val="24"/>
              </w:rPr>
            </w:pPr>
            <w:r>
              <w:rPr>
                <w:rFonts w:ascii="Times New Roman" w:hAnsi="Times New Roman" w:eastAsia="宋体"/>
                <w:color w:val="000000"/>
                <w:sz w:val="24"/>
                <w:szCs w:val="24"/>
              </w:rPr>
              <w:t>（</w:t>
            </w:r>
            <w:r>
              <w:rPr>
                <w:rFonts w:hint="eastAsia" w:ascii="Times New Roman" w:hAnsi="Times New Roman" w:eastAsia="宋体"/>
                <w:color w:val="000000"/>
                <w:sz w:val="24"/>
                <w:szCs w:val="24"/>
              </w:rPr>
              <w:t>7</w:t>
            </w:r>
            <w:r>
              <w:rPr>
                <w:rFonts w:ascii="Times New Roman" w:hAnsi="Times New Roman" w:eastAsia="宋体"/>
                <w:color w:val="000000"/>
                <w:sz w:val="24"/>
                <w:szCs w:val="24"/>
              </w:rPr>
              <w:t>）</w:t>
            </w:r>
            <w:r>
              <w:rPr>
                <w:rFonts w:hint="eastAsia" w:ascii="Times New Roman" w:hAnsi="Times New Roman" w:eastAsia="宋体"/>
                <w:sz w:val="24"/>
                <w:szCs w:val="24"/>
              </w:rPr>
              <w:t>陕西省西咸新区秦汉新城行政审批与政务服务局</w:t>
            </w:r>
            <w:r>
              <w:rPr>
                <w:rFonts w:ascii="Times New Roman" w:hAnsi="Times New Roman" w:eastAsia="宋体"/>
                <w:color w:val="000000"/>
                <w:sz w:val="24"/>
                <w:szCs w:val="24"/>
              </w:rPr>
              <w:t>《关于</w:t>
            </w:r>
            <w:r>
              <w:rPr>
                <w:rFonts w:hint="eastAsia" w:ascii="Times New Roman" w:hAnsi="Times New Roman" w:eastAsia="宋体"/>
                <w:color w:val="000000"/>
                <w:sz w:val="24"/>
                <w:szCs w:val="24"/>
              </w:rPr>
              <w:t>陕西蓝邦环保建材有限公司蒸压加气混凝土砌块项目</w:t>
            </w:r>
            <w:r>
              <w:rPr>
                <w:rFonts w:ascii="Times New Roman" w:hAnsi="Times New Roman" w:eastAsia="宋体"/>
                <w:color w:val="000000"/>
                <w:sz w:val="24"/>
                <w:szCs w:val="24"/>
              </w:rPr>
              <w:t>环境影响报告表的批复》（</w:t>
            </w:r>
            <w:r>
              <w:rPr>
                <w:rFonts w:hint="eastAsia" w:ascii="Times New Roman" w:hAnsi="Times New Roman" w:eastAsia="宋体"/>
                <w:color w:val="000000"/>
                <w:sz w:val="24"/>
                <w:szCs w:val="24"/>
              </w:rPr>
              <w:t>秦汉</w:t>
            </w:r>
            <w:r>
              <w:rPr>
                <w:rFonts w:ascii="Times New Roman" w:hAnsi="Times New Roman" w:eastAsia="宋体"/>
                <w:color w:val="000000"/>
                <w:sz w:val="24"/>
                <w:szCs w:val="24"/>
              </w:rPr>
              <w:t>审服准〔201</w:t>
            </w:r>
            <w:r>
              <w:rPr>
                <w:rFonts w:hint="eastAsia" w:ascii="Times New Roman" w:hAnsi="Times New Roman" w:eastAsia="宋体"/>
                <w:color w:val="000000"/>
                <w:sz w:val="24"/>
                <w:szCs w:val="24"/>
              </w:rPr>
              <w:t>8</w:t>
            </w:r>
            <w:r>
              <w:rPr>
                <w:rFonts w:ascii="Times New Roman" w:hAnsi="Times New Roman" w:eastAsia="宋体"/>
                <w:color w:val="000000"/>
                <w:sz w:val="24"/>
                <w:szCs w:val="24"/>
              </w:rPr>
              <w:t>〕</w:t>
            </w:r>
            <w:r>
              <w:rPr>
                <w:rFonts w:hint="eastAsia" w:ascii="Times New Roman" w:hAnsi="Times New Roman" w:eastAsia="宋体"/>
                <w:color w:val="000000"/>
                <w:sz w:val="24"/>
                <w:szCs w:val="24"/>
              </w:rPr>
              <w:t>94</w:t>
            </w:r>
            <w:r>
              <w:rPr>
                <w:rFonts w:ascii="Times New Roman" w:hAnsi="Times New Roman" w:eastAsia="宋体"/>
                <w:color w:val="000000"/>
                <w:sz w:val="24"/>
                <w:szCs w:val="24"/>
              </w:rPr>
              <w:t>号，201</w:t>
            </w:r>
            <w:r>
              <w:rPr>
                <w:rFonts w:hint="eastAsia" w:ascii="Times New Roman" w:hAnsi="Times New Roman" w:eastAsia="宋体"/>
                <w:color w:val="000000"/>
                <w:sz w:val="24"/>
                <w:szCs w:val="24"/>
              </w:rPr>
              <w:t>8</w:t>
            </w:r>
            <w:r>
              <w:rPr>
                <w:rFonts w:ascii="Times New Roman" w:hAnsi="Times New Roman" w:eastAsia="宋体"/>
                <w:color w:val="000000"/>
                <w:sz w:val="24"/>
                <w:szCs w:val="24"/>
              </w:rPr>
              <w:t>年</w:t>
            </w:r>
            <w:r>
              <w:rPr>
                <w:rFonts w:hint="eastAsia" w:ascii="Times New Roman" w:hAnsi="Times New Roman" w:eastAsia="宋体"/>
                <w:color w:val="000000"/>
                <w:sz w:val="24"/>
                <w:szCs w:val="24"/>
              </w:rPr>
              <w:t>11</w:t>
            </w:r>
            <w:r>
              <w:rPr>
                <w:rFonts w:ascii="Times New Roman" w:hAnsi="Times New Roman" w:eastAsia="宋体"/>
                <w:color w:val="000000"/>
                <w:sz w:val="24"/>
                <w:szCs w:val="24"/>
              </w:rPr>
              <w:t>月</w:t>
            </w:r>
            <w:r>
              <w:rPr>
                <w:rFonts w:hint="eastAsia" w:ascii="Times New Roman" w:hAnsi="Times New Roman" w:eastAsia="宋体"/>
                <w:color w:val="000000"/>
                <w:sz w:val="24"/>
                <w:szCs w:val="24"/>
              </w:rPr>
              <w:t>23</w:t>
            </w:r>
            <w:r>
              <w:rPr>
                <w:rFonts w:ascii="Times New Roman" w:hAnsi="Times New Roman" w:eastAsia="宋体"/>
                <w:color w:val="000000"/>
                <w:sz w:val="24"/>
                <w:szCs w:val="24"/>
              </w:rPr>
              <w:t>日）；</w:t>
            </w:r>
          </w:p>
          <w:p w14:paraId="0635A0D5">
            <w:pPr>
              <w:spacing w:after="0" w:line="360" w:lineRule="auto"/>
              <w:jc w:val="both"/>
              <w:rPr>
                <w:rFonts w:ascii="Times New Roman" w:hAnsi="Times New Roman" w:eastAsia="宋体"/>
                <w:color w:val="000000"/>
                <w:sz w:val="24"/>
                <w:szCs w:val="24"/>
              </w:rPr>
            </w:pPr>
            <w:r>
              <w:rPr>
                <w:rFonts w:ascii="Times New Roman" w:hAnsi="Times New Roman" w:eastAsia="宋体"/>
                <w:color w:val="000000"/>
                <w:sz w:val="24"/>
                <w:szCs w:val="24"/>
              </w:rPr>
              <w:t>（</w:t>
            </w:r>
            <w:r>
              <w:rPr>
                <w:rFonts w:hint="eastAsia" w:ascii="Times New Roman" w:hAnsi="Times New Roman" w:eastAsia="宋体"/>
                <w:color w:val="000000"/>
                <w:sz w:val="24"/>
                <w:szCs w:val="24"/>
              </w:rPr>
              <w:t>8</w:t>
            </w:r>
            <w:r>
              <w:rPr>
                <w:rFonts w:ascii="Times New Roman" w:hAnsi="Times New Roman" w:eastAsia="宋体"/>
                <w:color w:val="000000"/>
                <w:sz w:val="24"/>
                <w:szCs w:val="24"/>
              </w:rPr>
              <w:t>）其他相关资料。</w:t>
            </w:r>
          </w:p>
        </w:tc>
      </w:tr>
      <w:tr w14:paraId="5191BA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35" w:hRule="atLeast"/>
          <w:jc w:val="center"/>
        </w:trPr>
        <w:tc>
          <w:tcPr>
            <w:tcW w:w="2307" w:type="dxa"/>
            <w:vAlign w:val="center"/>
          </w:tcPr>
          <w:p w14:paraId="7BE670E8">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验收监测评价标准、标号、级别、限值</w:t>
            </w:r>
          </w:p>
        </w:tc>
        <w:tc>
          <w:tcPr>
            <w:tcW w:w="6617" w:type="dxa"/>
            <w:gridSpan w:val="5"/>
            <w:vAlign w:val="center"/>
          </w:tcPr>
          <w:p w14:paraId="1DEB3A28">
            <w:pPr>
              <w:spacing w:after="0" w:line="360" w:lineRule="auto"/>
              <w:jc w:val="both"/>
              <w:rPr>
                <w:rFonts w:ascii="Times New Roman" w:hAnsi="Times New Roman" w:eastAsia="宋体"/>
                <w:color w:val="000000"/>
                <w:sz w:val="24"/>
                <w:szCs w:val="24"/>
              </w:rPr>
            </w:pPr>
            <w:r>
              <w:rPr>
                <w:rFonts w:ascii="Times New Roman" w:hAnsi="Times New Roman" w:eastAsia="宋体"/>
                <w:color w:val="000000"/>
                <w:sz w:val="24"/>
                <w:szCs w:val="24"/>
              </w:rPr>
              <w:t>（</w:t>
            </w:r>
            <w:r>
              <w:rPr>
                <w:rFonts w:hint="eastAsia" w:ascii="Times New Roman" w:hAnsi="Times New Roman" w:eastAsia="宋体"/>
                <w:color w:val="000000"/>
                <w:sz w:val="24"/>
                <w:szCs w:val="24"/>
              </w:rPr>
              <w:t>1</w:t>
            </w:r>
            <w:r>
              <w:rPr>
                <w:rFonts w:ascii="Times New Roman" w:hAnsi="Times New Roman" w:eastAsia="宋体"/>
                <w:color w:val="000000"/>
                <w:sz w:val="24"/>
                <w:szCs w:val="24"/>
              </w:rPr>
              <w:t>）</w:t>
            </w:r>
            <w:r>
              <w:rPr>
                <w:rFonts w:ascii="Times New Roman" w:hAnsi="Times New Roman" w:eastAsia="宋体"/>
                <w:bCs/>
                <w:color w:val="000000"/>
                <w:sz w:val="24"/>
                <w:szCs w:val="24"/>
              </w:rPr>
              <w:t>固体废物执行《一般固体废弃物贮存、处置场污染控制标（GB 18599-2001）》及2013年修改单中有关规定，危险废物按照《危险废物贮存污染控制标准（GB 18597-2001）》及2013年修改单中有关规定执行。</w:t>
            </w:r>
          </w:p>
        </w:tc>
      </w:tr>
    </w:tbl>
    <w:p w14:paraId="28FB3471">
      <w:pPr>
        <w:spacing w:after="0" w:line="360" w:lineRule="auto"/>
        <w:rPr>
          <w:rFonts w:ascii="Times New Roman" w:hAnsi="Times New Roman" w:eastAsia="仿宋_GB2312"/>
          <w:color w:val="000000"/>
          <w:sz w:val="21"/>
          <w:szCs w:val="21"/>
        </w:rPr>
      </w:pPr>
    </w:p>
    <w:p w14:paraId="34C92577">
      <w:pPr>
        <w:spacing w:after="0" w:line="360" w:lineRule="auto"/>
        <w:rPr>
          <w:rFonts w:ascii="Times New Roman" w:hAnsi="Times New Roman" w:eastAsia="仿宋_GB2312"/>
          <w:b/>
          <w:color w:val="000000"/>
          <w:sz w:val="21"/>
          <w:szCs w:val="21"/>
        </w:rPr>
      </w:pPr>
      <w:r>
        <w:rPr>
          <w:rFonts w:ascii="Times New Roman" w:hAnsi="Times New Roman" w:eastAsia="仿宋_GB2312"/>
          <w:color w:val="000000"/>
          <w:sz w:val="21"/>
          <w:szCs w:val="21"/>
        </w:rPr>
        <w:br w:type="page"/>
      </w:r>
      <w:r>
        <w:rPr>
          <w:rFonts w:ascii="Times New Roman" w:hAnsi="Times New Roman" w:eastAsia="仿宋_GB2312"/>
          <w:b/>
          <w:color w:val="000000"/>
          <w:sz w:val="21"/>
          <w:szCs w:val="21"/>
        </w:rPr>
        <w:t>表二</w:t>
      </w:r>
    </w:p>
    <w:tbl>
      <w:tblPr>
        <w:tblStyle w:val="10"/>
        <w:tblW w:w="90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14:paraId="1B4FA3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5" w:hRule="atLeast"/>
          <w:jc w:val="center"/>
        </w:trPr>
        <w:tc>
          <w:tcPr>
            <w:tcW w:w="9028" w:type="dxa"/>
          </w:tcPr>
          <w:p w14:paraId="0516EED8">
            <w:pPr>
              <w:spacing w:after="0" w:line="360" w:lineRule="auto"/>
              <w:rPr>
                <w:rFonts w:ascii="Times New Roman" w:hAnsi="Times New Roman" w:eastAsia="宋体"/>
                <w:b/>
                <w:color w:val="000000"/>
                <w:sz w:val="24"/>
                <w:szCs w:val="24"/>
              </w:rPr>
            </w:pPr>
            <w:r>
              <w:rPr>
                <w:rFonts w:ascii="Times New Roman" w:hAnsi="Times New Roman" w:eastAsia="宋体"/>
                <w:b/>
                <w:color w:val="000000"/>
                <w:sz w:val="24"/>
                <w:szCs w:val="24"/>
              </w:rPr>
              <w:t>一、工程建设内容</w:t>
            </w:r>
          </w:p>
          <w:p w14:paraId="2D5BA6B0">
            <w:pPr>
              <w:widowControl w:val="0"/>
              <w:adjustRightInd/>
              <w:snapToGrid/>
              <w:spacing w:after="0" w:line="360" w:lineRule="auto"/>
              <w:ind w:firstLine="480" w:firstLineChars="200"/>
              <w:jc w:val="both"/>
              <w:rPr>
                <w:rFonts w:ascii="Times New Roman" w:hAnsi="Times New Roman" w:eastAsia="宋体"/>
                <w:color w:val="000000"/>
                <w:sz w:val="24"/>
                <w:szCs w:val="24"/>
              </w:rPr>
            </w:pPr>
            <w:r>
              <w:rPr>
                <w:rFonts w:ascii="Times New Roman" w:hAnsi="Times New Roman" w:eastAsia="宋体"/>
                <w:color w:val="000000"/>
                <w:sz w:val="24"/>
                <w:szCs w:val="24"/>
              </w:rPr>
              <w:t>项目名称：</w:t>
            </w:r>
            <w:r>
              <w:rPr>
                <w:rFonts w:hint="eastAsia" w:ascii="Times New Roman" w:hAnsi="Times New Roman" w:eastAsia="宋体"/>
                <w:color w:val="000000"/>
                <w:sz w:val="24"/>
                <w:szCs w:val="24"/>
              </w:rPr>
              <w:t>蒸压加气混凝土砌块项目</w:t>
            </w:r>
          </w:p>
          <w:p w14:paraId="11CED6B1">
            <w:pPr>
              <w:widowControl w:val="0"/>
              <w:adjustRightInd/>
              <w:snapToGrid/>
              <w:spacing w:after="0" w:line="360" w:lineRule="auto"/>
              <w:ind w:firstLine="480" w:firstLineChars="200"/>
              <w:jc w:val="both"/>
              <w:rPr>
                <w:rFonts w:ascii="Times New Roman" w:hAnsi="Times New Roman" w:eastAsia="宋体"/>
                <w:color w:val="000000"/>
                <w:sz w:val="24"/>
                <w:szCs w:val="24"/>
              </w:rPr>
            </w:pPr>
            <w:r>
              <w:rPr>
                <w:rFonts w:ascii="Times New Roman" w:hAnsi="Times New Roman" w:eastAsia="宋体"/>
                <w:color w:val="000000"/>
                <w:sz w:val="24"/>
                <w:szCs w:val="24"/>
              </w:rPr>
              <w:t>建设单位：</w:t>
            </w:r>
            <w:r>
              <w:rPr>
                <w:rFonts w:hint="eastAsia" w:ascii="Times New Roman" w:hAnsi="Times New Roman" w:eastAsia="宋体"/>
                <w:color w:val="000000"/>
                <w:sz w:val="24"/>
                <w:szCs w:val="24"/>
              </w:rPr>
              <w:t>陕西蓝邦环保建材有限公司</w:t>
            </w:r>
          </w:p>
          <w:p w14:paraId="3808D30F">
            <w:pPr>
              <w:widowControl w:val="0"/>
              <w:adjustRightInd/>
              <w:snapToGrid/>
              <w:spacing w:after="0" w:line="360" w:lineRule="auto"/>
              <w:ind w:firstLine="480" w:firstLineChars="200"/>
              <w:jc w:val="both"/>
              <w:rPr>
                <w:rFonts w:ascii="Times New Roman" w:hAnsi="Times New Roman" w:eastAsia="宋体"/>
                <w:color w:val="000000"/>
                <w:sz w:val="24"/>
                <w:szCs w:val="24"/>
              </w:rPr>
            </w:pPr>
            <w:r>
              <w:rPr>
                <w:rFonts w:ascii="Times New Roman" w:hAnsi="Times New Roman" w:eastAsia="宋体"/>
                <w:color w:val="000000"/>
                <w:sz w:val="24"/>
                <w:szCs w:val="24"/>
              </w:rPr>
              <w:t>项目性质：</w:t>
            </w:r>
            <w:r>
              <w:rPr>
                <w:rFonts w:hint="eastAsia" w:ascii="Times New Roman" w:hAnsi="Times New Roman" w:eastAsia="宋体"/>
                <w:color w:val="000000"/>
                <w:sz w:val="24"/>
                <w:szCs w:val="24"/>
              </w:rPr>
              <w:t>改扩</w:t>
            </w:r>
            <w:r>
              <w:rPr>
                <w:rFonts w:ascii="Times New Roman" w:hAnsi="Times New Roman" w:eastAsia="宋体"/>
                <w:color w:val="000000"/>
                <w:sz w:val="24"/>
                <w:szCs w:val="24"/>
              </w:rPr>
              <w:t>建</w:t>
            </w:r>
          </w:p>
          <w:p w14:paraId="49D42F80">
            <w:pPr>
              <w:widowControl w:val="0"/>
              <w:adjustRightInd/>
              <w:snapToGrid/>
              <w:spacing w:after="0" w:line="360" w:lineRule="auto"/>
              <w:ind w:firstLine="480" w:firstLineChars="200"/>
              <w:jc w:val="both"/>
              <w:rPr>
                <w:rFonts w:ascii="Times New Roman" w:hAnsi="Times New Roman" w:eastAsia="宋体"/>
                <w:color w:val="000000"/>
                <w:sz w:val="24"/>
                <w:szCs w:val="24"/>
              </w:rPr>
            </w:pPr>
            <w:r>
              <w:rPr>
                <w:rFonts w:ascii="Times New Roman" w:hAnsi="Times New Roman" w:eastAsia="宋体"/>
                <w:color w:val="000000"/>
                <w:sz w:val="24"/>
                <w:szCs w:val="24"/>
              </w:rPr>
              <w:t>建设规模：</w:t>
            </w:r>
            <w:r>
              <w:rPr>
                <w:rFonts w:hint="eastAsia" w:ascii="Times New Roman" w:hAnsi="Times New Roman" w:eastAsia="宋体"/>
                <w:color w:val="000000"/>
                <w:sz w:val="24"/>
                <w:szCs w:val="24"/>
              </w:rPr>
              <w:t>使用已建成的厂房及配套办公用房建设蒸压加气混凝土砌块生产线，年产30万m</w:t>
            </w:r>
            <w:r>
              <w:rPr>
                <w:rFonts w:hint="eastAsia" w:ascii="Times New Roman" w:hAnsi="Times New Roman" w:eastAsia="宋体"/>
                <w:color w:val="000000"/>
                <w:sz w:val="24"/>
                <w:szCs w:val="24"/>
                <w:vertAlign w:val="superscript"/>
              </w:rPr>
              <w:t>3</w:t>
            </w:r>
            <w:r>
              <w:rPr>
                <w:rFonts w:hint="eastAsia" w:ascii="Times New Roman" w:hAnsi="Times New Roman" w:eastAsia="宋体"/>
                <w:color w:val="000000"/>
                <w:sz w:val="24"/>
                <w:szCs w:val="24"/>
              </w:rPr>
              <w:t>粉煤灰蒸压加气混凝土砌块。</w:t>
            </w:r>
          </w:p>
          <w:p w14:paraId="5366ED4C">
            <w:pPr>
              <w:widowControl w:val="0"/>
              <w:adjustRightInd/>
              <w:snapToGrid/>
              <w:spacing w:after="0" w:line="360" w:lineRule="auto"/>
              <w:ind w:firstLine="480" w:firstLineChars="200"/>
              <w:jc w:val="both"/>
              <w:rPr>
                <w:rFonts w:ascii="Times New Roman" w:hAnsi="Times New Roman" w:eastAsia="宋体"/>
                <w:color w:val="000000"/>
                <w:sz w:val="24"/>
                <w:szCs w:val="24"/>
              </w:rPr>
            </w:pPr>
            <w:r>
              <w:rPr>
                <w:rFonts w:ascii="Times New Roman" w:hAnsi="Times New Roman" w:eastAsia="宋体"/>
                <w:color w:val="000000"/>
                <w:sz w:val="24"/>
                <w:szCs w:val="24"/>
              </w:rPr>
              <w:t>占地面积：</w:t>
            </w:r>
            <w:r>
              <w:rPr>
                <w:rFonts w:hint="eastAsia" w:ascii="Times New Roman" w:hAnsi="Times New Roman" w:eastAsia="宋体"/>
                <w:color w:val="000000"/>
                <w:sz w:val="24"/>
                <w:szCs w:val="24"/>
              </w:rPr>
              <w:t>项目占地 49486.17m</w:t>
            </w:r>
            <w:r>
              <w:rPr>
                <w:rFonts w:hint="eastAsia" w:ascii="Times New Roman" w:hAnsi="Times New Roman" w:eastAsia="宋体"/>
                <w:color w:val="000000"/>
                <w:sz w:val="24"/>
                <w:szCs w:val="24"/>
                <w:vertAlign w:val="superscript"/>
              </w:rPr>
              <w:t>2</w:t>
            </w:r>
            <w:r>
              <w:rPr>
                <w:rFonts w:hint="eastAsia" w:ascii="Times New Roman" w:hAnsi="Times New Roman" w:eastAsia="宋体"/>
                <w:color w:val="000000"/>
                <w:sz w:val="24"/>
                <w:szCs w:val="24"/>
              </w:rPr>
              <w:t>（合74.23亩），总建筑面积21400m</w:t>
            </w:r>
            <w:r>
              <w:rPr>
                <w:rFonts w:hint="eastAsia" w:ascii="Times New Roman" w:hAnsi="Times New Roman" w:eastAsia="宋体"/>
                <w:color w:val="000000"/>
                <w:sz w:val="24"/>
                <w:szCs w:val="24"/>
                <w:vertAlign w:val="superscript"/>
              </w:rPr>
              <w:t>2</w:t>
            </w:r>
            <w:r>
              <w:rPr>
                <w:rFonts w:hint="eastAsia" w:ascii="Times New Roman" w:hAnsi="Times New Roman" w:eastAsia="宋体"/>
                <w:color w:val="000000"/>
                <w:sz w:val="24"/>
                <w:szCs w:val="24"/>
              </w:rPr>
              <w:t>。</w:t>
            </w:r>
          </w:p>
          <w:p w14:paraId="1D2E8E12">
            <w:pPr>
              <w:widowControl w:val="0"/>
              <w:adjustRightInd/>
              <w:snapToGrid/>
              <w:spacing w:after="0" w:line="360" w:lineRule="auto"/>
              <w:ind w:firstLine="480" w:firstLineChars="200"/>
              <w:jc w:val="both"/>
              <w:rPr>
                <w:rFonts w:ascii="Times New Roman" w:hAnsi="Times New Roman" w:eastAsia="宋体"/>
                <w:color w:val="000000"/>
                <w:sz w:val="24"/>
                <w:szCs w:val="24"/>
              </w:rPr>
            </w:pPr>
            <w:r>
              <w:rPr>
                <w:rFonts w:ascii="Times New Roman" w:hAnsi="Times New Roman" w:eastAsia="宋体"/>
                <w:color w:val="000000"/>
                <w:sz w:val="24"/>
                <w:szCs w:val="24"/>
              </w:rPr>
              <w:t>劳动定员及工作制度：劳动定员</w:t>
            </w:r>
            <w:r>
              <w:rPr>
                <w:rFonts w:hint="eastAsia" w:ascii="Times New Roman" w:hAnsi="Times New Roman" w:eastAsia="宋体"/>
                <w:color w:val="000000"/>
                <w:sz w:val="24"/>
                <w:szCs w:val="24"/>
              </w:rPr>
              <w:t>50</w:t>
            </w:r>
            <w:r>
              <w:rPr>
                <w:rFonts w:ascii="Times New Roman" w:hAnsi="Times New Roman" w:eastAsia="宋体"/>
                <w:color w:val="000000"/>
                <w:sz w:val="24"/>
                <w:szCs w:val="24"/>
              </w:rPr>
              <w:t>人，年工作天数为300天，每天工作</w:t>
            </w:r>
            <w:r>
              <w:rPr>
                <w:rFonts w:hint="eastAsia" w:ascii="Times New Roman" w:hAnsi="Times New Roman" w:eastAsia="宋体"/>
                <w:color w:val="000000"/>
                <w:sz w:val="24"/>
                <w:szCs w:val="24"/>
              </w:rPr>
              <w:t>10</w:t>
            </w:r>
            <w:r>
              <w:rPr>
                <w:rFonts w:ascii="Times New Roman" w:hAnsi="Times New Roman" w:eastAsia="宋体"/>
                <w:color w:val="000000"/>
                <w:sz w:val="24"/>
                <w:szCs w:val="24"/>
              </w:rPr>
              <w:t>h。</w:t>
            </w:r>
          </w:p>
          <w:p w14:paraId="4C6F2F6E">
            <w:pPr>
              <w:spacing w:after="0" w:line="360" w:lineRule="auto"/>
              <w:ind w:firstLine="480" w:firstLineChars="200"/>
              <w:jc w:val="both"/>
              <w:rPr>
                <w:rFonts w:ascii="Times New Roman" w:hAnsi="Times New Roman" w:eastAsia="宋体"/>
                <w:bCs/>
                <w:color w:val="000000"/>
                <w:sz w:val="24"/>
                <w:szCs w:val="24"/>
              </w:rPr>
            </w:pPr>
            <w:r>
              <w:rPr>
                <w:rFonts w:ascii="Times New Roman" w:hAnsi="Times New Roman" w:eastAsia="宋体"/>
                <w:color w:val="000000"/>
                <w:sz w:val="24"/>
                <w:szCs w:val="24"/>
              </w:rPr>
              <w:t>地理位置：</w:t>
            </w:r>
            <w:r>
              <w:rPr>
                <w:rFonts w:hint="eastAsia" w:ascii="Times New Roman" w:hAnsi="Times New Roman" w:eastAsia="宋体"/>
                <w:color w:val="000000"/>
                <w:sz w:val="24"/>
                <w:szCs w:val="24"/>
              </w:rPr>
              <w:t>陕西省西咸新区秦汉新城正阳街道柏家咀村2组</w:t>
            </w:r>
            <w:r>
              <w:rPr>
                <w:rFonts w:ascii="Times New Roman" w:hAnsi="Times New Roman" w:eastAsia="宋体"/>
                <w:color w:val="000000"/>
                <w:sz w:val="24"/>
                <w:szCs w:val="24"/>
              </w:rPr>
              <w:t>，项目地理坐标为N34.425417°，E108.902686°</w:t>
            </w:r>
            <w:r>
              <w:rPr>
                <w:rFonts w:ascii="Times New Roman" w:hAnsi="Times New Roman" w:eastAsia="宋体"/>
                <w:bCs/>
                <w:color w:val="000000"/>
                <w:sz w:val="24"/>
                <w:szCs w:val="24"/>
              </w:rPr>
              <w:t>。</w:t>
            </w:r>
          </w:p>
          <w:p w14:paraId="285965F9">
            <w:pPr>
              <w:spacing w:after="0"/>
              <w:jc w:val="center"/>
              <w:rPr>
                <w:rFonts w:ascii="Times New Roman" w:hAnsi="Times New Roman" w:eastAsia="宋体"/>
                <w:color w:val="000000"/>
                <w:sz w:val="24"/>
                <w:szCs w:val="24"/>
              </w:rPr>
            </w:pPr>
            <w:r>
              <w:drawing>
                <wp:inline distT="0" distB="0" distL="0" distR="0">
                  <wp:extent cx="5486400" cy="302196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3021965"/>
                          </a:xfrm>
                          <a:prstGeom prst="rect">
                            <a:avLst/>
                          </a:prstGeom>
                        </pic:spPr>
                      </pic:pic>
                    </a:graphicData>
                  </a:graphic>
                </wp:inline>
              </w:drawing>
            </w:r>
          </w:p>
          <w:p w14:paraId="53D18266">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图2-1  地理位置图</w:t>
            </w:r>
          </w:p>
          <w:p w14:paraId="38A7D43D">
            <w:pPr>
              <w:spacing w:after="0"/>
              <w:jc w:val="center"/>
              <w:rPr>
                <w:rFonts w:ascii="Times New Roman" w:hAnsi="Times New Roman" w:eastAsia="宋体"/>
                <w:color w:val="000000"/>
                <w:sz w:val="24"/>
                <w:szCs w:val="24"/>
              </w:rPr>
            </w:pPr>
            <w:r>
              <w:drawing>
                <wp:inline distT="0" distB="0" distL="0" distR="0">
                  <wp:extent cx="5486400" cy="35369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486400" cy="3536950"/>
                          </a:xfrm>
                          <a:prstGeom prst="rect">
                            <a:avLst/>
                          </a:prstGeom>
                        </pic:spPr>
                      </pic:pic>
                    </a:graphicData>
                  </a:graphic>
                </wp:inline>
              </w:drawing>
            </w:r>
          </w:p>
          <w:p w14:paraId="6459AE23">
            <w:pPr>
              <w:spacing w:after="0" w:line="360" w:lineRule="auto"/>
              <w:jc w:val="center"/>
              <w:rPr>
                <w:rFonts w:ascii="Times New Roman" w:hAnsi="Times New Roman" w:eastAsia="宋体"/>
                <w:color w:val="000000"/>
                <w:sz w:val="24"/>
                <w:szCs w:val="24"/>
              </w:rPr>
            </w:pPr>
            <w:r>
              <w:rPr>
                <w:rFonts w:ascii="Times New Roman" w:hAnsi="Times New Roman" w:eastAsia="宋体"/>
                <w:color w:val="000000"/>
                <w:sz w:val="24"/>
                <w:szCs w:val="24"/>
              </w:rPr>
              <w:t xml:space="preserve">图2-2 </w:t>
            </w:r>
            <w:r>
              <w:rPr>
                <w:rFonts w:hint="eastAsia" w:ascii="Times New Roman" w:hAnsi="Times New Roman" w:eastAsia="宋体"/>
                <w:color w:val="000000"/>
                <w:sz w:val="24"/>
                <w:szCs w:val="24"/>
              </w:rPr>
              <w:t>四邻</w:t>
            </w:r>
            <w:r>
              <w:rPr>
                <w:rFonts w:ascii="Times New Roman" w:hAnsi="Times New Roman" w:eastAsia="宋体"/>
                <w:color w:val="000000"/>
                <w:sz w:val="24"/>
                <w:szCs w:val="24"/>
              </w:rPr>
              <w:t>关系图</w:t>
            </w:r>
          </w:p>
          <w:p w14:paraId="1AAC26BE">
            <w:pPr>
              <w:spacing w:after="0" w:line="360" w:lineRule="auto"/>
              <w:rPr>
                <w:rFonts w:ascii="Times New Roman" w:hAnsi="Times New Roman" w:eastAsia="宋体"/>
                <w:color w:val="000000"/>
                <w:sz w:val="24"/>
                <w:szCs w:val="24"/>
              </w:rPr>
            </w:pPr>
            <w:r>
              <w:rPr>
                <w:rFonts w:ascii="Times New Roman" w:hAnsi="Times New Roman" w:eastAsia="宋体"/>
                <w:color w:val="000000"/>
                <w:sz w:val="24"/>
                <w:szCs w:val="24"/>
              </w:rPr>
              <w:t>（1）项目主要建设内容详见表2-1。</w:t>
            </w:r>
          </w:p>
          <w:p w14:paraId="7A06A354">
            <w:pPr>
              <w:spacing w:after="0"/>
              <w:jc w:val="center"/>
              <w:rPr>
                <w:rFonts w:ascii="Times New Roman" w:hAnsi="Times New Roman" w:eastAsia="宋体"/>
                <w:sz w:val="24"/>
                <w:szCs w:val="24"/>
              </w:rPr>
            </w:pPr>
            <w:r>
              <w:rPr>
                <w:rFonts w:ascii="Times New Roman" w:hAnsi="Times New Roman" w:eastAsia="宋体"/>
                <w:sz w:val="24"/>
                <w:szCs w:val="24"/>
              </w:rPr>
              <w:t>表2-1  项目主要建设内容一览表</w:t>
            </w:r>
          </w:p>
          <w:tbl>
            <w:tblPr>
              <w:tblStyle w:val="10"/>
              <w:tblW w:w="8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
              <w:gridCol w:w="425"/>
              <w:gridCol w:w="1056"/>
              <w:gridCol w:w="2859"/>
              <w:gridCol w:w="2860"/>
              <w:gridCol w:w="1188"/>
            </w:tblGrid>
            <w:tr w14:paraId="4F93E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blHeader/>
                <w:jc w:val="center"/>
              </w:trPr>
              <w:tc>
                <w:tcPr>
                  <w:tcW w:w="1847" w:type="dxa"/>
                  <w:gridSpan w:val="3"/>
                  <w:vAlign w:val="center"/>
                </w:tcPr>
                <w:p w14:paraId="6699CD76">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项目名称</w:t>
                  </w:r>
                </w:p>
              </w:tc>
              <w:tc>
                <w:tcPr>
                  <w:tcW w:w="2859" w:type="dxa"/>
                  <w:vAlign w:val="center"/>
                </w:tcPr>
                <w:p w14:paraId="625D84BF">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环评建设内容及规模</w:t>
                  </w:r>
                </w:p>
              </w:tc>
              <w:tc>
                <w:tcPr>
                  <w:tcW w:w="2860" w:type="dxa"/>
                  <w:vAlign w:val="center"/>
                </w:tcPr>
                <w:p w14:paraId="795248D5">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实际建设内容及规模</w:t>
                  </w:r>
                </w:p>
              </w:tc>
              <w:tc>
                <w:tcPr>
                  <w:tcW w:w="1188" w:type="dxa"/>
                  <w:vAlign w:val="center"/>
                </w:tcPr>
                <w:p w14:paraId="20468EB6">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一致性</w:t>
                  </w:r>
                </w:p>
              </w:tc>
            </w:tr>
            <w:tr w14:paraId="1A71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366" w:type="dxa"/>
                  <w:vAlign w:val="center"/>
                </w:tcPr>
                <w:p w14:paraId="6FD1FA09">
                  <w:pPr>
                    <w:widowControl w:val="0"/>
                    <w:autoSpaceDE w:val="0"/>
                    <w:autoSpaceDN w:val="0"/>
                    <w:spacing w:after="0"/>
                    <w:jc w:val="center"/>
                    <w:textAlignment w:val="baseline"/>
                    <w:rPr>
                      <w:rFonts w:ascii="Times New Roman" w:hAnsi="Times New Roman" w:eastAsia="宋体"/>
                      <w:kern w:val="2"/>
                      <w:sz w:val="21"/>
                      <w:szCs w:val="21"/>
                    </w:rPr>
                  </w:pPr>
                  <w:r>
                    <w:rPr>
                      <w:rFonts w:ascii="Times New Roman" w:hAnsi="Times New Roman" w:eastAsia="宋体"/>
                      <w:kern w:val="2"/>
                      <w:sz w:val="21"/>
                      <w:szCs w:val="21"/>
                    </w:rPr>
                    <w:t>主体</w:t>
                  </w:r>
                </w:p>
                <w:p w14:paraId="50C725BE">
                  <w:pPr>
                    <w:widowControl w:val="0"/>
                    <w:autoSpaceDE w:val="0"/>
                    <w:autoSpaceDN w:val="0"/>
                    <w:spacing w:after="0"/>
                    <w:jc w:val="center"/>
                    <w:textAlignment w:val="baseline"/>
                    <w:rPr>
                      <w:rFonts w:ascii="Times New Roman" w:hAnsi="Times New Roman" w:eastAsia="宋体"/>
                      <w:kern w:val="2"/>
                      <w:sz w:val="21"/>
                      <w:szCs w:val="21"/>
                    </w:rPr>
                  </w:pPr>
                  <w:r>
                    <w:rPr>
                      <w:rFonts w:ascii="Times New Roman" w:hAnsi="Times New Roman" w:eastAsia="宋体"/>
                      <w:kern w:val="2"/>
                      <w:sz w:val="21"/>
                      <w:szCs w:val="21"/>
                    </w:rPr>
                    <w:t>工程</w:t>
                  </w:r>
                </w:p>
              </w:tc>
              <w:tc>
                <w:tcPr>
                  <w:tcW w:w="1481" w:type="dxa"/>
                  <w:gridSpan w:val="2"/>
                  <w:vAlign w:val="center"/>
                </w:tcPr>
                <w:p w14:paraId="24C3D45E">
                  <w:pPr>
                    <w:widowControl w:val="0"/>
                    <w:autoSpaceDE w:val="0"/>
                    <w:autoSpaceDN w:val="0"/>
                    <w:spacing w:after="0"/>
                    <w:jc w:val="center"/>
                    <w:textAlignment w:val="baseline"/>
                    <w:rPr>
                      <w:rFonts w:ascii="Times New Roman" w:hAnsi="Times New Roman" w:eastAsia="宋体"/>
                      <w:kern w:val="2"/>
                      <w:sz w:val="21"/>
                      <w:szCs w:val="21"/>
                    </w:rPr>
                  </w:pPr>
                  <w:r>
                    <w:rPr>
                      <w:rFonts w:hint="eastAsia" w:ascii="Times New Roman" w:hAnsi="Times New Roman" w:eastAsia="宋体"/>
                      <w:kern w:val="2"/>
                      <w:sz w:val="21"/>
                      <w:szCs w:val="21"/>
                    </w:rPr>
                    <w:t>生产车间</w:t>
                  </w:r>
                </w:p>
              </w:tc>
              <w:tc>
                <w:tcPr>
                  <w:tcW w:w="2859" w:type="dxa"/>
                  <w:vAlign w:val="center"/>
                </w:tcPr>
                <w:p w14:paraId="1BDC3F79">
                  <w:pPr>
                    <w:widowControl w:val="0"/>
                    <w:autoSpaceDE w:val="0"/>
                    <w:autoSpaceDN w:val="0"/>
                    <w:spacing w:after="0"/>
                    <w:jc w:val="center"/>
                    <w:textAlignment w:val="baseline"/>
                    <w:rPr>
                      <w:rFonts w:ascii="Times New Roman" w:hAnsi="Times New Roman" w:eastAsia="宋体"/>
                      <w:kern w:val="2"/>
                      <w:sz w:val="21"/>
                      <w:szCs w:val="21"/>
                    </w:rPr>
                  </w:pPr>
                  <w:r>
                    <w:rPr>
                      <w:rFonts w:hint="eastAsia" w:ascii="Times New Roman" w:hAnsi="Times New Roman" w:eastAsia="宋体"/>
                      <w:kern w:val="2"/>
                      <w:sz w:val="21"/>
                      <w:szCs w:val="21"/>
                    </w:rPr>
                    <w:t>建筑面积1500m</w:t>
                  </w:r>
                  <w:r>
                    <w:rPr>
                      <w:rFonts w:hint="eastAsia" w:ascii="Times New Roman" w:hAnsi="Times New Roman" w:eastAsia="宋体"/>
                      <w:kern w:val="2"/>
                      <w:sz w:val="21"/>
                      <w:szCs w:val="21"/>
                      <w:vertAlign w:val="superscript"/>
                    </w:rPr>
                    <w:t>2</w:t>
                  </w:r>
                  <w:r>
                    <w:rPr>
                      <w:rFonts w:hint="eastAsia" w:ascii="Times New Roman" w:hAnsi="Times New Roman" w:eastAsia="宋体"/>
                      <w:kern w:val="2"/>
                      <w:sz w:val="21"/>
                      <w:szCs w:val="21"/>
                    </w:rPr>
                    <w:t>，依托现有厂房，包括搅拌浇筑、切割、静养工序</w:t>
                  </w:r>
                </w:p>
              </w:tc>
              <w:tc>
                <w:tcPr>
                  <w:tcW w:w="2860" w:type="dxa"/>
                  <w:vAlign w:val="center"/>
                </w:tcPr>
                <w:p w14:paraId="1D09AC20">
                  <w:pPr>
                    <w:widowControl w:val="0"/>
                    <w:autoSpaceDE w:val="0"/>
                    <w:autoSpaceDN w:val="0"/>
                    <w:spacing w:after="0"/>
                    <w:jc w:val="center"/>
                    <w:textAlignment w:val="baseline"/>
                    <w:rPr>
                      <w:rFonts w:ascii="Times New Roman" w:hAnsi="Times New Roman" w:eastAsia="宋体"/>
                      <w:kern w:val="2"/>
                      <w:sz w:val="21"/>
                      <w:szCs w:val="21"/>
                    </w:rPr>
                  </w:pPr>
                  <w:r>
                    <w:rPr>
                      <w:rFonts w:hint="eastAsia" w:ascii="Times New Roman" w:hAnsi="Times New Roman" w:eastAsia="宋体"/>
                      <w:kern w:val="2"/>
                      <w:sz w:val="21"/>
                      <w:szCs w:val="21"/>
                    </w:rPr>
                    <w:t>建筑面积1500m</w:t>
                  </w:r>
                  <w:r>
                    <w:rPr>
                      <w:rFonts w:hint="eastAsia" w:ascii="Times New Roman" w:hAnsi="Times New Roman" w:eastAsia="宋体"/>
                      <w:kern w:val="2"/>
                      <w:sz w:val="21"/>
                      <w:szCs w:val="21"/>
                      <w:vertAlign w:val="superscript"/>
                    </w:rPr>
                    <w:t>2</w:t>
                  </w:r>
                  <w:r>
                    <w:rPr>
                      <w:rFonts w:hint="eastAsia" w:ascii="Times New Roman" w:hAnsi="Times New Roman" w:eastAsia="宋体"/>
                      <w:kern w:val="2"/>
                      <w:sz w:val="21"/>
                      <w:szCs w:val="21"/>
                    </w:rPr>
                    <w:t>，依托现有厂房，包括搅拌浇筑、切割、静养工序</w:t>
                  </w:r>
                </w:p>
              </w:tc>
              <w:tc>
                <w:tcPr>
                  <w:tcW w:w="1188" w:type="dxa"/>
                  <w:vAlign w:val="center"/>
                </w:tcPr>
                <w:p w14:paraId="6995814F">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一致</w:t>
                  </w:r>
                </w:p>
              </w:tc>
            </w:tr>
            <w:tr w14:paraId="7205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66" w:type="dxa"/>
                  <w:vMerge w:val="restart"/>
                  <w:vAlign w:val="center"/>
                </w:tcPr>
                <w:p w14:paraId="196A6D15">
                  <w:pPr>
                    <w:widowControl w:val="0"/>
                    <w:autoSpaceDE w:val="0"/>
                    <w:autoSpaceDN w:val="0"/>
                    <w:spacing w:after="0"/>
                    <w:jc w:val="center"/>
                    <w:textAlignment w:val="baseline"/>
                    <w:rPr>
                      <w:rFonts w:ascii="Times New Roman" w:hAnsi="Times New Roman" w:eastAsia="宋体"/>
                      <w:kern w:val="2"/>
                      <w:sz w:val="21"/>
                      <w:szCs w:val="21"/>
                    </w:rPr>
                  </w:pPr>
                  <w:r>
                    <w:rPr>
                      <w:rFonts w:ascii="Times New Roman" w:hAnsi="Times New Roman" w:eastAsia="宋体"/>
                      <w:kern w:val="2"/>
                      <w:sz w:val="21"/>
                      <w:szCs w:val="21"/>
                    </w:rPr>
                    <w:t>辅助工程</w:t>
                  </w:r>
                </w:p>
              </w:tc>
              <w:tc>
                <w:tcPr>
                  <w:tcW w:w="1481" w:type="dxa"/>
                  <w:gridSpan w:val="2"/>
                  <w:vMerge w:val="restart"/>
                  <w:vAlign w:val="center"/>
                </w:tcPr>
                <w:p w14:paraId="2D50DDAC">
                  <w:pPr>
                    <w:widowControl w:val="0"/>
                    <w:autoSpaceDE w:val="0"/>
                    <w:autoSpaceDN w:val="0"/>
                    <w:spacing w:after="0"/>
                    <w:jc w:val="center"/>
                    <w:textAlignment w:val="baseline"/>
                    <w:rPr>
                      <w:rFonts w:ascii="Times New Roman" w:hAnsi="Times New Roman" w:eastAsia="宋体"/>
                      <w:kern w:val="2"/>
                      <w:sz w:val="21"/>
                      <w:szCs w:val="21"/>
                    </w:rPr>
                  </w:pPr>
                  <w:r>
                    <w:rPr>
                      <w:rFonts w:hint="eastAsia" w:asciiTheme="minorEastAsia" w:hAnsiTheme="minorEastAsia" w:eastAsiaTheme="minorEastAsia" w:cstheme="minorEastAsia"/>
                      <w:sz w:val="21"/>
                    </w:rPr>
                    <w:t>原料存贮</w:t>
                  </w:r>
                </w:p>
              </w:tc>
              <w:tc>
                <w:tcPr>
                  <w:tcW w:w="2859" w:type="dxa"/>
                  <w:vAlign w:val="center"/>
                </w:tcPr>
                <w:p w14:paraId="687C93B8">
                  <w:pPr>
                    <w:pStyle w:val="26"/>
                    <w:spacing w:before="1" w:line="242" w:lineRule="auto"/>
                    <w:ind w:left="115" w:right="23" w:firstLine="208"/>
                    <w:rPr>
                      <w:rFonts w:ascii="Times New Roman" w:hAnsi="Times New Roman" w:cs="Times New Roman"/>
                      <w:kern w:val="2"/>
                      <w:sz w:val="21"/>
                      <w:szCs w:val="21"/>
                    </w:rPr>
                  </w:pPr>
                  <w:r>
                    <w:rPr>
                      <w:rFonts w:hint="eastAsia" w:ascii="Times New Roman" w:hAnsi="Times New Roman" w:cs="Times New Roman"/>
                      <w:kern w:val="2"/>
                      <w:sz w:val="21"/>
                      <w:szCs w:val="21"/>
                    </w:rPr>
                    <w:t>4个250t 粉料储罐</w:t>
                  </w:r>
                  <w:r>
                    <w:rPr>
                      <w:rFonts w:hint="eastAsia" w:ascii="Times New Roman" w:hAnsi="Times New Roman"/>
                      <w:kern w:val="2"/>
                      <w:sz w:val="21"/>
                      <w:szCs w:val="21"/>
                    </w:rPr>
                    <w:t>，</w:t>
                  </w:r>
                  <w:r>
                    <w:rPr>
                      <w:rFonts w:hint="eastAsia" w:asciiTheme="minorEastAsia" w:hAnsiTheme="minorEastAsia" w:eastAsiaTheme="minorEastAsia" w:cstheme="minorEastAsia"/>
                      <w:sz w:val="21"/>
                    </w:rPr>
                    <w:t>依托原有储罐，但储罐有破损且无除尘设备，需完善</w:t>
                  </w:r>
                </w:p>
              </w:tc>
              <w:tc>
                <w:tcPr>
                  <w:tcW w:w="2860" w:type="dxa"/>
                  <w:vAlign w:val="center"/>
                </w:tcPr>
                <w:p w14:paraId="3AAA8553">
                  <w:pPr>
                    <w:pStyle w:val="26"/>
                    <w:spacing w:before="1" w:line="242" w:lineRule="auto"/>
                    <w:ind w:left="115" w:right="23" w:firstLine="208"/>
                    <w:rPr>
                      <w:rFonts w:ascii="Times New Roman" w:hAnsi="Times New Roman" w:cs="Times New Roman"/>
                      <w:kern w:val="2"/>
                      <w:sz w:val="21"/>
                      <w:szCs w:val="21"/>
                    </w:rPr>
                  </w:pPr>
                  <w:r>
                    <w:rPr>
                      <w:rFonts w:hint="eastAsia" w:ascii="Times New Roman" w:hAnsi="Times New Roman" w:cs="Times New Roman"/>
                      <w:kern w:val="2"/>
                      <w:sz w:val="21"/>
                      <w:szCs w:val="21"/>
                    </w:rPr>
                    <w:t>4个250t 粉料储罐</w:t>
                  </w:r>
                  <w:r>
                    <w:rPr>
                      <w:rFonts w:hint="eastAsia" w:ascii="Times New Roman" w:hAnsi="Times New Roman"/>
                      <w:kern w:val="2"/>
                      <w:sz w:val="21"/>
                      <w:szCs w:val="21"/>
                    </w:rPr>
                    <w:t>，</w:t>
                  </w:r>
                  <w:r>
                    <w:rPr>
                      <w:rFonts w:hint="eastAsia" w:asciiTheme="minorEastAsia" w:hAnsiTheme="minorEastAsia" w:eastAsiaTheme="minorEastAsia" w:cstheme="minorEastAsia"/>
                      <w:sz w:val="21"/>
                    </w:rPr>
                    <w:t>依托原有储罐，但储罐有破损且无除尘设备，需完善</w:t>
                  </w:r>
                </w:p>
              </w:tc>
              <w:tc>
                <w:tcPr>
                  <w:tcW w:w="1188" w:type="dxa"/>
                  <w:vAlign w:val="center"/>
                </w:tcPr>
                <w:p w14:paraId="52C2A928">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一致</w:t>
                  </w:r>
                </w:p>
              </w:tc>
            </w:tr>
            <w:tr w14:paraId="4A96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66" w:type="dxa"/>
                  <w:vMerge w:val="continue"/>
                  <w:vAlign w:val="center"/>
                </w:tcPr>
                <w:p w14:paraId="3F1297E1">
                  <w:pPr>
                    <w:widowControl w:val="0"/>
                    <w:autoSpaceDE w:val="0"/>
                    <w:autoSpaceDN w:val="0"/>
                    <w:spacing w:after="0"/>
                    <w:jc w:val="center"/>
                    <w:textAlignment w:val="baseline"/>
                    <w:rPr>
                      <w:rFonts w:ascii="Times New Roman" w:hAnsi="Times New Roman" w:eastAsia="宋体"/>
                      <w:kern w:val="2"/>
                      <w:sz w:val="21"/>
                      <w:szCs w:val="21"/>
                    </w:rPr>
                  </w:pPr>
                </w:p>
              </w:tc>
              <w:tc>
                <w:tcPr>
                  <w:tcW w:w="1481" w:type="dxa"/>
                  <w:gridSpan w:val="2"/>
                  <w:vMerge w:val="continue"/>
                  <w:vAlign w:val="center"/>
                </w:tcPr>
                <w:p w14:paraId="4C60A31E">
                  <w:pPr>
                    <w:widowControl w:val="0"/>
                    <w:autoSpaceDE w:val="0"/>
                    <w:autoSpaceDN w:val="0"/>
                    <w:spacing w:after="0"/>
                    <w:jc w:val="center"/>
                    <w:textAlignment w:val="baseline"/>
                    <w:rPr>
                      <w:rFonts w:asciiTheme="minorEastAsia" w:hAnsiTheme="minorEastAsia" w:eastAsiaTheme="minorEastAsia" w:cstheme="minorEastAsia"/>
                      <w:sz w:val="21"/>
                    </w:rPr>
                  </w:pPr>
                </w:p>
              </w:tc>
              <w:tc>
                <w:tcPr>
                  <w:tcW w:w="2859" w:type="dxa"/>
                  <w:vAlign w:val="center"/>
                </w:tcPr>
                <w:p w14:paraId="28247DBE">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原料堆场 1500m</w:t>
                  </w:r>
                  <w:r>
                    <w:rPr>
                      <w:rFonts w:hint="eastAsia" w:ascii="Times New Roman" w:hAnsi="Times New Roman" w:eastAsia="宋体"/>
                      <w:kern w:val="2"/>
                      <w:sz w:val="21"/>
                      <w:szCs w:val="21"/>
                      <w:vertAlign w:val="superscript"/>
                    </w:rPr>
                    <w:t>2</w:t>
                  </w:r>
                  <w:r>
                    <w:rPr>
                      <w:rFonts w:hint="eastAsia" w:ascii="Times New Roman" w:hAnsi="Times New Roman" w:eastAsia="宋体"/>
                      <w:kern w:val="2"/>
                      <w:sz w:val="21"/>
                      <w:szCs w:val="21"/>
                    </w:rPr>
                    <w:t>，</w:t>
                  </w:r>
                  <w:r>
                    <w:rPr>
                      <w:rFonts w:hint="eastAsia" w:asciiTheme="minorEastAsia" w:hAnsiTheme="minorEastAsia" w:eastAsiaTheme="minorEastAsia" w:cstheme="minorEastAsia"/>
                      <w:sz w:val="21"/>
                    </w:rPr>
                    <w:t>完善原有原料堆场，搭棚密闭处理。</w:t>
                  </w:r>
                </w:p>
              </w:tc>
              <w:tc>
                <w:tcPr>
                  <w:tcW w:w="2860" w:type="dxa"/>
                  <w:vAlign w:val="center"/>
                </w:tcPr>
                <w:p w14:paraId="1415A71D">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原料堆场 1500m</w:t>
                  </w:r>
                  <w:r>
                    <w:rPr>
                      <w:rFonts w:hint="eastAsia" w:ascii="Times New Roman" w:hAnsi="Times New Roman" w:eastAsia="宋体"/>
                      <w:kern w:val="2"/>
                      <w:sz w:val="21"/>
                      <w:szCs w:val="21"/>
                      <w:vertAlign w:val="superscript"/>
                    </w:rPr>
                    <w:t>2</w:t>
                  </w:r>
                  <w:r>
                    <w:rPr>
                      <w:rFonts w:hint="eastAsia" w:ascii="Times New Roman" w:hAnsi="Times New Roman" w:eastAsia="宋体"/>
                      <w:kern w:val="2"/>
                      <w:sz w:val="21"/>
                      <w:szCs w:val="21"/>
                    </w:rPr>
                    <w:t>，</w:t>
                  </w:r>
                  <w:r>
                    <w:rPr>
                      <w:rFonts w:hint="eastAsia" w:asciiTheme="minorEastAsia" w:hAnsiTheme="minorEastAsia" w:eastAsiaTheme="minorEastAsia" w:cstheme="minorEastAsia"/>
                      <w:sz w:val="21"/>
                    </w:rPr>
                    <w:t>完善原有原料堆场，搭棚密闭处理。</w:t>
                  </w:r>
                </w:p>
              </w:tc>
              <w:tc>
                <w:tcPr>
                  <w:tcW w:w="1188" w:type="dxa"/>
                  <w:vAlign w:val="center"/>
                </w:tcPr>
                <w:p w14:paraId="55DACFB5">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一致</w:t>
                  </w:r>
                </w:p>
              </w:tc>
            </w:tr>
            <w:tr w14:paraId="2BC2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366" w:type="dxa"/>
                  <w:vMerge w:val="continue"/>
                  <w:vAlign w:val="center"/>
                </w:tcPr>
                <w:p w14:paraId="6FA923BF">
                  <w:pPr>
                    <w:widowControl w:val="0"/>
                    <w:autoSpaceDE w:val="0"/>
                    <w:autoSpaceDN w:val="0"/>
                    <w:spacing w:after="0"/>
                    <w:jc w:val="center"/>
                    <w:textAlignment w:val="baseline"/>
                    <w:rPr>
                      <w:rFonts w:ascii="Times New Roman" w:hAnsi="Times New Roman" w:eastAsia="宋体"/>
                      <w:kern w:val="2"/>
                      <w:sz w:val="21"/>
                      <w:szCs w:val="21"/>
                    </w:rPr>
                  </w:pPr>
                </w:p>
              </w:tc>
              <w:tc>
                <w:tcPr>
                  <w:tcW w:w="1481" w:type="dxa"/>
                  <w:gridSpan w:val="2"/>
                  <w:vAlign w:val="center"/>
                </w:tcPr>
                <w:p w14:paraId="7C9E602C">
                  <w:pPr>
                    <w:pStyle w:val="26"/>
                    <w:spacing w:before="1" w:line="242" w:lineRule="auto"/>
                    <w:ind w:right="23"/>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成品堆放场</w:t>
                  </w:r>
                </w:p>
              </w:tc>
              <w:tc>
                <w:tcPr>
                  <w:tcW w:w="2859" w:type="dxa"/>
                  <w:vAlign w:val="center"/>
                </w:tcPr>
                <w:p w14:paraId="31814235">
                  <w:pPr>
                    <w:widowControl w:val="0"/>
                    <w:adjustRightInd/>
                    <w:snapToGrid/>
                    <w:spacing w:after="0"/>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场地硬化，依托现有</w:t>
                  </w:r>
                </w:p>
              </w:tc>
              <w:tc>
                <w:tcPr>
                  <w:tcW w:w="2860" w:type="dxa"/>
                  <w:vAlign w:val="center"/>
                </w:tcPr>
                <w:p w14:paraId="3326D30C">
                  <w:pPr>
                    <w:widowControl w:val="0"/>
                    <w:adjustRightInd/>
                    <w:snapToGrid/>
                    <w:spacing w:after="0"/>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场地硬化，依托现有</w:t>
                  </w:r>
                </w:p>
              </w:tc>
              <w:tc>
                <w:tcPr>
                  <w:tcW w:w="1188" w:type="dxa"/>
                  <w:vAlign w:val="center"/>
                </w:tcPr>
                <w:p w14:paraId="29D75718">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一致</w:t>
                  </w:r>
                </w:p>
              </w:tc>
            </w:tr>
            <w:tr w14:paraId="33B9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66" w:type="dxa"/>
                  <w:vMerge w:val="continue"/>
                  <w:vAlign w:val="center"/>
                </w:tcPr>
                <w:p w14:paraId="3D4FA2E1">
                  <w:pPr>
                    <w:widowControl w:val="0"/>
                    <w:autoSpaceDE w:val="0"/>
                    <w:autoSpaceDN w:val="0"/>
                    <w:spacing w:after="0"/>
                    <w:jc w:val="center"/>
                    <w:textAlignment w:val="baseline"/>
                    <w:rPr>
                      <w:rFonts w:ascii="Times New Roman" w:hAnsi="Times New Roman" w:eastAsia="宋体"/>
                      <w:kern w:val="2"/>
                      <w:sz w:val="21"/>
                      <w:szCs w:val="21"/>
                    </w:rPr>
                  </w:pPr>
                </w:p>
              </w:tc>
              <w:tc>
                <w:tcPr>
                  <w:tcW w:w="1481" w:type="dxa"/>
                  <w:gridSpan w:val="2"/>
                  <w:vAlign w:val="center"/>
                </w:tcPr>
                <w:p w14:paraId="22DC286A">
                  <w:pPr>
                    <w:pStyle w:val="26"/>
                    <w:spacing w:before="1" w:line="242" w:lineRule="auto"/>
                    <w:ind w:right="23"/>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办公、生活区</w:t>
                  </w:r>
                </w:p>
              </w:tc>
              <w:tc>
                <w:tcPr>
                  <w:tcW w:w="2859" w:type="dxa"/>
                  <w:vAlign w:val="center"/>
                </w:tcPr>
                <w:p w14:paraId="6DAD298C">
                  <w:pPr>
                    <w:pStyle w:val="26"/>
                    <w:spacing w:before="1" w:line="242" w:lineRule="auto"/>
                    <w:ind w:right="23"/>
                    <w:jc w:val="center"/>
                    <w:rPr>
                      <w:rFonts w:ascii="Times New Roman" w:hAnsi="Times New Roman" w:cs="Times New Roman"/>
                      <w:kern w:val="2"/>
                      <w:sz w:val="21"/>
                      <w:szCs w:val="21"/>
                    </w:rPr>
                  </w:pPr>
                  <w:r>
                    <w:rPr>
                      <w:rFonts w:hint="eastAsia" w:ascii="Times New Roman" w:hAnsi="Times New Roman" w:cs="Times New Roman"/>
                      <w:kern w:val="2"/>
                      <w:sz w:val="21"/>
                      <w:szCs w:val="21"/>
                    </w:rPr>
                    <w:t>2F，建筑面积 650m</w:t>
                  </w:r>
                  <w:r>
                    <w:rPr>
                      <w:rFonts w:hint="eastAsia" w:ascii="Times New Roman" w:hAnsi="Times New Roman" w:cs="Times New Roman"/>
                      <w:kern w:val="2"/>
                      <w:sz w:val="21"/>
                      <w:szCs w:val="21"/>
                      <w:vertAlign w:val="superscript"/>
                    </w:rPr>
                    <w:t>2</w:t>
                  </w:r>
                  <w:r>
                    <w:rPr>
                      <w:rFonts w:hint="eastAsia" w:ascii="Times New Roman" w:hAnsi="Times New Roman" w:cs="Times New Roman"/>
                      <w:kern w:val="2"/>
                      <w:sz w:val="21"/>
                      <w:szCs w:val="21"/>
                    </w:rPr>
                    <w:t>，依托现有办公、生活区</w:t>
                  </w:r>
                </w:p>
              </w:tc>
              <w:tc>
                <w:tcPr>
                  <w:tcW w:w="2860" w:type="dxa"/>
                  <w:vAlign w:val="center"/>
                </w:tcPr>
                <w:p w14:paraId="4C2EBB5B">
                  <w:pPr>
                    <w:pStyle w:val="26"/>
                    <w:spacing w:before="1" w:line="242" w:lineRule="auto"/>
                    <w:ind w:right="23"/>
                    <w:jc w:val="center"/>
                    <w:rPr>
                      <w:rFonts w:ascii="Times New Roman" w:hAnsi="Times New Roman" w:cs="Times New Roman"/>
                      <w:kern w:val="2"/>
                      <w:sz w:val="21"/>
                      <w:szCs w:val="21"/>
                    </w:rPr>
                  </w:pPr>
                  <w:r>
                    <w:rPr>
                      <w:rFonts w:hint="eastAsia" w:ascii="Times New Roman" w:hAnsi="Times New Roman" w:cs="Times New Roman"/>
                      <w:kern w:val="2"/>
                      <w:sz w:val="21"/>
                      <w:szCs w:val="21"/>
                    </w:rPr>
                    <w:t>2F，建筑面积 650m</w:t>
                  </w:r>
                  <w:r>
                    <w:rPr>
                      <w:rFonts w:hint="eastAsia" w:ascii="Times New Roman" w:hAnsi="Times New Roman" w:cs="Times New Roman"/>
                      <w:kern w:val="2"/>
                      <w:sz w:val="21"/>
                      <w:szCs w:val="21"/>
                      <w:vertAlign w:val="superscript"/>
                    </w:rPr>
                    <w:t>2</w:t>
                  </w:r>
                  <w:r>
                    <w:rPr>
                      <w:rFonts w:hint="eastAsia" w:ascii="Times New Roman" w:hAnsi="Times New Roman" w:cs="Times New Roman"/>
                      <w:kern w:val="2"/>
                      <w:sz w:val="21"/>
                      <w:szCs w:val="21"/>
                    </w:rPr>
                    <w:t>，依托现有办公、生活区</w:t>
                  </w:r>
                </w:p>
              </w:tc>
              <w:tc>
                <w:tcPr>
                  <w:tcW w:w="1188" w:type="dxa"/>
                  <w:vAlign w:val="center"/>
                </w:tcPr>
                <w:p w14:paraId="0476CA57">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一致</w:t>
                  </w:r>
                </w:p>
              </w:tc>
            </w:tr>
            <w:tr w14:paraId="6C96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366" w:type="dxa"/>
                  <w:vMerge w:val="restart"/>
                  <w:vAlign w:val="center"/>
                </w:tcPr>
                <w:p w14:paraId="5F86446E">
                  <w:pPr>
                    <w:widowControl w:val="0"/>
                    <w:autoSpaceDE w:val="0"/>
                    <w:autoSpaceDN w:val="0"/>
                    <w:spacing w:after="0"/>
                    <w:jc w:val="center"/>
                    <w:textAlignment w:val="baseline"/>
                    <w:rPr>
                      <w:rFonts w:ascii="Times New Roman" w:hAnsi="Times New Roman" w:eastAsia="宋体"/>
                      <w:kern w:val="2"/>
                      <w:sz w:val="21"/>
                      <w:szCs w:val="21"/>
                    </w:rPr>
                  </w:pPr>
                  <w:r>
                    <w:rPr>
                      <w:rFonts w:ascii="Times New Roman" w:hAnsi="Times New Roman" w:eastAsia="宋体"/>
                      <w:kern w:val="2"/>
                      <w:sz w:val="21"/>
                      <w:szCs w:val="21"/>
                    </w:rPr>
                    <w:t>公用工程</w:t>
                  </w:r>
                </w:p>
              </w:tc>
              <w:tc>
                <w:tcPr>
                  <w:tcW w:w="1481" w:type="dxa"/>
                  <w:gridSpan w:val="2"/>
                  <w:vAlign w:val="center"/>
                </w:tcPr>
                <w:p w14:paraId="4611C24B">
                  <w:pPr>
                    <w:widowControl w:val="0"/>
                    <w:autoSpaceDE w:val="0"/>
                    <w:autoSpaceDN w:val="0"/>
                    <w:spacing w:after="0"/>
                    <w:jc w:val="center"/>
                    <w:textAlignment w:val="baseline"/>
                    <w:rPr>
                      <w:rFonts w:ascii="Times New Roman" w:hAnsi="Times New Roman" w:eastAsia="宋体"/>
                      <w:kern w:val="2"/>
                      <w:sz w:val="21"/>
                      <w:szCs w:val="21"/>
                    </w:rPr>
                  </w:pPr>
                  <w:r>
                    <w:rPr>
                      <w:rFonts w:ascii="Times New Roman" w:hAnsi="Times New Roman" w:eastAsia="宋体"/>
                      <w:kern w:val="2"/>
                      <w:sz w:val="21"/>
                      <w:szCs w:val="21"/>
                    </w:rPr>
                    <w:t>给水</w:t>
                  </w:r>
                </w:p>
              </w:tc>
              <w:tc>
                <w:tcPr>
                  <w:tcW w:w="2859" w:type="dxa"/>
                  <w:vAlign w:val="center"/>
                </w:tcPr>
                <w:p w14:paraId="6A591ED7">
                  <w:pPr>
                    <w:pStyle w:val="26"/>
                    <w:spacing w:before="1" w:line="242" w:lineRule="auto"/>
                    <w:ind w:right="23"/>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依托井水</w:t>
                  </w:r>
                </w:p>
              </w:tc>
              <w:tc>
                <w:tcPr>
                  <w:tcW w:w="2860" w:type="dxa"/>
                  <w:vAlign w:val="center"/>
                </w:tcPr>
                <w:p w14:paraId="2A3533C3">
                  <w:pPr>
                    <w:pStyle w:val="26"/>
                    <w:spacing w:before="1" w:line="242" w:lineRule="auto"/>
                    <w:ind w:right="23"/>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依托井水</w:t>
                  </w:r>
                </w:p>
              </w:tc>
              <w:tc>
                <w:tcPr>
                  <w:tcW w:w="1188" w:type="dxa"/>
                  <w:vAlign w:val="center"/>
                </w:tcPr>
                <w:p w14:paraId="6980BF5D">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一致</w:t>
                  </w:r>
                </w:p>
              </w:tc>
            </w:tr>
            <w:tr w14:paraId="6BCA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366" w:type="dxa"/>
                  <w:vMerge w:val="continue"/>
                  <w:vAlign w:val="center"/>
                </w:tcPr>
                <w:p w14:paraId="0B46BCF1">
                  <w:pPr>
                    <w:widowControl w:val="0"/>
                    <w:autoSpaceDE w:val="0"/>
                    <w:autoSpaceDN w:val="0"/>
                    <w:spacing w:after="0"/>
                    <w:jc w:val="center"/>
                    <w:textAlignment w:val="baseline"/>
                    <w:rPr>
                      <w:rFonts w:ascii="Times New Roman" w:hAnsi="Times New Roman" w:eastAsia="宋体"/>
                      <w:kern w:val="2"/>
                      <w:sz w:val="21"/>
                      <w:szCs w:val="21"/>
                    </w:rPr>
                  </w:pPr>
                </w:p>
              </w:tc>
              <w:tc>
                <w:tcPr>
                  <w:tcW w:w="1481" w:type="dxa"/>
                  <w:gridSpan w:val="2"/>
                  <w:vAlign w:val="center"/>
                </w:tcPr>
                <w:p w14:paraId="1630D8F0">
                  <w:pPr>
                    <w:widowControl w:val="0"/>
                    <w:autoSpaceDE w:val="0"/>
                    <w:autoSpaceDN w:val="0"/>
                    <w:spacing w:after="0"/>
                    <w:jc w:val="center"/>
                    <w:textAlignment w:val="baseline"/>
                    <w:rPr>
                      <w:rFonts w:ascii="Times New Roman" w:hAnsi="Times New Roman" w:eastAsia="宋体"/>
                      <w:kern w:val="2"/>
                      <w:sz w:val="21"/>
                      <w:szCs w:val="21"/>
                    </w:rPr>
                  </w:pPr>
                  <w:r>
                    <w:rPr>
                      <w:rFonts w:ascii="Times New Roman" w:hAnsi="Times New Roman" w:eastAsia="宋体"/>
                      <w:kern w:val="2"/>
                      <w:sz w:val="21"/>
                      <w:szCs w:val="21"/>
                    </w:rPr>
                    <w:t>供电</w:t>
                  </w:r>
                </w:p>
              </w:tc>
              <w:tc>
                <w:tcPr>
                  <w:tcW w:w="2859" w:type="dxa"/>
                  <w:vAlign w:val="center"/>
                </w:tcPr>
                <w:p w14:paraId="6B9D5DAE">
                  <w:pPr>
                    <w:pStyle w:val="26"/>
                    <w:spacing w:before="1" w:line="242" w:lineRule="auto"/>
                    <w:ind w:right="23"/>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依托市政电网引入，设置配电房</w:t>
                  </w:r>
                </w:p>
              </w:tc>
              <w:tc>
                <w:tcPr>
                  <w:tcW w:w="2860" w:type="dxa"/>
                  <w:vAlign w:val="center"/>
                </w:tcPr>
                <w:p w14:paraId="7A831C00">
                  <w:pPr>
                    <w:pStyle w:val="26"/>
                    <w:spacing w:before="1" w:line="242" w:lineRule="auto"/>
                    <w:ind w:right="23"/>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依托市政电网引入，设置配电房</w:t>
                  </w:r>
                </w:p>
              </w:tc>
              <w:tc>
                <w:tcPr>
                  <w:tcW w:w="1188" w:type="dxa"/>
                  <w:vAlign w:val="center"/>
                </w:tcPr>
                <w:p w14:paraId="1AA06DA7">
                  <w:pPr>
                    <w:widowControl w:val="0"/>
                    <w:adjustRightInd/>
                    <w:snapToGrid/>
                    <w:spacing w:after="0"/>
                    <w:jc w:val="center"/>
                    <w:rPr>
                      <w:rFonts w:ascii="Times New Roman" w:hAnsi="Times New Roman" w:eastAsia="宋体"/>
                      <w:kern w:val="2"/>
                      <w:sz w:val="21"/>
                      <w:szCs w:val="21"/>
                    </w:rPr>
                  </w:pPr>
                </w:p>
              </w:tc>
            </w:tr>
            <w:tr w14:paraId="0AC9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366" w:type="dxa"/>
                  <w:vMerge w:val="continue"/>
                  <w:vAlign w:val="center"/>
                </w:tcPr>
                <w:p w14:paraId="7AE778A8">
                  <w:pPr>
                    <w:widowControl w:val="0"/>
                    <w:autoSpaceDE w:val="0"/>
                    <w:autoSpaceDN w:val="0"/>
                    <w:spacing w:after="0"/>
                    <w:jc w:val="center"/>
                    <w:textAlignment w:val="baseline"/>
                    <w:rPr>
                      <w:rFonts w:ascii="Times New Roman" w:hAnsi="Times New Roman" w:eastAsia="宋体"/>
                      <w:kern w:val="2"/>
                      <w:sz w:val="21"/>
                      <w:szCs w:val="21"/>
                    </w:rPr>
                  </w:pPr>
                </w:p>
              </w:tc>
              <w:tc>
                <w:tcPr>
                  <w:tcW w:w="1481" w:type="dxa"/>
                  <w:gridSpan w:val="2"/>
                  <w:vAlign w:val="center"/>
                </w:tcPr>
                <w:p w14:paraId="1815A462">
                  <w:pPr>
                    <w:widowControl w:val="0"/>
                    <w:autoSpaceDE w:val="0"/>
                    <w:autoSpaceDN w:val="0"/>
                    <w:spacing w:after="0"/>
                    <w:jc w:val="center"/>
                    <w:textAlignment w:val="baseline"/>
                    <w:rPr>
                      <w:rFonts w:ascii="Times New Roman" w:hAnsi="Times New Roman" w:eastAsia="宋体"/>
                      <w:kern w:val="2"/>
                      <w:sz w:val="21"/>
                      <w:szCs w:val="21"/>
                    </w:rPr>
                  </w:pPr>
                  <w:r>
                    <w:rPr>
                      <w:rFonts w:ascii="Times New Roman" w:hAnsi="Times New Roman" w:eastAsia="宋体"/>
                      <w:kern w:val="2"/>
                      <w:sz w:val="21"/>
                      <w:szCs w:val="21"/>
                    </w:rPr>
                    <w:t>排水</w:t>
                  </w:r>
                </w:p>
              </w:tc>
              <w:tc>
                <w:tcPr>
                  <w:tcW w:w="2859" w:type="dxa"/>
                  <w:vAlign w:val="center"/>
                </w:tcPr>
                <w:p w14:paraId="7F44C4DA">
                  <w:pPr>
                    <w:pStyle w:val="26"/>
                    <w:spacing w:before="1" w:line="242" w:lineRule="auto"/>
                    <w:ind w:right="23"/>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项目产生生产废水，全部回用，不外排；生活污水排入储粪池，定期清运。</w:t>
                  </w:r>
                </w:p>
              </w:tc>
              <w:tc>
                <w:tcPr>
                  <w:tcW w:w="2860" w:type="dxa"/>
                  <w:vAlign w:val="center"/>
                </w:tcPr>
                <w:p w14:paraId="02486BFF">
                  <w:pPr>
                    <w:pStyle w:val="26"/>
                    <w:spacing w:before="1" w:line="242" w:lineRule="auto"/>
                    <w:ind w:right="23"/>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项目产生生产废水，全部回用，不外排；生活污水排入储粪池，定期清运。</w:t>
                  </w:r>
                </w:p>
              </w:tc>
              <w:tc>
                <w:tcPr>
                  <w:tcW w:w="1188" w:type="dxa"/>
                  <w:vAlign w:val="center"/>
                </w:tcPr>
                <w:p w14:paraId="24561864">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一致</w:t>
                  </w:r>
                </w:p>
              </w:tc>
            </w:tr>
            <w:tr w14:paraId="4369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dxa"/>
                  <w:vMerge w:val="continue"/>
                  <w:vAlign w:val="center"/>
                </w:tcPr>
                <w:p w14:paraId="277E583A">
                  <w:pPr>
                    <w:widowControl w:val="0"/>
                    <w:autoSpaceDE w:val="0"/>
                    <w:autoSpaceDN w:val="0"/>
                    <w:spacing w:after="0"/>
                    <w:jc w:val="center"/>
                    <w:textAlignment w:val="baseline"/>
                    <w:rPr>
                      <w:rFonts w:ascii="Times New Roman" w:hAnsi="Times New Roman" w:eastAsia="宋体"/>
                      <w:kern w:val="2"/>
                      <w:sz w:val="21"/>
                      <w:szCs w:val="21"/>
                    </w:rPr>
                  </w:pPr>
                </w:p>
              </w:tc>
              <w:tc>
                <w:tcPr>
                  <w:tcW w:w="1481" w:type="dxa"/>
                  <w:gridSpan w:val="2"/>
                  <w:vAlign w:val="center"/>
                </w:tcPr>
                <w:p w14:paraId="3E6EA39D">
                  <w:pPr>
                    <w:widowControl w:val="0"/>
                    <w:autoSpaceDE w:val="0"/>
                    <w:autoSpaceDN w:val="0"/>
                    <w:spacing w:after="0"/>
                    <w:jc w:val="center"/>
                    <w:textAlignment w:val="baseline"/>
                    <w:rPr>
                      <w:rFonts w:ascii="Times New Roman" w:hAnsi="Times New Roman" w:eastAsia="宋体"/>
                      <w:kern w:val="2"/>
                      <w:sz w:val="21"/>
                      <w:szCs w:val="21"/>
                    </w:rPr>
                  </w:pPr>
                  <w:r>
                    <w:rPr>
                      <w:rFonts w:hint="eastAsia" w:ascii="Times New Roman" w:hAnsi="Times New Roman" w:eastAsia="宋体"/>
                      <w:kern w:val="2"/>
                      <w:sz w:val="21"/>
                      <w:szCs w:val="21"/>
                    </w:rPr>
                    <w:t>供暖</w:t>
                  </w:r>
                </w:p>
              </w:tc>
              <w:tc>
                <w:tcPr>
                  <w:tcW w:w="2859" w:type="dxa"/>
                  <w:vAlign w:val="center"/>
                </w:tcPr>
                <w:p w14:paraId="2E8A82E7">
                  <w:pPr>
                    <w:widowControl w:val="0"/>
                    <w:autoSpaceDE w:val="0"/>
                    <w:autoSpaceDN w:val="0"/>
                    <w:spacing w:after="0"/>
                    <w:jc w:val="center"/>
                    <w:textAlignment w:val="baseline"/>
                    <w:rPr>
                      <w:rFonts w:ascii="Times New Roman" w:hAnsi="Times New Roman" w:eastAsia="宋体"/>
                      <w:kern w:val="2"/>
                      <w:sz w:val="21"/>
                      <w:szCs w:val="21"/>
                    </w:rPr>
                  </w:pPr>
                  <w:r>
                    <w:rPr>
                      <w:rFonts w:hint="eastAsia" w:asciiTheme="minorEastAsia" w:hAnsiTheme="minorEastAsia" w:eastAsiaTheme="minorEastAsia" w:cstheme="minorEastAsia"/>
                      <w:sz w:val="21"/>
                    </w:rPr>
                    <w:t>分体式空调</w:t>
                  </w:r>
                </w:p>
              </w:tc>
              <w:tc>
                <w:tcPr>
                  <w:tcW w:w="2860" w:type="dxa"/>
                  <w:vAlign w:val="center"/>
                </w:tcPr>
                <w:p w14:paraId="703D5B0B">
                  <w:pPr>
                    <w:widowControl w:val="0"/>
                    <w:autoSpaceDE w:val="0"/>
                    <w:autoSpaceDN w:val="0"/>
                    <w:spacing w:after="0"/>
                    <w:jc w:val="center"/>
                    <w:textAlignment w:val="baseline"/>
                    <w:rPr>
                      <w:rFonts w:ascii="Times New Roman" w:hAnsi="Times New Roman" w:eastAsia="宋体"/>
                      <w:kern w:val="2"/>
                      <w:sz w:val="21"/>
                      <w:szCs w:val="21"/>
                    </w:rPr>
                  </w:pPr>
                  <w:r>
                    <w:rPr>
                      <w:rFonts w:hint="eastAsia" w:asciiTheme="minorEastAsia" w:hAnsiTheme="minorEastAsia" w:eastAsiaTheme="minorEastAsia" w:cstheme="minorEastAsia"/>
                      <w:sz w:val="21"/>
                    </w:rPr>
                    <w:t>分体式空调</w:t>
                  </w:r>
                </w:p>
              </w:tc>
              <w:tc>
                <w:tcPr>
                  <w:tcW w:w="1188" w:type="dxa"/>
                  <w:vAlign w:val="center"/>
                </w:tcPr>
                <w:p w14:paraId="393D1C7D">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一致</w:t>
                  </w:r>
                </w:p>
              </w:tc>
            </w:tr>
            <w:tr w14:paraId="00C4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66" w:type="dxa"/>
                  <w:vMerge w:val="restart"/>
                  <w:vAlign w:val="center"/>
                </w:tcPr>
                <w:p w14:paraId="56C3BDEE">
                  <w:pPr>
                    <w:widowControl w:val="0"/>
                    <w:autoSpaceDE w:val="0"/>
                    <w:autoSpaceDN w:val="0"/>
                    <w:spacing w:after="0"/>
                    <w:jc w:val="center"/>
                    <w:textAlignment w:val="baseline"/>
                    <w:rPr>
                      <w:rFonts w:ascii="Times New Roman" w:hAnsi="Times New Roman" w:eastAsia="宋体"/>
                      <w:kern w:val="2"/>
                      <w:sz w:val="21"/>
                      <w:szCs w:val="21"/>
                    </w:rPr>
                  </w:pPr>
                  <w:r>
                    <w:rPr>
                      <w:rFonts w:ascii="Times New Roman" w:hAnsi="Times New Roman" w:eastAsia="宋体"/>
                      <w:kern w:val="2"/>
                      <w:sz w:val="21"/>
                      <w:szCs w:val="21"/>
                    </w:rPr>
                    <w:t>环保工程</w:t>
                  </w:r>
                </w:p>
              </w:tc>
              <w:tc>
                <w:tcPr>
                  <w:tcW w:w="425" w:type="dxa"/>
                  <w:vMerge w:val="restart"/>
                  <w:vAlign w:val="center"/>
                </w:tcPr>
                <w:p w14:paraId="3E39A53A">
                  <w:pPr>
                    <w:widowControl w:val="0"/>
                    <w:autoSpaceDE w:val="0"/>
                    <w:autoSpaceDN w:val="0"/>
                    <w:spacing w:after="0"/>
                    <w:jc w:val="center"/>
                    <w:textAlignment w:val="baseline"/>
                    <w:rPr>
                      <w:rFonts w:ascii="Times New Roman" w:hAnsi="Times New Roman" w:eastAsia="宋体"/>
                      <w:kern w:val="2"/>
                      <w:sz w:val="21"/>
                      <w:szCs w:val="21"/>
                    </w:rPr>
                  </w:pPr>
                  <w:r>
                    <w:rPr>
                      <w:rFonts w:ascii="Times New Roman" w:hAnsi="Times New Roman" w:eastAsia="宋体"/>
                      <w:kern w:val="2"/>
                      <w:sz w:val="21"/>
                      <w:szCs w:val="21"/>
                    </w:rPr>
                    <w:t>废气</w:t>
                  </w:r>
                </w:p>
              </w:tc>
              <w:tc>
                <w:tcPr>
                  <w:tcW w:w="1056" w:type="dxa"/>
                  <w:vAlign w:val="center"/>
                </w:tcPr>
                <w:p w14:paraId="316E12E6">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料仓</w:t>
                  </w:r>
                </w:p>
              </w:tc>
              <w:tc>
                <w:tcPr>
                  <w:tcW w:w="2859" w:type="dxa"/>
                  <w:vAlign w:val="center"/>
                </w:tcPr>
                <w:p w14:paraId="23F644D2">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仓顶安装除尘器</w:t>
                  </w:r>
                </w:p>
              </w:tc>
              <w:tc>
                <w:tcPr>
                  <w:tcW w:w="2860" w:type="dxa"/>
                  <w:vAlign w:val="center"/>
                </w:tcPr>
                <w:p w14:paraId="5B655BF4">
                  <w:pPr>
                    <w:widowControl w:val="0"/>
                    <w:autoSpaceDE w:val="0"/>
                    <w:autoSpaceDN w:val="0"/>
                    <w:spacing w:after="0"/>
                    <w:jc w:val="center"/>
                    <w:textAlignment w:val="baseline"/>
                    <w:rPr>
                      <w:rFonts w:ascii="Times New Roman" w:hAnsi="Times New Roman" w:eastAsia="宋体"/>
                      <w:kern w:val="2"/>
                      <w:sz w:val="21"/>
                      <w:szCs w:val="21"/>
                    </w:rPr>
                  </w:pPr>
                  <w:r>
                    <w:rPr>
                      <w:rFonts w:hint="eastAsia" w:ascii="Times New Roman" w:hAnsi="Times New Roman" w:eastAsia="宋体"/>
                      <w:kern w:val="2"/>
                      <w:sz w:val="21"/>
                      <w:szCs w:val="21"/>
                    </w:rPr>
                    <w:t>仓顶安装除尘器</w:t>
                  </w:r>
                </w:p>
              </w:tc>
              <w:tc>
                <w:tcPr>
                  <w:tcW w:w="1188" w:type="dxa"/>
                  <w:vAlign w:val="center"/>
                </w:tcPr>
                <w:p w14:paraId="1D1A5BC1">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一致</w:t>
                  </w:r>
                </w:p>
              </w:tc>
            </w:tr>
            <w:tr w14:paraId="46CB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66" w:type="dxa"/>
                  <w:vMerge w:val="continue"/>
                  <w:vAlign w:val="center"/>
                </w:tcPr>
                <w:p w14:paraId="179637AE">
                  <w:pPr>
                    <w:widowControl w:val="0"/>
                    <w:autoSpaceDE w:val="0"/>
                    <w:autoSpaceDN w:val="0"/>
                    <w:spacing w:after="0"/>
                    <w:jc w:val="center"/>
                    <w:textAlignment w:val="baseline"/>
                    <w:rPr>
                      <w:rFonts w:ascii="Times New Roman" w:hAnsi="Times New Roman" w:eastAsia="宋体"/>
                      <w:kern w:val="2"/>
                      <w:sz w:val="21"/>
                      <w:szCs w:val="21"/>
                    </w:rPr>
                  </w:pPr>
                </w:p>
              </w:tc>
              <w:tc>
                <w:tcPr>
                  <w:tcW w:w="425" w:type="dxa"/>
                  <w:vMerge w:val="continue"/>
                  <w:vAlign w:val="center"/>
                </w:tcPr>
                <w:p w14:paraId="66F76D02">
                  <w:pPr>
                    <w:widowControl w:val="0"/>
                    <w:autoSpaceDE w:val="0"/>
                    <w:autoSpaceDN w:val="0"/>
                    <w:spacing w:after="0"/>
                    <w:jc w:val="center"/>
                    <w:textAlignment w:val="baseline"/>
                    <w:rPr>
                      <w:rFonts w:ascii="Times New Roman" w:hAnsi="Times New Roman" w:eastAsia="宋体"/>
                      <w:kern w:val="2"/>
                      <w:sz w:val="21"/>
                      <w:szCs w:val="21"/>
                    </w:rPr>
                  </w:pPr>
                </w:p>
              </w:tc>
              <w:tc>
                <w:tcPr>
                  <w:tcW w:w="1056" w:type="dxa"/>
                  <w:vAlign w:val="center"/>
                </w:tcPr>
                <w:p w14:paraId="77ACE49D">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破碎</w:t>
                  </w:r>
                </w:p>
              </w:tc>
              <w:tc>
                <w:tcPr>
                  <w:tcW w:w="2859" w:type="dxa"/>
                  <w:vAlign w:val="center"/>
                </w:tcPr>
                <w:p w14:paraId="1F183F3D">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布袋除尘，15m高排气筒排放</w:t>
                  </w:r>
                </w:p>
              </w:tc>
              <w:tc>
                <w:tcPr>
                  <w:tcW w:w="2860" w:type="dxa"/>
                  <w:vAlign w:val="center"/>
                </w:tcPr>
                <w:p w14:paraId="09846AF4">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布袋除尘，15m高排气筒排放</w:t>
                  </w:r>
                </w:p>
              </w:tc>
              <w:tc>
                <w:tcPr>
                  <w:tcW w:w="1188" w:type="dxa"/>
                  <w:vAlign w:val="center"/>
                </w:tcPr>
                <w:p w14:paraId="54EEFC16">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一致</w:t>
                  </w:r>
                </w:p>
              </w:tc>
            </w:tr>
            <w:tr w14:paraId="2524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66" w:type="dxa"/>
                  <w:vMerge w:val="continue"/>
                  <w:vAlign w:val="center"/>
                </w:tcPr>
                <w:p w14:paraId="6B169E4D">
                  <w:pPr>
                    <w:widowControl w:val="0"/>
                    <w:autoSpaceDE w:val="0"/>
                    <w:autoSpaceDN w:val="0"/>
                    <w:spacing w:after="0"/>
                    <w:jc w:val="center"/>
                    <w:textAlignment w:val="baseline"/>
                    <w:rPr>
                      <w:rFonts w:ascii="Times New Roman" w:hAnsi="Times New Roman" w:eastAsia="宋体"/>
                      <w:kern w:val="2"/>
                      <w:sz w:val="21"/>
                      <w:szCs w:val="21"/>
                    </w:rPr>
                  </w:pPr>
                </w:p>
              </w:tc>
              <w:tc>
                <w:tcPr>
                  <w:tcW w:w="425" w:type="dxa"/>
                  <w:vMerge w:val="continue"/>
                  <w:vAlign w:val="center"/>
                </w:tcPr>
                <w:p w14:paraId="07BCD123">
                  <w:pPr>
                    <w:widowControl w:val="0"/>
                    <w:autoSpaceDE w:val="0"/>
                    <w:autoSpaceDN w:val="0"/>
                    <w:spacing w:after="0"/>
                    <w:jc w:val="center"/>
                    <w:textAlignment w:val="baseline"/>
                    <w:rPr>
                      <w:rFonts w:ascii="Times New Roman" w:hAnsi="Times New Roman" w:eastAsia="宋体"/>
                      <w:kern w:val="2"/>
                      <w:sz w:val="21"/>
                      <w:szCs w:val="21"/>
                    </w:rPr>
                  </w:pPr>
                </w:p>
              </w:tc>
              <w:tc>
                <w:tcPr>
                  <w:tcW w:w="1056" w:type="dxa"/>
                  <w:vAlign w:val="center"/>
                </w:tcPr>
                <w:p w14:paraId="6415CA86">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球磨机</w:t>
                  </w:r>
                </w:p>
              </w:tc>
              <w:tc>
                <w:tcPr>
                  <w:tcW w:w="2859" w:type="dxa"/>
                  <w:vAlign w:val="center"/>
                </w:tcPr>
                <w:p w14:paraId="066445B2">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布袋除尘，15m高排气筒排放</w:t>
                  </w:r>
                </w:p>
              </w:tc>
              <w:tc>
                <w:tcPr>
                  <w:tcW w:w="2860" w:type="dxa"/>
                  <w:vAlign w:val="center"/>
                </w:tcPr>
                <w:p w14:paraId="506DEA6C">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布袋除尘（2套），15m高排气筒排放</w:t>
                  </w:r>
                </w:p>
              </w:tc>
              <w:tc>
                <w:tcPr>
                  <w:tcW w:w="1188" w:type="dxa"/>
                  <w:vAlign w:val="center"/>
                </w:tcPr>
                <w:p w14:paraId="12853321">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一致</w:t>
                  </w:r>
                </w:p>
              </w:tc>
            </w:tr>
            <w:tr w14:paraId="066B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66" w:type="dxa"/>
                  <w:vMerge w:val="continue"/>
                  <w:vAlign w:val="center"/>
                </w:tcPr>
                <w:p w14:paraId="4AFF2DB9">
                  <w:pPr>
                    <w:widowControl w:val="0"/>
                    <w:autoSpaceDE w:val="0"/>
                    <w:autoSpaceDN w:val="0"/>
                    <w:spacing w:after="0"/>
                    <w:jc w:val="center"/>
                    <w:textAlignment w:val="baseline"/>
                    <w:rPr>
                      <w:rFonts w:ascii="Times New Roman" w:hAnsi="Times New Roman" w:eastAsia="宋体"/>
                      <w:kern w:val="2"/>
                      <w:sz w:val="21"/>
                      <w:szCs w:val="21"/>
                    </w:rPr>
                  </w:pPr>
                </w:p>
              </w:tc>
              <w:tc>
                <w:tcPr>
                  <w:tcW w:w="425" w:type="dxa"/>
                  <w:vMerge w:val="continue"/>
                  <w:vAlign w:val="center"/>
                </w:tcPr>
                <w:p w14:paraId="2BB9A142">
                  <w:pPr>
                    <w:widowControl w:val="0"/>
                    <w:autoSpaceDE w:val="0"/>
                    <w:autoSpaceDN w:val="0"/>
                    <w:spacing w:after="0"/>
                    <w:jc w:val="center"/>
                    <w:textAlignment w:val="baseline"/>
                    <w:rPr>
                      <w:rFonts w:ascii="Times New Roman" w:hAnsi="Times New Roman" w:eastAsia="宋体"/>
                      <w:kern w:val="2"/>
                      <w:sz w:val="21"/>
                      <w:szCs w:val="21"/>
                    </w:rPr>
                  </w:pPr>
                </w:p>
              </w:tc>
              <w:tc>
                <w:tcPr>
                  <w:tcW w:w="1056" w:type="dxa"/>
                  <w:vAlign w:val="center"/>
                </w:tcPr>
                <w:p w14:paraId="66D4851A">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粉煤料棚</w:t>
                  </w:r>
                </w:p>
              </w:tc>
              <w:tc>
                <w:tcPr>
                  <w:tcW w:w="2859" w:type="dxa"/>
                  <w:vAlign w:val="center"/>
                </w:tcPr>
                <w:p w14:paraId="419C47E4">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建筑面积1200m</w:t>
                  </w:r>
                  <w:r>
                    <w:rPr>
                      <w:rFonts w:hint="eastAsia" w:ascii="Times New Roman" w:hAnsi="Times New Roman" w:eastAsia="宋体"/>
                      <w:kern w:val="2"/>
                      <w:sz w:val="21"/>
                      <w:szCs w:val="21"/>
                      <w:vertAlign w:val="superscript"/>
                    </w:rPr>
                    <w:t>2</w:t>
                  </w:r>
                  <w:r>
                    <w:rPr>
                      <w:rFonts w:hint="eastAsia" w:ascii="Times New Roman" w:hAnsi="Times New Roman" w:eastAsia="宋体"/>
                      <w:kern w:val="2"/>
                      <w:sz w:val="21"/>
                      <w:szCs w:val="21"/>
                    </w:rPr>
                    <w:t>，设置洒水降尘设施</w:t>
                  </w:r>
                </w:p>
              </w:tc>
              <w:tc>
                <w:tcPr>
                  <w:tcW w:w="2860" w:type="dxa"/>
                  <w:vAlign w:val="center"/>
                </w:tcPr>
                <w:p w14:paraId="3BCEDE0C">
                  <w:pPr>
                    <w:widowControl w:val="0"/>
                    <w:autoSpaceDE w:val="0"/>
                    <w:autoSpaceDN w:val="0"/>
                    <w:spacing w:after="0"/>
                    <w:jc w:val="center"/>
                    <w:textAlignment w:val="baseline"/>
                    <w:rPr>
                      <w:rFonts w:ascii="Times New Roman" w:hAnsi="Times New Roman" w:eastAsia="宋体"/>
                      <w:kern w:val="2"/>
                      <w:sz w:val="21"/>
                      <w:szCs w:val="21"/>
                    </w:rPr>
                  </w:pPr>
                  <w:r>
                    <w:rPr>
                      <w:rFonts w:hint="eastAsia" w:ascii="Times New Roman" w:hAnsi="Times New Roman" w:eastAsia="宋体"/>
                      <w:kern w:val="2"/>
                      <w:sz w:val="21"/>
                      <w:szCs w:val="21"/>
                    </w:rPr>
                    <w:t>建筑面积1200m</w:t>
                  </w:r>
                  <w:r>
                    <w:rPr>
                      <w:rFonts w:hint="eastAsia" w:ascii="Times New Roman" w:hAnsi="Times New Roman" w:eastAsia="宋体"/>
                      <w:kern w:val="2"/>
                      <w:sz w:val="21"/>
                      <w:szCs w:val="21"/>
                      <w:vertAlign w:val="superscript"/>
                    </w:rPr>
                    <w:t>2</w:t>
                  </w:r>
                  <w:r>
                    <w:rPr>
                      <w:rFonts w:hint="eastAsia" w:ascii="Times New Roman" w:hAnsi="Times New Roman" w:eastAsia="宋体"/>
                      <w:kern w:val="2"/>
                      <w:sz w:val="21"/>
                      <w:szCs w:val="21"/>
                    </w:rPr>
                    <w:t>，设置洒水降尘设施</w:t>
                  </w:r>
                </w:p>
              </w:tc>
              <w:tc>
                <w:tcPr>
                  <w:tcW w:w="1188" w:type="dxa"/>
                  <w:vAlign w:val="center"/>
                </w:tcPr>
                <w:p w14:paraId="5F4F556E">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一致</w:t>
                  </w:r>
                </w:p>
              </w:tc>
            </w:tr>
            <w:tr w14:paraId="5334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366" w:type="dxa"/>
                  <w:vMerge w:val="continue"/>
                  <w:vAlign w:val="center"/>
                </w:tcPr>
                <w:p w14:paraId="27FD7130">
                  <w:pPr>
                    <w:widowControl w:val="0"/>
                    <w:autoSpaceDE w:val="0"/>
                    <w:autoSpaceDN w:val="0"/>
                    <w:spacing w:after="0"/>
                    <w:jc w:val="center"/>
                    <w:textAlignment w:val="baseline"/>
                    <w:rPr>
                      <w:rFonts w:ascii="Times New Roman" w:hAnsi="Times New Roman" w:eastAsia="宋体"/>
                      <w:kern w:val="2"/>
                      <w:sz w:val="21"/>
                      <w:szCs w:val="21"/>
                    </w:rPr>
                  </w:pPr>
                </w:p>
              </w:tc>
              <w:tc>
                <w:tcPr>
                  <w:tcW w:w="1481" w:type="dxa"/>
                  <w:gridSpan w:val="2"/>
                  <w:vAlign w:val="center"/>
                </w:tcPr>
                <w:p w14:paraId="42463E00">
                  <w:pPr>
                    <w:widowControl w:val="0"/>
                    <w:autoSpaceDE w:val="0"/>
                    <w:autoSpaceDN w:val="0"/>
                    <w:spacing w:after="0"/>
                    <w:jc w:val="center"/>
                    <w:textAlignment w:val="baseline"/>
                    <w:rPr>
                      <w:rFonts w:ascii="Times New Roman" w:hAnsi="Times New Roman" w:eastAsia="宋体"/>
                      <w:kern w:val="2"/>
                      <w:sz w:val="21"/>
                      <w:szCs w:val="21"/>
                    </w:rPr>
                  </w:pPr>
                  <w:r>
                    <w:rPr>
                      <w:rFonts w:ascii="Times New Roman" w:hAnsi="Times New Roman" w:eastAsia="宋体"/>
                      <w:kern w:val="2"/>
                      <w:sz w:val="21"/>
                      <w:szCs w:val="21"/>
                    </w:rPr>
                    <w:t>废水</w:t>
                  </w:r>
                </w:p>
              </w:tc>
              <w:tc>
                <w:tcPr>
                  <w:tcW w:w="2859" w:type="dxa"/>
                  <w:vAlign w:val="center"/>
                </w:tcPr>
                <w:p w14:paraId="03734ABF">
                  <w:pPr>
                    <w:widowControl w:val="0"/>
                    <w:autoSpaceDE w:val="0"/>
                    <w:autoSpaceDN w:val="0"/>
                    <w:spacing w:after="0"/>
                    <w:jc w:val="center"/>
                    <w:textAlignment w:val="baseline"/>
                    <w:rPr>
                      <w:rFonts w:ascii="Times New Roman" w:hAnsi="Times New Roman" w:eastAsia="宋体"/>
                      <w:kern w:val="2"/>
                      <w:sz w:val="21"/>
                      <w:szCs w:val="21"/>
                    </w:rPr>
                  </w:pPr>
                  <w:r>
                    <w:rPr>
                      <w:rFonts w:hint="eastAsia" w:asciiTheme="minorEastAsia" w:hAnsiTheme="minorEastAsia" w:eastAsiaTheme="minorEastAsia" w:cstheme="minorEastAsia"/>
                      <w:sz w:val="21"/>
                    </w:rPr>
                    <w:t>项目产生生产废水，全部回用，不外排；生活污水排入储粪池，定期清运。</w:t>
                  </w:r>
                </w:p>
              </w:tc>
              <w:tc>
                <w:tcPr>
                  <w:tcW w:w="2860" w:type="dxa"/>
                  <w:vAlign w:val="center"/>
                </w:tcPr>
                <w:p w14:paraId="60C52A5D">
                  <w:pPr>
                    <w:widowControl w:val="0"/>
                    <w:autoSpaceDE w:val="0"/>
                    <w:autoSpaceDN w:val="0"/>
                    <w:spacing w:after="0"/>
                    <w:jc w:val="center"/>
                    <w:textAlignment w:val="baseline"/>
                    <w:rPr>
                      <w:rFonts w:ascii="Times New Roman" w:hAnsi="Times New Roman" w:eastAsia="宋体"/>
                      <w:kern w:val="2"/>
                      <w:sz w:val="21"/>
                      <w:szCs w:val="21"/>
                    </w:rPr>
                  </w:pPr>
                  <w:r>
                    <w:rPr>
                      <w:rFonts w:hint="eastAsia" w:asciiTheme="minorEastAsia" w:hAnsiTheme="minorEastAsia" w:eastAsiaTheme="minorEastAsia" w:cstheme="minorEastAsia"/>
                      <w:sz w:val="21"/>
                    </w:rPr>
                    <w:t>项目产生生产废水，全部回用，不外排；生活污水排入储粪池，定期清运。</w:t>
                  </w:r>
                </w:p>
              </w:tc>
              <w:tc>
                <w:tcPr>
                  <w:tcW w:w="1188" w:type="dxa"/>
                  <w:vAlign w:val="center"/>
                </w:tcPr>
                <w:p w14:paraId="21E8EF4A">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一致</w:t>
                  </w:r>
                </w:p>
              </w:tc>
            </w:tr>
            <w:tr w14:paraId="5EDB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366" w:type="dxa"/>
                  <w:vMerge w:val="continue"/>
                  <w:vAlign w:val="center"/>
                </w:tcPr>
                <w:p w14:paraId="6FF754DA">
                  <w:pPr>
                    <w:widowControl w:val="0"/>
                    <w:autoSpaceDE w:val="0"/>
                    <w:autoSpaceDN w:val="0"/>
                    <w:spacing w:after="0"/>
                    <w:jc w:val="center"/>
                    <w:textAlignment w:val="baseline"/>
                    <w:rPr>
                      <w:rFonts w:ascii="Times New Roman" w:hAnsi="Times New Roman" w:eastAsia="宋体"/>
                      <w:kern w:val="2"/>
                      <w:sz w:val="21"/>
                      <w:szCs w:val="21"/>
                    </w:rPr>
                  </w:pPr>
                </w:p>
              </w:tc>
              <w:tc>
                <w:tcPr>
                  <w:tcW w:w="1481" w:type="dxa"/>
                  <w:gridSpan w:val="2"/>
                  <w:vAlign w:val="center"/>
                </w:tcPr>
                <w:p w14:paraId="54DA26AF">
                  <w:pPr>
                    <w:widowControl w:val="0"/>
                    <w:autoSpaceDE w:val="0"/>
                    <w:autoSpaceDN w:val="0"/>
                    <w:spacing w:after="0"/>
                    <w:jc w:val="center"/>
                    <w:textAlignment w:val="baseline"/>
                    <w:rPr>
                      <w:rFonts w:ascii="Times New Roman" w:hAnsi="Times New Roman" w:eastAsia="宋体"/>
                      <w:kern w:val="2"/>
                      <w:sz w:val="21"/>
                      <w:szCs w:val="21"/>
                    </w:rPr>
                  </w:pPr>
                  <w:r>
                    <w:rPr>
                      <w:rFonts w:ascii="Times New Roman" w:hAnsi="Times New Roman" w:eastAsia="宋体"/>
                      <w:kern w:val="2"/>
                      <w:sz w:val="21"/>
                      <w:szCs w:val="21"/>
                    </w:rPr>
                    <w:t>噪声</w:t>
                  </w:r>
                </w:p>
              </w:tc>
              <w:tc>
                <w:tcPr>
                  <w:tcW w:w="2859" w:type="dxa"/>
                  <w:vAlign w:val="center"/>
                </w:tcPr>
                <w:p w14:paraId="3235337F">
                  <w:pPr>
                    <w:pStyle w:val="26"/>
                    <w:spacing w:before="3" w:line="270" w:lineRule="atLeast"/>
                    <w:ind w:right="12"/>
                    <w:rPr>
                      <w:rFonts w:ascii="Times New Roman" w:hAnsi="Times New Roman"/>
                      <w:kern w:val="2"/>
                      <w:sz w:val="21"/>
                      <w:szCs w:val="21"/>
                    </w:rPr>
                  </w:pPr>
                  <w:r>
                    <w:rPr>
                      <w:rFonts w:hint="eastAsia" w:asciiTheme="minorEastAsia" w:hAnsiTheme="minorEastAsia" w:eastAsiaTheme="minorEastAsia" w:cstheme="minorEastAsia"/>
                      <w:sz w:val="21"/>
                    </w:rPr>
                    <w:t>选用低噪设备，合理布局，对高噪声设备进行封闭降噪。</w:t>
                  </w:r>
                </w:p>
              </w:tc>
              <w:tc>
                <w:tcPr>
                  <w:tcW w:w="2860" w:type="dxa"/>
                  <w:vAlign w:val="center"/>
                </w:tcPr>
                <w:p w14:paraId="1A902726">
                  <w:pPr>
                    <w:widowControl w:val="0"/>
                    <w:autoSpaceDE w:val="0"/>
                    <w:autoSpaceDN w:val="0"/>
                    <w:spacing w:after="0"/>
                    <w:jc w:val="center"/>
                    <w:textAlignment w:val="baseline"/>
                    <w:rPr>
                      <w:rFonts w:ascii="Times New Roman" w:hAnsi="Times New Roman" w:eastAsia="宋体"/>
                      <w:kern w:val="2"/>
                      <w:sz w:val="21"/>
                      <w:szCs w:val="21"/>
                    </w:rPr>
                  </w:pPr>
                  <w:r>
                    <w:rPr>
                      <w:rFonts w:hint="eastAsia" w:asciiTheme="minorEastAsia" w:hAnsiTheme="minorEastAsia" w:eastAsiaTheme="minorEastAsia" w:cstheme="minorEastAsia"/>
                      <w:sz w:val="21"/>
                    </w:rPr>
                    <w:t>选用低噪设备，合理布局，对高噪声设备进行封闭降噪。</w:t>
                  </w:r>
                </w:p>
              </w:tc>
              <w:tc>
                <w:tcPr>
                  <w:tcW w:w="1188" w:type="dxa"/>
                  <w:vAlign w:val="center"/>
                </w:tcPr>
                <w:p w14:paraId="7FCCEB94">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一致</w:t>
                  </w:r>
                </w:p>
              </w:tc>
            </w:tr>
            <w:tr w14:paraId="3AEA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66" w:type="dxa"/>
                  <w:vMerge w:val="continue"/>
                  <w:vAlign w:val="center"/>
                </w:tcPr>
                <w:p w14:paraId="05C25E0C">
                  <w:pPr>
                    <w:widowControl w:val="0"/>
                    <w:autoSpaceDE w:val="0"/>
                    <w:autoSpaceDN w:val="0"/>
                    <w:spacing w:after="0"/>
                    <w:jc w:val="center"/>
                    <w:textAlignment w:val="baseline"/>
                    <w:rPr>
                      <w:rFonts w:ascii="Times New Roman" w:hAnsi="Times New Roman" w:eastAsia="宋体"/>
                      <w:kern w:val="2"/>
                      <w:sz w:val="21"/>
                      <w:szCs w:val="21"/>
                    </w:rPr>
                  </w:pPr>
                </w:p>
              </w:tc>
              <w:tc>
                <w:tcPr>
                  <w:tcW w:w="1481" w:type="dxa"/>
                  <w:gridSpan w:val="2"/>
                  <w:vAlign w:val="center"/>
                </w:tcPr>
                <w:p w14:paraId="1272313E">
                  <w:pPr>
                    <w:widowControl w:val="0"/>
                    <w:autoSpaceDE w:val="0"/>
                    <w:autoSpaceDN w:val="0"/>
                    <w:spacing w:after="0"/>
                    <w:jc w:val="center"/>
                    <w:textAlignment w:val="baseline"/>
                    <w:rPr>
                      <w:rFonts w:ascii="Times New Roman" w:hAnsi="Times New Roman" w:eastAsia="宋体"/>
                      <w:kern w:val="2"/>
                      <w:sz w:val="21"/>
                      <w:szCs w:val="21"/>
                    </w:rPr>
                  </w:pPr>
                  <w:r>
                    <w:rPr>
                      <w:rFonts w:ascii="Times New Roman" w:hAnsi="Times New Roman" w:eastAsia="宋体"/>
                      <w:kern w:val="2"/>
                      <w:sz w:val="21"/>
                      <w:szCs w:val="21"/>
                    </w:rPr>
                    <w:t>固体废物</w:t>
                  </w:r>
                </w:p>
              </w:tc>
              <w:tc>
                <w:tcPr>
                  <w:tcW w:w="2859" w:type="dxa"/>
                  <w:vAlign w:val="center"/>
                </w:tcPr>
                <w:p w14:paraId="3130F0F6">
                  <w:pPr>
                    <w:widowControl w:val="0"/>
                    <w:autoSpaceDE w:val="0"/>
                    <w:autoSpaceDN w:val="0"/>
                    <w:spacing w:after="0"/>
                    <w:jc w:val="center"/>
                    <w:textAlignment w:val="baseline"/>
                    <w:rPr>
                      <w:rFonts w:ascii="Times New Roman" w:hAnsi="Times New Roman" w:eastAsia="宋体"/>
                      <w:kern w:val="2"/>
                      <w:sz w:val="21"/>
                      <w:szCs w:val="21"/>
                    </w:rPr>
                  </w:pPr>
                  <w:r>
                    <w:rPr>
                      <w:rFonts w:hint="eastAsia" w:ascii="Times New Roman" w:hAnsi="Times New Roman" w:eastAsia="宋体"/>
                      <w:kern w:val="2"/>
                      <w:sz w:val="21"/>
                      <w:szCs w:val="21"/>
                    </w:rPr>
                    <w:t>生产废料全部回用，生活垃圾集中清运。</w:t>
                  </w:r>
                </w:p>
              </w:tc>
              <w:tc>
                <w:tcPr>
                  <w:tcW w:w="2860" w:type="dxa"/>
                  <w:vAlign w:val="center"/>
                </w:tcPr>
                <w:p w14:paraId="737255AB">
                  <w:pPr>
                    <w:widowControl w:val="0"/>
                    <w:autoSpaceDE w:val="0"/>
                    <w:autoSpaceDN w:val="0"/>
                    <w:spacing w:after="0"/>
                    <w:jc w:val="center"/>
                    <w:textAlignment w:val="baseline"/>
                    <w:rPr>
                      <w:rFonts w:ascii="Times New Roman" w:hAnsi="Times New Roman" w:eastAsia="宋体"/>
                      <w:kern w:val="2"/>
                      <w:sz w:val="21"/>
                      <w:szCs w:val="21"/>
                    </w:rPr>
                  </w:pPr>
                  <w:r>
                    <w:rPr>
                      <w:rFonts w:hint="eastAsia" w:ascii="Times New Roman" w:hAnsi="Times New Roman" w:eastAsia="宋体"/>
                      <w:kern w:val="2"/>
                      <w:sz w:val="21"/>
                      <w:szCs w:val="21"/>
                    </w:rPr>
                    <w:t>生产废料全部回用，生活垃圾集中清运</w:t>
                  </w:r>
                  <w:r>
                    <w:rPr>
                      <w:rFonts w:hint="eastAsia" w:ascii="Times New Roman" w:hAnsi="Times New Roman" w:eastAsia="宋体"/>
                      <w:color w:val="000000" w:themeColor="text1"/>
                      <w:kern w:val="2"/>
                      <w:sz w:val="21"/>
                      <w:szCs w:val="21"/>
                      <w14:textFill>
                        <w14:solidFill>
                          <w14:schemeClr w14:val="tx1"/>
                        </w14:solidFill>
                      </w14:textFill>
                    </w:rPr>
                    <w:t>。</w:t>
                  </w:r>
                </w:p>
              </w:tc>
              <w:tc>
                <w:tcPr>
                  <w:tcW w:w="1188" w:type="dxa"/>
                  <w:vAlign w:val="center"/>
                </w:tcPr>
                <w:p w14:paraId="00930F71">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一致</w:t>
                  </w:r>
                </w:p>
              </w:tc>
            </w:tr>
          </w:tbl>
          <w:p w14:paraId="53D422CC">
            <w:pPr>
              <w:spacing w:after="0" w:line="360" w:lineRule="auto"/>
              <w:jc w:val="both"/>
              <w:rPr>
                <w:rFonts w:ascii="Times New Roman" w:hAnsi="Times New Roman" w:eastAsia="宋体"/>
                <w:color w:val="000000"/>
                <w:sz w:val="24"/>
                <w:szCs w:val="24"/>
              </w:rPr>
            </w:pPr>
            <w:r>
              <w:rPr>
                <w:rFonts w:ascii="Times New Roman" w:hAnsi="Times New Roman" w:eastAsia="宋体"/>
                <w:color w:val="000000"/>
                <w:sz w:val="24"/>
                <w:szCs w:val="24"/>
              </w:rPr>
              <w:t>（2）本项目主要设备见下表2-2。</w:t>
            </w:r>
          </w:p>
          <w:p w14:paraId="7B9DED89">
            <w:pPr>
              <w:spacing w:after="0" w:line="360" w:lineRule="auto"/>
              <w:jc w:val="center"/>
              <w:rPr>
                <w:rFonts w:ascii="Times New Roman" w:hAnsi="Times New Roman" w:eastAsia="宋体"/>
                <w:color w:val="000000"/>
                <w:sz w:val="24"/>
                <w:szCs w:val="24"/>
              </w:rPr>
            </w:pPr>
            <w:r>
              <w:rPr>
                <w:rFonts w:ascii="Times New Roman" w:hAnsi="Times New Roman" w:eastAsia="宋体"/>
                <w:color w:val="000000"/>
                <w:sz w:val="24"/>
                <w:szCs w:val="24"/>
              </w:rPr>
              <w:t>表2-2  主要设备一览表</w:t>
            </w:r>
          </w:p>
          <w:tbl>
            <w:tblPr>
              <w:tblStyle w:val="10"/>
              <w:tblW w:w="878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45"/>
              <w:gridCol w:w="2456"/>
              <w:gridCol w:w="1134"/>
              <w:gridCol w:w="2126"/>
              <w:gridCol w:w="2025"/>
            </w:tblGrid>
            <w:tr w14:paraId="754C26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666BA30F">
                  <w:pPr>
                    <w:spacing w:after="0"/>
                    <w:jc w:val="center"/>
                    <w:rPr>
                      <w:rFonts w:ascii="Times New Roman" w:hAnsi="Times New Roman" w:eastAsia="宋体"/>
                      <w:sz w:val="21"/>
                      <w:szCs w:val="21"/>
                    </w:rPr>
                  </w:pPr>
                  <w:r>
                    <w:rPr>
                      <w:rFonts w:ascii="Times New Roman" w:hAnsi="Times New Roman" w:eastAsia="宋体"/>
                      <w:sz w:val="21"/>
                      <w:szCs w:val="21"/>
                    </w:rPr>
                    <w:t>序号</w:t>
                  </w:r>
                </w:p>
              </w:tc>
              <w:tc>
                <w:tcPr>
                  <w:tcW w:w="2456" w:type="dxa"/>
                  <w:tcBorders>
                    <w:right w:val="single" w:color="auto" w:sz="4" w:space="0"/>
                  </w:tcBorders>
                  <w:tcMar>
                    <w:left w:w="28" w:type="dxa"/>
                    <w:right w:w="28" w:type="dxa"/>
                  </w:tcMar>
                  <w:vAlign w:val="center"/>
                </w:tcPr>
                <w:p w14:paraId="2C008628">
                  <w:pPr>
                    <w:spacing w:after="0"/>
                    <w:jc w:val="center"/>
                    <w:rPr>
                      <w:rFonts w:ascii="Times New Roman" w:hAnsi="Times New Roman" w:eastAsia="宋体"/>
                      <w:sz w:val="21"/>
                      <w:szCs w:val="21"/>
                    </w:rPr>
                  </w:pPr>
                  <w:r>
                    <w:rPr>
                      <w:rFonts w:ascii="Times New Roman" w:hAnsi="Times New Roman" w:eastAsia="宋体"/>
                      <w:sz w:val="21"/>
                      <w:szCs w:val="21"/>
                    </w:rPr>
                    <w:t>名称</w:t>
                  </w:r>
                </w:p>
              </w:tc>
              <w:tc>
                <w:tcPr>
                  <w:tcW w:w="1134" w:type="dxa"/>
                  <w:tcBorders>
                    <w:right w:val="single" w:color="auto" w:sz="4" w:space="0"/>
                  </w:tcBorders>
                  <w:vAlign w:val="center"/>
                </w:tcPr>
                <w:p w14:paraId="6F7BF3C0">
                  <w:pPr>
                    <w:spacing w:after="0"/>
                    <w:jc w:val="center"/>
                    <w:rPr>
                      <w:rFonts w:ascii="Times New Roman" w:hAnsi="Times New Roman" w:eastAsia="宋体"/>
                      <w:sz w:val="21"/>
                      <w:szCs w:val="21"/>
                    </w:rPr>
                  </w:pPr>
                  <w:r>
                    <w:rPr>
                      <w:rFonts w:ascii="Times New Roman" w:hAnsi="Times New Roman" w:eastAsia="宋体"/>
                      <w:sz w:val="21"/>
                      <w:szCs w:val="21"/>
                    </w:rPr>
                    <w:t>单位</w:t>
                  </w:r>
                </w:p>
              </w:tc>
              <w:tc>
                <w:tcPr>
                  <w:tcW w:w="2126" w:type="dxa"/>
                  <w:tcBorders>
                    <w:left w:val="single" w:color="auto" w:sz="4" w:space="0"/>
                  </w:tcBorders>
                  <w:vAlign w:val="center"/>
                </w:tcPr>
                <w:p w14:paraId="49FC2710">
                  <w:pPr>
                    <w:spacing w:after="0"/>
                    <w:jc w:val="center"/>
                    <w:rPr>
                      <w:rFonts w:ascii="Times New Roman" w:hAnsi="Times New Roman" w:eastAsia="宋体"/>
                      <w:sz w:val="21"/>
                      <w:szCs w:val="21"/>
                    </w:rPr>
                  </w:pPr>
                  <w:r>
                    <w:rPr>
                      <w:rFonts w:ascii="Times New Roman" w:hAnsi="Times New Roman" w:eastAsia="宋体"/>
                      <w:sz w:val="21"/>
                      <w:szCs w:val="21"/>
                    </w:rPr>
                    <w:t>环评阶段设计数量</w:t>
                  </w:r>
                </w:p>
              </w:tc>
              <w:tc>
                <w:tcPr>
                  <w:tcW w:w="2025" w:type="dxa"/>
                  <w:tcBorders>
                    <w:left w:val="single" w:color="auto" w:sz="4" w:space="0"/>
                    <w:right w:val="single" w:color="auto" w:sz="4" w:space="0"/>
                  </w:tcBorders>
                  <w:tcMar>
                    <w:left w:w="28" w:type="dxa"/>
                    <w:right w:w="28" w:type="dxa"/>
                  </w:tcMar>
                  <w:vAlign w:val="center"/>
                </w:tcPr>
                <w:p w14:paraId="546002FA">
                  <w:pPr>
                    <w:spacing w:after="0"/>
                    <w:jc w:val="center"/>
                    <w:rPr>
                      <w:rFonts w:ascii="Times New Roman" w:hAnsi="Times New Roman" w:eastAsia="宋体"/>
                      <w:sz w:val="21"/>
                      <w:szCs w:val="21"/>
                    </w:rPr>
                  </w:pPr>
                  <w:r>
                    <w:rPr>
                      <w:rFonts w:ascii="Times New Roman" w:hAnsi="Times New Roman" w:eastAsia="宋体"/>
                      <w:sz w:val="21"/>
                      <w:szCs w:val="21"/>
                    </w:rPr>
                    <w:t>实际数量</w:t>
                  </w:r>
                </w:p>
              </w:tc>
            </w:tr>
            <w:tr w14:paraId="30914A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7DF25A2E">
                  <w:pPr>
                    <w:spacing w:after="0"/>
                    <w:jc w:val="center"/>
                    <w:rPr>
                      <w:rFonts w:ascii="Times New Roman" w:hAnsi="Times New Roman" w:eastAsia="宋体"/>
                      <w:sz w:val="21"/>
                      <w:szCs w:val="21"/>
                    </w:rPr>
                  </w:pPr>
                  <w:r>
                    <w:rPr>
                      <w:rFonts w:ascii="Times New Roman" w:hAnsi="Times New Roman" w:eastAsia="宋体"/>
                      <w:sz w:val="21"/>
                      <w:szCs w:val="21"/>
                    </w:rPr>
                    <w:t>1</w:t>
                  </w:r>
                </w:p>
              </w:tc>
              <w:tc>
                <w:tcPr>
                  <w:tcW w:w="2456" w:type="dxa"/>
                  <w:tcBorders>
                    <w:right w:val="single" w:color="auto" w:sz="4" w:space="0"/>
                  </w:tcBorders>
                  <w:tcMar>
                    <w:left w:w="28" w:type="dxa"/>
                    <w:right w:w="28" w:type="dxa"/>
                  </w:tcMar>
                  <w:vAlign w:val="center"/>
                </w:tcPr>
                <w:p w14:paraId="693BE541">
                  <w:pPr>
                    <w:spacing w:after="0"/>
                    <w:jc w:val="center"/>
                    <w:rPr>
                      <w:rFonts w:ascii="Times New Roman" w:hAnsi="Times New Roman" w:eastAsia="宋体"/>
                      <w:sz w:val="21"/>
                      <w:szCs w:val="21"/>
                    </w:rPr>
                  </w:pPr>
                  <w:r>
                    <w:rPr>
                      <w:rFonts w:hint="eastAsia" w:ascii="Times New Roman" w:hAnsi="Times New Roman" w:eastAsia="宋体"/>
                      <w:sz w:val="21"/>
                      <w:szCs w:val="21"/>
                    </w:rPr>
                    <w:t>粉浆储罐搅拌机</w:t>
                  </w:r>
                </w:p>
              </w:tc>
              <w:tc>
                <w:tcPr>
                  <w:tcW w:w="1134" w:type="dxa"/>
                  <w:tcBorders>
                    <w:right w:val="single" w:color="auto" w:sz="4" w:space="0"/>
                  </w:tcBorders>
                  <w:vAlign w:val="center"/>
                </w:tcPr>
                <w:p w14:paraId="22B8D583">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台</w:t>
                  </w:r>
                </w:p>
              </w:tc>
              <w:tc>
                <w:tcPr>
                  <w:tcW w:w="2126" w:type="dxa"/>
                  <w:tcBorders>
                    <w:left w:val="single" w:color="auto" w:sz="4" w:space="0"/>
                  </w:tcBorders>
                  <w:vAlign w:val="center"/>
                </w:tcPr>
                <w:p w14:paraId="15241671">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3</w:t>
                  </w:r>
                </w:p>
              </w:tc>
              <w:tc>
                <w:tcPr>
                  <w:tcW w:w="2025" w:type="dxa"/>
                  <w:tcBorders>
                    <w:left w:val="single" w:color="auto" w:sz="4" w:space="0"/>
                    <w:right w:val="single" w:color="auto" w:sz="4" w:space="0"/>
                  </w:tcBorders>
                  <w:tcMar>
                    <w:left w:w="28" w:type="dxa"/>
                    <w:right w:w="28" w:type="dxa"/>
                  </w:tcMar>
                  <w:vAlign w:val="center"/>
                </w:tcPr>
                <w:p w14:paraId="76E97420">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3</w:t>
                  </w:r>
                </w:p>
              </w:tc>
            </w:tr>
            <w:tr w14:paraId="34897D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52EE55AD">
                  <w:pPr>
                    <w:spacing w:after="0"/>
                    <w:jc w:val="center"/>
                    <w:rPr>
                      <w:rFonts w:ascii="Times New Roman" w:hAnsi="Times New Roman" w:eastAsia="宋体"/>
                      <w:sz w:val="21"/>
                      <w:szCs w:val="21"/>
                    </w:rPr>
                  </w:pPr>
                  <w:r>
                    <w:rPr>
                      <w:rFonts w:ascii="Times New Roman" w:hAnsi="Times New Roman" w:eastAsia="宋体"/>
                      <w:sz w:val="21"/>
                      <w:szCs w:val="21"/>
                    </w:rPr>
                    <w:t>2</w:t>
                  </w:r>
                </w:p>
              </w:tc>
              <w:tc>
                <w:tcPr>
                  <w:tcW w:w="2456" w:type="dxa"/>
                  <w:tcBorders>
                    <w:right w:val="single" w:color="auto" w:sz="4" w:space="0"/>
                  </w:tcBorders>
                  <w:tcMar>
                    <w:left w:w="28" w:type="dxa"/>
                    <w:right w:w="28" w:type="dxa"/>
                  </w:tcMar>
                  <w:vAlign w:val="center"/>
                </w:tcPr>
                <w:p w14:paraId="78D8723B">
                  <w:pPr>
                    <w:spacing w:after="0"/>
                    <w:jc w:val="center"/>
                    <w:rPr>
                      <w:rFonts w:ascii="Times New Roman" w:hAnsi="Times New Roman" w:eastAsia="宋体"/>
                      <w:sz w:val="21"/>
                      <w:szCs w:val="21"/>
                    </w:rPr>
                  </w:pPr>
                  <w:r>
                    <w:rPr>
                      <w:rFonts w:hint="eastAsia" w:ascii="Times New Roman" w:hAnsi="Times New Roman" w:eastAsia="宋体"/>
                      <w:sz w:val="21"/>
                      <w:szCs w:val="21"/>
                    </w:rPr>
                    <w:t>粉料计量罐（称）</w:t>
                  </w:r>
                </w:p>
              </w:tc>
              <w:tc>
                <w:tcPr>
                  <w:tcW w:w="1134" w:type="dxa"/>
                  <w:tcBorders>
                    <w:right w:val="single" w:color="auto" w:sz="4" w:space="0"/>
                  </w:tcBorders>
                  <w:vAlign w:val="center"/>
                </w:tcPr>
                <w:p w14:paraId="1C93CB2F">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台</w:t>
                  </w:r>
                </w:p>
              </w:tc>
              <w:tc>
                <w:tcPr>
                  <w:tcW w:w="2126" w:type="dxa"/>
                  <w:tcBorders>
                    <w:left w:val="single" w:color="auto" w:sz="4" w:space="0"/>
                  </w:tcBorders>
                  <w:vAlign w:val="center"/>
                </w:tcPr>
                <w:p w14:paraId="09C6338B">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c>
                <w:tcPr>
                  <w:tcW w:w="2025" w:type="dxa"/>
                  <w:tcBorders>
                    <w:left w:val="single" w:color="auto" w:sz="4" w:space="0"/>
                    <w:right w:val="single" w:color="auto" w:sz="4" w:space="0"/>
                  </w:tcBorders>
                  <w:tcMar>
                    <w:left w:w="28" w:type="dxa"/>
                    <w:right w:w="28" w:type="dxa"/>
                  </w:tcMar>
                  <w:vAlign w:val="center"/>
                </w:tcPr>
                <w:p w14:paraId="730730A4">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r>
            <w:tr w14:paraId="1C6DE6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5E7569EB">
                  <w:pPr>
                    <w:spacing w:after="0"/>
                    <w:jc w:val="center"/>
                    <w:rPr>
                      <w:rFonts w:ascii="Times New Roman" w:hAnsi="Times New Roman" w:eastAsia="宋体"/>
                      <w:sz w:val="21"/>
                      <w:szCs w:val="21"/>
                    </w:rPr>
                  </w:pPr>
                  <w:r>
                    <w:rPr>
                      <w:rFonts w:ascii="Times New Roman" w:hAnsi="Times New Roman" w:eastAsia="宋体"/>
                      <w:sz w:val="21"/>
                      <w:szCs w:val="21"/>
                    </w:rPr>
                    <w:t>3</w:t>
                  </w:r>
                </w:p>
              </w:tc>
              <w:tc>
                <w:tcPr>
                  <w:tcW w:w="2456" w:type="dxa"/>
                  <w:tcBorders>
                    <w:right w:val="single" w:color="auto" w:sz="4" w:space="0"/>
                  </w:tcBorders>
                  <w:tcMar>
                    <w:left w:w="28" w:type="dxa"/>
                    <w:right w:w="28" w:type="dxa"/>
                  </w:tcMar>
                  <w:vAlign w:val="center"/>
                </w:tcPr>
                <w:p w14:paraId="34F0F25D">
                  <w:pPr>
                    <w:spacing w:after="0"/>
                    <w:jc w:val="center"/>
                    <w:rPr>
                      <w:rFonts w:ascii="Times New Roman" w:hAnsi="Times New Roman" w:eastAsia="宋体"/>
                      <w:sz w:val="21"/>
                      <w:szCs w:val="21"/>
                    </w:rPr>
                  </w:pPr>
                  <w:r>
                    <w:rPr>
                      <w:rFonts w:hint="eastAsia" w:ascii="Times New Roman" w:hAnsi="Times New Roman" w:eastAsia="宋体"/>
                      <w:sz w:val="21"/>
                      <w:szCs w:val="21"/>
                    </w:rPr>
                    <w:t>粉料称量罐（称）</w:t>
                  </w:r>
                </w:p>
              </w:tc>
              <w:tc>
                <w:tcPr>
                  <w:tcW w:w="1134" w:type="dxa"/>
                  <w:tcBorders>
                    <w:right w:val="single" w:color="auto" w:sz="4" w:space="0"/>
                  </w:tcBorders>
                  <w:vAlign w:val="center"/>
                </w:tcPr>
                <w:p w14:paraId="5199B20C">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台</w:t>
                  </w:r>
                </w:p>
              </w:tc>
              <w:tc>
                <w:tcPr>
                  <w:tcW w:w="2126" w:type="dxa"/>
                  <w:tcBorders>
                    <w:left w:val="single" w:color="auto" w:sz="4" w:space="0"/>
                  </w:tcBorders>
                  <w:vAlign w:val="center"/>
                </w:tcPr>
                <w:p w14:paraId="542F299C">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c>
                <w:tcPr>
                  <w:tcW w:w="2025" w:type="dxa"/>
                  <w:tcBorders>
                    <w:left w:val="single" w:color="auto" w:sz="4" w:space="0"/>
                    <w:right w:val="single" w:color="auto" w:sz="4" w:space="0"/>
                  </w:tcBorders>
                  <w:tcMar>
                    <w:left w:w="28" w:type="dxa"/>
                    <w:right w:w="28" w:type="dxa"/>
                  </w:tcMar>
                  <w:vAlign w:val="center"/>
                </w:tcPr>
                <w:p w14:paraId="3A188C6D">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r>
            <w:tr w14:paraId="76E791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0EEA7D0A">
                  <w:pPr>
                    <w:spacing w:after="0"/>
                    <w:jc w:val="center"/>
                    <w:rPr>
                      <w:rFonts w:ascii="Times New Roman" w:hAnsi="Times New Roman" w:eastAsia="宋体"/>
                      <w:sz w:val="21"/>
                      <w:szCs w:val="21"/>
                    </w:rPr>
                  </w:pPr>
                  <w:r>
                    <w:rPr>
                      <w:rFonts w:ascii="Times New Roman" w:hAnsi="Times New Roman" w:eastAsia="宋体"/>
                      <w:sz w:val="21"/>
                      <w:szCs w:val="21"/>
                    </w:rPr>
                    <w:t>4</w:t>
                  </w:r>
                </w:p>
              </w:tc>
              <w:tc>
                <w:tcPr>
                  <w:tcW w:w="2456" w:type="dxa"/>
                  <w:tcBorders>
                    <w:right w:val="single" w:color="auto" w:sz="4" w:space="0"/>
                  </w:tcBorders>
                  <w:tcMar>
                    <w:left w:w="28" w:type="dxa"/>
                    <w:right w:w="28" w:type="dxa"/>
                  </w:tcMar>
                  <w:vAlign w:val="center"/>
                </w:tcPr>
                <w:p w14:paraId="5C9BD35D">
                  <w:pPr>
                    <w:spacing w:after="0"/>
                    <w:jc w:val="center"/>
                    <w:rPr>
                      <w:rFonts w:ascii="Times New Roman" w:hAnsi="Times New Roman" w:eastAsia="宋体"/>
                      <w:sz w:val="21"/>
                      <w:szCs w:val="21"/>
                    </w:rPr>
                  </w:pPr>
                  <w:r>
                    <w:rPr>
                      <w:rFonts w:hint="eastAsia" w:ascii="Times New Roman" w:hAnsi="Times New Roman" w:eastAsia="宋体"/>
                      <w:sz w:val="21"/>
                      <w:szCs w:val="21"/>
                    </w:rPr>
                    <w:t>球磨机</w:t>
                  </w:r>
                </w:p>
              </w:tc>
              <w:tc>
                <w:tcPr>
                  <w:tcW w:w="1134" w:type="dxa"/>
                  <w:tcBorders>
                    <w:right w:val="single" w:color="auto" w:sz="4" w:space="0"/>
                  </w:tcBorders>
                  <w:vAlign w:val="center"/>
                </w:tcPr>
                <w:p w14:paraId="38439D01">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台</w:t>
                  </w:r>
                </w:p>
              </w:tc>
              <w:tc>
                <w:tcPr>
                  <w:tcW w:w="2126" w:type="dxa"/>
                  <w:tcBorders>
                    <w:left w:val="single" w:color="auto" w:sz="4" w:space="0"/>
                  </w:tcBorders>
                  <w:vAlign w:val="center"/>
                </w:tcPr>
                <w:p w14:paraId="1B1AD535">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c>
                <w:tcPr>
                  <w:tcW w:w="2025" w:type="dxa"/>
                  <w:tcBorders>
                    <w:left w:val="single" w:color="auto" w:sz="4" w:space="0"/>
                    <w:right w:val="single" w:color="auto" w:sz="4" w:space="0"/>
                  </w:tcBorders>
                  <w:tcMar>
                    <w:left w:w="28" w:type="dxa"/>
                    <w:right w:w="28" w:type="dxa"/>
                  </w:tcMar>
                  <w:vAlign w:val="center"/>
                </w:tcPr>
                <w:p w14:paraId="7E7A6899">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r>
            <w:tr w14:paraId="6C821C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2B509568">
                  <w:pPr>
                    <w:spacing w:after="0"/>
                    <w:jc w:val="center"/>
                    <w:rPr>
                      <w:rFonts w:ascii="Times New Roman" w:hAnsi="Times New Roman" w:eastAsia="宋体"/>
                      <w:sz w:val="21"/>
                      <w:szCs w:val="21"/>
                    </w:rPr>
                  </w:pPr>
                  <w:r>
                    <w:rPr>
                      <w:rFonts w:ascii="Times New Roman" w:hAnsi="Times New Roman" w:eastAsia="宋体"/>
                      <w:sz w:val="21"/>
                      <w:szCs w:val="21"/>
                    </w:rPr>
                    <w:t>5</w:t>
                  </w:r>
                </w:p>
              </w:tc>
              <w:tc>
                <w:tcPr>
                  <w:tcW w:w="2456" w:type="dxa"/>
                  <w:tcBorders>
                    <w:right w:val="single" w:color="auto" w:sz="4" w:space="0"/>
                  </w:tcBorders>
                  <w:tcMar>
                    <w:left w:w="28" w:type="dxa"/>
                    <w:right w:w="28" w:type="dxa"/>
                  </w:tcMar>
                  <w:vAlign w:val="center"/>
                </w:tcPr>
                <w:p w14:paraId="0E8075D3">
                  <w:pPr>
                    <w:spacing w:after="0"/>
                    <w:jc w:val="center"/>
                    <w:rPr>
                      <w:rFonts w:ascii="Times New Roman" w:hAnsi="Times New Roman" w:eastAsia="宋体"/>
                      <w:sz w:val="21"/>
                      <w:szCs w:val="21"/>
                    </w:rPr>
                  </w:pPr>
                  <w:r>
                    <w:rPr>
                      <w:rFonts w:hint="eastAsia" w:ascii="Times New Roman" w:hAnsi="Times New Roman" w:eastAsia="宋体"/>
                      <w:sz w:val="21"/>
                      <w:szCs w:val="21"/>
                    </w:rPr>
                    <w:t>螺旋输送机</w:t>
                  </w:r>
                </w:p>
              </w:tc>
              <w:tc>
                <w:tcPr>
                  <w:tcW w:w="1134" w:type="dxa"/>
                  <w:tcBorders>
                    <w:right w:val="single" w:color="auto" w:sz="4" w:space="0"/>
                  </w:tcBorders>
                  <w:vAlign w:val="center"/>
                </w:tcPr>
                <w:p w14:paraId="5442FF11">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台</w:t>
                  </w:r>
                </w:p>
              </w:tc>
              <w:tc>
                <w:tcPr>
                  <w:tcW w:w="2126" w:type="dxa"/>
                  <w:tcBorders>
                    <w:left w:val="single" w:color="auto" w:sz="4" w:space="0"/>
                  </w:tcBorders>
                  <w:vAlign w:val="center"/>
                </w:tcPr>
                <w:p w14:paraId="61039BE2">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c>
                <w:tcPr>
                  <w:tcW w:w="2025" w:type="dxa"/>
                  <w:tcMar>
                    <w:left w:w="28" w:type="dxa"/>
                    <w:right w:w="28" w:type="dxa"/>
                  </w:tcMar>
                  <w:vAlign w:val="center"/>
                </w:tcPr>
                <w:p w14:paraId="2DF4E0F2">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r>
            <w:tr w14:paraId="2EDBC0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47A86E6D">
                  <w:pPr>
                    <w:spacing w:after="0"/>
                    <w:jc w:val="center"/>
                    <w:rPr>
                      <w:rFonts w:ascii="Times New Roman" w:hAnsi="Times New Roman" w:eastAsia="宋体"/>
                      <w:sz w:val="21"/>
                      <w:szCs w:val="21"/>
                    </w:rPr>
                  </w:pPr>
                  <w:r>
                    <w:rPr>
                      <w:rFonts w:ascii="Times New Roman" w:hAnsi="Times New Roman" w:eastAsia="宋体"/>
                      <w:sz w:val="21"/>
                      <w:szCs w:val="21"/>
                    </w:rPr>
                    <w:t>6</w:t>
                  </w:r>
                </w:p>
              </w:tc>
              <w:tc>
                <w:tcPr>
                  <w:tcW w:w="2456" w:type="dxa"/>
                  <w:tcBorders>
                    <w:right w:val="single" w:color="auto" w:sz="4" w:space="0"/>
                  </w:tcBorders>
                  <w:tcMar>
                    <w:left w:w="28" w:type="dxa"/>
                    <w:right w:w="28" w:type="dxa"/>
                  </w:tcMar>
                  <w:vAlign w:val="center"/>
                </w:tcPr>
                <w:p w14:paraId="5FCBE82F">
                  <w:pPr>
                    <w:spacing w:after="0"/>
                    <w:jc w:val="center"/>
                    <w:rPr>
                      <w:rFonts w:ascii="Times New Roman" w:hAnsi="Times New Roman" w:eastAsia="宋体"/>
                      <w:sz w:val="21"/>
                      <w:szCs w:val="21"/>
                    </w:rPr>
                  </w:pPr>
                  <w:r>
                    <w:rPr>
                      <w:rFonts w:hint="eastAsia" w:ascii="Times New Roman" w:hAnsi="Times New Roman" w:eastAsia="宋体"/>
                      <w:sz w:val="21"/>
                      <w:szCs w:val="21"/>
                    </w:rPr>
                    <w:t>蒸养车</w:t>
                  </w:r>
                </w:p>
              </w:tc>
              <w:tc>
                <w:tcPr>
                  <w:tcW w:w="1134" w:type="dxa"/>
                  <w:tcBorders>
                    <w:right w:val="single" w:color="auto" w:sz="4" w:space="0"/>
                  </w:tcBorders>
                  <w:vAlign w:val="center"/>
                </w:tcPr>
                <w:p w14:paraId="5B40DFF6">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台</w:t>
                  </w:r>
                </w:p>
              </w:tc>
              <w:tc>
                <w:tcPr>
                  <w:tcW w:w="2126" w:type="dxa"/>
                  <w:tcBorders>
                    <w:left w:val="single" w:color="auto" w:sz="4" w:space="0"/>
                  </w:tcBorders>
                  <w:vAlign w:val="center"/>
                </w:tcPr>
                <w:p w14:paraId="7B39CA85">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56</w:t>
                  </w:r>
                </w:p>
              </w:tc>
              <w:tc>
                <w:tcPr>
                  <w:tcW w:w="2025" w:type="dxa"/>
                  <w:tcMar>
                    <w:left w:w="28" w:type="dxa"/>
                    <w:right w:w="28" w:type="dxa"/>
                  </w:tcMar>
                  <w:vAlign w:val="center"/>
                </w:tcPr>
                <w:p w14:paraId="04F6186C">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56</w:t>
                  </w:r>
                </w:p>
              </w:tc>
            </w:tr>
            <w:tr w14:paraId="25BF53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04F49D43">
                  <w:pPr>
                    <w:spacing w:after="0"/>
                    <w:jc w:val="center"/>
                    <w:rPr>
                      <w:rFonts w:ascii="Times New Roman" w:hAnsi="Times New Roman" w:eastAsia="宋体"/>
                      <w:sz w:val="21"/>
                      <w:szCs w:val="21"/>
                    </w:rPr>
                  </w:pPr>
                  <w:r>
                    <w:rPr>
                      <w:rFonts w:hint="eastAsia" w:ascii="Times New Roman" w:hAnsi="Times New Roman" w:eastAsia="宋体"/>
                      <w:sz w:val="21"/>
                      <w:szCs w:val="21"/>
                    </w:rPr>
                    <w:t>7</w:t>
                  </w:r>
                </w:p>
              </w:tc>
              <w:tc>
                <w:tcPr>
                  <w:tcW w:w="2456" w:type="dxa"/>
                  <w:tcBorders>
                    <w:right w:val="single" w:color="auto" w:sz="4" w:space="0"/>
                  </w:tcBorders>
                  <w:tcMar>
                    <w:left w:w="28" w:type="dxa"/>
                    <w:right w:w="28" w:type="dxa"/>
                  </w:tcMar>
                  <w:vAlign w:val="center"/>
                </w:tcPr>
                <w:p w14:paraId="129808D4">
                  <w:pPr>
                    <w:spacing w:after="0"/>
                    <w:jc w:val="center"/>
                    <w:rPr>
                      <w:rFonts w:ascii="Times New Roman" w:hAnsi="Times New Roman" w:eastAsia="宋体"/>
                      <w:sz w:val="21"/>
                      <w:szCs w:val="21"/>
                    </w:rPr>
                  </w:pPr>
                  <w:r>
                    <w:rPr>
                      <w:rFonts w:hint="eastAsia" w:ascii="Times New Roman" w:hAnsi="Times New Roman" w:eastAsia="宋体"/>
                      <w:sz w:val="21"/>
                      <w:szCs w:val="21"/>
                    </w:rPr>
                    <w:t>切割机组</w:t>
                  </w:r>
                </w:p>
              </w:tc>
              <w:tc>
                <w:tcPr>
                  <w:tcW w:w="1134" w:type="dxa"/>
                  <w:tcBorders>
                    <w:right w:val="single" w:color="auto" w:sz="4" w:space="0"/>
                  </w:tcBorders>
                  <w:vAlign w:val="center"/>
                </w:tcPr>
                <w:p w14:paraId="05F56640">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台</w:t>
                  </w:r>
                </w:p>
              </w:tc>
              <w:tc>
                <w:tcPr>
                  <w:tcW w:w="2126" w:type="dxa"/>
                  <w:tcBorders>
                    <w:left w:val="single" w:color="auto" w:sz="4" w:space="0"/>
                  </w:tcBorders>
                  <w:vAlign w:val="center"/>
                </w:tcPr>
                <w:p w14:paraId="173CD3E6">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c>
                <w:tcPr>
                  <w:tcW w:w="2025" w:type="dxa"/>
                  <w:tcMar>
                    <w:left w:w="28" w:type="dxa"/>
                    <w:right w:w="28" w:type="dxa"/>
                  </w:tcMar>
                  <w:vAlign w:val="center"/>
                </w:tcPr>
                <w:p w14:paraId="210C710E">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r>
            <w:tr w14:paraId="031E7F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58686FF6">
                  <w:pPr>
                    <w:spacing w:after="0"/>
                    <w:jc w:val="center"/>
                    <w:rPr>
                      <w:rFonts w:ascii="Times New Roman" w:hAnsi="Times New Roman" w:eastAsia="宋体"/>
                      <w:sz w:val="21"/>
                      <w:szCs w:val="21"/>
                    </w:rPr>
                  </w:pPr>
                  <w:r>
                    <w:rPr>
                      <w:rFonts w:hint="eastAsia" w:ascii="Times New Roman" w:hAnsi="Times New Roman" w:eastAsia="宋体"/>
                      <w:sz w:val="21"/>
                      <w:szCs w:val="21"/>
                    </w:rPr>
                    <w:t>8</w:t>
                  </w:r>
                </w:p>
              </w:tc>
              <w:tc>
                <w:tcPr>
                  <w:tcW w:w="2456" w:type="dxa"/>
                  <w:tcBorders>
                    <w:right w:val="single" w:color="auto" w:sz="4" w:space="0"/>
                  </w:tcBorders>
                  <w:tcMar>
                    <w:left w:w="28" w:type="dxa"/>
                    <w:right w:w="28" w:type="dxa"/>
                  </w:tcMar>
                  <w:vAlign w:val="center"/>
                </w:tcPr>
                <w:p w14:paraId="1C434740">
                  <w:pPr>
                    <w:spacing w:after="0"/>
                    <w:jc w:val="center"/>
                    <w:rPr>
                      <w:rFonts w:ascii="Times New Roman" w:hAnsi="Times New Roman" w:eastAsia="宋体"/>
                      <w:sz w:val="21"/>
                      <w:szCs w:val="21"/>
                    </w:rPr>
                  </w:pPr>
                  <w:r>
                    <w:rPr>
                      <w:rFonts w:hint="eastAsia" w:ascii="Times New Roman" w:hAnsi="Times New Roman" w:eastAsia="宋体"/>
                      <w:sz w:val="21"/>
                      <w:szCs w:val="21"/>
                    </w:rPr>
                    <w:t>浇筑搅拌机</w:t>
                  </w:r>
                </w:p>
              </w:tc>
              <w:tc>
                <w:tcPr>
                  <w:tcW w:w="1134" w:type="dxa"/>
                  <w:tcBorders>
                    <w:right w:val="single" w:color="auto" w:sz="4" w:space="0"/>
                  </w:tcBorders>
                  <w:vAlign w:val="center"/>
                </w:tcPr>
                <w:p w14:paraId="00314F40">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台</w:t>
                  </w:r>
                </w:p>
              </w:tc>
              <w:tc>
                <w:tcPr>
                  <w:tcW w:w="2126" w:type="dxa"/>
                  <w:tcBorders>
                    <w:left w:val="single" w:color="auto" w:sz="4" w:space="0"/>
                  </w:tcBorders>
                  <w:vAlign w:val="center"/>
                </w:tcPr>
                <w:p w14:paraId="33D23D0F">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c>
                <w:tcPr>
                  <w:tcW w:w="2025" w:type="dxa"/>
                  <w:tcMar>
                    <w:left w:w="28" w:type="dxa"/>
                    <w:right w:w="28" w:type="dxa"/>
                  </w:tcMar>
                  <w:vAlign w:val="center"/>
                </w:tcPr>
                <w:p w14:paraId="54D3E10E">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r>
            <w:tr w14:paraId="04F564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3F82B536">
                  <w:pPr>
                    <w:spacing w:after="0"/>
                    <w:jc w:val="center"/>
                    <w:rPr>
                      <w:rFonts w:ascii="Times New Roman" w:hAnsi="Times New Roman" w:eastAsia="宋体"/>
                      <w:sz w:val="21"/>
                      <w:szCs w:val="21"/>
                    </w:rPr>
                  </w:pPr>
                  <w:r>
                    <w:rPr>
                      <w:rFonts w:hint="eastAsia" w:ascii="Times New Roman" w:hAnsi="Times New Roman" w:eastAsia="宋体"/>
                      <w:sz w:val="21"/>
                      <w:szCs w:val="21"/>
                    </w:rPr>
                    <w:t>9</w:t>
                  </w:r>
                </w:p>
              </w:tc>
              <w:tc>
                <w:tcPr>
                  <w:tcW w:w="2456" w:type="dxa"/>
                  <w:tcBorders>
                    <w:right w:val="single" w:color="auto" w:sz="4" w:space="0"/>
                  </w:tcBorders>
                  <w:tcMar>
                    <w:left w:w="28" w:type="dxa"/>
                    <w:right w:w="28" w:type="dxa"/>
                  </w:tcMar>
                  <w:vAlign w:val="center"/>
                </w:tcPr>
                <w:p w14:paraId="7AD89318">
                  <w:pPr>
                    <w:spacing w:after="0"/>
                    <w:jc w:val="center"/>
                    <w:rPr>
                      <w:rFonts w:ascii="Times New Roman" w:hAnsi="Times New Roman" w:eastAsia="宋体"/>
                      <w:sz w:val="21"/>
                      <w:szCs w:val="21"/>
                    </w:rPr>
                  </w:pPr>
                  <w:r>
                    <w:rPr>
                      <w:rFonts w:hint="eastAsia" w:ascii="Times New Roman" w:hAnsi="Times New Roman" w:eastAsia="宋体"/>
                      <w:sz w:val="21"/>
                      <w:szCs w:val="21"/>
                    </w:rPr>
                    <w:t>铝粉搅拌机</w:t>
                  </w:r>
                </w:p>
              </w:tc>
              <w:tc>
                <w:tcPr>
                  <w:tcW w:w="1134" w:type="dxa"/>
                  <w:tcBorders>
                    <w:right w:val="single" w:color="auto" w:sz="4" w:space="0"/>
                  </w:tcBorders>
                  <w:vAlign w:val="center"/>
                </w:tcPr>
                <w:p w14:paraId="6A6C7D28">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台</w:t>
                  </w:r>
                </w:p>
              </w:tc>
              <w:tc>
                <w:tcPr>
                  <w:tcW w:w="2126" w:type="dxa"/>
                  <w:tcBorders>
                    <w:left w:val="single" w:color="auto" w:sz="4" w:space="0"/>
                  </w:tcBorders>
                  <w:vAlign w:val="center"/>
                </w:tcPr>
                <w:p w14:paraId="55BC24FA">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c>
                <w:tcPr>
                  <w:tcW w:w="2025" w:type="dxa"/>
                  <w:tcMar>
                    <w:left w:w="28" w:type="dxa"/>
                    <w:right w:w="28" w:type="dxa"/>
                  </w:tcMar>
                  <w:vAlign w:val="center"/>
                </w:tcPr>
                <w:p w14:paraId="460EFE45">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r>
            <w:tr w14:paraId="0FA72B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74BFC1A7">
                  <w:pPr>
                    <w:spacing w:after="0"/>
                    <w:jc w:val="center"/>
                    <w:rPr>
                      <w:rFonts w:ascii="Times New Roman" w:hAnsi="Times New Roman" w:eastAsia="宋体"/>
                      <w:sz w:val="21"/>
                      <w:szCs w:val="21"/>
                    </w:rPr>
                  </w:pPr>
                  <w:r>
                    <w:rPr>
                      <w:rFonts w:hint="eastAsia" w:ascii="Times New Roman" w:hAnsi="Times New Roman" w:eastAsia="宋体"/>
                      <w:sz w:val="21"/>
                      <w:szCs w:val="21"/>
                    </w:rPr>
                    <w:t>10</w:t>
                  </w:r>
                </w:p>
              </w:tc>
              <w:tc>
                <w:tcPr>
                  <w:tcW w:w="2456" w:type="dxa"/>
                  <w:tcBorders>
                    <w:right w:val="single" w:color="auto" w:sz="4" w:space="0"/>
                  </w:tcBorders>
                  <w:tcMar>
                    <w:left w:w="28" w:type="dxa"/>
                    <w:right w:w="28" w:type="dxa"/>
                  </w:tcMar>
                  <w:vAlign w:val="center"/>
                </w:tcPr>
                <w:p w14:paraId="164125F7">
                  <w:pPr>
                    <w:spacing w:after="0"/>
                    <w:jc w:val="center"/>
                    <w:rPr>
                      <w:rFonts w:ascii="Times New Roman" w:hAnsi="Times New Roman" w:eastAsia="宋体"/>
                      <w:sz w:val="21"/>
                      <w:szCs w:val="21"/>
                    </w:rPr>
                  </w:pPr>
                  <w:r>
                    <w:rPr>
                      <w:rFonts w:hint="eastAsia" w:ascii="Times New Roman" w:hAnsi="Times New Roman" w:eastAsia="宋体"/>
                      <w:sz w:val="21"/>
                      <w:szCs w:val="21"/>
                    </w:rPr>
                    <w:t>摆渡车</w:t>
                  </w:r>
                </w:p>
              </w:tc>
              <w:tc>
                <w:tcPr>
                  <w:tcW w:w="1134" w:type="dxa"/>
                  <w:tcBorders>
                    <w:right w:val="single" w:color="auto" w:sz="4" w:space="0"/>
                  </w:tcBorders>
                  <w:vAlign w:val="center"/>
                </w:tcPr>
                <w:p w14:paraId="36B5595D">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台</w:t>
                  </w:r>
                </w:p>
              </w:tc>
              <w:tc>
                <w:tcPr>
                  <w:tcW w:w="2126" w:type="dxa"/>
                  <w:tcBorders>
                    <w:left w:val="single" w:color="auto" w:sz="4" w:space="0"/>
                  </w:tcBorders>
                  <w:vAlign w:val="center"/>
                </w:tcPr>
                <w:p w14:paraId="3E56009C">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3</w:t>
                  </w:r>
                </w:p>
              </w:tc>
              <w:tc>
                <w:tcPr>
                  <w:tcW w:w="2025" w:type="dxa"/>
                  <w:tcMar>
                    <w:left w:w="28" w:type="dxa"/>
                    <w:right w:w="28" w:type="dxa"/>
                  </w:tcMar>
                  <w:vAlign w:val="center"/>
                </w:tcPr>
                <w:p w14:paraId="405985A2">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3</w:t>
                  </w:r>
                </w:p>
              </w:tc>
            </w:tr>
            <w:tr w14:paraId="46D782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480CC8FD">
                  <w:pPr>
                    <w:spacing w:after="0"/>
                    <w:jc w:val="center"/>
                    <w:rPr>
                      <w:rFonts w:ascii="Times New Roman" w:hAnsi="Times New Roman" w:eastAsia="宋体"/>
                      <w:sz w:val="21"/>
                      <w:szCs w:val="21"/>
                    </w:rPr>
                  </w:pPr>
                  <w:r>
                    <w:rPr>
                      <w:rFonts w:hint="eastAsia" w:ascii="Times New Roman" w:hAnsi="Times New Roman" w:eastAsia="宋体"/>
                      <w:sz w:val="21"/>
                      <w:szCs w:val="21"/>
                    </w:rPr>
                    <w:t>11</w:t>
                  </w:r>
                </w:p>
              </w:tc>
              <w:tc>
                <w:tcPr>
                  <w:tcW w:w="2456" w:type="dxa"/>
                  <w:tcBorders>
                    <w:right w:val="single" w:color="auto" w:sz="4" w:space="0"/>
                  </w:tcBorders>
                  <w:tcMar>
                    <w:left w:w="28" w:type="dxa"/>
                    <w:right w:w="28" w:type="dxa"/>
                  </w:tcMar>
                  <w:vAlign w:val="center"/>
                </w:tcPr>
                <w:p w14:paraId="4C8FF0E4">
                  <w:pPr>
                    <w:spacing w:after="0"/>
                    <w:jc w:val="center"/>
                    <w:rPr>
                      <w:rFonts w:ascii="Times New Roman" w:hAnsi="Times New Roman" w:eastAsia="宋体"/>
                      <w:sz w:val="21"/>
                      <w:szCs w:val="21"/>
                    </w:rPr>
                  </w:pPr>
                  <w:r>
                    <w:rPr>
                      <w:rFonts w:hint="eastAsia" w:ascii="Times New Roman" w:hAnsi="Times New Roman" w:eastAsia="宋体"/>
                      <w:sz w:val="21"/>
                      <w:szCs w:val="21"/>
                    </w:rPr>
                    <w:t>牵引机</w:t>
                  </w:r>
                </w:p>
              </w:tc>
              <w:tc>
                <w:tcPr>
                  <w:tcW w:w="1134" w:type="dxa"/>
                  <w:tcBorders>
                    <w:right w:val="single" w:color="auto" w:sz="4" w:space="0"/>
                  </w:tcBorders>
                  <w:vAlign w:val="center"/>
                </w:tcPr>
                <w:p w14:paraId="119E9634">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台</w:t>
                  </w:r>
                </w:p>
              </w:tc>
              <w:tc>
                <w:tcPr>
                  <w:tcW w:w="2126" w:type="dxa"/>
                  <w:tcBorders>
                    <w:left w:val="single" w:color="auto" w:sz="4" w:space="0"/>
                  </w:tcBorders>
                  <w:vAlign w:val="center"/>
                </w:tcPr>
                <w:p w14:paraId="03AF59D4">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c>
                <w:tcPr>
                  <w:tcW w:w="2025" w:type="dxa"/>
                  <w:tcMar>
                    <w:left w:w="28" w:type="dxa"/>
                    <w:right w:w="28" w:type="dxa"/>
                  </w:tcMar>
                  <w:vAlign w:val="center"/>
                </w:tcPr>
                <w:p w14:paraId="67A1BF26">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r>
            <w:tr w14:paraId="01D283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27D96E27">
                  <w:pPr>
                    <w:spacing w:after="0"/>
                    <w:jc w:val="center"/>
                    <w:rPr>
                      <w:rFonts w:ascii="Times New Roman" w:hAnsi="Times New Roman" w:eastAsia="宋体"/>
                      <w:sz w:val="21"/>
                      <w:szCs w:val="21"/>
                    </w:rPr>
                  </w:pPr>
                  <w:r>
                    <w:rPr>
                      <w:rFonts w:hint="eastAsia" w:ascii="Times New Roman" w:hAnsi="Times New Roman" w:eastAsia="宋体"/>
                      <w:sz w:val="21"/>
                      <w:szCs w:val="21"/>
                    </w:rPr>
                    <w:t>12</w:t>
                  </w:r>
                </w:p>
              </w:tc>
              <w:tc>
                <w:tcPr>
                  <w:tcW w:w="2456" w:type="dxa"/>
                  <w:tcBorders>
                    <w:right w:val="single" w:color="auto" w:sz="4" w:space="0"/>
                  </w:tcBorders>
                  <w:tcMar>
                    <w:left w:w="28" w:type="dxa"/>
                    <w:right w:w="28" w:type="dxa"/>
                  </w:tcMar>
                  <w:vAlign w:val="center"/>
                </w:tcPr>
                <w:p w14:paraId="42DDD095">
                  <w:pPr>
                    <w:spacing w:after="0"/>
                    <w:jc w:val="center"/>
                    <w:rPr>
                      <w:rFonts w:ascii="Times New Roman" w:hAnsi="Times New Roman" w:eastAsia="宋体"/>
                      <w:sz w:val="21"/>
                      <w:szCs w:val="21"/>
                    </w:rPr>
                  </w:pPr>
                  <w:r>
                    <w:rPr>
                      <w:rFonts w:hint="eastAsia" w:ascii="Times New Roman" w:hAnsi="Times New Roman" w:eastAsia="宋体"/>
                      <w:sz w:val="21"/>
                      <w:szCs w:val="21"/>
                    </w:rPr>
                    <w:t>蒸压釜</w:t>
                  </w:r>
                </w:p>
              </w:tc>
              <w:tc>
                <w:tcPr>
                  <w:tcW w:w="1134" w:type="dxa"/>
                  <w:tcBorders>
                    <w:right w:val="single" w:color="auto" w:sz="4" w:space="0"/>
                  </w:tcBorders>
                  <w:vAlign w:val="center"/>
                </w:tcPr>
                <w:p w14:paraId="5A90C5A0">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台</w:t>
                  </w:r>
                </w:p>
              </w:tc>
              <w:tc>
                <w:tcPr>
                  <w:tcW w:w="2126" w:type="dxa"/>
                  <w:tcBorders>
                    <w:left w:val="single" w:color="auto" w:sz="4" w:space="0"/>
                  </w:tcBorders>
                  <w:vAlign w:val="center"/>
                </w:tcPr>
                <w:p w14:paraId="5B32AE52">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6</w:t>
                  </w:r>
                </w:p>
              </w:tc>
              <w:tc>
                <w:tcPr>
                  <w:tcW w:w="2025" w:type="dxa"/>
                  <w:tcMar>
                    <w:left w:w="28" w:type="dxa"/>
                    <w:right w:w="28" w:type="dxa"/>
                  </w:tcMar>
                  <w:vAlign w:val="center"/>
                </w:tcPr>
                <w:p w14:paraId="3A3ED148">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6</w:t>
                  </w:r>
                </w:p>
              </w:tc>
            </w:tr>
            <w:tr w14:paraId="0D118F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43ACCFBB">
                  <w:pPr>
                    <w:spacing w:after="0"/>
                    <w:jc w:val="center"/>
                    <w:rPr>
                      <w:rFonts w:ascii="Times New Roman" w:hAnsi="Times New Roman" w:eastAsia="宋体"/>
                      <w:sz w:val="21"/>
                      <w:szCs w:val="21"/>
                    </w:rPr>
                  </w:pPr>
                  <w:r>
                    <w:rPr>
                      <w:rFonts w:hint="eastAsia" w:ascii="Times New Roman" w:hAnsi="Times New Roman" w:eastAsia="宋体"/>
                      <w:sz w:val="21"/>
                      <w:szCs w:val="21"/>
                    </w:rPr>
                    <w:t>13</w:t>
                  </w:r>
                </w:p>
              </w:tc>
              <w:tc>
                <w:tcPr>
                  <w:tcW w:w="2456" w:type="dxa"/>
                  <w:tcBorders>
                    <w:right w:val="single" w:color="auto" w:sz="4" w:space="0"/>
                  </w:tcBorders>
                  <w:tcMar>
                    <w:left w:w="28" w:type="dxa"/>
                    <w:right w:w="28" w:type="dxa"/>
                  </w:tcMar>
                  <w:vAlign w:val="center"/>
                </w:tcPr>
                <w:p w14:paraId="6D630B15">
                  <w:pPr>
                    <w:spacing w:after="0"/>
                    <w:jc w:val="center"/>
                    <w:rPr>
                      <w:rFonts w:ascii="Times New Roman" w:hAnsi="Times New Roman" w:eastAsia="宋体"/>
                      <w:sz w:val="21"/>
                      <w:szCs w:val="21"/>
                    </w:rPr>
                  </w:pPr>
                  <w:r>
                    <w:rPr>
                      <w:rFonts w:hint="eastAsia" w:ascii="Times New Roman" w:hAnsi="Times New Roman" w:eastAsia="宋体"/>
                      <w:sz w:val="21"/>
                      <w:szCs w:val="21"/>
                    </w:rPr>
                    <w:t>切割输送机构</w:t>
                  </w:r>
                </w:p>
              </w:tc>
              <w:tc>
                <w:tcPr>
                  <w:tcW w:w="1134" w:type="dxa"/>
                  <w:tcBorders>
                    <w:right w:val="single" w:color="auto" w:sz="4" w:space="0"/>
                  </w:tcBorders>
                  <w:vAlign w:val="center"/>
                </w:tcPr>
                <w:p w14:paraId="09B613FC">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套</w:t>
                  </w:r>
                </w:p>
              </w:tc>
              <w:tc>
                <w:tcPr>
                  <w:tcW w:w="2126" w:type="dxa"/>
                  <w:tcBorders>
                    <w:left w:val="single" w:color="auto" w:sz="4" w:space="0"/>
                  </w:tcBorders>
                  <w:vAlign w:val="center"/>
                </w:tcPr>
                <w:p w14:paraId="2279AFE2">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c>
                <w:tcPr>
                  <w:tcW w:w="2025" w:type="dxa"/>
                  <w:tcMar>
                    <w:left w:w="28" w:type="dxa"/>
                    <w:right w:w="28" w:type="dxa"/>
                  </w:tcMar>
                  <w:vAlign w:val="center"/>
                </w:tcPr>
                <w:p w14:paraId="63BAC7C7">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r>
            <w:tr w14:paraId="2272B5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6B16F0F6">
                  <w:pPr>
                    <w:spacing w:after="0"/>
                    <w:jc w:val="center"/>
                    <w:rPr>
                      <w:rFonts w:ascii="Times New Roman" w:hAnsi="Times New Roman" w:eastAsia="宋体"/>
                      <w:sz w:val="21"/>
                      <w:szCs w:val="21"/>
                    </w:rPr>
                  </w:pPr>
                  <w:r>
                    <w:rPr>
                      <w:rFonts w:hint="eastAsia" w:ascii="Times New Roman" w:hAnsi="Times New Roman" w:eastAsia="宋体"/>
                      <w:sz w:val="21"/>
                      <w:szCs w:val="21"/>
                    </w:rPr>
                    <w:t>14</w:t>
                  </w:r>
                </w:p>
              </w:tc>
              <w:tc>
                <w:tcPr>
                  <w:tcW w:w="2456" w:type="dxa"/>
                  <w:tcBorders>
                    <w:right w:val="single" w:color="auto" w:sz="4" w:space="0"/>
                  </w:tcBorders>
                  <w:tcMar>
                    <w:left w:w="28" w:type="dxa"/>
                    <w:right w:w="28" w:type="dxa"/>
                  </w:tcMar>
                  <w:vAlign w:val="center"/>
                </w:tcPr>
                <w:p w14:paraId="03EB1B6B">
                  <w:pPr>
                    <w:spacing w:after="0"/>
                    <w:jc w:val="center"/>
                    <w:rPr>
                      <w:rFonts w:ascii="Times New Roman" w:hAnsi="Times New Roman" w:eastAsia="宋体"/>
                      <w:sz w:val="21"/>
                      <w:szCs w:val="21"/>
                    </w:rPr>
                  </w:pPr>
                  <w:r>
                    <w:rPr>
                      <w:rFonts w:hint="eastAsia" w:ascii="Times New Roman" w:hAnsi="Times New Roman" w:eastAsia="宋体"/>
                      <w:sz w:val="21"/>
                      <w:szCs w:val="21"/>
                    </w:rPr>
                    <w:t>行车</w:t>
                  </w:r>
                </w:p>
              </w:tc>
              <w:tc>
                <w:tcPr>
                  <w:tcW w:w="1134" w:type="dxa"/>
                  <w:tcBorders>
                    <w:right w:val="single" w:color="auto" w:sz="4" w:space="0"/>
                  </w:tcBorders>
                  <w:vAlign w:val="center"/>
                </w:tcPr>
                <w:p w14:paraId="593C05AC">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台</w:t>
                  </w:r>
                </w:p>
              </w:tc>
              <w:tc>
                <w:tcPr>
                  <w:tcW w:w="2126" w:type="dxa"/>
                  <w:tcBorders>
                    <w:left w:val="single" w:color="auto" w:sz="4" w:space="0"/>
                  </w:tcBorders>
                  <w:vAlign w:val="center"/>
                </w:tcPr>
                <w:p w14:paraId="3E68CA72">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4</w:t>
                  </w:r>
                </w:p>
              </w:tc>
              <w:tc>
                <w:tcPr>
                  <w:tcW w:w="2025" w:type="dxa"/>
                  <w:tcMar>
                    <w:left w:w="28" w:type="dxa"/>
                    <w:right w:w="28" w:type="dxa"/>
                  </w:tcMar>
                  <w:vAlign w:val="center"/>
                </w:tcPr>
                <w:p w14:paraId="200DB907">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4</w:t>
                  </w:r>
                </w:p>
              </w:tc>
            </w:tr>
            <w:tr w14:paraId="45C39E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2FFAEBBB">
                  <w:pPr>
                    <w:spacing w:after="0"/>
                    <w:jc w:val="center"/>
                    <w:rPr>
                      <w:rFonts w:ascii="Times New Roman" w:hAnsi="Times New Roman" w:eastAsia="宋体"/>
                      <w:sz w:val="21"/>
                      <w:szCs w:val="21"/>
                    </w:rPr>
                  </w:pPr>
                  <w:r>
                    <w:rPr>
                      <w:rFonts w:hint="eastAsia" w:ascii="Times New Roman" w:hAnsi="Times New Roman" w:eastAsia="宋体"/>
                      <w:sz w:val="21"/>
                      <w:szCs w:val="21"/>
                    </w:rPr>
                    <w:t>15</w:t>
                  </w:r>
                </w:p>
              </w:tc>
              <w:tc>
                <w:tcPr>
                  <w:tcW w:w="2456" w:type="dxa"/>
                  <w:tcBorders>
                    <w:right w:val="single" w:color="auto" w:sz="4" w:space="0"/>
                  </w:tcBorders>
                  <w:tcMar>
                    <w:left w:w="28" w:type="dxa"/>
                    <w:right w:w="28" w:type="dxa"/>
                  </w:tcMar>
                  <w:vAlign w:val="center"/>
                </w:tcPr>
                <w:p w14:paraId="654D65CC">
                  <w:pPr>
                    <w:spacing w:after="0"/>
                    <w:jc w:val="center"/>
                    <w:rPr>
                      <w:rFonts w:ascii="Times New Roman" w:hAnsi="Times New Roman" w:eastAsia="宋体"/>
                      <w:sz w:val="21"/>
                      <w:szCs w:val="21"/>
                    </w:rPr>
                  </w:pPr>
                  <w:r>
                    <w:rPr>
                      <w:rFonts w:hint="eastAsia" w:ascii="Times New Roman" w:hAnsi="Times New Roman" w:eastAsia="宋体"/>
                      <w:sz w:val="21"/>
                      <w:szCs w:val="21"/>
                    </w:rPr>
                    <w:t>原料筒仓</w:t>
                  </w:r>
                </w:p>
              </w:tc>
              <w:tc>
                <w:tcPr>
                  <w:tcW w:w="1134" w:type="dxa"/>
                  <w:tcBorders>
                    <w:right w:val="single" w:color="auto" w:sz="4" w:space="0"/>
                  </w:tcBorders>
                  <w:vAlign w:val="center"/>
                </w:tcPr>
                <w:p w14:paraId="733668B6">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个</w:t>
                  </w:r>
                </w:p>
              </w:tc>
              <w:tc>
                <w:tcPr>
                  <w:tcW w:w="2126" w:type="dxa"/>
                  <w:tcBorders>
                    <w:left w:val="single" w:color="auto" w:sz="4" w:space="0"/>
                  </w:tcBorders>
                  <w:vAlign w:val="center"/>
                </w:tcPr>
                <w:p w14:paraId="3A092EE6">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4</w:t>
                  </w:r>
                </w:p>
              </w:tc>
              <w:tc>
                <w:tcPr>
                  <w:tcW w:w="2025" w:type="dxa"/>
                  <w:tcMar>
                    <w:left w:w="28" w:type="dxa"/>
                    <w:right w:w="28" w:type="dxa"/>
                  </w:tcMar>
                  <w:vAlign w:val="center"/>
                </w:tcPr>
                <w:p w14:paraId="35FF0EE4">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4</w:t>
                  </w:r>
                </w:p>
              </w:tc>
            </w:tr>
            <w:tr w14:paraId="5D02B2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7C5BD0A4">
                  <w:pPr>
                    <w:spacing w:after="0"/>
                    <w:jc w:val="center"/>
                    <w:rPr>
                      <w:rFonts w:ascii="Times New Roman" w:hAnsi="Times New Roman" w:eastAsia="宋体"/>
                      <w:sz w:val="21"/>
                      <w:szCs w:val="21"/>
                    </w:rPr>
                  </w:pPr>
                  <w:r>
                    <w:rPr>
                      <w:rFonts w:hint="eastAsia" w:ascii="Times New Roman" w:hAnsi="Times New Roman" w:eastAsia="宋体"/>
                      <w:sz w:val="21"/>
                      <w:szCs w:val="21"/>
                    </w:rPr>
                    <w:t>16</w:t>
                  </w:r>
                </w:p>
              </w:tc>
              <w:tc>
                <w:tcPr>
                  <w:tcW w:w="2456" w:type="dxa"/>
                  <w:tcBorders>
                    <w:right w:val="single" w:color="auto" w:sz="4" w:space="0"/>
                  </w:tcBorders>
                  <w:tcMar>
                    <w:left w:w="28" w:type="dxa"/>
                    <w:right w:w="28" w:type="dxa"/>
                  </w:tcMar>
                  <w:vAlign w:val="center"/>
                </w:tcPr>
                <w:p w14:paraId="69807668">
                  <w:pPr>
                    <w:spacing w:after="0"/>
                    <w:jc w:val="center"/>
                    <w:rPr>
                      <w:rFonts w:ascii="Times New Roman" w:hAnsi="Times New Roman" w:eastAsia="宋体"/>
                      <w:sz w:val="21"/>
                      <w:szCs w:val="21"/>
                    </w:rPr>
                  </w:pPr>
                  <w:r>
                    <w:rPr>
                      <w:rFonts w:hint="eastAsia" w:ascii="Times New Roman" w:hAnsi="Times New Roman" w:eastAsia="宋体"/>
                      <w:sz w:val="21"/>
                      <w:szCs w:val="21"/>
                    </w:rPr>
                    <w:t>模具</w:t>
                  </w:r>
                </w:p>
              </w:tc>
              <w:tc>
                <w:tcPr>
                  <w:tcW w:w="1134" w:type="dxa"/>
                  <w:tcBorders>
                    <w:right w:val="single" w:color="auto" w:sz="4" w:space="0"/>
                  </w:tcBorders>
                  <w:vAlign w:val="center"/>
                </w:tcPr>
                <w:p w14:paraId="4FD83A3B">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台</w:t>
                  </w:r>
                </w:p>
              </w:tc>
              <w:tc>
                <w:tcPr>
                  <w:tcW w:w="2126" w:type="dxa"/>
                  <w:tcBorders>
                    <w:left w:val="single" w:color="auto" w:sz="4" w:space="0"/>
                  </w:tcBorders>
                  <w:vAlign w:val="center"/>
                </w:tcPr>
                <w:p w14:paraId="169CF820">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24</w:t>
                  </w:r>
                </w:p>
              </w:tc>
              <w:tc>
                <w:tcPr>
                  <w:tcW w:w="2025" w:type="dxa"/>
                  <w:tcMar>
                    <w:left w:w="28" w:type="dxa"/>
                    <w:right w:w="28" w:type="dxa"/>
                  </w:tcMar>
                  <w:vAlign w:val="center"/>
                </w:tcPr>
                <w:p w14:paraId="6CD6F001">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24</w:t>
                  </w:r>
                </w:p>
              </w:tc>
            </w:tr>
            <w:tr w14:paraId="7C10CC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3B90339D">
                  <w:pPr>
                    <w:spacing w:after="0"/>
                    <w:jc w:val="center"/>
                    <w:rPr>
                      <w:rFonts w:ascii="Times New Roman" w:hAnsi="Times New Roman" w:eastAsia="宋体"/>
                      <w:sz w:val="21"/>
                      <w:szCs w:val="21"/>
                    </w:rPr>
                  </w:pPr>
                  <w:r>
                    <w:rPr>
                      <w:rFonts w:hint="eastAsia" w:ascii="Times New Roman" w:hAnsi="Times New Roman" w:eastAsia="宋体"/>
                      <w:sz w:val="21"/>
                      <w:szCs w:val="21"/>
                    </w:rPr>
                    <w:t>17</w:t>
                  </w:r>
                </w:p>
              </w:tc>
              <w:tc>
                <w:tcPr>
                  <w:tcW w:w="2456" w:type="dxa"/>
                  <w:tcBorders>
                    <w:right w:val="single" w:color="auto" w:sz="4" w:space="0"/>
                  </w:tcBorders>
                  <w:tcMar>
                    <w:left w:w="28" w:type="dxa"/>
                    <w:right w:w="28" w:type="dxa"/>
                  </w:tcMar>
                  <w:vAlign w:val="center"/>
                </w:tcPr>
                <w:p w14:paraId="0B151ABF">
                  <w:pPr>
                    <w:spacing w:after="0"/>
                    <w:jc w:val="center"/>
                    <w:rPr>
                      <w:rFonts w:ascii="Times New Roman" w:hAnsi="Times New Roman" w:eastAsia="宋体"/>
                      <w:sz w:val="21"/>
                      <w:szCs w:val="21"/>
                    </w:rPr>
                  </w:pPr>
                  <w:r>
                    <w:rPr>
                      <w:rFonts w:hint="eastAsia" w:ascii="Times New Roman" w:hAnsi="Times New Roman" w:eastAsia="宋体"/>
                      <w:sz w:val="21"/>
                      <w:szCs w:val="21"/>
                    </w:rPr>
                    <w:t>侧板输辊道</w:t>
                  </w:r>
                </w:p>
              </w:tc>
              <w:tc>
                <w:tcPr>
                  <w:tcW w:w="1134" w:type="dxa"/>
                  <w:tcBorders>
                    <w:right w:val="single" w:color="auto" w:sz="4" w:space="0"/>
                  </w:tcBorders>
                  <w:vAlign w:val="center"/>
                </w:tcPr>
                <w:p w14:paraId="61766DE1">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组</w:t>
                  </w:r>
                </w:p>
              </w:tc>
              <w:tc>
                <w:tcPr>
                  <w:tcW w:w="2126" w:type="dxa"/>
                  <w:tcBorders>
                    <w:left w:val="single" w:color="auto" w:sz="4" w:space="0"/>
                  </w:tcBorders>
                  <w:vAlign w:val="center"/>
                </w:tcPr>
                <w:p w14:paraId="606804CD">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50</w:t>
                  </w:r>
                </w:p>
              </w:tc>
              <w:tc>
                <w:tcPr>
                  <w:tcW w:w="2025" w:type="dxa"/>
                  <w:tcMar>
                    <w:left w:w="28" w:type="dxa"/>
                    <w:right w:w="28" w:type="dxa"/>
                  </w:tcMar>
                  <w:vAlign w:val="center"/>
                </w:tcPr>
                <w:p w14:paraId="70524AB9">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50</w:t>
                  </w:r>
                </w:p>
              </w:tc>
            </w:tr>
            <w:tr w14:paraId="06FECD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6E88825A">
                  <w:pPr>
                    <w:spacing w:after="0"/>
                    <w:jc w:val="center"/>
                    <w:rPr>
                      <w:rFonts w:ascii="Times New Roman" w:hAnsi="Times New Roman" w:eastAsia="宋体"/>
                      <w:sz w:val="21"/>
                      <w:szCs w:val="21"/>
                    </w:rPr>
                  </w:pPr>
                  <w:r>
                    <w:rPr>
                      <w:rFonts w:hint="eastAsia" w:ascii="Times New Roman" w:hAnsi="Times New Roman" w:eastAsia="宋体"/>
                      <w:sz w:val="21"/>
                      <w:szCs w:val="21"/>
                    </w:rPr>
                    <w:t>18</w:t>
                  </w:r>
                </w:p>
              </w:tc>
              <w:tc>
                <w:tcPr>
                  <w:tcW w:w="2456" w:type="dxa"/>
                  <w:tcBorders>
                    <w:right w:val="single" w:color="auto" w:sz="4" w:space="0"/>
                  </w:tcBorders>
                  <w:tcMar>
                    <w:left w:w="28" w:type="dxa"/>
                    <w:right w:w="28" w:type="dxa"/>
                  </w:tcMar>
                  <w:vAlign w:val="center"/>
                </w:tcPr>
                <w:p w14:paraId="402149F6">
                  <w:pPr>
                    <w:spacing w:after="0"/>
                    <w:jc w:val="center"/>
                    <w:rPr>
                      <w:rFonts w:ascii="Times New Roman" w:hAnsi="Times New Roman" w:eastAsia="宋体"/>
                      <w:sz w:val="21"/>
                      <w:szCs w:val="21"/>
                    </w:rPr>
                  </w:pPr>
                  <w:r>
                    <w:rPr>
                      <w:rFonts w:hint="eastAsia" w:ascii="Times New Roman" w:hAnsi="Times New Roman" w:eastAsia="宋体"/>
                      <w:sz w:val="21"/>
                      <w:szCs w:val="21"/>
                    </w:rPr>
                    <w:t>斗式提升机</w:t>
                  </w:r>
                </w:p>
              </w:tc>
              <w:tc>
                <w:tcPr>
                  <w:tcW w:w="1134" w:type="dxa"/>
                  <w:tcBorders>
                    <w:right w:val="single" w:color="auto" w:sz="4" w:space="0"/>
                  </w:tcBorders>
                  <w:vAlign w:val="center"/>
                </w:tcPr>
                <w:p w14:paraId="308FE32A">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台</w:t>
                  </w:r>
                </w:p>
              </w:tc>
              <w:tc>
                <w:tcPr>
                  <w:tcW w:w="2126" w:type="dxa"/>
                  <w:tcBorders>
                    <w:left w:val="single" w:color="auto" w:sz="4" w:space="0"/>
                  </w:tcBorders>
                  <w:vAlign w:val="center"/>
                </w:tcPr>
                <w:p w14:paraId="35E96817">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2</w:t>
                  </w:r>
                </w:p>
              </w:tc>
              <w:tc>
                <w:tcPr>
                  <w:tcW w:w="2025" w:type="dxa"/>
                  <w:tcMar>
                    <w:left w:w="28" w:type="dxa"/>
                    <w:right w:w="28" w:type="dxa"/>
                  </w:tcMar>
                  <w:vAlign w:val="center"/>
                </w:tcPr>
                <w:p w14:paraId="7F6D7329">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2</w:t>
                  </w:r>
                </w:p>
              </w:tc>
            </w:tr>
            <w:tr w14:paraId="6FFBFD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039C3EAE">
                  <w:pPr>
                    <w:spacing w:after="0"/>
                    <w:jc w:val="center"/>
                    <w:rPr>
                      <w:rFonts w:ascii="Times New Roman" w:hAnsi="Times New Roman" w:eastAsia="宋体"/>
                      <w:sz w:val="21"/>
                      <w:szCs w:val="21"/>
                    </w:rPr>
                  </w:pPr>
                  <w:r>
                    <w:rPr>
                      <w:rFonts w:hint="eastAsia" w:ascii="Times New Roman" w:hAnsi="Times New Roman" w:eastAsia="宋体"/>
                      <w:sz w:val="21"/>
                      <w:szCs w:val="21"/>
                    </w:rPr>
                    <w:t>19</w:t>
                  </w:r>
                </w:p>
              </w:tc>
              <w:tc>
                <w:tcPr>
                  <w:tcW w:w="2456" w:type="dxa"/>
                  <w:tcBorders>
                    <w:right w:val="single" w:color="auto" w:sz="4" w:space="0"/>
                  </w:tcBorders>
                  <w:tcMar>
                    <w:left w:w="28" w:type="dxa"/>
                    <w:right w:w="28" w:type="dxa"/>
                  </w:tcMar>
                  <w:vAlign w:val="center"/>
                </w:tcPr>
                <w:p w14:paraId="7B52C5EF">
                  <w:pPr>
                    <w:spacing w:after="0"/>
                    <w:jc w:val="center"/>
                    <w:rPr>
                      <w:rFonts w:ascii="Times New Roman" w:hAnsi="Times New Roman" w:eastAsia="宋体"/>
                      <w:sz w:val="21"/>
                      <w:szCs w:val="21"/>
                    </w:rPr>
                  </w:pPr>
                  <w:r>
                    <w:rPr>
                      <w:rFonts w:hint="eastAsia" w:ascii="Times New Roman" w:hAnsi="Times New Roman" w:eastAsia="宋体"/>
                      <w:sz w:val="21"/>
                      <w:szCs w:val="21"/>
                    </w:rPr>
                    <w:t>皮带输送机</w:t>
                  </w:r>
                </w:p>
              </w:tc>
              <w:tc>
                <w:tcPr>
                  <w:tcW w:w="1134" w:type="dxa"/>
                  <w:tcBorders>
                    <w:right w:val="single" w:color="auto" w:sz="4" w:space="0"/>
                  </w:tcBorders>
                  <w:vAlign w:val="center"/>
                </w:tcPr>
                <w:p w14:paraId="230318CE">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台</w:t>
                  </w:r>
                </w:p>
              </w:tc>
              <w:tc>
                <w:tcPr>
                  <w:tcW w:w="2126" w:type="dxa"/>
                  <w:tcBorders>
                    <w:left w:val="single" w:color="auto" w:sz="4" w:space="0"/>
                  </w:tcBorders>
                  <w:vAlign w:val="center"/>
                </w:tcPr>
                <w:p w14:paraId="43F8FA40">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c>
                <w:tcPr>
                  <w:tcW w:w="2025" w:type="dxa"/>
                  <w:tcMar>
                    <w:left w:w="28" w:type="dxa"/>
                    <w:right w:w="28" w:type="dxa"/>
                  </w:tcMar>
                  <w:vAlign w:val="center"/>
                </w:tcPr>
                <w:p w14:paraId="034B30E7">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1</w:t>
                  </w:r>
                </w:p>
              </w:tc>
            </w:tr>
            <w:tr w14:paraId="31802C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45" w:type="dxa"/>
                  <w:tcMar>
                    <w:left w:w="28" w:type="dxa"/>
                    <w:right w:w="28" w:type="dxa"/>
                  </w:tcMar>
                  <w:vAlign w:val="center"/>
                </w:tcPr>
                <w:p w14:paraId="48C2AC17">
                  <w:pPr>
                    <w:spacing w:after="0"/>
                    <w:jc w:val="center"/>
                    <w:rPr>
                      <w:rFonts w:ascii="Times New Roman" w:hAnsi="Times New Roman" w:eastAsia="宋体"/>
                      <w:sz w:val="21"/>
                      <w:szCs w:val="21"/>
                    </w:rPr>
                  </w:pPr>
                  <w:r>
                    <w:rPr>
                      <w:rFonts w:hint="eastAsia" w:ascii="Times New Roman" w:hAnsi="Times New Roman" w:eastAsia="宋体"/>
                      <w:sz w:val="21"/>
                      <w:szCs w:val="21"/>
                    </w:rPr>
                    <w:t>20</w:t>
                  </w:r>
                </w:p>
              </w:tc>
              <w:tc>
                <w:tcPr>
                  <w:tcW w:w="2456" w:type="dxa"/>
                  <w:tcBorders>
                    <w:right w:val="single" w:color="auto" w:sz="4" w:space="0"/>
                  </w:tcBorders>
                  <w:tcMar>
                    <w:left w:w="28" w:type="dxa"/>
                    <w:right w:w="28" w:type="dxa"/>
                  </w:tcMar>
                  <w:vAlign w:val="center"/>
                </w:tcPr>
                <w:p w14:paraId="46CEA186">
                  <w:pPr>
                    <w:spacing w:after="0"/>
                    <w:jc w:val="center"/>
                    <w:rPr>
                      <w:rFonts w:ascii="Times New Roman" w:hAnsi="Times New Roman" w:eastAsia="宋体"/>
                      <w:sz w:val="21"/>
                      <w:szCs w:val="21"/>
                    </w:rPr>
                  </w:pPr>
                  <w:r>
                    <w:rPr>
                      <w:rFonts w:hint="eastAsia" w:ascii="Times New Roman" w:hAnsi="Times New Roman" w:eastAsia="宋体"/>
                      <w:sz w:val="21"/>
                      <w:szCs w:val="21"/>
                    </w:rPr>
                    <w:t>打浆机芯</w:t>
                  </w:r>
                </w:p>
              </w:tc>
              <w:tc>
                <w:tcPr>
                  <w:tcW w:w="1134" w:type="dxa"/>
                  <w:tcBorders>
                    <w:right w:val="single" w:color="auto" w:sz="4" w:space="0"/>
                  </w:tcBorders>
                  <w:vAlign w:val="center"/>
                </w:tcPr>
                <w:p w14:paraId="34CF26C2">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台</w:t>
                  </w:r>
                </w:p>
              </w:tc>
              <w:tc>
                <w:tcPr>
                  <w:tcW w:w="2126" w:type="dxa"/>
                  <w:tcBorders>
                    <w:left w:val="single" w:color="auto" w:sz="4" w:space="0"/>
                  </w:tcBorders>
                  <w:vAlign w:val="center"/>
                </w:tcPr>
                <w:p w14:paraId="460115C6">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3</w:t>
                  </w:r>
                </w:p>
              </w:tc>
              <w:tc>
                <w:tcPr>
                  <w:tcW w:w="2025" w:type="dxa"/>
                  <w:tcMar>
                    <w:left w:w="28" w:type="dxa"/>
                    <w:right w:w="28" w:type="dxa"/>
                  </w:tcMar>
                  <w:vAlign w:val="center"/>
                </w:tcPr>
                <w:p w14:paraId="3085C32A">
                  <w:pPr>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3</w:t>
                  </w:r>
                </w:p>
              </w:tc>
            </w:tr>
          </w:tbl>
          <w:p w14:paraId="732AAEB1">
            <w:pPr>
              <w:spacing w:line="360" w:lineRule="exact"/>
              <w:jc w:val="both"/>
              <w:rPr>
                <w:rFonts w:ascii="Times New Roman" w:hAnsi="Times New Roman" w:eastAsia="宋体"/>
                <w:b/>
                <w:color w:val="000000"/>
                <w:sz w:val="24"/>
                <w:szCs w:val="24"/>
              </w:rPr>
            </w:pPr>
            <w:r>
              <w:rPr>
                <w:rFonts w:ascii="Times New Roman" w:hAnsi="Times New Roman" w:eastAsia="宋体"/>
                <w:b/>
                <w:color w:val="000000"/>
                <w:sz w:val="24"/>
                <w:szCs w:val="24"/>
              </w:rPr>
              <w:t>二、工程变更情况</w:t>
            </w:r>
          </w:p>
          <w:p w14:paraId="3D4BA158">
            <w:pPr>
              <w:spacing w:after="0"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本项目实际建设内容、性质、地点、规模、生产工艺、主要环保设施逐一核实，</w:t>
            </w:r>
            <w:r>
              <w:rPr>
                <w:rFonts w:ascii="Times New Roman" w:hAnsi="Times New Roman" w:eastAsia="宋体"/>
                <w:sz w:val="24"/>
              </w:rPr>
              <w:t>烘干蒸压需要大量蒸汽</w:t>
            </w:r>
            <w:r>
              <w:rPr>
                <w:rFonts w:hint="eastAsia" w:ascii="Times New Roman" w:hAnsi="Times New Roman" w:eastAsia="宋体"/>
                <w:color w:val="000000"/>
                <w:sz w:val="24"/>
                <w:szCs w:val="24"/>
              </w:rPr>
              <w:t>，从附近电厂购买，与原环评蒸汽由燃气锅炉提供不一致，但对照重大变更清单，不属于重大变更，符合</w:t>
            </w:r>
            <w:r>
              <w:rPr>
                <w:rFonts w:ascii="Times New Roman" w:hAnsi="Times New Roman" w:eastAsia="宋体"/>
                <w:color w:val="000000"/>
                <w:sz w:val="24"/>
                <w:szCs w:val="24"/>
              </w:rPr>
              <w:t>《建设项目竣工环境保护验收暂行办法》（国环规环评</w:t>
            </w:r>
            <w:r>
              <w:rPr>
                <w:rFonts w:hint="eastAsia" w:ascii="Times New Roman" w:hAnsi="Times New Roman" w:eastAsia="宋体"/>
                <w:color w:val="000000"/>
                <w:sz w:val="24"/>
                <w:szCs w:val="24"/>
              </w:rPr>
              <w:t>［</w:t>
            </w:r>
            <w:r>
              <w:rPr>
                <w:rFonts w:ascii="Times New Roman" w:hAnsi="Times New Roman" w:eastAsia="宋体"/>
                <w:color w:val="000000"/>
                <w:sz w:val="24"/>
                <w:szCs w:val="24"/>
              </w:rPr>
              <w:t>2017</w:t>
            </w:r>
            <w:r>
              <w:rPr>
                <w:rFonts w:hint="eastAsia" w:ascii="Times New Roman" w:hAnsi="Times New Roman" w:eastAsia="宋体"/>
                <w:color w:val="000000"/>
                <w:sz w:val="24"/>
                <w:szCs w:val="24"/>
              </w:rPr>
              <w:t>］</w:t>
            </w:r>
            <w:r>
              <w:rPr>
                <w:rFonts w:ascii="Times New Roman" w:hAnsi="Times New Roman" w:eastAsia="宋体"/>
                <w:color w:val="000000"/>
                <w:sz w:val="24"/>
                <w:szCs w:val="24"/>
              </w:rPr>
              <w:t>4号）的要求</w:t>
            </w:r>
            <w:r>
              <w:rPr>
                <w:rFonts w:hint="eastAsia" w:ascii="Times New Roman" w:hAnsi="Times New Roman" w:eastAsia="宋体"/>
                <w:color w:val="000000"/>
                <w:sz w:val="24"/>
                <w:szCs w:val="24"/>
              </w:rPr>
              <w:t>，因此可以纳入环境保护验收管理。</w:t>
            </w:r>
          </w:p>
          <w:p w14:paraId="205A2A6A">
            <w:pPr>
              <w:spacing w:before="120" w:beforeLines="50" w:after="120" w:line="360" w:lineRule="auto"/>
              <w:rPr>
                <w:rFonts w:ascii="Times New Roman" w:hAnsi="Times New Roman" w:eastAsia="宋体"/>
                <w:b/>
                <w:color w:val="000000"/>
                <w:sz w:val="24"/>
                <w:szCs w:val="24"/>
              </w:rPr>
            </w:pPr>
            <w:r>
              <w:rPr>
                <w:rFonts w:ascii="Times New Roman" w:hAnsi="Times New Roman" w:eastAsia="宋体"/>
                <w:b/>
                <w:color w:val="000000"/>
                <w:sz w:val="24"/>
                <w:szCs w:val="24"/>
              </w:rPr>
              <w:t>三、验收范围</w:t>
            </w:r>
          </w:p>
          <w:p w14:paraId="5D61079E">
            <w:pPr>
              <w:spacing w:before="120" w:beforeLines="50" w:after="120" w:line="360" w:lineRule="auto"/>
              <w:rPr>
                <w:rFonts w:ascii="Times New Roman" w:hAnsi="Times New Roman" w:eastAsia="宋体"/>
                <w:b/>
                <w:color w:val="000000"/>
                <w:sz w:val="24"/>
                <w:szCs w:val="24"/>
              </w:rPr>
            </w:pPr>
            <w:r>
              <w:rPr>
                <w:rFonts w:ascii="Times New Roman" w:hAnsi="Times New Roman" w:eastAsia="宋体"/>
                <w:b/>
                <w:color w:val="000000"/>
                <w:sz w:val="24"/>
                <w:szCs w:val="24"/>
              </w:rPr>
              <w:t xml:space="preserve">    </w:t>
            </w:r>
            <w:r>
              <w:rPr>
                <w:rFonts w:hint="eastAsia" w:ascii="Times New Roman" w:hAnsi="Times New Roman" w:eastAsia="宋体"/>
                <w:color w:val="000000"/>
                <w:sz w:val="24"/>
                <w:szCs w:val="24"/>
              </w:rPr>
              <w:t>本</w:t>
            </w:r>
            <w:r>
              <w:rPr>
                <w:rFonts w:ascii="Times New Roman" w:hAnsi="Times New Roman" w:eastAsia="宋体"/>
                <w:color w:val="000000"/>
                <w:sz w:val="24"/>
                <w:szCs w:val="24"/>
              </w:rPr>
              <w:t>次验收范围</w:t>
            </w:r>
            <w:r>
              <w:rPr>
                <w:rFonts w:hint="eastAsia" w:ascii="Times New Roman" w:hAnsi="Times New Roman" w:eastAsia="宋体"/>
                <w:color w:val="000000"/>
                <w:sz w:val="24"/>
                <w:szCs w:val="24"/>
              </w:rPr>
              <w:t>为陕西蓝邦环保建材有限公司蒸压加气混凝土砌块项目设计文件、环评及其批复各项主体工程、环境保护措施。</w:t>
            </w:r>
          </w:p>
          <w:p w14:paraId="65FD5093">
            <w:pPr>
              <w:spacing w:before="120" w:beforeLines="50" w:after="120" w:line="360" w:lineRule="auto"/>
              <w:rPr>
                <w:rFonts w:ascii="Times New Roman" w:hAnsi="Times New Roman" w:eastAsia="宋体"/>
                <w:b/>
                <w:color w:val="000000"/>
                <w:sz w:val="24"/>
                <w:szCs w:val="24"/>
              </w:rPr>
            </w:pPr>
            <w:r>
              <w:rPr>
                <w:rFonts w:ascii="Times New Roman" w:hAnsi="Times New Roman" w:eastAsia="宋体"/>
                <w:b/>
                <w:color w:val="000000"/>
                <w:sz w:val="24"/>
                <w:szCs w:val="24"/>
              </w:rPr>
              <w:t>四、原辅材料消耗及水平衡</w:t>
            </w:r>
          </w:p>
          <w:p w14:paraId="42CBEEE6">
            <w:pPr>
              <w:spacing w:before="48" w:beforeLines="20" w:after="0" w:line="360" w:lineRule="auto"/>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1、原辅料消耗</w:t>
            </w:r>
          </w:p>
          <w:p w14:paraId="6D8AA687">
            <w:pPr>
              <w:spacing w:after="0" w:line="360" w:lineRule="auto"/>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本项目主要原、辅材料消耗见表2-3。</w:t>
            </w:r>
          </w:p>
          <w:p w14:paraId="094D512C">
            <w:pPr>
              <w:spacing w:after="0"/>
              <w:ind w:firstLine="480" w:firstLineChars="200"/>
              <w:jc w:val="center"/>
              <w:rPr>
                <w:rFonts w:ascii="Times New Roman" w:hAnsi="Times New Roman" w:eastAsia="宋体"/>
                <w:color w:val="000000"/>
                <w:sz w:val="24"/>
                <w:szCs w:val="24"/>
              </w:rPr>
            </w:pPr>
            <w:r>
              <w:rPr>
                <w:rFonts w:ascii="Times New Roman" w:hAnsi="Times New Roman" w:eastAsia="宋体"/>
                <w:color w:val="000000"/>
                <w:sz w:val="24"/>
                <w:szCs w:val="24"/>
              </w:rPr>
              <w:t>表2-3  项目原辅材料消耗一览表</w:t>
            </w:r>
          </w:p>
          <w:tbl>
            <w:tblPr>
              <w:tblStyle w:val="10"/>
              <w:tblW w:w="8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7"/>
              <w:gridCol w:w="1379"/>
              <w:gridCol w:w="1970"/>
              <w:gridCol w:w="2929"/>
            </w:tblGrid>
            <w:tr w14:paraId="1FA9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7" w:type="dxa"/>
                  <w:vAlign w:val="center"/>
                </w:tcPr>
                <w:p w14:paraId="0B2850B2">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名称</w:t>
                  </w:r>
                </w:p>
              </w:tc>
              <w:tc>
                <w:tcPr>
                  <w:tcW w:w="1379" w:type="dxa"/>
                  <w:vAlign w:val="center"/>
                </w:tcPr>
                <w:p w14:paraId="01DE9668">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单位</w:t>
                  </w:r>
                </w:p>
              </w:tc>
              <w:tc>
                <w:tcPr>
                  <w:tcW w:w="1970" w:type="dxa"/>
                  <w:vAlign w:val="center"/>
                </w:tcPr>
                <w:p w14:paraId="0805C0B6">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年</w:t>
                  </w:r>
                  <w:r>
                    <w:rPr>
                      <w:rFonts w:ascii="Times New Roman" w:hAnsi="Times New Roman" w:eastAsia="宋体"/>
                      <w:kern w:val="2"/>
                      <w:sz w:val="21"/>
                      <w:szCs w:val="21"/>
                    </w:rPr>
                    <w:t>消耗量</w:t>
                  </w:r>
                </w:p>
              </w:tc>
              <w:tc>
                <w:tcPr>
                  <w:tcW w:w="2929" w:type="dxa"/>
                  <w:vAlign w:val="center"/>
                </w:tcPr>
                <w:p w14:paraId="40C6B379">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来源及运输</w:t>
                  </w:r>
                </w:p>
              </w:tc>
            </w:tr>
            <w:tr w14:paraId="60E4E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7" w:type="dxa"/>
                  <w:vAlign w:val="center"/>
                </w:tcPr>
                <w:p w14:paraId="71768C7D">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粉煤灰</w:t>
                  </w:r>
                </w:p>
              </w:tc>
              <w:tc>
                <w:tcPr>
                  <w:tcW w:w="1379" w:type="dxa"/>
                  <w:vAlign w:val="center"/>
                </w:tcPr>
                <w:p w14:paraId="450C6820">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t/a</w:t>
                  </w:r>
                </w:p>
              </w:tc>
              <w:tc>
                <w:tcPr>
                  <w:tcW w:w="1970" w:type="dxa"/>
                  <w:vAlign w:val="center"/>
                </w:tcPr>
                <w:p w14:paraId="663A6906">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126000</w:t>
                  </w:r>
                </w:p>
              </w:tc>
              <w:tc>
                <w:tcPr>
                  <w:tcW w:w="2929" w:type="dxa"/>
                  <w:vAlign w:val="center"/>
                </w:tcPr>
                <w:p w14:paraId="1495DA69">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外购、汽车</w:t>
                  </w:r>
                </w:p>
              </w:tc>
            </w:tr>
            <w:tr w14:paraId="6986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7" w:type="dxa"/>
                  <w:vAlign w:val="center"/>
                </w:tcPr>
                <w:p w14:paraId="08F60B8A">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石灰</w:t>
                  </w:r>
                </w:p>
              </w:tc>
              <w:tc>
                <w:tcPr>
                  <w:tcW w:w="1379" w:type="dxa"/>
                  <w:vAlign w:val="center"/>
                </w:tcPr>
                <w:p w14:paraId="74FD4B5F">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t/a</w:t>
                  </w:r>
                </w:p>
              </w:tc>
              <w:tc>
                <w:tcPr>
                  <w:tcW w:w="1970" w:type="dxa"/>
                  <w:vAlign w:val="center"/>
                </w:tcPr>
                <w:p w14:paraId="6A1CF133">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36000</w:t>
                  </w:r>
                </w:p>
              </w:tc>
              <w:tc>
                <w:tcPr>
                  <w:tcW w:w="2929" w:type="dxa"/>
                  <w:vAlign w:val="center"/>
                </w:tcPr>
                <w:p w14:paraId="71259925">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外购、汽车</w:t>
                  </w:r>
                </w:p>
              </w:tc>
            </w:tr>
            <w:tr w14:paraId="3A7F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7" w:type="dxa"/>
                  <w:vAlign w:val="center"/>
                </w:tcPr>
                <w:p w14:paraId="2CA6740A">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水泥</w:t>
                  </w:r>
                </w:p>
              </w:tc>
              <w:tc>
                <w:tcPr>
                  <w:tcW w:w="1379" w:type="dxa"/>
                  <w:vAlign w:val="center"/>
                </w:tcPr>
                <w:p w14:paraId="7F7BA4D3">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t/a</w:t>
                  </w:r>
                </w:p>
              </w:tc>
              <w:tc>
                <w:tcPr>
                  <w:tcW w:w="1970" w:type="dxa"/>
                  <w:vAlign w:val="center"/>
                </w:tcPr>
                <w:p w14:paraId="6368C97C">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10800</w:t>
                  </w:r>
                </w:p>
              </w:tc>
              <w:tc>
                <w:tcPr>
                  <w:tcW w:w="2929" w:type="dxa"/>
                  <w:vAlign w:val="center"/>
                </w:tcPr>
                <w:p w14:paraId="501FFDA9">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外购、汽车</w:t>
                  </w:r>
                </w:p>
              </w:tc>
            </w:tr>
            <w:tr w14:paraId="0BEA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7" w:type="dxa"/>
                  <w:vAlign w:val="center"/>
                </w:tcPr>
                <w:p w14:paraId="751A3139">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石膏渣</w:t>
                  </w:r>
                </w:p>
              </w:tc>
              <w:tc>
                <w:tcPr>
                  <w:tcW w:w="1379" w:type="dxa"/>
                  <w:vAlign w:val="center"/>
                </w:tcPr>
                <w:p w14:paraId="1036B65C">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t/a</w:t>
                  </w:r>
                </w:p>
              </w:tc>
              <w:tc>
                <w:tcPr>
                  <w:tcW w:w="1970" w:type="dxa"/>
                  <w:vAlign w:val="center"/>
                </w:tcPr>
                <w:p w14:paraId="2D8DA396">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7200</w:t>
                  </w:r>
                </w:p>
              </w:tc>
              <w:tc>
                <w:tcPr>
                  <w:tcW w:w="2929" w:type="dxa"/>
                  <w:vAlign w:val="center"/>
                </w:tcPr>
                <w:p w14:paraId="30304A76">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外购、汽车</w:t>
                  </w:r>
                </w:p>
              </w:tc>
            </w:tr>
            <w:tr w14:paraId="237E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7" w:type="dxa"/>
                  <w:vAlign w:val="center"/>
                </w:tcPr>
                <w:p w14:paraId="474BD0CF">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铝粉膏</w:t>
                  </w:r>
                </w:p>
              </w:tc>
              <w:tc>
                <w:tcPr>
                  <w:tcW w:w="1379" w:type="dxa"/>
                  <w:vAlign w:val="center"/>
                </w:tcPr>
                <w:p w14:paraId="60E40FFA">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t/a</w:t>
                  </w:r>
                </w:p>
              </w:tc>
              <w:tc>
                <w:tcPr>
                  <w:tcW w:w="1970" w:type="dxa"/>
                  <w:vAlign w:val="center"/>
                </w:tcPr>
                <w:p w14:paraId="7456150B">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120</w:t>
                  </w:r>
                </w:p>
              </w:tc>
              <w:tc>
                <w:tcPr>
                  <w:tcW w:w="2929" w:type="dxa"/>
                  <w:vAlign w:val="center"/>
                </w:tcPr>
                <w:p w14:paraId="3CDAF436">
                  <w:pPr>
                    <w:widowControl w:val="0"/>
                    <w:adjustRightInd/>
                    <w:snapToGrid/>
                    <w:spacing w:after="0"/>
                    <w:jc w:val="center"/>
                    <w:rPr>
                      <w:rFonts w:ascii="Times New Roman" w:hAnsi="Times New Roman" w:eastAsia="宋体"/>
                      <w:kern w:val="2"/>
                      <w:sz w:val="21"/>
                      <w:szCs w:val="21"/>
                    </w:rPr>
                  </w:pPr>
                  <w:r>
                    <w:rPr>
                      <w:rFonts w:hAnsiTheme="minorEastAsia" w:eastAsiaTheme="minorEastAsia"/>
                      <w:szCs w:val="21"/>
                    </w:rPr>
                    <w:t>外购、汽车</w:t>
                  </w:r>
                </w:p>
              </w:tc>
            </w:tr>
            <w:tr w14:paraId="2459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7" w:type="dxa"/>
                  <w:vAlign w:val="center"/>
                </w:tcPr>
                <w:p w14:paraId="1A3C46B7">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机油</w:t>
                  </w:r>
                </w:p>
              </w:tc>
              <w:tc>
                <w:tcPr>
                  <w:tcW w:w="1379" w:type="dxa"/>
                  <w:vAlign w:val="center"/>
                </w:tcPr>
                <w:p w14:paraId="2F362379">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t/a</w:t>
                  </w:r>
                </w:p>
              </w:tc>
              <w:tc>
                <w:tcPr>
                  <w:tcW w:w="1970" w:type="dxa"/>
                  <w:vAlign w:val="center"/>
                </w:tcPr>
                <w:p w14:paraId="69E0BE45">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90</w:t>
                  </w:r>
                </w:p>
              </w:tc>
              <w:tc>
                <w:tcPr>
                  <w:tcW w:w="2929" w:type="dxa"/>
                  <w:vAlign w:val="center"/>
                </w:tcPr>
                <w:p w14:paraId="25D58D4B">
                  <w:pPr>
                    <w:widowControl w:val="0"/>
                    <w:adjustRightInd/>
                    <w:snapToGrid/>
                    <w:spacing w:after="0"/>
                    <w:jc w:val="center"/>
                    <w:rPr>
                      <w:rFonts w:ascii="Times New Roman" w:hAnsi="Times New Roman" w:eastAsia="宋体"/>
                      <w:kern w:val="2"/>
                      <w:sz w:val="21"/>
                      <w:szCs w:val="21"/>
                    </w:rPr>
                  </w:pPr>
                  <w:r>
                    <w:rPr>
                      <w:rFonts w:hAnsiTheme="minorEastAsia" w:eastAsiaTheme="minorEastAsia"/>
                      <w:szCs w:val="21"/>
                    </w:rPr>
                    <w:t>外购、汽车</w:t>
                  </w:r>
                </w:p>
              </w:tc>
            </w:tr>
            <w:tr w14:paraId="1F5E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7" w:type="dxa"/>
                  <w:vAlign w:val="center"/>
                </w:tcPr>
                <w:p w14:paraId="3FECC13E">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水</w:t>
                  </w:r>
                </w:p>
              </w:tc>
              <w:tc>
                <w:tcPr>
                  <w:tcW w:w="1379" w:type="dxa"/>
                  <w:vAlign w:val="center"/>
                </w:tcPr>
                <w:p w14:paraId="6F60637E">
                  <w:pPr>
                    <w:widowControl w:val="0"/>
                    <w:adjustRightInd/>
                    <w:snapToGrid/>
                    <w:spacing w:after="0"/>
                    <w:jc w:val="center"/>
                    <w:rPr>
                      <w:rFonts w:ascii="Times New Roman" w:hAnsi="Times New Roman" w:eastAsia="宋体"/>
                      <w:kern w:val="2"/>
                      <w:sz w:val="21"/>
                      <w:szCs w:val="21"/>
                    </w:rPr>
                  </w:pPr>
                  <w:r>
                    <w:rPr>
                      <w:rFonts w:ascii="Times New Roman" w:hAnsi="Times New Roman" w:eastAsia="宋体"/>
                      <w:kern w:val="2"/>
                      <w:sz w:val="21"/>
                      <w:szCs w:val="21"/>
                    </w:rPr>
                    <w:t>t/a</w:t>
                  </w:r>
                </w:p>
              </w:tc>
              <w:tc>
                <w:tcPr>
                  <w:tcW w:w="1970" w:type="dxa"/>
                  <w:vAlign w:val="center"/>
                </w:tcPr>
                <w:p w14:paraId="1D17B105">
                  <w:pPr>
                    <w:widowControl w:val="0"/>
                    <w:adjustRightInd/>
                    <w:snapToGrid/>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10230</w:t>
                  </w:r>
                </w:p>
              </w:tc>
              <w:tc>
                <w:tcPr>
                  <w:tcW w:w="2929" w:type="dxa"/>
                  <w:vAlign w:val="center"/>
                </w:tcPr>
                <w:p w14:paraId="2824768C">
                  <w:pPr>
                    <w:widowControl w:val="0"/>
                    <w:adjustRightInd/>
                    <w:snapToGrid/>
                    <w:spacing w:after="0"/>
                    <w:jc w:val="center"/>
                    <w:rPr>
                      <w:rFonts w:ascii="Times New Roman" w:hAnsi="Times New Roman" w:eastAsia="宋体"/>
                      <w:kern w:val="2"/>
                      <w:sz w:val="21"/>
                      <w:szCs w:val="21"/>
                    </w:rPr>
                  </w:pPr>
                  <w:r>
                    <w:rPr>
                      <w:rFonts w:hAnsiTheme="minorEastAsia" w:eastAsiaTheme="minorEastAsia"/>
                      <w:szCs w:val="21"/>
                    </w:rPr>
                    <w:t>外购、汽车</w:t>
                  </w:r>
                </w:p>
              </w:tc>
            </w:tr>
          </w:tbl>
          <w:p w14:paraId="488DCBF6">
            <w:pPr>
              <w:spacing w:after="0" w:line="360" w:lineRule="auto"/>
              <w:rPr>
                <w:rFonts w:ascii="Times New Roman" w:hAnsi="Times New Roman" w:eastAsia="宋体"/>
                <w:color w:val="000000"/>
                <w:sz w:val="24"/>
                <w:szCs w:val="24"/>
              </w:rPr>
            </w:pPr>
            <w:r>
              <w:rPr>
                <w:rFonts w:ascii="Times New Roman" w:hAnsi="Times New Roman" w:eastAsia="宋体"/>
                <w:b/>
                <w:color w:val="000000"/>
                <w:sz w:val="24"/>
                <w:szCs w:val="24"/>
              </w:rPr>
              <w:t>四、主要工艺流程及产物环节</w:t>
            </w:r>
            <w:r>
              <w:rPr>
                <w:rFonts w:ascii="Times New Roman" w:hAnsi="Times New Roman" w:eastAsia="宋体"/>
                <w:color w:val="000000"/>
                <w:sz w:val="24"/>
                <w:szCs w:val="24"/>
              </w:rPr>
              <w:t>（附处理工艺流程图，标出产污节点）</w:t>
            </w:r>
          </w:p>
          <w:p w14:paraId="2451F616">
            <w:pPr>
              <w:spacing w:after="0" w:line="360" w:lineRule="auto"/>
              <w:ind w:firstLine="420"/>
              <w:rPr>
                <w:rFonts w:ascii="Times New Roman" w:hAnsi="Times New Roman" w:eastAsia="宋体"/>
                <w:sz w:val="24"/>
              </w:rPr>
            </w:pPr>
            <w:r>
              <w:rPr>
                <w:rFonts w:ascii="Times New Roman" w:hAnsi="Times New Roman" w:eastAsia="宋体"/>
                <w:sz w:val="24"/>
              </w:rPr>
              <w:fldChar w:fldCharType="begin"/>
            </w:r>
            <w:r>
              <w:rPr>
                <w:rFonts w:ascii="Times New Roman" w:hAnsi="Times New Roman" w:eastAsia="宋体"/>
                <w:sz w:val="24"/>
              </w:rPr>
              <w:instrText xml:space="preserve"> = 1 \* GB3 </w:instrText>
            </w:r>
            <w:r>
              <w:rPr>
                <w:rFonts w:ascii="Times New Roman" w:hAnsi="Times New Roman" w:eastAsia="宋体"/>
                <w:sz w:val="24"/>
              </w:rPr>
              <w:fldChar w:fldCharType="separate"/>
            </w:r>
            <w:r>
              <w:rPr>
                <w:rFonts w:ascii="Times New Roman" w:hAnsi="Times New Roman" w:eastAsia="宋体"/>
                <w:sz w:val="24"/>
              </w:rPr>
              <w:t>①</w:t>
            </w:r>
            <w:r>
              <w:rPr>
                <w:rFonts w:ascii="Times New Roman" w:hAnsi="Times New Roman" w:eastAsia="宋体"/>
                <w:sz w:val="24"/>
              </w:rPr>
              <w:fldChar w:fldCharType="end"/>
            </w:r>
            <w:r>
              <w:rPr>
                <w:rFonts w:ascii="Times New Roman" w:hAnsi="Times New Roman" w:eastAsia="宋体"/>
                <w:sz w:val="24"/>
              </w:rPr>
              <w:t>块状生石灰要进入搅拌机之前必须经过破碎机破碎和球磨机球磨，达到搅拌要求的粉状粒径之后，通过负压抽吸式进入搅拌机中混料。</w:t>
            </w:r>
          </w:p>
          <w:p w14:paraId="0FAA25F9">
            <w:pPr>
              <w:spacing w:after="0" w:line="360" w:lineRule="auto"/>
              <w:ind w:firstLine="420"/>
              <w:rPr>
                <w:rFonts w:ascii="Times New Roman" w:hAnsi="Times New Roman" w:eastAsia="宋体"/>
                <w:sz w:val="24"/>
              </w:rPr>
            </w:pPr>
            <w:r>
              <w:rPr>
                <w:rFonts w:ascii="Times New Roman" w:hAnsi="Times New Roman" w:eastAsia="宋体"/>
                <w:sz w:val="24"/>
              </w:rPr>
              <w:t>产污环节：破碎时会产生噪声和少量粉尘，球磨过程会产生噪声和较大粉尘</w:t>
            </w:r>
          </w:p>
          <w:p w14:paraId="6A73C5D2">
            <w:pPr>
              <w:spacing w:after="0" w:line="360" w:lineRule="auto"/>
              <w:ind w:firstLine="420"/>
              <w:rPr>
                <w:rFonts w:ascii="Times New Roman" w:hAnsi="Times New Roman" w:eastAsia="宋体"/>
                <w:sz w:val="24"/>
              </w:rPr>
            </w:pPr>
            <w:r>
              <w:rPr>
                <w:rFonts w:ascii="Times New Roman" w:hAnsi="Times New Roman" w:eastAsia="宋体"/>
                <w:sz w:val="24"/>
              </w:rPr>
              <w:fldChar w:fldCharType="begin"/>
            </w:r>
            <w:r>
              <w:rPr>
                <w:rFonts w:ascii="Times New Roman" w:hAnsi="Times New Roman" w:eastAsia="宋体"/>
                <w:sz w:val="24"/>
              </w:rPr>
              <w:instrText xml:space="preserve"> = 2 \* GB3 </w:instrText>
            </w:r>
            <w:r>
              <w:rPr>
                <w:rFonts w:ascii="Times New Roman" w:hAnsi="Times New Roman" w:eastAsia="宋体"/>
                <w:sz w:val="24"/>
              </w:rPr>
              <w:fldChar w:fldCharType="separate"/>
            </w:r>
            <w:r>
              <w:rPr>
                <w:rFonts w:ascii="Times New Roman" w:hAnsi="Times New Roman" w:eastAsia="宋体"/>
                <w:sz w:val="24"/>
              </w:rPr>
              <w:t>②</w:t>
            </w:r>
            <w:r>
              <w:rPr>
                <w:rFonts w:ascii="Times New Roman" w:hAnsi="Times New Roman" w:eastAsia="宋体"/>
                <w:sz w:val="24"/>
              </w:rPr>
              <w:fldChar w:fldCharType="end"/>
            </w:r>
            <w:r>
              <w:rPr>
                <w:rFonts w:ascii="Times New Roman" w:hAnsi="Times New Roman" w:eastAsia="宋体"/>
                <w:sz w:val="24"/>
              </w:rPr>
              <w:t>项目原辅材料主要为粉煤灰、水泥、石膏等，进厂后，首先粉煤灰过筛后制浆，和石膏按一定的配比进入专用料区，加入一定量的水进行细磨，之后和磨细的石灰、水泥和铝粉进入搅拌机搅拌加温浇注，经输送带进入高料区。</w:t>
            </w:r>
          </w:p>
          <w:p w14:paraId="6B42DF13">
            <w:pPr>
              <w:spacing w:after="0" w:line="360" w:lineRule="auto"/>
              <w:ind w:firstLine="420"/>
              <w:rPr>
                <w:rFonts w:ascii="Times New Roman" w:hAnsi="Times New Roman" w:eastAsia="宋体"/>
                <w:sz w:val="24"/>
              </w:rPr>
            </w:pPr>
            <w:r>
              <w:rPr>
                <w:rFonts w:ascii="Times New Roman" w:hAnsi="Times New Roman" w:eastAsia="宋体"/>
                <w:sz w:val="24"/>
              </w:rPr>
              <w:t>产污环节：料浆细磨和各种原料在混合搅拌时会有粉尘产生，设备运行时有噪声产生。</w:t>
            </w:r>
          </w:p>
          <w:p w14:paraId="16E1AD84">
            <w:pPr>
              <w:spacing w:after="0" w:line="360" w:lineRule="auto"/>
              <w:ind w:firstLine="420"/>
              <w:rPr>
                <w:rFonts w:ascii="Times New Roman" w:hAnsi="Times New Roman" w:eastAsia="宋体"/>
                <w:sz w:val="24"/>
              </w:rPr>
            </w:pPr>
            <w:r>
              <w:rPr>
                <w:rFonts w:ascii="Times New Roman" w:hAnsi="Times New Roman" w:eastAsia="宋体"/>
                <w:sz w:val="24"/>
              </w:rPr>
              <w:fldChar w:fldCharType="begin"/>
            </w:r>
            <w:r>
              <w:rPr>
                <w:rFonts w:ascii="Times New Roman" w:hAnsi="Times New Roman" w:eastAsia="宋体"/>
                <w:sz w:val="24"/>
              </w:rPr>
              <w:instrText xml:space="preserve"> = 3 \* GB3 </w:instrText>
            </w:r>
            <w:r>
              <w:rPr>
                <w:rFonts w:ascii="Times New Roman" w:hAnsi="Times New Roman" w:eastAsia="宋体"/>
                <w:sz w:val="24"/>
              </w:rPr>
              <w:fldChar w:fldCharType="separate"/>
            </w:r>
            <w:r>
              <w:rPr>
                <w:rFonts w:ascii="Times New Roman" w:hAnsi="Times New Roman" w:eastAsia="宋体"/>
                <w:sz w:val="24"/>
              </w:rPr>
              <w:t>③</w:t>
            </w:r>
            <w:r>
              <w:rPr>
                <w:rFonts w:ascii="Times New Roman" w:hAnsi="Times New Roman" w:eastAsia="宋体"/>
                <w:sz w:val="24"/>
              </w:rPr>
              <w:fldChar w:fldCharType="end"/>
            </w:r>
            <w:r>
              <w:rPr>
                <w:rFonts w:ascii="Times New Roman" w:hAnsi="Times New Roman" w:eastAsia="宋体"/>
                <w:sz w:val="24"/>
              </w:rPr>
              <w:t>进入高料区的混合料，按设定的时间和数量，定时供给混料机，混料完工后，再浇注于模具中，翻转脱模、切割成型后，进行蒸压养护，最后成品。其间切割后的废料经废料搅拌机搅拌后入废浆储罐由泵打入废浆储罐后回用。</w:t>
            </w:r>
          </w:p>
          <w:p w14:paraId="7056A027">
            <w:pPr>
              <w:spacing w:after="0" w:line="360" w:lineRule="auto"/>
              <w:ind w:firstLine="420"/>
              <w:rPr>
                <w:rFonts w:ascii="Times New Roman" w:hAnsi="Times New Roman" w:eastAsia="宋体"/>
                <w:sz w:val="24"/>
              </w:rPr>
            </w:pPr>
            <w:r>
              <w:rPr>
                <w:rFonts w:ascii="Times New Roman" w:hAnsi="Times New Roman" w:eastAsia="宋体"/>
                <w:sz w:val="24"/>
              </w:rPr>
              <w:t>在生产过程中加入铝粉是为了使铝粉与熟石灰产生反应，放出氢气，使混凝土成型后形成气孔，因此本项目生产的混凝土比重比水轻。在整个生产过程中清洗模具及场地冲洗水经沉淀处理后回用于制砖，故生产废水为零排放。</w:t>
            </w:r>
          </w:p>
          <w:p w14:paraId="5E77CA7B">
            <w:pPr>
              <w:spacing w:after="0" w:line="360" w:lineRule="auto"/>
              <w:ind w:firstLine="420"/>
              <w:rPr>
                <w:rFonts w:ascii="Times New Roman" w:hAnsi="Times New Roman" w:eastAsia="宋体"/>
                <w:sz w:val="24"/>
              </w:rPr>
            </w:pPr>
            <w:r>
              <w:rPr>
                <w:rFonts w:ascii="Times New Roman" w:hAnsi="Times New Roman" w:eastAsia="宋体"/>
                <w:sz w:val="24"/>
              </w:rPr>
              <w:t>产污环节：产品蒸压成型过程会有噪声产生，蒸压成形的不合格产品作为原料继续使用，不外弃。</w:t>
            </w:r>
          </w:p>
          <w:p w14:paraId="158BA6FE">
            <w:pPr>
              <w:spacing w:after="0" w:line="360" w:lineRule="auto"/>
              <w:ind w:firstLine="420"/>
              <w:rPr>
                <w:rFonts w:ascii="Times New Roman" w:hAnsi="Times New Roman" w:eastAsia="宋体"/>
                <w:sz w:val="24"/>
              </w:rPr>
            </w:pPr>
            <w:r>
              <w:rPr>
                <w:rFonts w:ascii="Times New Roman" w:hAnsi="Times New Roman" w:eastAsia="宋体"/>
                <w:sz w:val="24"/>
              </w:rPr>
              <w:t>④烘干蒸压需要大量蒸汽，蒸汽通过</w:t>
            </w:r>
            <w:r>
              <w:rPr>
                <w:rFonts w:hint="eastAsia" w:ascii="Times New Roman" w:hAnsi="Times New Roman" w:eastAsia="宋体"/>
                <w:sz w:val="24"/>
              </w:rPr>
              <w:t>附近电厂购买</w:t>
            </w:r>
            <w:r>
              <w:rPr>
                <w:rFonts w:ascii="Times New Roman" w:hAnsi="Times New Roman" w:eastAsia="宋体"/>
                <w:sz w:val="24"/>
              </w:rPr>
              <w:t>。</w:t>
            </w:r>
          </w:p>
          <w:p w14:paraId="10DA8496">
            <w:pPr>
              <w:spacing w:after="0" w:line="360" w:lineRule="auto"/>
              <w:ind w:firstLine="420"/>
              <w:rPr>
                <w:rFonts w:ascii="Times New Roman" w:hAnsi="Times New Roman" w:eastAsia="宋体"/>
                <w:sz w:val="24"/>
              </w:rPr>
            </w:pPr>
            <w:r>
              <w:rPr>
                <w:rFonts w:ascii="Times New Roman" w:hAnsi="Times New Roman" w:eastAsia="宋体"/>
                <w:sz w:val="24"/>
              </w:rPr>
              <w:t>⑤成型的产品经自动跺码机卸码，由便携式小型液压叉车运至养护场地（根据需要喷洒水），达到额定时间和强度后形成合格产品出厂。整个流水线全部自动化，所有配比、时限、压力均可由操作人员输入指令参数，一经启动即自动工作。</w:t>
            </w:r>
          </w:p>
          <w:p w14:paraId="50A655B7">
            <w:pPr>
              <w:spacing w:after="0" w:line="360" w:lineRule="auto"/>
              <w:ind w:firstLine="420"/>
              <w:rPr>
                <w:rFonts w:ascii="Times New Roman" w:hAnsi="Times New Roman" w:eastAsia="宋体"/>
                <w:sz w:val="24"/>
              </w:rPr>
            </w:pPr>
            <w:r>
              <w:rPr>
                <w:rFonts w:ascii="Times New Roman" w:hAnsi="Times New Roman" w:eastAsia="宋体"/>
                <w:sz w:val="24"/>
              </w:rPr>
              <w:t>产污环节：产品在跺码和卸码过程会有噪声</w:t>
            </w:r>
            <w:r>
              <w:rPr>
                <w:rFonts w:hint="eastAsia" w:ascii="Times New Roman" w:hAnsi="Times New Roman" w:eastAsia="宋体"/>
                <w:sz w:val="24"/>
              </w:rPr>
              <w:t>和残次品</w:t>
            </w:r>
            <w:r>
              <w:rPr>
                <w:rFonts w:ascii="Times New Roman" w:hAnsi="Times New Roman" w:eastAsia="宋体"/>
                <w:sz w:val="24"/>
              </w:rPr>
              <w:t>产生</w:t>
            </w:r>
            <w:r>
              <w:rPr>
                <w:rFonts w:hint="eastAsia" w:ascii="Times New Roman" w:hAnsi="Times New Roman" w:eastAsia="宋体"/>
                <w:sz w:val="24"/>
              </w:rPr>
              <w:t>，残次品作为原料继续使用，不外弃。</w:t>
            </w:r>
          </w:p>
          <w:p w14:paraId="7016CE8B">
            <w:pPr>
              <w:spacing w:after="0" w:line="360" w:lineRule="auto"/>
              <w:ind w:firstLine="420"/>
              <w:rPr>
                <w:rFonts w:ascii="Times New Roman" w:hAnsi="Times New Roman" w:eastAsia="宋体"/>
                <w:sz w:val="24"/>
              </w:rPr>
            </w:pPr>
            <w:r>
              <w:rPr>
                <w:rFonts w:ascii="Times New Roman" w:hAnsi="Times New Roman" w:eastAsia="宋体"/>
                <w:sz w:val="24"/>
              </w:rPr>
              <w:t>⑥物料运输和储存也是项目正常运行必不可少的过程，运输过程中采用机动车辆运输，储存则建设专用原料存储仓。</w:t>
            </w:r>
          </w:p>
          <w:p w14:paraId="577269AA">
            <w:pPr>
              <w:spacing w:after="0" w:line="360" w:lineRule="auto"/>
              <w:ind w:firstLine="420"/>
              <w:rPr>
                <w:rFonts w:ascii="Times New Roman" w:hAnsi="Times New Roman" w:eastAsia="宋体"/>
                <w:sz w:val="24"/>
              </w:rPr>
            </w:pPr>
            <w:r>
              <w:rPr>
                <w:rFonts w:ascii="Times New Roman" w:hAnsi="Times New Roman" w:eastAsia="宋体"/>
                <w:sz w:val="24"/>
              </w:rPr>
              <w:t>产污环节：车辆运输过程中会有噪声、扬尘，措施采取不到位会产生粉尘，储存管理不当会产生粉尘。</w:t>
            </w:r>
          </w:p>
          <w:p w14:paraId="609E73C3">
            <w:pPr>
              <w:spacing w:after="0" w:line="360" w:lineRule="auto"/>
              <w:ind w:firstLine="420"/>
              <w:rPr>
                <w:rFonts w:ascii="Times New Roman" w:hAnsi="Times New Roman" w:eastAsia="宋体"/>
                <w:sz w:val="24"/>
              </w:rPr>
            </w:pPr>
            <w:r>
              <w:rPr>
                <w:rFonts w:ascii="Times New Roman" w:hAnsi="Times New Roman" w:eastAsia="宋体"/>
                <w:color w:val="000000"/>
                <w:sz w:val="24"/>
                <w:szCs w:val="24"/>
              </w:rPr>
              <w:t>主要工艺流程及产污环节见图2-</w:t>
            </w:r>
            <w:r>
              <w:rPr>
                <w:rFonts w:hint="eastAsia" w:ascii="Times New Roman" w:hAnsi="Times New Roman" w:eastAsia="宋体"/>
                <w:color w:val="000000"/>
                <w:sz w:val="24"/>
                <w:szCs w:val="24"/>
              </w:rPr>
              <w:t>5</w:t>
            </w:r>
            <w:r>
              <w:rPr>
                <w:rFonts w:ascii="Times New Roman" w:hAnsi="Times New Roman" w:eastAsia="宋体"/>
                <w:color w:val="000000"/>
                <w:sz w:val="24"/>
                <w:szCs w:val="24"/>
              </w:rPr>
              <w:t>。</w:t>
            </w:r>
          </w:p>
          <w:p w14:paraId="7BED1456">
            <w:pPr>
              <w:spacing w:after="0" w:line="360" w:lineRule="auto"/>
              <w:jc w:val="center"/>
            </w:pPr>
            <w:r>
              <w:object>
                <v:shape id="_x0000_i1025" o:spt="75" type="#_x0000_t75" style="height:444.75pt;width:375pt;" o:ole="t" filled="f" o:preferrelative="t" stroked="f" coordsize="21600,21600">
                  <v:path/>
                  <v:fill on="f" focussize="0,0"/>
                  <v:stroke on="f" joinstyle="miter"/>
                  <v:imagedata r:id="rId11" o:title=""/>
                  <o:lock v:ext="edit" aspectratio="t"/>
                  <w10:wrap type="none"/>
                  <w10:anchorlock/>
                </v:shape>
                <o:OLEObject Type="Embed" ProgID="Visio.Drawing.11" ShapeID="_x0000_i1025" DrawAspect="Content" ObjectID="_1468075725" r:id="rId10">
                  <o:LockedField>false</o:LockedField>
                </o:OLEObject>
              </w:object>
            </w:r>
          </w:p>
          <w:p w14:paraId="214C92BF">
            <w:pPr>
              <w:spacing w:after="0" w:line="360" w:lineRule="auto"/>
              <w:jc w:val="center"/>
              <w:rPr>
                <w:rFonts w:ascii="Times New Roman" w:hAnsi="Times New Roman" w:eastAsia="宋体"/>
                <w:color w:val="000000"/>
                <w:sz w:val="24"/>
                <w:szCs w:val="24"/>
              </w:rPr>
            </w:pPr>
            <w:r>
              <w:rPr>
                <w:rFonts w:ascii="Times New Roman" w:hAnsi="Times New Roman" w:eastAsia="宋体"/>
                <w:color w:val="000000"/>
                <w:sz w:val="24"/>
                <w:szCs w:val="24"/>
              </w:rPr>
              <w:t>图2-</w:t>
            </w:r>
            <w:r>
              <w:rPr>
                <w:rFonts w:hint="eastAsia" w:ascii="Times New Roman" w:hAnsi="Times New Roman" w:eastAsia="宋体"/>
                <w:color w:val="000000"/>
                <w:sz w:val="24"/>
                <w:szCs w:val="24"/>
              </w:rPr>
              <w:t>5</w:t>
            </w:r>
            <w:r>
              <w:rPr>
                <w:rFonts w:ascii="Times New Roman" w:hAnsi="Times New Roman" w:eastAsia="宋体"/>
                <w:color w:val="000000"/>
                <w:sz w:val="24"/>
                <w:szCs w:val="24"/>
              </w:rPr>
              <w:t xml:space="preserve">  生产工艺流程及产污环节图</w:t>
            </w:r>
          </w:p>
          <w:p w14:paraId="5CAA6D17">
            <w:pPr>
              <w:spacing w:after="0"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2、产污环节</w:t>
            </w:r>
          </w:p>
          <w:p w14:paraId="3AE4DA7B">
            <w:pPr>
              <w:spacing w:after="0" w:line="360" w:lineRule="auto"/>
              <w:ind w:firstLine="420"/>
              <w:rPr>
                <w:rFonts w:ascii="Times New Roman" w:hAnsi="Times New Roman" w:eastAsia="宋体"/>
                <w:color w:val="000000"/>
                <w:sz w:val="24"/>
                <w:szCs w:val="24"/>
              </w:rPr>
            </w:pPr>
            <w:r>
              <w:rPr>
                <w:rFonts w:ascii="Times New Roman" w:hAnsi="Times New Roman" w:eastAsia="宋体"/>
                <w:sz w:val="24"/>
              </w:rPr>
              <w:t>（1）</w:t>
            </w:r>
            <w:r>
              <w:rPr>
                <w:rFonts w:ascii="Times New Roman" w:hAnsi="Times New Roman" w:eastAsia="宋体"/>
                <w:color w:val="000000"/>
                <w:sz w:val="24"/>
                <w:szCs w:val="24"/>
              </w:rPr>
              <w:t>固体废物</w:t>
            </w:r>
          </w:p>
          <w:p w14:paraId="34FDFBA6">
            <w:pPr>
              <w:spacing w:after="0" w:line="360" w:lineRule="auto"/>
              <w:ind w:firstLine="420"/>
              <w:rPr>
                <w:rFonts w:ascii="Times New Roman" w:hAnsi="Times New Roman" w:eastAsia="宋体"/>
                <w:color w:val="000000"/>
                <w:sz w:val="24"/>
                <w:szCs w:val="24"/>
              </w:rPr>
            </w:pPr>
            <w:r>
              <w:rPr>
                <w:rFonts w:ascii="Times New Roman" w:hAnsi="Times New Roman" w:eastAsia="宋体"/>
                <w:sz w:val="24"/>
              </w:rPr>
              <w:t>本项目运行产生的固体废物主要为</w:t>
            </w:r>
            <w:r>
              <w:rPr>
                <w:rFonts w:hint="eastAsia" w:asciiTheme="minorEastAsia" w:hAnsiTheme="minorEastAsia" w:eastAsiaTheme="minorEastAsia" w:cstheme="minorEastAsia"/>
                <w:bCs/>
                <w:color w:val="000000"/>
                <w:sz w:val="24"/>
              </w:rPr>
              <w:t>生活垃圾、残次品、沉淀泥沙、化粪池污泥、</w:t>
            </w:r>
            <w:r>
              <w:rPr>
                <w:rFonts w:hint="eastAsia" w:asciiTheme="minorEastAsia" w:hAnsiTheme="minorEastAsia" w:eastAsiaTheme="minorEastAsia" w:cstheme="minorEastAsia"/>
                <w:sz w:val="24"/>
                <w:szCs w:val="24"/>
              </w:rPr>
              <w:t>沉淀池的泥沙和设备检修产生的少量废机油</w:t>
            </w:r>
            <w:r>
              <w:rPr>
                <w:rFonts w:ascii="Times New Roman" w:hAnsi="Times New Roman" w:eastAsia="宋体"/>
                <w:sz w:val="24"/>
              </w:rPr>
              <w:t>。</w:t>
            </w:r>
          </w:p>
          <w:p w14:paraId="43C6039A">
            <w:pPr>
              <w:spacing w:after="0"/>
              <w:jc w:val="center"/>
              <w:rPr>
                <w:rFonts w:ascii="Times New Roman" w:hAnsi="Times New Roman" w:eastAsia="宋体"/>
                <w:color w:val="000000"/>
                <w:sz w:val="21"/>
                <w:szCs w:val="21"/>
              </w:rPr>
            </w:pPr>
            <w:r>
              <w:rPr>
                <w:rFonts w:ascii="Times New Roman" w:hAnsi="Times New Roman"/>
              </w:rPr>
              <w:t xml:space="preserve"> </w:t>
            </w:r>
          </w:p>
        </w:tc>
      </w:tr>
    </w:tbl>
    <w:p w14:paraId="2B30ABB5">
      <w:pPr>
        <w:spacing w:line="360" w:lineRule="auto"/>
        <w:rPr>
          <w:rFonts w:ascii="Times New Roman" w:hAnsi="Times New Roman" w:eastAsia="仿宋_GB2312"/>
          <w:color w:val="000000"/>
          <w:sz w:val="21"/>
          <w:szCs w:val="21"/>
        </w:rPr>
        <w:sectPr>
          <w:footerReference r:id="rId5" w:type="default"/>
          <w:pgSz w:w="11906" w:h="16838"/>
          <w:pgMar w:top="1440" w:right="1800" w:bottom="1440" w:left="1800" w:header="708" w:footer="708" w:gutter="0"/>
          <w:pgNumType w:start="1"/>
          <w:cols w:space="425" w:num="1"/>
          <w:docGrid w:linePitch="360" w:charSpace="0"/>
        </w:sectPr>
      </w:pPr>
    </w:p>
    <w:p w14:paraId="787F451C">
      <w:pPr>
        <w:spacing w:after="0"/>
        <w:rPr>
          <w:rFonts w:ascii="Times New Roman" w:hAnsi="Times New Roman" w:eastAsia="仿宋_GB2312"/>
          <w:b/>
          <w:color w:val="000000"/>
          <w:sz w:val="21"/>
          <w:szCs w:val="21"/>
        </w:rPr>
      </w:pPr>
      <w:r>
        <w:rPr>
          <w:rFonts w:ascii="Times New Roman" w:hAnsi="Times New Roman" w:eastAsia="仿宋_GB2312"/>
          <w:b/>
          <w:color w:val="000000"/>
          <w:sz w:val="21"/>
          <w:szCs w:val="21"/>
        </w:rPr>
        <w:t>表三</w:t>
      </w:r>
    </w:p>
    <w:tbl>
      <w:tblPr>
        <w:tblStyle w:val="1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7"/>
      </w:tblGrid>
      <w:tr w14:paraId="4311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7" w:hRule="atLeast"/>
          <w:jc w:val="center"/>
        </w:trPr>
        <w:tc>
          <w:tcPr>
            <w:tcW w:w="9067" w:type="dxa"/>
          </w:tcPr>
          <w:p w14:paraId="76C1E685">
            <w:pPr>
              <w:spacing w:line="360" w:lineRule="auto"/>
              <w:rPr>
                <w:rFonts w:ascii="Times New Roman" w:hAnsi="Times New Roman" w:eastAsia="宋体"/>
                <w:b/>
                <w:color w:val="000000"/>
                <w:sz w:val="24"/>
                <w:szCs w:val="24"/>
              </w:rPr>
            </w:pPr>
            <w:r>
              <w:rPr>
                <w:rFonts w:ascii="Times New Roman" w:hAnsi="Times New Roman" w:eastAsia="宋体"/>
                <w:b/>
                <w:color w:val="000000"/>
                <w:sz w:val="24"/>
                <w:szCs w:val="24"/>
              </w:rPr>
              <w:t>一、主要污染源、污染物处理和排放</w:t>
            </w:r>
          </w:p>
          <w:p w14:paraId="319421D5">
            <w:pPr>
              <w:spacing w:after="0" w:line="360" w:lineRule="auto"/>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w:t>
            </w:r>
            <w:r>
              <w:rPr>
                <w:rFonts w:hint="eastAsia" w:ascii="Times New Roman" w:hAnsi="Times New Roman" w:eastAsia="宋体"/>
                <w:color w:val="000000"/>
                <w:sz w:val="24"/>
                <w:szCs w:val="24"/>
              </w:rPr>
              <w:t>1</w:t>
            </w:r>
            <w:r>
              <w:rPr>
                <w:rFonts w:ascii="Times New Roman" w:hAnsi="Times New Roman" w:eastAsia="宋体"/>
                <w:color w:val="000000"/>
                <w:sz w:val="24"/>
                <w:szCs w:val="24"/>
              </w:rPr>
              <w:t>）固体废物</w:t>
            </w:r>
          </w:p>
          <w:p w14:paraId="56BBDAAD">
            <w:pPr>
              <w:spacing w:after="0" w:line="360" w:lineRule="auto"/>
              <w:ind w:firstLine="480" w:firstLineChars="200"/>
              <w:rPr>
                <w:rFonts w:ascii="Times New Roman" w:hAnsi="Times New Roman" w:eastAsia="宋体"/>
                <w:color w:val="000000"/>
                <w:sz w:val="24"/>
                <w:szCs w:val="24"/>
              </w:rPr>
            </w:pPr>
            <w:r>
              <w:rPr>
                <w:rFonts w:ascii="Times New Roman" w:hAnsi="Times New Roman" w:eastAsia="宋体"/>
                <w:sz w:val="24"/>
              </w:rPr>
              <w:t>本项目运行产生的固体废物主要为</w:t>
            </w:r>
            <w:r>
              <w:rPr>
                <w:rFonts w:hint="eastAsia" w:asciiTheme="minorEastAsia" w:hAnsiTheme="minorEastAsia" w:eastAsiaTheme="minorEastAsia" w:cstheme="minorEastAsia"/>
                <w:bCs/>
                <w:color w:val="000000"/>
                <w:sz w:val="24"/>
              </w:rPr>
              <w:t>生活垃圾、残次品、沉淀泥沙、化粪池污泥、</w:t>
            </w:r>
            <w:r>
              <w:rPr>
                <w:rFonts w:hint="eastAsia" w:asciiTheme="minorEastAsia" w:hAnsiTheme="minorEastAsia" w:eastAsiaTheme="minorEastAsia" w:cstheme="minorEastAsia"/>
                <w:sz w:val="24"/>
                <w:szCs w:val="24"/>
              </w:rPr>
              <w:t>沉淀池的泥沙和设备检修产生的少量废机油</w:t>
            </w:r>
            <w:r>
              <w:rPr>
                <w:rFonts w:ascii="Times New Roman" w:hAnsi="Times New Roman" w:eastAsia="宋体"/>
                <w:sz w:val="24"/>
              </w:rPr>
              <w:t>。</w:t>
            </w:r>
          </w:p>
          <w:p w14:paraId="388CD859">
            <w:pPr>
              <w:spacing w:after="0" w:line="360" w:lineRule="auto"/>
              <w:ind w:firstLine="482" w:firstLineChars="200"/>
              <w:rPr>
                <w:rFonts w:ascii="Times New Roman" w:hAnsi="Times New Roman" w:eastAsia="宋体"/>
                <w:b/>
                <w:color w:val="000000"/>
                <w:sz w:val="24"/>
                <w:szCs w:val="24"/>
              </w:rPr>
            </w:pPr>
            <w:r>
              <w:rPr>
                <w:rFonts w:ascii="Times New Roman" w:hAnsi="Times New Roman" w:eastAsia="宋体"/>
                <w:b/>
                <w:color w:val="000000"/>
                <w:sz w:val="24"/>
                <w:szCs w:val="24"/>
              </w:rPr>
              <w:t>防治措施：</w:t>
            </w:r>
          </w:p>
          <w:p w14:paraId="2F87D5A6">
            <w:pPr>
              <w:spacing w:after="0" w:line="360" w:lineRule="auto"/>
              <w:ind w:firstLine="480" w:firstLineChars="200"/>
              <w:rPr>
                <w:rFonts w:ascii="Times New Roman" w:hAnsi="Times New Roman" w:eastAsia="宋体"/>
                <w:sz w:val="24"/>
                <w:szCs w:val="24"/>
              </w:rPr>
            </w:pPr>
            <w:r>
              <w:rPr>
                <w:rFonts w:hint="eastAsia" w:ascii="宋体" w:hAnsi="宋体" w:eastAsia="宋体" w:cs="宋体"/>
                <w:color w:val="000000"/>
                <w:sz w:val="24"/>
                <w:szCs w:val="24"/>
              </w:rPr>
              <w:t>①</w:t>
            </w:r>
            <w:r>
              <w:rPr>
                <w:rFonts w:hint="eastAsia" w:ascii="Times New Roman" w:hAnsi="Times New Roman" w:eastAsia="宋体"/>
                <w:sz w:val="24"/>
              </w:rPr>
              <w:t>生活垃圾收集集中收集后，运至指定地点填埋</w:t>
            </w:r>
            <w:r>
              <w:rPr>
                <w:rFonts w:ascii="Times New Roman" w:hAnsi="Times New Roman" w:eastAsia="宋体"/>
                <w:sz w:val="24"/>
              </w:rPr>
              <w:t>；</w:t>
            </w:r>
          </w:p>
          <w:p w14:paraId="41809F35">
            <w:pPr>
              <w:spacing w:after="0" w:line="360" w:lineRule="auto"/>
              <w:ind w:firstLine="480" w:firstLineChars="200"/>
              <w:rPr>
                <w:rFonts w:ascii="Times New Roman" w:hAnsi="Times New Roman" w:eastAsia="宋体"/>
                <w:color w:val="000000"/>
                <w:sz w:val="24"/>
                <w:szCs w:val="24"/>
              </w:rPr>
            </w:pPr>
            <w:r>
              <w:rPr>
                <w:rFonts w:hint="eastAsia" w:ascii="宋体" w:hAnsi="宋体" w:eastAsia="宋体" w:cs="宋体"/>
                <w:color w:val="000000"/>
                <w:sz w:val="24"/>
                <w:szCs w:val="24"/>
              </w:rPr>
              <w:t>②</w:t>
            </w:r>
            <w:r>
              <w:rPr>
                <w:rFonts w:hint="eastAsia" w:ascii="Times New Roman" w:hAnsi="Times New Roman" w:eastAsia="宋体"/>
                <w:sz w:val="24"/>
              </w:rPr>
              <w:t>残次品直接返回至蒸压成形工序，作为原料再次使用，不外排</w:t>
            </w:r>
            <w:r>
              <w:rPr>
                <w:rFonts w:ascii="Times New Roman" w:hAnsi="Times New Roman" w:eastAsia="宋体"/>
                <w:sz w:val="24"/>
              </w:rPr>
              <w:t>；</w:t>
            </w:r>
          </w:p>
          <w:p w14:paraId="4F50E8C6">
            <w:pPr>
              <w:spacing w:after="0"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③沉淀池的泥沙直接返回至原料搅拌工序，作为原料再次使用，不外排；</w:t>
            </w:r>
          </w:p>
          <w:p w14:paraId="31402FC1">
            <w:pPr>
              <w:spacing w:after="0" w:line="360" w:lineRule="auto"/>
              <w:ind w:firstLine="480" w:firstLineChars="200"/>
              <w:rPr>
                <w:rFonts w:ascii="Times New Roman" w:hAnsi="Times New Roman" w:eastAsia="宋体"/>
                <w:sz w:val="24"/>
              </w:rPr>
            </w:pPr>
            <w:r>
              <w:rPr>
                <w:rFonts w:hint="eastAsia" w:ascii="Times New Roman" w:hAnsi="Times New Roman" w:eastAsia="宋体"/>
                <w:color w:val="000000"/>
                <w:sz w:val="24"/>
                <w:szCs w:val="24"/>
              </w:rPr>
              <w:t>④</w:t>
            </w:r>
            <w:r>
              <w:rPr>
                <w:rFonts w:hint="eastAsia" w:asciiTheme="minorEastAsia" w:hAnsiTheme="minorEastAsia" w:eastAsiaTheme="minorEastAsia" w:cstheme="minorEastAsia"/>
                <w:bCs/>
                <w:color w:val="000000"/>
                <w:sz w:val="24"/>
              </w:rPr>
              <w:t>化粪</w:t>
            </w:r>
            <w:r>
              <w:rPr>
                <w:rFonts w:hint="eastAsia" w:ascii="Times New Roman" w:hAnsi="Times New Roman" w:eastAsia="宋体"/>
                <w:sz w:val="24"/>
              </w:rPr>
              <w:t>池污泥采用吸粪车进行抽吸外运作农肥；</w:t>
            </w:r>
          </w:p>
          <w:p w14:paraId="6E011733">
            <w:pPr>
              <w:spacing w:after="0"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⑤</w:t>
            </w:r>
            <w:r>
              <w:rPr>
                <w:rFonts w:hint="eastAsia" w:asciiTheme="minorEastAsia" w:hAnsiTheme="minorEastAsia" w:eastAsiaTheme="minorEastAsia" w:cstheme="minorEastAsia"/>
                <w:sz w:val="24"/>
                <w:szCs w:val="24"/>
              </w:rPr>
              <w:t>设备检修产</w:t>
            </w:r>
            <w:r>
              <w:rPr>
                <w:rFonts w:hint="eastAsia" w:ascii="Times New Roman" w:hAnsi="Times New Roman" w:eastAsia="宋体"/>
                <w:color w:val="000000"/>
                <w:sz w:val="24"/>
                <w:szCs w:val="24"/>
              </w:rPr>
              <w:t>生的少量废机油放置于危废暂存间，后交由陕西明瑞资源再生有限公司处置。</w:t>
            </w:r>
          </w:p>
          <w:p w14:paraId="720528E7">
            <w:pPr>
              <w:spacing w:after="0" w:line="360" w:lineRule="auto"/>
              <w:jc w:val="center"/>
              <w:rPr>
                <w:rFonts w:ascii="Times New Roman" w:hAnsi="Times New Roman" w:eastAsia="宋体"/>
                <w:color w:val="000000"/>
                <w:sz w:val="24"/>
                <w:szCs w:val="24"/>
              </w:rPr>
            </w:pPr>
            <w:r>
              <w:rPr>
                <w:rFonts w:ascii="Times New Roman" w:hAnsi="Times New Roman" w:eastAsia="宋体"/>
                <w:color w:val="000000"/>
                <w:sz w:val="24"/>
                <w:szCs w:val="24"/>
              </w:rPr>
              <w:t>表3-</w:t>
            </w:r>
            <w:r>
              <w:rPr>
                <w:rFonts w:hint="eastAsia" w:ascii="Times New Roman" w:hAnsi="Times New Roman" w:eastAsia="宋体"/>
                <w:color w:val="000000"/>
                <w:sz w:val="24"/>
                <w:szCs w:val="24"/>
              </w:rPr>
              <w:t>1</w:t>
            </w:r>
            <w:r>
              <w:rPr>
                <w:rFonts w:ascii="Times New Roman" w:hAnsi="Times New Roman" w:eastAsia="宋体"/>
                <w:color w:val="000000"/>
                <w:sz w:val="24"/>
                <w:szCs w:val="24"/>
              </w:rPr>
              <w:t xml:space="preserve">  固体废物产生量及去向一览表</w:t>
            </w:r>
          </w:p>
          <w:tbl>
            <w:tblPr>
              <w:tblStyle w:val="10"/>
              <w:tblW w:w="8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114"/>
              <w:gridCol w:w="1301"/>
              <w:gridCol w:w="1146"/>
              <w:gridCol w:w="1832"/>
              <w:gridCol w:w="1598"/>
              <w:gridCol w:w="1162"/>
            </w:tblGrid>
            <w:tr w14:paraId="4B2B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Align w:val="center"/>
                </w:tcPr>
                <w:p w14:paraId="3A916794">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类别</w:t>
                  </w:r>
                </w:p>
              </w:tc>
              <w:tc>
                <w:tcPr>
                  <w:tcW w:w="1114" w:type="dxa"/>
                  <w:vAlign w:val="center"/>
                </w:tcPr>
                <w:p w14:paraId="0E56F8C1">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污染源</w:t>
                  </w:r>
                </w:p>
              </w:tc>
              <w:tc>
                <w:tcPr>
                  <w:tcW w:w="1301" w:type="dxa"/>
                  <w:vAlign w:val="center"/>
                </w:tcPr>
                <w:p w14:paraId="37E58E98">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污染物</w:t>
                  </w:r>
                </w:p>
              </w:tc>
              <w:tc>
                <w:tcPr>
                  <w:tcW w:w="1146" w:type="dxa"/>
                  <w:vAlign w:val="center"/>
                </w:tcPr>
                <w:p w14:paraId="0BA57731">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排放量t/a</w:t>
                  </w:r>
                </w:p>
              </w:tc>
              <w:tc>
                <w:tcPr>
                  <w:tcW w:w="1832" w:type="dxa"/>
                  <w:vAlign w:val="center"/>
                </w:tcPr>
                <w:p w14:paraId="07542D0C">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环评阶段措施</w:t>
                  </w:r>
                </w:p>
              </w:tc>
              <w:tc>
                <w:tcPr>
                  <w:tcW w:w="1598" w:type="dxa"/>
                  <w:vAlign w:val="center"/>
                </w:tcPr>
                <w:p w14:paraId="163018D7">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实际建设</w:t>
                  </w:r>
                </w:p>
                <w:p w14:paraId="07E046C4">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措施</w:t>
                  </w:r>
                </w:p>
              </w:tc>
              <w:tc>
                <w:tcPr>
                  <w:tcW w:w="1162" w:type="dxa"/>
                  <w:vAlign w:val="center"/>
                </w:tcPr>
                <w:p w14:paraId="73BE3022">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排放去向</w:t>
                  </w:r>
                </w:p>
              </w:tc>
            </w:tr>
            <w:tr w14:paraId="436F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restart"/>
                  <w:vAlign w:val="center"/>
                </w:tcPr>
                <w:p w14:paraId="29DE165B">
                  <w:pPr>
                    <w:widowControl w:val="0"/>
                    <w:spacing w:after="0"/>
                    <w:jc w:val="center"/>
                    <w:rPr>
                      <w:rFonts w:ascii="Times New Roman" w:hAnsi="Times New Roman"/>
                      <w:sz w:val="21"/>
                      <w:szCs w:val="21"/>
                    </w:rPr>
                  </w:pPr>
                  <w:r>
                    <w:rPr>
                      <w:rFonts w:ascii="Times New Roman" w:hAnsi="Times New Roman" w:eastAsia="宋体"/>
                      <w:kern w:val="2"/>
                      <w:sz w:val="21"/>
                      <w:szCs w:val="21"/>
                    </w:rPr>
                    <w:t>一般固废</w:t>
                  </w:r>
                </w:p>
              </w:tc>
              <w:tc>
                <w:tcPr>
                  <w:tcW w:w="1114" w:type="dxa"/>
                  <w:vAlign w:val="center"/>
                </w:tcPr>
                <w:p w14:paraId="3B40BF17">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工作人员</w:t>
                  </w:r>
                </w:p>
              </w:tc>
              <w:tc>
                <w:tcPr>
                  <w:tcW w:w="1301" w:type="dxa"/>
                  <w:vAlign w:val="center"/>
                </w:tcPr>
                <w:p w14:paraId="3EFC5B81">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生活垃圾</w:t>
                  </w:r>
                </w:p>
              </w:tc>
              <w:tc>
                <w:tcPr>
                  <w:tcW w:w="1146" w:type="dxa"/>
                  <w:vAlign w:val="center"/>
                </w:tcPr>
                <w:p w14:paraId="381570A7">
                  <w:pPr>
                    <w:widowControl w:val="0"/>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21.75</w:t>
                  </w:r>
                </w:p>
              </w:tc>
              <w:tc>
                <w:tcPr>
                  <w:tcW w:w="1832" w:type="dxa"/>
                  <w:vAlign w:val="center"/>
                </w:tcPr>
                <w:p w14:paraId="0CB71381">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环卫部门统一收集</w:t>
                  </w:r>
                </w:p>
              </w:tc>
              <w:tc>
                <w:tcPr>
                  <w:tcW w:w="1598" w:type="dxa"/>
                  <w:vAlign w:val="center"/>
                </w:tcPr>
                <w:p w14:paraId="1DE648BC">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定点收集，</w:t>
                  </w:r>
                </w:p>
                <w:p w14:paraId="17023003">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环卫部门清运</w:t>
                  </w:r>
                </w:p>
              </w:tc>
              <w:tc>
                <w:tcPr>
                  <w:tcW w:w="1162" w:type="dxa"/>
                  <w:vAlign w:val="center"/>
                </w:tcPr>
                <w:p w14:paraId="4D2BDB57">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环卫部门清运</w:t>
                  </w:r>
                </w:p>
              </w:tc>
            </w:tr>
            <w:tr w14:paraId="1837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vAlign w:val="center"/>
                </w:tcPr>
                <w:p w14:paraId="372C3512">
                  <w:pPr>
                    <w:widowControl w:val="0"/>
                    <w:spacing w:after="0"/>
                    <w:jc w:val="center"/>
                    <w:rPr>
                      <w:rFonts w:ascii="Times New Roman" w:hAnsi="Times New Roman" w:eastAsia="宋体"/>
                      <w:kern w:val="2"/>
                      <w:sz w:val="21"/>
                      <w:szCs w:val="21"/>
                    </w:rPr>
                  </w:pPr>
                </w:p>
              </w:tc>
              <w:tc>
                <w:tcPr>
                  <w:tcW w:w="1114" w:type="dxa"/>
                  <w:vMerge w:val="restart"/>
                  <w:vAlign w:val="center"/>
                </w:tcPr>
                <w:p w14:paraId="583E7606">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生产车间</w:t>
                  </w:r>
                </w:p>
              </w:tc>
              <w:tc>
                <w:tcPr>
                  <w:tcW w:w="1301" w:type="dxa"/>
                  <w:vAlign w:val="center"/>
                </w:tcPr>
                <w:p w14:paraId="017BE14F">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残次品</w:t>
                  </w:r>
                </w:p>
              </w:tc>
              <w:tc>
                <w:tcPr>
                  <w:tcW w:w="1146" w:type="dxa"/>
                  <w:vAlign w:val="center"/>
                </w:tcPr>
                <w:p w14:paraId="721EEE43">
                  <w:pPr>
                    <w:widowControl w:val="0"/>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2</w:t>
                  </w:r>
                </w:p>
              </w:tc>
              <w:tc>
                <w:tcPr>
                  <w:tcW w:w="1832" w:type="dxa"/>
                  <w:vAlign w:val="center"/>
                </w:tcPr>
                <w:p w14:paraId="4D8DBD90">
                  <w:pPr>
                    <w:widowControl w:val="0"/>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直接返回至蒸压成形工序，作为原料再次使用，不外排</w:t>
                  </w:r>
                </w:p>
              </w:tc>
              <w:tc>
                <w:tcPr>
                  <w:tcW w:w="1598" w:type="dxa"/>
                  <w:vAlign w:val="center"/>
                </w:tcPr>
                <w:p w14:paraId="3384E62A">
                  <w:pPr>
                    <w:widowControl w:val="0"/>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直接返回至蒸压成形工序，作为原料再次使用，不外排</w:t>
                  </w:r>
                </w:p>
              </w:tc>
              <w:tc>
                <w:tcPr>
                  <w:tcW w:w="1162" w:type="dxa"/>
                  <w:vAlign w:val="center"/>
                </w:tcPr>
                <w:p w14:paraId="43334E1E">
                  <w:pPr>
                    <w:widowControl w:val="0"/>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w:t>
                  </w:r>
                </w:p>
              </w:tc>
            </w:tr>
            <w:tr w14:paraId="7DD9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vAlign w:val="center"/>
                </w:tcPr>
                <w:p w14:paraId="3BBCA02C">
                  <w:pPr>
                    <w:widowControl w:val="0"/>
                    <w:spacing w:after="0"/>
                    <w:jc w:val="center"/>
                    <w:rPr>
                      <w:rFonts w:ascii="Times New Roman" w:hAnsi="Times New Roman" w:eastAsia="宋体"/>
                      <w:kern w:val="2"/>
                      <w:sz w:val="21"/>
                      <w:szCs w:val="21"/>
                    </w:rPr>
                  </w:pPr>
                </w:p>
              </w:tc>
              <w:tc>
                <w:tcPr>
                  <w:tcW w:w="1114" w:type="dxa"/>
                  <w:vMerge w:val="continue"/>
                  <w:vAlign w:val="center"/>
                </w:tcPr>
                <w:p w14:paraId="718610FF">
                  <w:pPr>
                    <w:widowControl w:val="0"/>
                    <w:spacing w:after="0"/>
                    <w:jc w:val="center"/>
                    <w:rPr>
                      <w:rFonts w:ascii="Times New Roman" w:hAnsi="Times New Roman" w:eastAsia="宋体"/>
                      <w:kern w:val="2"/>
                      <w:sz w:val="21"/>
                      <w:szCs w:val="21"/>
                    </w:rPr>
                  </w:pPr>
                </w:p>
              </w:tc>
              <w:tc>
                <w:tcPr>
                  <w:tcW w:w="1301" w:type="dxa"/>
                  <w:vAlign w:val="center"/>
                </w:tcPr>
                <w:p w14:paraId="7370D22D">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沉淀池泥沙</w:t>
                  </w:r>
                </w:p>
              </w:tc>
              <w:tc>
                <w:tcPr>
                  <w:tcW w:w="1146" w:type="dxa"/>
                  <w:vAlign w:val="center"/>
                </w:tcPr>
                <w:p w14:paraId="4AD5E59F">
                  <w:pPr>
                    <w:widowControl w:val="0"/>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1</w:t>
                  </w:r>
                </w:p>
              </w:tc>
              <w:tc>
                <w:tcPr>
                  <w:tcW w:w="1832" w:type="dxa"/>
                  <w:vAlign w:val="center"/>
                </w:tcPr>
                <w:p w14:paraId="5E6DAAB8">
                  <w:pPr>
                    <w:widowControl w:val="0"/>
                    <w:spacing w:after="0"/>
                    <w:jc w:val="both"/>
                    <w:rPr>
                      <w:rFonts w:ascii="Times New Roman" w:hAnsi="Times New Roman" w:eastAsia="宋体"/>
                      <w:kern w:val="2"/>
                      <w:sz w:val="21"/>
                      <w:szCs w:val="21"/>
                    </w:rPr>
                  </w:pPr>
                  <w:r>
                    <w:rPr>
                      <w:rFonts w:hint="eastAsia" w:ascii="Times New Roman" w:hAnsi="Times New Roman" w:eastAsia="宋体"/>
                      <w:kern w:val="2"/>
                      <w:sz w:val="21"/>
                      <w:szCs w:val="21"/>
                    </w:rPr>
                    <w:t>及时回用作原料，进入原料搅拌工序，不外排</w:t>
                  </w:r>
                </w:p>
              </w:tc>
              <w:tc>
                <w:tcPr>
                  <w:tcW w:w="1598" w:type="dxa"/>
                  <w:vAlign w:val="center"/>
                </w:tcPr>
                <w:p w14:paraId="6D742DA6">
                  <w:pPr>
                    <w:widowControl w:val="0"/>
                    <w:spacing w:after="0"/>
                    <w:jc w:val="both"/>
                    <w:rPr>
                      <w:rFonts w:ascii="Times New Roman" w:hAnsi="Times New Roman" w:eastAsia="宋体"/>
                      <w:kern w:val="2"/>
                      <w:sz w:val="21"/>
                      <w:szCs w:val="21"/>
                    </w:rPr>
                  </w:pPr>
                  <w:r>
                    <w:rPr>
                      <w:rFonts w:hint="eastAsia" w:ascii="Times New Roman" w:hAnsi="Times New Roman" w:eastAsia="宋体"/>
                      <w:kern w:val="2"/>
                      <w:sz w:val="21"/>
                      <w:szCs w:val="21"/>
                    </w:rPr>
                    <w:t>及时回用作原料，进入原料搅拌工序，不外排</w:t>
                  </w:r>
                </w:p>
              </w:tc>
              <w:tc>
                <w:tcPr>
                  <w:tcW w:w="1162" w:type="dxa"/>
                  <w:vAlign w:val="center"/>
                </w:tcPr>
                <w:p w14:paraId="6F0B9B95">
                  <w:pPr>
                    <w:widowControl w:val="0"/>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w:t>
                  </w:r>
                </w:p>
              </w:tc>
            </w:tr>
            <w:tr w14:paraId="652B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vAlign w:val="center"/>
                </w:tcPr>
                <w:p w14:paraId="44052EFE">
                  <w:pPr>
                    <w:widowControl w:val="0"/>
                    <w:spacing w:after="0"/>
                    <w:jc w:val="center"/>
                    <w:rPr>
                      <w:rFonts w:ascii="Times New Roman" w:hAnsi="Times New Roman" w:eastAsia="宋体"/>
                      <w:kern w:val="2"/>
                      <w:sz w:val="21"/>
                      <w:szCs w:val="21"/>
                    </w:rPr>
                  </w:pPr>
                </w:p>
              </w:tc>
              <w:tc>
                <w:tcPr>
                  <w:tcW w:w="1114" w:type="dxa"/>
                  <w:vAlign w:val="center"/>
                </w:tcPr>
                <w:p w14:paraId="279BA03D">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化粪池</w:t>
                  </w:r>
                </w:p>
              </w:tc>
              <w:tc>
                <w:tcPr>
                  <w:tcW w:w="1301" w:type="dxa"/>
                  <w:vAlign w:val="center"/>
                </w:tcPr>
                <w:p w14:paraId="43BA1BA2">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污泥</w:t>
                  </w:r>
                </w:p>
              </w:tc>
              <w:tc>
                <w:tcPr>
                  <w:tcW w:w="1146" w:type="dxa"/>
                  <w:vAlign w:val="center"/>
                </w:tcPr>
                <w:p w14:paraId="4A0B0FA1">
                  <w:pPr>
                    <w:widowControl w:val="0"/>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2.16</w:t>
                  </w:r>
                </w:p>
              </w:tc>
              <w:tc>
                <w:tcPr>
                  <w:tcW w:w="1832" w:type="dxa"/>
                  <w:vAlign w:val="center"/>
                </w:tcPr>
                <w:p w14:paraId="0F6561F7">
                  <w:pPr>
                    <w:widowControl w:val="0"/>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化粪池污泥采用吸粪车从污泥池的检查孔伸入污泥底部，进行抽吸外运作农肥</w:t>
                  </w:r>
                </w:p>
              </w:tc>
              <w:tc>
                <w:tcPr>
                  <w:tcW w:w="1598" w:type="dxa"/>
                  <w:vAlign w:val="center"/>
                </w:tcPr>
                <w:p w14:paraId="110A7256">
                  <w:pPr>
                    <w:widowControl w:val="0"/>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化粪池污泥采用吸粪车从污泥池的检查孔伸入污泥底部，进行抽吸外运作农肥</w:t>
                  </w:r>
                </w:p>
              </w:tc>
              <w:tc>
                <w:tcPr>
                  <w:tcW w:w="1162" w:type="dxa"/>
                  <w:vAlign w:val="center"/>
                </w:tcPr>
                <w:p w14:paraId="537872B6">
                  <w:pPr>
                    <w:widowControl w:val="0"/>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w:t>
                  </w:r>
                </w:p>
              </w:tc>
            </w:tr>
            <w:tr w14:paraId="4CE8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Align w:val="center"/>
                </w:tcPr>
                <w:p w14:paraId="271E1A36">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危险废物</w:t>
                  </w:r>
                </w:p>
              </w:tc>
              <w:tc>
                <w:tcPr>
                  <w:tcW w:w="1114" w:type="dxa"/>
                  <w:vAlign w:val="center"/>
                </w:tcPr>
                <w:p w14:paraId="1A716F24">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设备检修</w:t>
                  </w:r>
                </w:p>
              </w:tc>
              <w:tc>
                <w:tcPr>
                  <w:tcW w:w="1301" w:type="dxa"/>
                  <w:vAlign w:val="center"/>
                </w:tcPr>
                <w:p w14:paraId="3D0BAE28">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废机油</w:t>
                  </w:r>
                </w:p>
              </w:tc>
              <w:tc>
                <w:tcPr>
                  <w:tcW w:w="1146" w:type="dxa"/>
                  <w:vAlign w:val="center"/>
                </w:tcPr>
                <w:p w14:paraId="05949AA3">
                  <w:pPr>
                    <w:widowControl w:val="0"/>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0.01</w:t>
                  </w:r>
                </w:p>
              </w:tc>
              <w:tc>
                <w:tcPr>
                  <w:tcW w:w="1832" w:type="dxa"/>
                  <w:vAlign w:val="center"/>
                </w:tcPr>
                <w:p w14:paraId="79525392">
                  <w:pPr>
                    <w:widowControl w:val="0"/>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w:t>
                  </w:r>
                </w:p>
              </w:tc>
              <w:tc>
                <w:tcPr>
                  <w:tcW w:w="1598" w:type="dxa"/>
                  <w:vAlign w:val="center"/>
                </w:tcPr>
                <w:p w14:paraId="1E637A90">
                  <w:pPr>
                    <w:widowControl w:val="0"/>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设备检修产生的少量废机油放置于危废暂存间，后交由陕西明瑞资源再生有限公司处置</w:t>
                  </w:r>
                </w:p>
              </w:tc>
              <w:tc>
                <w:tcPr>
                  <w:tcW w:w="1162" w:type="dxa"/>
                  <w:vAlign w:val="center"/>
                </w:tcPr>
                <w:p w14:paraId="6E32F7F4">
                  <w:pPr>
                    <w:widowControl w:val="0"/>
                    <w:spacing w:after="0"/>
                    <w:jc w:val="center"/>
                    <w:rPr>
                      <w:rFonts w:ascii="Times New Roman" w:hAnsi="Times New Roman" w:eastAsia="宋体"/>
                      <w:kern w:val="2"/>
                      <w:sz w:val="21"/>
                      <w:szCs w:val="21"/>
                    </w:rPr>
                  </w:pPr>
                  <w:r>
                    <w:rPr>
                      <w:rFonts w:hint="eastAsia" w:ascii="Times New Roman" w:hAnsi="Times New Roman" w:eastAsia="宋体"/>
                      <w:kern w:val="2"/>
                      <w:sz w:val="21"/>
                      <w:szCs w:val="21"/>
                    </w:rPr>
                    <w:t>陕西明瑞资源再生有限公司处置</w:t>
                  </w:r>
                </w:p>
              </w:tc>
            </w:tr>
          </w:tbl>
          <w:tbl>
            <w:tblPr>
              <w:tblStyle w:val="11"/>
              <w:tblW w:w="8851" w:type="dxa"/>
              <w:jc w:val="center"/>
              <w:tblCellSpacing w:w="1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02"/>
              <w:gridCol w:w="3849"/>
            </w:tblGrid>
            <w:tr w14:paraId="31545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tblCellSpacing w:w="11" w:type="dxa"/>
                <w:jc w:val="center"/>
              </w:trPr>
              <w:tc>
                <w:tcPr>
                  <w:tcW w:w="4969" w:type="dxa"/>
                  <w:vAlign w:val="center"/>
                </w:tcPr>
                <w:p w14:paraId="5B94DF3E">
                  <w:pPr>
                    <w:tabs>
                      <w:tab w:val="left" w:pos="4675"/>
                    </w:tabs>
                    <w:spacing w:after="0"/>
                    <w:jc w:val="center"/>
                    <w:rPr>
                      <w:rFonts w:ascii="Times New Roman" w:hAnsi="Times New Roman" w:eastAsia="宋体"/>
                      <w:color w:val="000000"/>
                      <w:sz w:val="21"/>
                      <w:szCs w:val="21"/>
                    </w:rPr>
                  </w:pPr>
                  <w:r>
                    <w:rPr>
                      <w:szCs w:val="20"/>
                    </w:rPr>
                    <w:drawing>
                      <wp:inline distT="0" distB="0" distL="0" distR="0">
                        <wp:extent cx="1971675" cy="16414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a:off x="0" y="0"/>
                                  <a:ext cx="1974061" cy="1643681"/>
                                </a:xfrm>
                                <a:prstGeom prst="rect">
                                  <a:avLst/>
                                </a:prstGeom>
                              </pic:spPr>
                            </pic:pic>
                          </a:graphicData>
                        </a:graphic>
                      </wp:inline>
                    </w:drawing>
                  </w:r>
                </w:p>
              </w:tc>
              <w:tc>
                <w:tcPr>
                  <w:tcW w:w="3816" w:type="dxa"/>
                  <w:vAlign w:val="center"/>
                </w:tcPr>
                <w:p w14:paraId="7F2DDC4A">
                  <w:pPr>
                    <w:tabs>
                      <w:tab w:val="left" w:pos="4675"/>
                    </w:tabs>
                    <w:spacing w:after="0"/>
                    <w:jc w:val="center"/>
                    <w:rPr>
                      <w:rFonts w:ascii="Times New Roman" w:hAnsi="Times New Roman" w:eastAsia="宋体"/>
                      <w:color w:val="000000"/>
                      <w:sz w:val="21"/>
                      <w:szCs w:val="21"/>
                    </w:rPr>
                  </w:pPr>
                  <w:r>
                    <w:rPr>
                      <w:szCs w:val="20"/>
                    </w:rPr>
                    <w:drawing>
                      <wp:inline distT="0" distB="0" distL="0" distR="0">
                        <wp:extent cx="1828800" cy="18707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1833281" cy="1875622"/>
                                </a:xfrm>
                                <a:prstGeom prst="rect">
                                  <a:avLst/>
                                </a:prstGeom>
                              </pic:spPr>
                            </pic:pic>
                          </a:graphicData>
                        </a:graphic>
                      </wp:inline>
                    </w:drawing>
                  </w:r>
                </w:p>
              </w:tc>
            </w:tr>
            <w:tr w14:paraId="205C1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blCellSpacing w:w="11" w:type="dxa"/>
                <w:jc w:val="center"/>
              </w:trPr>
              <w:tc>
                <w:tcPr>
                  <w:tcW w:w="4969" w:type="dxa"/>
                  <w:vAlign w:val="center"/>
                </w:tcPr>
                <w:p w14:paraId="0FC6A1CC">
                  <w:pPr>
                    <w:tabs>
                      <w:tab w:val="left" w:pos="4675"/>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生活垃圾桶</w:t>
                  </w:r>
                </w:p>
              </w:tc>
              <w:tc>
                <w:tcPr>
                  <w:tcW w:w="3816" w:type="dxa"/>
                  <w:vAlign w:val="center"/>
                </w:tcPr>
                <w:p w14:paraId="7A9F1EEC">
                  <w:pPr>
                    <w:tabs>
                      <w:tab w:val="left" w:pos="4675"/>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危废间托油盘</w:t>
                  </w:r>
                </w:p>
              </w:tc>
            </w:tr>
            <w:tr w14:paraId="1A627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tblCellSpacing w:w="11" w:type="dxa"/>
                <w:jc w:val="center"/>
              </w:trPr>
              <w:tc>
                <w:tcPr>
                  <w:tcW w:w="4969" w:type="dxa"/>
                  <w:vAlign w:val="center"/>
                </w:tcPr>
                <w:p w14:paraId="7E9FC3CD">
                  <w:pPr>
                    <w:tabs>
                      <w:tab w:val="left" w:pos="4675"/>
                    </w:tabs>
                    <w:spacing w:after="0"/>
                    <w:jc w:val="center"/>
                    <w:rPr>
                      <w:rFonts w:ascii="Times New Roman" w:hAnsi="Times New Roman" w:eastAsia="宋体"/>
                      <w:color w:val="000000"/>
                      <w:sz w:val="21"/>
                      <w:szCs w:val="21"/>
                    </w:rPr>
                  </w:pPr>
                  <w:r>
                    <w:rPr>
                      <w:szCs w:val="20"/>
                    </w:rPr>
                    <w:drawing>
                      <wp:inline distT="0" distB="0" distL="0" distR="0">
                        <wp:extent cx="1257300" cy="192151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1262621" cy="1930213"/>
                                </a:xfrm>
                                <a:prstGeom prst="rect">
                                  <a:avLst/>
                                </a:prstGeom>
                              </pic:spPr>
                            </pic:pic>
                          </a:graphicData>
                        </a:graphic>
                      </wp:inline>
                    </w:drawing>
                  </w:r>
                </w:p>
              </w:tc>
              <w:tc>
                <w:tcPr>
                  <w:tcW w:w="3816" w:type="dxa"/>
                  <w:vAlign w:val="center"/>
                </w:tcPr>
                <w:p w14:paraId="4B71DE85">
                  <w:pPr>
                    <w:tabs>
                      <w:tab w:val="left" w:pos="4675"/>
                    </w:tabs>
                    <w:spacing w:after="0"/>
                    <w:jc w:val="center"/>
                    <w:rPr>
                      <w:rFonts w:ascii="Times New Roman" w:hAnsi="Times New Roman" w:eastAsia="宋体"/>
                      <w:color w:val="000000"/>
                      <w:sz w:val="21"/>
                      <w:szCs w:val="21"/>
                    </w:rPr>
                  </w:pPr>
                  <w:r>
                    <w:rPr>
                      <w:szCs w:val="20"/>
                    </w:rPr>
                    <w:drawing>
                      <wp:inline distT="0" distB="0" distL="0" distR="0">
                        <wp:extent cx="1356360" cy="18954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1356787" cy="1895475"/>
                                </a:xfrm>
                                <a:prstGeom prst="rect">
                                  <a:avLst/>
                                </a:prstGeom>
                              </pic:spPr>
                            </pic:pic>
                          </a:graphicData>
                        </a:graphic>
                      </wp:inline>
                    </w:drawing>
                  </w:r>
                </w:p>
              </w:tc>
            </w:tr>
            <w:tr w14:paraId="0A262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blCellSpacing w:w="11" w:type="dxa"/>
                <w:jc w:val="center"/>
              </w:trPr>
              <w:tc>
                <w:tcPr>
                  <w:tcW w:w="4969" w:type="dxa"/>
                  <w:vAlign w:val="center"/>
                </w:tcPr>
                <w:p w14:paraId="59D3CA2E">
                  <w:pPr>
                    <w:tabs>
                      <w:tab w:val="left" w:pos="4675"/>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危废</w:t>
                  </w:r>
                  <w:r>
                    <w:rPr>
                      <w:rFonts w:hint="eastAsia" w:ascii="Times New Roman" w:hAnsi="Times New Roman" w:eastAsia="宋体"/>
                      <w:color w:val="000000"/>
                      <w:sz w:val="21"/>
                      <w:szCs w:val="21"/>
                    </w:rPr>
                    <w:t>管理制度</w:t>
                  </w:r>
                </w:p>
              </w:tc>
              <w:tc>
                <w:tcPr>
                  <w:tcW w:w="3816" w:type="dxa"/>
                  <w:vAlign w:val="center"/>
                </w:tcPr>
                <w:p w14:paraId="02C1C183">
                  <w:pPr>
                    <w:tabs>
                      <w:tab w:val="left" w:pos="4675"/>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危废台账</w:t>
                  </w:r>
                </w:p>
              </w:tc>
            </w:tr>
            <w:tr w14:paraId="2CFD3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tblCellSpacing w:w="11" w:type="dxa"/>
                <w:jc w:val="center"/>
              </w:trPr>
              <w:tc>
                <w:tcPr>
                  <w:tcW w:w="4969" w:type="dxa"/>
                  <w:vAlign w:val="center"/>
                </w:tcPr>
                <w:p w14:paraId="1F53D159">
                  <w:pPr>
                    <w:tabs>
                      <w:tab w:val="left" w:pos="4675"/>
                    </w:tabs>
                    <w:spacing w:after="0"/>
                    <w:jc w:val="center"/>
                    <w:rPr>
                      <w:rFonts w:ascii="Times New Roman" w:hAnsi="Times New Roman" w:eastAsia="宋体"/>
                      <w:color w:val="000000"/>
                      <w:sz w:val="21"/>
                      <w:szCs w:val="21"/>
                    </w:rPr>
                  </w:pPr>
                  <w:r>
                    <w:rPr>
                      <w:szCs w:val="20"/>
                    </w:rPr>
                    <w:drawing>
                      <wp:inline distT="0" distB="0" distL="0" distR="0">
                        <wp:extent cx="1581150" cy="1903095"/>
                        <wp:effectExtent l="0" t="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1590561" cy="1914673"/>
                                </a:xfrm>
                                <a:prstGeom prst="rect">
                                  <a:avLst/>
                                </a:prstGeom>
                              </pic:spPr>
                            </pic:pic>
                          </a:graphicData>
                        </a:graphic>
                      </wp:inline>
                    </w:drawing>
                  </w:r>
                </w:p>
              </w:tc>
              <w:tc>
                <w:tcPr>
                  <w:tcW w:w="3816" w:type="dxa"/>
                  <w:vAlign w:val="center"/>
                </w:tcPr>
                <w:p w14:paraId="07818AC1">
                  <w:pPr>
                    <w:tabs>
                      <w:tab w:val="left" w:pos="4675"/>
                    </w:tabs>
                    <w:spacing w:after="0"/>
                    <w:jc w:val="center"/>
                    <w:rPr>
                      <w:rFonts w:ascii="Times New Roman" w:hAnsi="Times New Roman" w:eastAsia="宋体"/>
                      <w:color w:val="000000"/>
                      <w:sz w:val="21"/>
                      <w:szCs w:val="21"/>
                    </w:rPr>
                  </w:pPr>
                  <w:r>
                    <w:rPr>
                      <w:szCs w:val="20"/>
                    </w:rPr>
                    <w:drawing>
                      <wp:inline distT="0" distB="0" distL="0" distR="0">
                        <wp:extent cx="1295400" cy="19621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1303690" cy="1975289"/>
                                </a:xfrm>
                                <a:prstGeom prst="rect">
                                  <a:avLst/>
                                </a:prstGeom>
                              </pic:spPr>
                            </pic:pic>
                          </a:graphicData>
                        </a:graphic>
                      </wp:inline>
                    </w:drawing>
                  </w:r>
                </w:p>
              </w:tc>
            </w:tr>
            <w:tr w14:paraId="1717D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blCellSpacing w:w="11" w:type="dxa"/>
                <w:jc w:val="center"/>
              </w:trPr>
              <w:tc>
                <w:tcPr>
                  <w:tcW w:w="4969" w:type="dxa"/>
                  <w:vAlign w:val="center"/>
                </w:tcPr>
                <w:p w14:paraId="66923952">
                  <w:pPr>
                    <w:tabs>
                      <w:tab w:val="left" w:pos="4675"/>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危废间围堰</w:t>
                  </w:r>
                </w:p>
              </w:tc>
              <w:tc>
                <w:tcPr>
                  <w:tcW w:w="3816" w:type="dxa"/>
                  <w:vAlign w:val="center"/>
                </w:tcPr>
                <w:p w14:paraId="081ED3A4">
                  <w:pPr>
                    <w:tabs>
                      <w:tab w:val="left" w:pos="4675"/>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危废间标识</w:t>
                  </w:r>
                </w:p>
              </w:tc>
            </w:tr>
          </w:tbl>
          <w:p w14:paraId="0DD27F57">
            <w:pPr>
              <w:spacing w:after="0" w:line="360" w:lineRule="auto"/>
              <w:jc w:val="center"/>
              <w:rPr>
                <w:rFonts w:ascii="Times New Roman" w:hAnsi="Times New Roman" w:eastAsia="宋体"/>
                <w:color w:val="000000"/>
                <w:sz w:val="24"/>
                <w:szCs w:val="24"/>
              </w:rPr>
            </w:pPr>
            <w:r>
              <w:rPr>
                <w:rFonts w:ascii="Times New Roman" w:hAnsi="Times New Roman" w:eastAsia="宋体"/>
                <w:color w:val="000000"/>
                <w:sz w:val="24"/>
                <w:szCs w:val="24"/>
              </w:rPr>
              <w:t>图3-</w:t>
            </w:r>
            <w:r>
              <w:rPr>
                <w:rFonts w:hint="eastAsia" w:ascii="Times New Roman" w:hAnsi="Times New Roman" w:eastAsia="宋体"/>
                <w:color w:val="000000"/>
                <w:sz w:val="24"/>
                <w:szCs w:val="24"/>
              </w:rPr>
              <w:t>1</w:t>
            </w:r>
            <w:r>
              <w:rPr>
                <w:rFonts w:ascii="Times New Roman" w:hAnsi="Times New Roman" w:eastAsia="宋体"/>
                <w:color w:val="000000"/>
                <w:sz w:val="24"/>
                <w:szCs w:val="24"/>
              </w:rPr>
              <w:t xml:space="preserve">  固废防治措施图</w:t>
            </w:r>
          </w:p>
          <w:p w14:paraId="35D44BCD">
            <w:pPr>
              <w:spacing w:after="0" w:line="360" w:lineRule="auto"/>
              <w:rPr>
                <w:rFonts w:ascii="Times New Roman" w:hAnsi="Times New Roman" w:eastAsia="宋体"/>
                <w:b/>
                <w:color w:val="000000"/>
                <w:sz w:val="24"/>
                <w:szCs w:val="24"/>
              </w:rPr>
            </w:pPr>
            <w:r>
              <w:rPr>
                <w:rFonts w:hint="eastAsia" w:ascii="Times New Roman" w:hAnsi="Times New Roman" w:eastAsia="宋体"/>
                <w:b/>
                <w:color w:val="000000"/>
                <w:sz w:val="24"/>
                <w:szCs w:val="24"/>
              </w:rPr>
              <w:t>二</w:t>
            </w:r>
            <w:r>
              <w:rPr>
                <w:rFonts w:ascii="Times New Roman" w:hAnsi="Times New Roman" w:eastAsia="宋体"/>
                <w:b/>
                <w:color w:val="000000"/>
                <w:sz w:val="24"/>
                <w:szCs w:val="24"/>
              </w:rPr>
              <w:t>、环保投资情况</w:t>
            </w:r>
          </w:p>
          <w:p w14:paraId="72FDE490">
            <w:pPr>
              <w:spacing w:after="0" w:line="360" w:lineRule="auto"/>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本项目环保总投入</w:t>
            </w:r>
            <w:r>
              <w:rPr>
                <w:rFonts w:hint="eastAsia" w:ascii="Times New Roman" w:hAnsi="Times New Roman" w:eastAsia="宋体"/>
                <w:color w:val="000000"/>
                <w:sz w:val="24"/>
                <w:szCs w:val="24"/>
              </w:rPr>
              <w:t>72</w:t>
            </w:r>
            <w:r>
              <w:rPr>
                <w:rFonts w:ascii="Times New Roman" w:hAnsi="Times New Roman" w:eastAsia="宋体"/>
                <w:color w:val="000000"/>
                <w:sz w:val="24"/>
                <w:szCs w:val="24"/>
              </w:rPr>
              <w:t>万元</w:t>
            </w:r>
            <w:r>
              <w:rPr>
                <w:rFonts w:hint="eastAsia" w:ascii="Times New Roman" w:hAnsi="Times New Roman" w:eastAsia="宋体"/>
                <w:color w:val="000000"/>
                <w:sz w:val="24"/>
                <w:szCs w:val="24"/>
              </w:rPr>
              <w:t>,其中固废部分投资2.5万元</w:t>
            </w:r>
            <w:r>
              <w:rPr>
                <w:rFonts w:ascii="Times New Roman" w:hAnsi="Times New Roman" w:eastAsia="宋体"/>
                <w:color w:val="000000"/>
                <w:sz w:val="24"/>
                <w:szCs w:val="24"/>
              </w:rPr>
              <w:t>，具体环保投入见表3-</w:t>
            </w:r>
            <w:r>
              <w:rPr>
                <w:rFonts w:hint="eastAsia" w:ascii="Times New Roman" w:hAnsi="Times New Roman" w:eastAsia="宋体"/>
                <w:color w:val="000000"/>
                <w:sz w:val="24"/>
                <w:szCs w:val="24"/>
              </w:rPr>
              <w:t>2</w:t>
            </w:r>
            <w:r>
              <w:rPr>
                <w:rFonts w:ascii="Times New Roman" w:hAnsi="Times New Roman" w:eastAsia="宋体"/>
                <w:color w:val="000000"/>
                <w:sz w:val="24"/>
                <w:szCs w:val="24"/>
              </w:rPr>
              <w:t>。</w:t>
            </w:r>
          </w:p>
          <w:p w14:paraId="60670521">
            <w:pPr>
              <w:spacing w:after="0" w:line="360" w:lineRule="auto"/>
              <w:jc w:val="center"/>
              <w:rPr>
                <w:rFonts w:ascii="Times New Roman" w:hAnsi="Times New Roman" w:eastAsia="宋体"/>
                <w:color w:val="000000"/>
                <w:sz w:val="24"/>
                <w:szCs w:val="24"/>
              </w:rPr>
            </w:pPr>
            <w:r>
              <w:rPr>
                <w:rFonts w:ascii="Times New Roman" w:hAnsi="Times New Roman" w:eastAsia="宋体"/>
                <w:color w:val="000000"/>
                <w:sz w:val="24"/>
                <w:szCs w:val="24"/>
              </w:rPr>
              <w:t>表3-</w:t>
            </w:r>
            <w:r>
              <w:rPr>
                <w:rFonts w:hint="eastAsia" w:ascii="Times New Roman" w:hAnsi="Times New Roman" w:eastAsia="宋体"/>
                <w:color w:val="000000"/>
                <w:sz w:val="24"/>
                <w:szCs w:val="24"/>
              </w:rPr>
              <w:t>2</w:t>
            </w:r>
            <w:r>
              <w:rPr>
                <w:rFonts w:ascii="Times New Roman" w:hAnsi="Times New Roman" w:eastAsia="宋体"/>
                <w:color w:val="000000"/>
                <w:sz w:val="24"/>
                <w:szCs w:val="24"/>
              </w:rPr>
              <w:t xml:space="preserve">  环保投资一览表</w:t>
            </w:r>
          </w:p>
          <w:tbl>
            <w:tblPr>
              <w:tblStyle w:val="11"/>
              <w:tblW w:w="8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134"/>
              <w:gridCol w:w="1984"/>
              <w:gridCol w:w="1067"/>
              <w:gridCol w:w="2976"/>
              <w:gridCol w:w="1202"/>
            </w:tblGrid>
            <w:tr w14:paraId="5D4F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dxa"/>
                  <w:vAlign w:val="center"/>
                </w:tcPr>
                <w:p w14:paraId="2A472051">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类别</w:t>
                  </w:r>
                </w:p>
              </w:tc>
              <w:tc>
                <w:tcPr>
                  <w:tcW w:w="3118" w:type="dxa"/>
                  <w:gridSpan w:val="2"/>
                  <w:vAlign w:val="center"/>
                </w:tcPr>
                <w:p w14:paraId="051AAAC3">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环评主要设施</w:t>
                  </w:r>
                </w:p>
              </w:tc>
              <w:tc>
                <w:tcPr>
                  <w:tcW w:w="1067" w:type="dxa"/>
                  <w:vAlign w:val="center"/>
                </w:tcPr>
                <w:p w14:paraId="19609C98">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环评估算（万元）</w:t>
                  </w:r>
                </w:p>
              </w:tc>
              <w:tc>
                <w:tcPr>
                  <w:tcW w:w="2976" w:type="dxa"/>
                  <w:vAlign w:val="center"/>
                </w:tcPr>
                <w:p w14:paraId="013C5806">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实际建设设施</w:t>
                  </w:r>
                </w:p>
              </w:tc>
              <w:tc>
                <w:tcPr>
                  <w:tcW w:w="1202" w:type="dxa"/>
                  <w:vAlign w:val="center"/>
                </w:tcPr>
                <w:p w14:paraId="7FA4E299">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实际投资（万元）</w:t>
                  </w:r>
                </w:p>
              </w:tc>
            </w:tr>
            <w:tr w14:paraId="3D551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dxa"/>
                  <w:vMerge w:val="restart"/>
                  <w:vAlign w:val="center"/>
                </w:tcPr>
                <w:p w14:paraId="27ADECE7">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一般固废</w:t>
                  </w:r>
                </w:p>
              </w:tc>
              <w:tc>
                <w:tcPr>
                  <w:tcW w:w="1134" w:type="dxa"/>
                  <w:vAlign w:val="center"/>
                </w:tcPr>
                <w:p w14:paraId="4B1E7C8F">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生活垃圾</w:t>
                  </w:r>
                </w:p>
              </w:tc>
              <w:tc>
                <w:tcPr>
                  <w:tcW w:w="1984" w:type="dxa"/>
                  <w:vAlign w:val="center"/>
                </w:tcPr>
                <w:p w14:paraId="70261789">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垃圾桶</w:t>
                  </w:r>
                </w:p>
              </w:tc>
              <w:tc>
                <w:tcPr>
                  <w:tcW w:w="1067" w:type="dxa"/>
                  <w:vAlign w:val="center"/>
                </w:tcPr>
                <w:p w14:paraId="6AD6B062">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2</w:t>
                  </w:r>
                </w:p>
              </w:tc>
              <w:tc>
                <w:tcPr>
                  <w:tcW w:w="2976" w:type="dxa"/>
                  <w:vAlign w:val="center"/>
                </w:tcPr>
                <w:p w14:paraId="385C1747">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垃圾桶</w:t>
                  </w:r>
                </w:p>
              </w:tc>
              <w:tc>
                <w:tcPr>
                  <w:tcW w:w="1202" w:type="dxa"/>
                  <w:vAlign w:val="center"/>
                </w:tcPr>
                <w:p w14:paraId="43276955">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2</w:t>
                  </w:r>
                </w:p>
              </w:tc>
            </w:tr>
            <w:tr w14:paraId="109E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dxa"/>
                  <w:vMerge w:val="continue"/>
                  <w:vAlign w:val="center"/>
                </w:tcPr>
                <w:p w14:paraId="3FC5A0FC">
                  <w:pPr>
                    <w:spacing w:after="0"/>
                    <w:jc w:val="center"/>
                    <w:rPr>
                      <w:rFonts w:ascii="Times New Roman" w:hAnsi="Times New Roman" w:eastAsia="宋体"/>
                      <w:color w:val="000000"/>
                      <w:sz w:val="21"/>
                      <w:szCs w:val="21"/>
                    </w:rPr>
                  </w:pPr>
                </w:p>
              </w:tc>
              <w:tc>
                <w:tcPr>
                  <w:tcW w:w="1134" w:type="dxa"/>
                  <w:vAlign w:val="center"/>
                </w:tcPr>
                <w:p w14:paraId="5D9A1BB9">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工业废物</w:t>
                  </w:r>
                </w:p>
              </w:tc>
              <w:tc>
                <w:tcPr>
                  <w:tcW w:w="1984" w:type="dxa"/>
                  <w:vAlign w:val="center"/>
                </w:tcPr>
                <w:p w14:paraId="2A89CC65">
                  <w:pPr>
                    <w:spacing w:after="0"/>
                    <w:jc w:val="center"/>
                    <w:rPr>
                      <w:rFonts w:ascii="Times New Roman" w:hAnsi="Times New Roman" w:eastAsia="宋体"/>
                      <w:color w:val="000000"/>
                      <w:sz w:val="21"/>
                      <w:szCs w:val="21"/>
                    </w:rPr>
                  </w:pPr>
                  <w:r>
                    <w:rPr>
                      <w:rFonts w:hint="eastAsia" w:asciiTheme="minorEastAsia" w:hAnsiTheme="minorEastAsia" w:eastAsiaTheme="minorEastAsia" w:cstheme="minorEastAsia"/>
                      <w:szCs w:val="20"/>
                    </w:rPr>
                    <w:t>残次品和沉泥沙收集处</w:t>
                  </w:r>
                </w:p>
              </w:tc>
              <w:tc>
                <w:tcPr>
                  <w:tcW w:w="1067" w:type="dxa"/>
                  <w:vAlign w:val="center"/>
                </w:tcPr>
                <w:p w14:paraId="23550995">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0.5</w:t>
                  </w:r>
                </w:p>
              </w:tc>
              <w:tc>
                <w:tcPr>
                  <w:tcW w:w="2976" w:type="dxa"/>
                  <w:vAlign w:val="center"/>
                </w:tcPr>
                <w:p w14:paraId="604243E6">
                  <w:pPr>
                    <w:spacing w:after="0"/>
                    <w:jc w:val="center"/>
                    <w:rPr>
                      <w:rFonts w:ascii="Times New Roman" w:hAnsi="Times New Roman" w:eastAsia="宋体"/>
                      <w:color w:val="000000"/>
                      <w:sz w:val="21"/>
                      <w:szCs w:val="21"/>
                    </w:rPr>
                  </w:pPr>
                  <w:r>
                    <w:rPr>
                      <w:rFonts w:hint="eastAsia" w:asciiTheme="minorEastAsia" w:hAnsiTheme="minorEastAsia" w:eastAsiaTheme="minorEastAsia" w:cstheme="minorEastAsia"/>
                      <w:szCs w:val="20"/>
                    </w:rPr>
                    <w:t>残次品和沉泥沙收集处</w:t>
                  </w:r>
                </w:p>
              </w:tc>
              <w:tc>
                <w:tcPr>
                  <w:tcW w:w="1202" w:type="dxa"/>
                  <w:vAlign w:val="center"/>
                </w:tcPr>
                <w:p w14:paraId="3B0E16D2">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0.5</w:t>
                  </w:r>
                </w:p>
              </w:tc>
            </w:tr>
            <w:tr w14:paraId="6E36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dxa"/>
                  <w:vMerge w:val="continue"/>
                  <w:vAlign w:val="center"/>
                </w:tcPr>
                <w:p w14:paraId="3BFF7596">
                  <w:pPr>
                    <w:spacing w:after="0"/>
                    <w:jc w:val="center"/>
                    <w:rPr>
                      <w:rFonts w:ascii="Times New Roman" w:hAnsi="Times New Roman" w:eastAsia="宋体"/>
                      <w:color w:val="000000"/>
                      <w:sz w:val="21"/>
                      <w:szCs w:val="21"/>
                    </w:rPr>
                  </w:pPr>
                </w:p>
              </w:tc>
              <w:tc>
                <w:tcPr>
                  <w:tcW w:w="1134" w:type="dxa"/>
                  <w:vAlign w:val="center"/>
                </w:tcPr>
                <w:p w14:paraId="3D31C260">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污泥</w:t>
                  </w:r>
                </w:p>
              </w:tc>
              <w:tc>
                <w:tcPr>
                  <w:tcW w:w="1984" w:type="dxa"/>
                  <w:vAlign w:val="center"/>
                </w:tcPr>
                <w:p w14:paraId="7D4BD45F">
                  <w:pPr>
                    <w:spacing w:after="0"/>
                    <w:jc w:val="center"/>
                    <w:rPr>
                      <w:rFonts w:ascii="Times New Roman" w:hAnsi="Times New Roman" w:eastAsia="宋体"/>
                      <w:color w:val="000000"/>
                      <w:sz w:val="21"/>
                      <w:szCs w:val="21"/>
                    </w:rPr>
                  </w:pPr>
                  <w:r>
                    <w:rPr>
                      <w:rFonts w:hint="eastAsia" w:asciiTheme="minorEastAsia" w:hAnsiTheme="minorEastAsia" w:eastAsiaTheme="minorEastAsia" w:cstheme="minorEastAsia"/>
                      <w:szCs w:val="20"/>
                    </w:rPr>
                    <w:t>采用吸粪车从污泥池的检查孔伸入污泥底部，进行抽吸外运作农肥</w:t>
                  </w:r>
                </w:p>
              </w:tc>
              <w:tc>
                <w:tcPr>
                  <w:tcW w:w="1067" w:type="dxa"/>
                  <w:vAlign w:val="center"/>
                </w:tcPr>
                <w:p w14:paraId="0788FB71">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2</w:t>
                  </w:r>
                </w:p>
              </w:tc>
              <w:tc>
                <w:tcPr>
                  <w:tcW w:w="2976" w:type="dxa"/>
                  <w:vAlign w:val="center"/>
                </w:tcPr>
                <w:p w14:paraId="65A6BFF6">
                  <w:pPr>
                    <w:spacing w:after="0"/>
                    <w:jc w:val="center"/>
                    <w:rPr>
                      <w:rFonts w:ascii="Times New Roman" w:hAnsi="Times New Roman" w:eastAsia="宋体"/>
                      <w:color w:val="000000"/>
                      <w:sz w:val="21"/>
                      <w:szCs w:val="21"/>
                    </w:rPr>
                  </w:pPr>
                  <w:r>
                    <w:rPr>
                      <w:rFonts w:hint="eastAsia" w:asciiTheme="minorEastAsia" w:hAnsiTheme="minorEastAsia" w:eastAsiaTheme="minorEastAsia" w:cstheme="minorEastAsia"/>
                      <w:szCs w:val="20"/>
                    </w:rPr>
                    <w:t>采用吸粪车从污泥池的检查孔伸入污泥底部，进行抽吸外运作农肥</w:t>
                  </w:r>
                </w:p>
              </w:tc>
              <w:tc>
                <w:tcPr>
                  <w:tcW w:w="1202" w:type="dxa"/>
                  <w:vAlign w:val="center"/>
                </w:tcPr>
                <w:p w14:paraId="7C81AA2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0</w:t>
                  </w:r>
                </w:p>
              </w:tc>
            </w:tr>
            <w:tr w14:paraId="08EF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dxa"/>
                  <w:vAlign w:val="center"/>
                </w:tcPr>
                <w:p w14:paraId="1336F6BF">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危险废物</w:t>
                  </w:r>
                </w:p>
              </w:tc>
              <w:tc>
                <w:tcPr>
                  <w:tcW w:w="1134" w:type="dxa"/>
                  <w:vAlign w:val="center"/>
                </w:tcPr>
                <w:p w14:paraId="5725FE2F">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废机油</w:t>
                  </w:r>
                </w:p>
              </w:tc>
              <w:tc>
                <w:tcPr>
                  <w:tcW w:w="1984" w:type="dxa"/>
                  <w:vAlign w:val="center"/>
                </w:tcPr>
                <w:p w14:paraId="2474EB7E">
                  <w:pPr>
                    <w:spacing w:after="0"/>
                    <w:jc w:val="center"/>
                    <w:rPr>
                      <w:rFonts w:asciiTheme="minorEastAsia" w:hAnsiTheme="minorEastAsia" w:eastAsiaTheme="minorEastAsia" w:cstheme="minorEastAsia"/>
                      <w:szCs w:val="20"/>
                    </w:rPr>
                  </w:pPr>
                  <w:r>
                    <w:rPr>
                      <w:rFonts w:hint="eastAsia" w:asciiTheme="minorEastAsia" w:hAnsiTheme="minorEastAsia" w:eastAsiaTheme="minorEastAsia" w:cstheme="minorEastAsia"/>
                      <w:szCs w:val="20"/>
                    </w:rPr>
                    <w:t>/</w:t>
                  </w:r>
                </w:p>
              </w:tc>
              <w:tc>
                <w:tcPr>
                  <w:tcW w:w="1067" w:type="dxa"/>
                  <w:vAlign w:val="center"/>
                </w:tcPr>
                <w:p w14:paraId="258C9363">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w:t>
                  </w:r>
                </w:p>
              </w:tc>
              <w:tc>
                <w:tcPr>
                  <w:tcW w:w="2976" w:type="dxa"/>
                  <w:vAlign w:val="center"/>
                </w:tcPr>
                <w:p w14:paraId="1E8BB66D">
                  <w:pPr>
                    <w:spacing w:after="0"/>
                    <w:jc w:val="center"/>
                    <w:rPr>
                      <w:rFonts w:asciiTheme="minorEastAsia" w:hAnsiTheme="minorEastAsia" w:eastAsiaTheme="minorEastAsia" w:cstheme="minorEastAsia"/>
                      <w:szCs w:val="20"/>
                    </w:rPr>
                  </w:pPr>
                  <w:r>
                    <w:rPr>
                      <w:rFonts w:hint="eastAsia" w:asciiTheme="minorEastAsia" w:hAnsiTheme="minorEastAsia" w:eastAsiaTheme="minorEastAsia" w:cstheme="minorEastAsia"/>
                      <w:szCs w:val="20"/>
                    </w:rPr>
                    <w:t>危废暂存间</w:t>
                  </w:r>
                </w:p>
              </w:tc>
              <w:tc>
                <w:tcPr>
                  <w:tcW w:w="1202" w:type="dxa"/>
                  <w:vAlign w:val="center"/>
                </w:tcPr>
                <w:p w14:paraId="7F60AE8F">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1</w:t>
                  </w:r>
                </w:p>
              </w:tc>
            </w:tr>
            <w:tr w14:paraId="0615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6" w:type="dxa"/>
                  <w:gridSpan w:val="3"/>
                  <w:vAlign w:val="center"/>
                </w:tcPr>
                <w:p w14:paraId="0C5F09DF">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合计</w:t>
                  </w:r>
                </w:p>
              </w:tc>
              <w:tc>
                <w:tcPr>
                  <w:tcW w:w="1067" w:type="dxa"/>
                  <w:vAlign w:val="center"/>
                </w:tcPr>
                <w:p w14:paraId="51351034">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4.5</w:t>
                  </w:r>
                </w:p>
              </w:tc>
              <w:tc>
                <w:tcPr>
                  <w:tcW w:w="2976" w:type="dxa"/>
                  <w:vAlign w:val="center"/>
                </w:tcPr>
                <w:p w14:paraId="7D28038C">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合计</w:t>
                  </w:r>
                </w:p>
              </w:tc>
              <w:tc>
                <w:tcPr>
                  <w:tcW w:w="1202" w:type="dxa"/>
                  <w:vAlign w:val="center"/>
                </w:tcPr>
                <w:p w14:paraId="05A351CB">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3.5</w:t>
                  </w:r>
                </w:p>
              </w:tc>
            </w:tr>
          </w:tbl>
          <w:p w14:paraId="5EB516F2">
            <w:pPr>
              <w:spacing w:after="0" w:line="360" w:lineRule="auto"/>
              <w:rPr>
                <w:rFonts w:ascii="Times New Roman" w:hAnsi="Times New Roman" w:eastAsia="宋体"/>
                <w:color w:val="000000"/>
                <w:sz w:val="24"/>
                <w:szCs w:val="24"/>
              </w:rPr>
            </w:pPr>
          </w:p>
        </w:tc>
      </w:tr>
    </w:tbl>
    <w:p w14:paraId="752CCAF2">
      <w:pPr>
        <w:spacing w:after="0" w:line="360" w:lineRule="auto"/>
        <w:rPr>
          <w:rFonts w:ascii="Times New Roman" w:hAnsi="Times New Roman" w:eastAsia="仿宋_GB2312"/>
          <w:b/>
          <w:color w:val="000000"/>
          <w:sz w:val="21"/>
          <w:szCs w:val="21"/>
        </w:rPr>
      </w:pPr>
    </w:p>
    <w:p w14:paraId="0FA97DC0">
      <w:pPr>
        <w:spacing w:after="0" w:line="360" w:lineRule="auto"/>
        <w:rPr>
          <w:rFonts w:ascii="Times New Roman" w:hAnsi="Times New Roman" w:eastAsia="仿宋_GB2312"/>
          <w:b/>
          <w:color w:val="000000"/>
          <w:sz w:val="21"/>
          <w:szCs w:val="21"/>
        </w:rPr>
      </w:pPr>
      <w:r>
        <w:rPr>
          <w:rFonts w:ascii="Times New Roman" w:hAnsi="Times New Roman" w:eastAsia="仿宋_GB2312"/>
          <w:b/>
          <w:color w:val="000000"/>
          <w:sz w:val="21"/>
          <w:szCs w:val="21"/>
        </w:rPr>
        <w:t>表四</w:t>
      </w:r>
    </w:p>
    <w:tbl>
      <w:tblPr>
        <w:tblStyle w:val="1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A2F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8924" w:type="dxa"/>
          </w:tcPr>
          <w:p w14:paraId="3C4A6448">
            <w:pPr>
              <w:spacing w:before="48" w:beforeLines="20" w:line="360" w:lineRule="auto"/>
              <w:rPr>
                <w:rFonts w:ascii="Times New Roman" w:hAnsi="Times New Roman" w:eastAsia="宋体"/>
                <w:color w:val="000000"/>
                <w:sz w:val="21"/>
                <w:szCs w:val="21"/>
              </w:rPr>
            </w:pPr>
            <w:r>
              <w:rPr>
                <w:rFonts w:ascii="Times New Roman" w:hAnsi="Times New Roman" w:eastAsia="宋体"/>
                <w:color w:val="000000"/>
                <w:sz w:val="21"/>
                <w:szCs w:val="21"/>
              </w:rPr>
              <w:t>建设项目环境影响报告表主要结论及审批部门审批决定：</w:t>
            </w:r>
          </w:p>
          <w:p w14:paraId="542DCECE">
            <w:pPr>
              <w:spacing w:before="48" w:beforeLines="20" w:after="120" w:line="360" w:lineRule="auto"/>
              <w:rPr>
                <w:rFonts w:ascii="Times New Roman" w:hAnsi="Times New Roman" w:eastAsia="宋体"/>
                <w:b/>
                <w:color w:val="000000"/>
                <w:sz w:val="24"/>
                <w:szCs w:val="24"/>
              </w:rPr>
            </w:pPr>
            <w:r>
              <w:rPr>
                <w:rFonts w:ascii="Times New Roman" w:hAnsi="Times New Roman" w:eastAsia="宋体"/>
                <w:b/>
                <w:color w:val="000000"/>
                <w:sz w:val="24"/>
                <w:szCs w:val="24"/>
              </w:rPr>
              <w:t>一、环境影响报告表主要结论</w:t>
            </w:r>
          </w:p>
          <w:p w14:paraId="6CC38531">
            <w:pPr>
              <w:spacing w:after="0"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本建设项目符合国家产业政策、清洁生产及当地城市总体规划的要求，同时具有良好的社会效益、环境效益和经济效益。项目的建设会产生废水、废气、噪声及固体废物，将对周围环境带来一定程度的影响，但在严格执行“三同时”制度并且全面落实本评价提出的污染防治措施后，各项污染物排放浓度可控制在国家有关排放标准允许的范围内。据此，本评价认为，从环保角度分析本项目在拟建地按拟建规模建设是可行的。</w:t>
            </w:r>
          </w:p>
          <w:p w14:paraId="2947A7A6">
            <w:pPr>
              <w:spacing w:after="0" w:line="360" w:lineRule="auto"/>
              <w:rPr>
                <w:rFonts w:ascii="Times New Roman" w:hAnsi="Times New Roman" w:eastAsia="宋体"/>
                <w:b/>
                <w:color w:val="000000"/>
                <w:sz w:val="24"/>
                <w:szCs w:val="24"/>
              </w:rPr>
            </w:pPr>
            <w:r>
              <w:rPr>
                <w:rFonts w:ascii="Times New Roman" w:hAnsi="Times New Roman" w:eastAsia="宋体"/>
                <w:b/>
                <w:color w:val="000000"/>
                <w:sz w:val="24"/>
                <w:szCs w:val="24"/>
              </w:rPr>
              <w:t>二、审批部门审批决定</w:t>
            </w:r>
          </w:p>
          <w:p w14:paraId="080170A9">
            <w:pPr>
              <w:spacing w:after="0" w:line="360" w:lineRule="auto"/>
              <w:ind w:firstLine="480" w:firstLineChars="200"/>
              <w:rPr>
                <w:rFonts w:ascii="Times New Roman" w:hAnsi="Times New Roman" w:eastAsia="宋体"/>
                <w:kern w:val="2"/>
                <w:sz w:val="24"/>
                <w:szCs w:val="24"/>
              </w:rPr>
            </w:pPr>
            <w:r>
              <w:rPr>
                <w:rFonts w:hint="eastAsia" w:ascii="Times New Roman" w:hAnsi="Times New Roman" w:eastAsia="宋体"/>
                <w:sz w:val="24"/>
                <w:szCs w:val="24"/>
              </w:rPr>
              <w:t>陕西省西咸新区秦汉新城行政审批与政务服务局</w:t>
            </w:r>
            <w:r>
              <w:rPr>
                <w:rFonts w:ascii="Times New Roman" w:hAnsi="Times New Roman" w:eastAsia="宋体"/>
                <w:kern w:val="2"/>
                <w:sz w:val="24"/>
                <w:szCs w:val="24"/>
              </w:rPr>
              <w:t>以</w:t>
            </w:r>
            <w:r>
              <w:rPr>
                <w:rFonts w:hint="eastAsia" w:ascii="Times New Roman" w:hAnsi="Times New Roman" w:eastAsia="宋体"/>
                <w:kern w:val="2"/>
                <w:sz w:val="24"/>
                <w:szCs w:val="24"/>
              </w:rPr>
              <w:t>（</w:t>
            </w:r>
            <w:r>
              <w:rPr>
                <w:rFonts w:hint="eastAsia" w:ascii="Times New Roman" w:hAnsi="Times New Roman" w:eastAsia="宋体"/>
                <w:color w:val="000000"/>
                <w:sz w:val="24"/>
                <w:szCs w:val="24"/>
              </w:rPr>
              <w:t>秦汉</w:t>
            </w:r>
            <w:r>
              <w:rPr>
                <w:rFonts w:ascii="Times New Roman" w:hAnsi="Times New Roman" w:eastAsia="宋体"/>
                <w:color w:val="000000"/>
                <w:sz w:val="24"/>
                <w:szCs w:val="24"/>
              </w:rPr>
              <w:t>审服准〔201</w:t>
            </w:r>
            <w:r>
              <w:rPr>
                <w:rFonts w:hint="eastAsia" w:ascii="Times New Roman" w:hAnsi="Times New Roman" w:eastAsia="宋体"/>
                <w:color w:val="000000"/>
                <w:sz w:val="24"/>
                <w:szCs w:val="24"/>
              </w:rPr>
              <w:t>8</w:t>
            </w:r>
            <w:r>
              <w:rPr>
                <w:rFonts w:ascii="Times New Roman" w:hAnsi="Times New Roman" w:eastAsia="宋体"/>
                <w:color w:val="000000"/>
                <w:sz w:val="24"/>
                <w:szCs w:val="24"/>
              </w:rPr>
              <w:t>〕</w:t>
            </w:r>
            <w:r>
              <w:rPr>
                <w:rFonts w:hint="eastAsia" w:ascii="Times New Roman" w:hAnsi="Times New Roman" w:eastAsia="宋体"/>
                <w:color w:val="000000"/>
                <w:sz w:val="24"/>
                <w:szCs w:val="24"/>
              </w:rPr>
              <w:t>94</w:t>
            </w:r>
            <w:r>
              <w:rPr>
                <w:rFonts w:ascii="Times New Roman" w:hAnsi="Times New Roman" w:eastAsia="宋体"/>
                <w:color w:val="000000"/>
                <w:sz w:val="24"/>
                <w:szCs w:val="24"/>
              </w:rPr>
              <w:t>号</w:t>
            </w:r>
            <w:r>
              <w:rPr>
                <w:rFonts w:hint="eastAsia" w:ascii="Times New Roman" w:hAnsi="Times New Roman" w:eastAsia="宋体"/>
                <w:kern w:val="2"/>
                <w:sz w:val="24"/>
                <w:szCs w:val="24"/>
              </w:rPr>
              <w:t>）</w:t>
            </w:r>
            <w:r>
              <w:rPr>
                <w:rFonts w:ascii="Times New Roman" w:hAnsi="Times New Roman" w:eastAsia="宋体"/>
                <w:kern w:val="2"/>
                <w:sz w:val="24"/>
                <w:szCs w:val="24"/>
              </w:rPr>
              <w:t>关于《</w:t>
            </w:r>
            <w:r>
              <w:rPr>
                <w:rFonts w:ascii="Times New Roman" w:hAnsi="Times New Roman" w:eastAsia="宋体"/>
                <w:color w:val="000000"/>
                <w:sz w:val="24"/>
                <w:szCs w:val="24"/>
              </w:rPr>
              <w:t>关于</w:t>
            </w:r>
            <w:r>
              <w:rPr>
                <w:rFonts w:hint="eastAsia" w:ascii="Times New Roman" w:hAnsi="Times New Roman" w:eastAsia="宋体"/>
                <w:color w:val="000000"/>
                <w:sz w:val="24"/>
                <w:szCs w:val="24"/>
              </w:rPr>
              <w:t>陕西蓝邦环保建材有限公司蒸压加气混凝土砌块项目</w:t>
            </w:r>
            <w:r>
              <w:rPr>
                <w:rFonts w:ascii="Times New Roman" w:hAnsi="Times New Roman" w:eastAsia="宋体"/>
                <w:color w:val="000000"/>
                <w:sz w:val="24"/>
                <w:szCs w:val="24"/>
              </w:rPr>
              <w:t>环境影响报告表的批复</w:t>
            </w:r>
            <w:r>
              <w:rPr>
                <w:rFonts w:ascii="Times New Roman" w:hAnsi="Times New Roman" w:eastAsia="宋体"/>
                <w:kern w:val="2"/>
                <w:sz w:val="24"/>
                <w:szCs w:val="24"/>
              </w:rPr>
              <w:t>》，批复如下：</w:t>
            </w:r>
          </w:p>
          <w:p w14:paraId="7B9CC951">
            <w:pPr>
              <w:widowControl w:val="0"/>
              <w:spacing w:after="0" w:line="360" w:lineRule="auto"/>
              <w:ind w:firstLine="480" w:firstLineChars="200"/>
              <w:rPr>
                <w:rFonts w:ascii="Times New Roman" w:hAnsi="Times New Roman" w:eastAsia="宋体"/>
                <w:kern w:val="2"/>
                <w:sz w:val="24"/>
                <w:szCs w:val="24"/>
              </w:rPr>
            </w:pPr>
            <w:r>
              <w:rPr>
                <w:rFonts w:hint="eastAsia" w:ascii="Times New Roman" w:hAnsi="Times New Roman" w:eastAsia="宋体"/>
                <w:kern w:val="2"/>
                <w:sz w:val="24"/>
                <w:szCs w:val="24"/>
              </w:rPr>
              <w:t>1、项目概况</w:t>
            </w:r>
          </w:p>
          <w:p w14:paraId="38B2C1F0">
            <w:pPr>
              <w:widowControl w:val="0"/>
              <w:spacing w:after="0" w:line="360" w:lineRule="auto"/>
              <w:ind w:firstLine="480" w:firstLineChars="200"/>
              <w:rPr>
                <w:rFonts w:ascii="Times New Roman" w:hAnsi="Times New Roman" w:eastAsia="宋体"/>
                <w:kern w:val="2"/>
                <w:sz w:val="24"/>
                <w:szCs w:val="24"/>
              </w:rPr>
            </w:pPr>
            <w:r>
              <w:rPr>
                <w:rFonts w:hint="eastAsia" w:ascii="Times New Roman" w:hAnsi="Times New Roman" w:eastAsia="宋体"/>
                <w:kern w:val="2"/>
                <w:sz w:val="24"/>
                <w:szCs w:val="24"/>
              </w:rPr>
              <w:t>该项目位于秦汉新城正阳街道柏家咀村2组，占地面积49486.17m。主要建设内容为：办公楼，生产车间，原料车间，堆场。加气混凝土砌砖生产线及其配套设施。项目总投资8000万元，其中，环保投资120万元，占总投资的1.5％。</w:t>
            </w:r>
          </w:p>
          <w:p w14:paraId="240A7CBE">
            <w:pPr>
              <w:widowControl w:val="0"/>
              <w:spacing w:after="0" w:line="360" w:lineRule="auto"/>
              <w:ind w:firstLine="480" w:firstLineChars="200"/>
              <w:rPr>
                <w:rFonts w:ascii="Times New Roman" w:hAnsi="Times New Roman" w:eastAsia="宋体"/>
                <w:kern w:val="2"/>
                <w:sz w:val="24"/>
                <w:szCs w:val="24"/>
              </w:rPr>
            </w:pPr>
            <w:r>
              <w:rPr>
                <w:rFonts w:hint="eastAsia" w:ascii="Times New Roman" w:hAnsi="Times New Roman" w:eastAsia="宋体"/>
                <w:kern w:val="2"/>
                <w:sz w:val="24"/>
                <w:szCs w:val="24"/>
              </w:rPr>
              <w:t>依据2018年11月19日形成的专家组意见，项目在全面落实“报告表”提出的各项环境污染防治措施且稳定达标排放的前提下，从环境保护角度分析，我局原则上同意按照“报告表”中所列的地点、性质、规模、环境保护措施进行项目建设。</w:t>
            </w:r>
          </w:p>
          <w:p w14:paraId="5DD0423D">
            <w:pPr>
              <w:widowControl w:val="0"/>
              <w:spacing w:after="0" w:line="360" w:lineRule="auto"/>
              <w:ind w:firstLine="480" w:firstLineChars="200"/>
              <w:rPr>
                <w:rFonts w:ascii="Times New Roman" w:hAnsi="Times New Roman" w:eastAsia="宋体"/>
                <w:kern w:val="2"/>
                <w:sz w:val="24"/>
                <w:szCs w:val="24"/>
              </w:rPr>
            </w:pPr>
            <w:r>
              <w:rPr>
                <w:rFonts w:hint="eastAsia" w:ascii="Times New Roman" w:hAnsi="Times New Roman" w:eastAsia="宋体"/>
                <w:kern w:val="2"/>
                <w:sz w:val="24"/>
                <w:szCs w:val="24"/>
              </w:rPr>
              <w:t>2、项目建设期间及运行过程中应重点做好以下工作</w:t>
            </w:r>
          </w:p>
          <w:p w14:paraId="3550EDAA">
            <w:pPr>
              <w:widowControl w:val="0"/>
              <w:spacing w:after="0" w:line="360" w:lineRule="auto"/>
              <w:ind w:firstLine="480" w:firstLineChars="200"/>
              <w:rPr>
                <w:rFonts w:ascii="Times New Roman" w:hAnsi="Times New Roman" w:eastAsia="宋体"/>
                <w:kern w:val="2"/>
                <w:sz w:val="24"/>
                <w:szCs w:val="24"/>
              </w:rPr>
            </w:pPr>
            <w:r>
              <w:rPr>
                <w:rFonts w:hint="eastAsia" w:ascii="Times New Roman" w:hAnsi="Times New Roman" w:eastAsia="宋体"/>
                <w:kern w:val="2"/>
                <w:sz w:val="24"/>
                <w:szCs w:val="24"/>
              </w:rPr>
              <w:t>（1）项目在设计、施工及运营中，必须认真落实“报告表”中所提出的各项污染防治措施，严格执行建设项目环境保护“三同时”制度要求，确保各类污染物稳定达标排放。</w:t>
            </w:r>
          </w:p>
          <w:p w14:paraId="7C805FDA">
            <w:pPr>
              <w:widowControl w:val="0"/>
              <w:spacing w:after="0" w:line="360" w:lineRule="auto"/>
              <w:ind w:firstLine="480" w:firstLineChars="200"/>
              <w:rPr>
                <w:rFonts w:ascii="Times New Roman" w:hAnsi="Times New Roman" w:eastAsia="宋体"/>
                <w:kern w:val="2"/>
                <w:sz w:val="24"/>
                <w:szCs w:val="24"/>
              </w:rPr>
            </w:pPr>
            <w:r>
              <w:rPr>
                <w:rFonts w:hint="eastAsia" w:ascii="Times New Roman" w:hAnsi="Times New Roman" w:eastAsia="宋体"/>
                <w:kern w:val="2"/>
                <w:sz w:val="24"/>
                <w:szCs w:val="24"/>
              </w:rPr>
              <w:t>（2）强化粉尘治理措施。运营期加强管理，落实各项粉尘防治措施，特别是粉煤灰过筛粉尘、破碎粉尘、球磨粉尘应设置除尘器，经处理达标后排放。同时，生产过程加大喷洒面积和力度。</w:t>
            </w:r>
          </w:p>
          <w:p w14:paraId="48477BAD">
            <w:pPr>
              <w:widowControl w:val="0"/>
              <w:spacing w:after="0" w:line="360" w:lineRule="auto"/>
              <w:ind w:firstLine="480" w:firstLineChars="200"/>
              <w:rPr>
                <w:rFonts w:ascii="Times New Roman" w:hAnsi="Times New Roman" w:eastAsia="宋体"/>
                <w:kern w:val="2"/>
                <w:sz w:val="24"/>
                <w:szCs w:val="24"/>
              </w:rPr>
            </w:pPr>
            <w:r>
              <w:rPr>
                <w:rFonts w:hint="eastAsia" w:ascii="Times New Roman" w:hAnsi="Times New Roman" w:eastAsia="宋体"/>
                <w:kern w:val="2"/>
                <w:sz w:val="24"/>
                <w:szCs w:val="24"/>
              </w:rPr>
              <w:t>（三）落实废水处理措施。该项目生产废水不外排，餐饮废水经隔油池处理与生活污水进入化粪池，定期进行清掏。</w:t>
            </w:r>
          </w:p>
          <w:p w14:paraId="07FE7008">
            <w:pPr>
              <w:widowControl w:val="0"/>
              <w:spacing w:after="0" w:line="360" w:lineRule="auto"/>
              <w:ind w:firstLine="480" w:firstLineChars="200"/>
              <w:rPr>
                <w:rFonts w:ascii="Times New Roman" w:hAnsi="Times New Roman" w:eastAsia="宋体"/>
                <w:kern w:val="2"/>
                <w:sz w:val="24"/>
                <w:szCs w:val="24"/>
              </w:rPr>
            </w:pPr>
            <w:r>
              <w:rPr>
                <w:rFonts w:hint="eastAsia" w:ascii="Times New Roman" w:hAnsi="Times New Roman" w:eastAsia="宋体"/>
                <w:kern w:val="2"/>
                <w:sz w:val="24"/>
                <w:szCs w:val="24"/>
              </w:rPr>
              <w:t>（4）完善噪声污染防治措施。一是通过合理布局，选用低噪设备，采用基础臧震、隔声以及加设消声器等措施减少噪声的产生；二是建立设备定期检查、维护及保养的管理制度，以防止设备因故障形成的非正常生产噪声，同时确保环保措施发挥最佳有效的功能；三是加强职工环保意识教育，提倡文明生产，防止人为噪声产生。</w:t>
            </w:r>
          </w:p>
          <w:p w14:paraId="7DFB894C">
            <w:pPr>
              <w:widowControl w:val="0"/>
              <w:spacing w:after="0" w:line="360" w:lineRule="auto"/>
              <w:ind w:firstLine="480" w:firstLineChars="200"/>
              <w:rPr>
                <w:rFonts w:ascii="Times New Roman" w:hAnsi="Times New Roman" w:eastAsia="宋体"/>
                <w:kern w:val="2"/>
                <w:sz w:val="24"/>
                <w:szCs w:val="24"/>
              </w:rPr>
            </w:pPr>
            <w:r>
              <w:rPr>
                <w:rFonts w:hint="eastAsia" w:ascii="Times New Roman" w:hAnsi="Times New Roman" w:eastAsia="宋体"/>
                <w:kern w:val="2"/>
                <w:sz w:val="24"/>
                <w:szCs w:val="24"/>
              </w:rPr>
              <w:t>（4）加强固体废物管理。固体废物主要为生活垃圾残次品、沉淀池的泥沙。生活垃圾统一收集，交由环卫清运；残次品和沉淀池的泥沙作为原料再次使用，不外排。</w:t>
            </w:r>
          </w:p>
          <w:p w14:paraId="28CE3B4B">
            <w:pPr>
              <w:widowControl w:val="0"/>
              <w:spacing w:after="0" w:line="360" w:lineRule="auto"/>
              <w:ind w:firstLine="480" w:firstLineChars="200"/>
              <w:rPr>
                <w:rFonts w:ascii="Times New Roman" w:hAnsi="Times New Roman" w:eastAsia="宋体"/>
                <w:kern w:val="2"/>
                <w:sz w:val="24"/>
                <w:szCs w:val="24"/>
              </w:rPr>
            </w:pPr>
            <w:r>
              <w:rPr>
                <w:rFonts w:hint="eastAsia" w:ascii="Times New Roman" w:hAnsi="Times New Roman" w:eastAsia="宋体"/>
                <w:kern w:val="2"/>
                <w:sz w:val="24"/>
                <w:szCs w:val="24"/>
              </w:rPr>
              <w:t>3、几点要求</w:t>
            </w:r>
          </w:p>
          <w:p w14:paraId="6CA0F4F3">
            <w:pPr>
              <w:widowControl w:val="0"/>
              <w:spacing w:after="0" w:line="360" w:lineRule="auto"/>
              <w:ind w:firstLine="480" w:firstLineChars="200"/>
              <w:rPr>
                <w:rFonts w:ascii="Times New Roman" w:hAnsi="Times New Roman" w:eastAsia="宋体"/>
                <w:kern w:val="2"/>
                <w:sz w:val="24"/>
                <w:szCs w:val="24"/>
              </w:rPr>
            </w:pPr>
            <w:r>
              <w:rPr>
                <w:rFonts w:hint="eastAsia" w:ascii="Times New Roman" w:hAnsi="Times New Roman" w:eastAsia="宋体"/>
                <w:kern w:val="2"/>
                <w:sz w:val="24"/>
                <w:szCs w:val="24"/>
              </w:rPr>
              <w:t>（1）本项目的环保设施必须与主体工程同时设计、同时施工、同时投入使用，项目建成后，须按规定程序实施工环境保护验收，验收通过后方可投入正式运营。</w:t>
            </w:r>
          </w:p>
          <w:p w14:paraId="4EA4909F">
            <w:pPr>
              <w:widowControl w:val="0"/>
              <w:spacing w:after="0" w:line="360" w:lineRule="auto"/>
              <w:ind w:firstLine="480" w:firstLineChars="200"/>
              <w:rPr>
                <w:rFonts w:ascii="Times New Roman" w:hAnsi="Times New Roman" w:eastAsia="宋体"/>
                <w:kern w:val="2"/>
                <w:sz w:val="24"/>
                <w:szCs w:val="24"/>
              </w:rPr>
            </w:pPr>
            <w:r>
              <w:rPr>
                <w:rFonts w:hint="eastAsia" w:ascii="Times New Roman" w:hAnsi="Times New Roman" w:eastAsia="宋体"/>
                <w:kern w:val="2"/>
                <w:sz w:val="24"/>
                <w:szCs w:val="24"/>
              </w:rPr>
              <w:t>（2）该项目属已建成项目。环境影响报告表内容的真实性、完整性和可靠性由环评编制单位和建设单位共同负责。</w:t>
            </w:r>
          </w:p>
          <w:p w14:paraId="066D9F8E">
            <w:pPr>
              <w:widowControl w:val="0"/>
              <w:spacing w:after="0" w:line="360" w:lineRule="auto"/>
              <w:ind w:firstLine="480" w:firstLineChars="200"/>
              <w:rPr>
                <w:rFonts w:ascii="Times New Roman" w:hAnsi="Times New Roman" w:eastAsia="宋体"/>
                <w:kern w:val="2"/>
                <w:sz w:val="24"/>
                <w:szCs w:val="24"/>
              </w:rPr>
            </w:pPr>
            <w:r>
              <w:rPr>
                <w:rFonts w:hint="eastAsia" w:ascii="Times New Roman" w:hAnsi="Times New Roman" w:eastAsia="宋体"/>
                <w:kern w:val="2"/>
                <w:sz w:val="24"/>
                <w:szCs w:val="24"/>
              </w:rPr>
              <w:t>（3）本批复自下达之日起，项目的性质、规模、地点采用的防治污染措施及生态环境保护措施发生重大变动的，须重新报批项目的环境影响评价文件。</w:t>
            </w:r>
          </w:p>
          <w:p w14:paraId="7E1DAFAE">
            <w:pPr>
              <w:spacing w:after="0" w:line="360" w:lineRule="auto"/>
              <w:ind w:right="145" w:rightChars="66"/>
              <w:rPr>
                <w:rFonts w:ascii="Times New Roman" w:hAnsi="Times New Roman" w:eastAsia="宋体"/>
                <w:b/>
                <w:color w:val="000000"/>
                <w:sz w:val="24"/>
                <w:szCs w:val="24"/>
              </w:rPr>
            </w:pPr>
            <w:r>
              <w:rPr>
                <w:rFonts w:ascii="Times New Roman" w:hAnsi="Times New Roman" w:eastAsia="宋体"/>
                <w:b/>
                <w:color w:val="000000"/>
                <w:sz w:val="24"/>
                <w:szCs w:val="24"/>
              </w:rPr>
              <w:t>三、环境保护措施</w:t>
            </w:r>
            <w:r>
              <w:rPr>
                <w:rFonts w:hint="eastAsia" w:ascii="Times New Roman" w:hAnsi="Times New Roman" w:eastAsia="宋体"/>
                <w:b/>
                <w:color w:val="000000"/>
                <w:sz w:val="24"/>
                <w:szCs w:val="24"/>
              </w:rPr>
              <w:t>“三同时”</w:t>
            </w:r>
            <w:r>
              <w:rPr>
                <w:rFonts w:ascii="Times New Roman" w:hAnsi="Times New Roman" w:eastAsia="宋体"/>
                <w:b/>
                <w:color w:val="000000"/>
                <w:sz w:val="24"/>
                <w:szCs w:val="24"/>
              </w:rPr>
              <w:t>落实情况</w:t>
            </w:r>
          </w:p>
          <w:p w14:paraId="3AE9C84F">
            <w:pPr>
              <w:spacing w:after="0" w:line="360" w:lineRule="auto"/>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本项目环评及批复文件提出的环境保护措施落实情况见表4-1。</w:t>
            </w:r>
          </w:p>
          <w:p w14:paraId="68FD936A">
            <w:pPr>
              <w:tabs>
                <w:tab w:val="left" w:pos="4675"/>
              </w:tabs>
              <w:spacing w:after="0"/>
              <w:ind w:left="147" w:leftChars="67" w:right="145" w:rightChars="66" w:firstLine="480" w:firstLineChars="200"/>
              <w:jc w:val="center"/>
              <w:rPr>
                <w:rFonts w:ascii="Times New Roman" w:hAnsi="Times New Roman" w:eastAsia="宋体"/>
                <w:color w:val="000000"/>
                <w:sz w:val="24"/>
                <w:szCs w:val="24"/>
              </w:rPr>
            </w:pPr>
            <w:r>
              <w:rPr>
                <w:rFonts w:ascii="Times New Roman" w:hAnsi="Times New Roman" w:eastAsia="宋体"/>
                <w:color w:val="000000"/>
                <w:sz w:val="24"/>
                <w:szCs w:val="24"/>
              </w:rPr>
              <w:t>表4-1  环境保护措施落实情况表</w:t>
            </w:r>
          </w:p>
          <w:tbl>
            <w:tblPr>
              <w:tblStyle w:val="11"/>
              <w:tblW w:w="87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2835"/>
              <w:gridCol w:w="2551"/>
              <w:gridCol w:w="2126"/>
            </w:tblGrid>
            <w:tr w14:paraId="4966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89" w:type="dxa"/>
                  <w:vAlign w:val="center"/>
                </w:tcPr>
                <w:p w14:paraId="1321640C">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环境要素</w:t>
                  </w:r>
                </w:p>
              </w:tc>
              <w:tc>
                <w:tcPr>
                  <w:tcW w:w="2835" w:type="dxa"/>
                  <w:vAlign w:val="center"/>
                </w:tcPr>
                <w:p w14:paraId="709B4462">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环评及批复要求措施</w:t>
                  </w:r>
                </w:p>
              </w:tc>
              <w:tc>
                <w:tcPr>
                  <w:tcW w:w="2551" w:type="dxa"/>
                  <w:vAlign w:val="center"/>
                </w:tcPr>
                <w:p w14:paraId="20EA6745">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实际落实情况</w:t>
                  </w:r>
                </w:p>
              </w:tc>
              <w:tc>
                <w:tcPr>
                  <w:tcW w:w="2126" w:type="dxa"/>
                  <w:vAlign w:val="center"/>
                </w:tcPr>
                <w:p w14:paraId="4AFA03BC">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措施的执行效果及未采取措施的原因</w:t>
                  </w:r>
                </w:p>
              </w:tc>
            </w:tr>
            <w:tr w14:paraId="0FD6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1189" w:type="dxa"/>
                  <w:vAlign w:val="center"/>
                </w:tcPr>
                <w:p w14:paraId="7649FAA4">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固体废物</w:t>
                  </w:r>
                </w:p>
              </w:tc>
              <w:tc>
                <w:tcPr>
                  <w:tcW w:w="2835" w:type="dxa"/>
                  <w:vAlign w:val="center"/>
                </w:tcPr>
                <w:p w14:paraId="6E649168">
                  <w:pPr>
                    <w:widowControl w:val="0"/>
                    <w:adjustRightInd/>
                    <w:snapToGrid/>
                    <w:spacing w:after="0"/>
                    <w:jc w:val="both"/>
                    <w:rPr>
                      <w:rFonts w:ascii="Times New Roman" w:hAnsi="Times New Roman" w:eastAsia="宋体"/>
                      <w:kern w:val="2"/>
                      <w:sz w:val="21"/>
                      <w:szCs w:val="20"/>
                    </w:rPr>
                  </w:pPr>
                  <w:r>
                    <w:rPr>
                      <w:rFonts w:hint="eastAsia" w:ascii="Times New Roman" w:hAnsi="Times New Roman" w:eastAsia="宋体"/>
                      <w:kern w:val="2"/>
                      <w:sz w:val="21"/>
                      <w:szCs w:val="20"/>
                    </w:rPr>
                    <w:t>加强固体废物管理。固体废物主要为生活垃圾残次品、沉淀池的泥沙。生活垃圾统一收集，交由环卫清运；残次品和沉淀池的泥沙作为原料再次使用，不外排。</w:t>
                  </w:r>
                </w:p>
              </w:tc>
              <w:tc>
                <w:tcPr>
                  <w:tcW w:w="2551" w:type="dxa"/>
                  <w:vAlign w:val="center"/>
                </w:tcPr>
                <w:p w14:paraId="165C85BB">
                  <w:pPr>
                    <w:spacing w:after="0"/>
                    <w:jc w:val="both"/>
                    <w:rPr>
                      <w:rFonts w:ascii="Times New Roman" w:hAnsi="Times New Roman" w:eastAsia="宋体"/>
                      <w:color w:val="000000"/>
                      <w:sz w:val="21"/>
                      <w:szCs w:val="21"/>
                    </w:rPr>
                  </w:pPr>
                  <w:r>
                    <w:rPr>
                      <w:rFonts w:ascii="Times New Roman" w:hAnsi="Times New Roman" w:eastAsia="宋体"/>
                      <w:color w:val="000000"/>
                      <w:sz w:val="21"/>
                      <w:szCs w:val="21"/>
                    </w:rPr>
                    <w:t>已落实</w:t>
                  </w:r>
                  <w:r>
                    <w:rPr>
                      <w:rFonts w:hint="eastAsia" w:ascii="Times New Roman" w:hAnsi="Times New Roman" w:eastAsia="宋体"/>
                      <w:color w:val="000000"/>
                      <w:sz w:val="21"/>
                      <w:szCs w:val="21"/>
                    </w:rPr>
                    <w:t>。</w:t>
                  </w:r>
                </w:p>
                <w:p w14:paraId="39CE5892">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①生活垃圾收集集中收集后，运至指定地点填埋</w:t>
                  </w:r>
                  <w:r>
                    <w:rPr>
                      <w:rFonts w:ascii="Times New Roman" w:hAnsi="Times New Roman" w:eastAsia="宋体"/>
                      <w:color w:val="000000"/>
                      <w:sz w:val="21"/>
                      <w:szCs w:val="21"/>
                    </w:rPr>
                    <w:t>；</w:t>
                  </w:r>
                </w:p>
                <w:p w14:paraId="4EB62561">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②残次品直接返回至蒸压成形工序，作为原料再次使用，不外排</w:t>
                  </w:r>
                  <w:r>
                    <w:rPr>
                      <w:rFonts w:ascii="Times New Roman" w:hAnsi="Times New Roman" w:eastAsia="宋体"/>
                      <w:color w:val="000000"/>
                      <w:sz w:val="21"/>
                      <w:szCs w:val="21"/>
                    </w:rPr>
                    <w:t>；</w:t>
                  </w:r>
                </w:p>
                <w:p w14:paraId="0862857F">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③沉淀池的泥沙直接返回至原料搅拌工序，作为原料再次使用，不外排；</w:t>
                  </w:r>
                </w:p>
                <w:p w14:paraId="4591EB4B">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④化粪池污泥采用吸粪车从污泥池的检查孔伸入污泥底部，进行抽吸外运作农肥</w:t>
                  </w:r>
                  <w:r>
                    <w:rPr>
                      <w:rFonts w:ascii="Times New Roman" w:hAnsi="Times New Roman" w:eastAsia="宋体"/>
                      <w:color w:val="000000"/>
                      <w:sz w:val="21"/>
                      <w:szCs w:val="21"/>
                    </w:rPr>
                    <w:t>。</w:t>
                  </w:r>
                </w:p>
                <w:p w14:paraId="26A186C4">
                  <w:pPr>
                    <w:spacing w:after="0"/>
                    <w:jc w:val="both"/>
                    <w:rPr>
                      <w:rFonts w:ascii="Times New Roman" w:hAnsi="Times New Roman" w:eastAsia="宋体"/>
                      <w:kern w:val="2"/>
                      <w:sz w:val="21"/>
                      <w:szCs w:val="20"/>
                    </w:rPr>
                  </w:pPr>
                  <w:r>
                    <w:rPr>
                      <w:rFonts w:hint="eastAsia" w:ascii="Times New Roman" w:hAnsi="Times New Roman" w:eastAsia="宋体"/>
                      <w:kern w:val="2"/>
                      <w:sz w:val="21"/>
                      <w:szCs w:val="20"/>
                    </w:rPr>
                    <w:t>⑤检修产生的废机油暂存于危废间，后交由陕西明瑞资源再生有限公司处置。</w:t>
                  </w:r>
                </w:p>
              </w:tc>
              <w:tc>
                <w:tcPr>
                  <w:tcW w:w="2126" w:type="dxa"/>
                  <w:vAlign w:val="center"/>
                </w:tcPr>
                <w:p w14:paraId="7B70652F">
                  <w:pPr>
                    <w:spacing w:after="0"/>
                    <w:jc w:val="both"/>
                    <w:rPr>
                      <w:rFonts w:ascii="Times New Roman" w:hAnsi="Times New Roman" w:eastAsia="宋体"/>
                      <w:color w:val="000000"/>
                      <w:sz w:val="21"/>
                      <w:szCs w:val="21"/>
                    </w:rPr>
                  </w:pPr>
                  <w:r>
                    <w:rPr>
                      <w:rFonts w:ascii="Times New Roman" w:hAnsi="Times New Roman" w:eastAsia="宋体"/>
                      <w:color w:val="000000"/>
                      <w:sz w:val="21"/>
                      <w:szCs w:val="21"/>
                    </w:rPr>
                    <w:t>执行效果：</w:t>
                  </w:r>
                  <w:r>
                    <w:rPr>
                      <w:rFonts w:hint="eastAsia" w:ascii="Times New Roman" w:hAnsi="Times New Roman" w:eastAsia="宋体"/>
                      <w:color w:val="000000"/>
                      <w:sz w:val="21"/>
                      <w:szCs w:val="21"/>
                    </w:rPr>
                    <w:t>固体</w:t>
                  </w:r>
                  <w:r>
                    <w:rPr>
                      <w:rFonts w:ascii="Times New Roman" w:hAnsi="Times New Roman" w:eastAsia="宋体"/>
                      <w:color w:val="000000"/>
                      <w:sz w:val="21"/>
                      <w:szCs w:val="21"/>
                    </w:rPr>
                    <w:t>废物均得到妥善处置，对外环境影响不大。</w:t>
                  </w:r>
                </w:p>
              </w:tc>
            </w:tr>
          </w:tbl>
          <w:p w14:paraId="55E0864E">
            <w:pPr>
              <w:widowControl w:val="0"/>
              <w:spacing w:before="48" w:beforeLines="20" w:after="0" w:line="360" w:lineRule="auto"/>
              <w:ind w:firstLine="420" w:firstLineChars="200"/>
              <w:jc w:val="both"/>
              <w:rPr>
                <w:rFonts w:ascii="Times New Roman" w:hAnsi="Times New Roman" w:eastAsia="宋体"/>
                <w:color w:val="000000"/>
                <w:sz w:val="21"/>
                <w:szCs w:val="21"/>
              </w:rPr>
            </w:pPr>
          </w:p>
        </w:tc>
      </w:tr>
    </w:tbl>
    <w:p w14:paraId="7E684741">
      <w:pPr>
        <w:spacing w:line="360" w:lineRule="auto"/>
        <w:rPr>
          <w:rFonts w:ascii="Times New Roman" w:hAnsi="Times New Roman" w:eastAsia="仿宋_GB2312"/>
          <w:color w:val="000000"/>
          <w:sz w:val="21"/>
          <w:szCs w:val="21"/>
        </w:rPr>
        <w:sectPr>
          <w:pgSz w:w="11906" w:h="16838"/>
          <w:pgMar w:top="1440" w:right="1800" w:bottom="1440" w:left="1800" w:header="708" w:footer="708" w:gutter="0"/>
          <w:cols w:space="720" w:num="1"/>
          <w:docGrid w:linePitch="360" w:charSpace="0"/>
        </w:sectPr>
      </w:pPr>
    </w:p>
    <w:p w14:paraId="4E3CEEC0">
      <w:pPr>
        <w:spacing w:after="0" w:line="360" w:lineRule="auto"/>
        <w:rPr>
          <w:rFonts w:ascii="Times New Roman" w:hAnsi="Times New Roman" w:eastAsia="仿宋_GB2312"/>
          <w:b/>
          <w:color w:val="000000"/>
          <w:sz w:val="21"/>
          <w:szCs w:val="21"/>
        </w:rPr>
      </w:pPr>
      <w:r>
        <w:rPr>
          <w:rFonts w:ascii="Times New Roman" w:hAnsi="Times New Roman" w:eastAsia="仿宋_GB2312"/>
          <w:b/>
          <w:color w:val="000000"/>
          <w:sz w:val="21"/>
          <w:szCs w:val="21"/>
        </w:rPr>
        <w:t>表五</w:t>
      </w:r>
    </w:p>
    <w:tbl>
      <w:tblPr>
        <w:tblStyle w:val="1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4446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10" w:hRule="atLeast"/>
          <w:jc w:val="center"/>
        </w:trPr>
        <w:tc>
          <w:tcPr>
            <w:tcW w:w="8924" w:type="dxa"/>
          </w:tcPr>
          <w:p w14:paraId="1FFD30AF">
            <w:pPr>
              <w:spacing w:line="360" w:lineRule="auto"/>
              <w:rPr>
                <w:rFonts w:ascii="Times New Roman" w:hAnsi="Times New Roman" w:eastAsia="宋体"/>
                <w:color w:val="000000"/>
                <w:sz w:val="24"/>
                <w:szCs w:val="24"/>
              </w:rPr>
            </w:pPr>
            <w:r>
              <w:rPr>
                <w:rFonts w:ascii="Times New Roman" w:hAnsi="Times New Roman" w:eastAsia="宋体"/>
                <w:color w:val="000000"/>
                <w:sz w:val="24"/>
                <w:szCs w:val="24"/>
              </w:rPr>
              <w:t>验收监测质量保证及质量控制：</w:t>
            </w:r>
          </w:p>
          <w:p w14:paraId="13EAC986">
            <w:pPr>
              <w:spacing w:after="0" w:line="360" w:lineRule="auto"/>
              <w:ind w:firstLine="460" w:firstLineChars="192"/>
              <w:rPr>
                <w:rFonts w:ascii="Times New Roman" w:hAnsi="Times New Roman" w:eastAsia="宋体"/>
                <w:color w:val="000000"/>
                <w:sz w:val="24"/>
                <w:szCs w:val="24"/>
              </w:rPr>
            </w:pPr>
            <w:r>
              <w:rPr>
                <w:rFonts w:ascii="Times New Roman" w:hAnsi="Times New Roman" w:eastAsia="宋体"/>
                <w:color w:val="000000"/>
                <w:sz w:val="24"/>
                <w:szCs w:val="24"/>
              </w:rPr>
              <w:t>依据《环境监测质量管理技术导则》（HJ 630-2011），本次验收监测质量保证和质量控制措施如下：</w:t>
            </w:r>
          </w:p>
          <w:p w14:paraId="557750E0">
            <w:pPr>
              <w:spacing w:after="0" w:line="360" w:lineRule="auto"/>
              <w:ind w:firstLine="460" w:firstLineChars="192"/>
              <w:rPr>
                <w:rFonts w:ascii="Times New Roman" w:hAnsi="Times New Roman" w:eastAsia="宋体"/>
                <w:color w:val="000000"/>
                <w:sz w:val="24"/>
                <w:szCs w:val="24"/>
              </w:rPr>
            </w:pPr>
            <w:r>
              <w:rPr>
                <w:rFonts w:ascii="Times New Roman" w:hAnsi="Times New Roman" w:eastAsia="宋体"/>
                <w:color w:val="000000"/>
                <w:sz w:val="24"/>
                <w:szCs w:val="24"/>
              </w:rPr>
              <w:t>（1）</w:t>
            </w:r>
            <w:r>
              <w:rPr>
                <w:rFonts w:ascii="Times New Roman" w:hAnsi="Times New Roman" w:eastAsia="宋体"/>
                <w:kern w:val="2"/>
                <w:sz w:val="24"/>
                <w:szCs w:val="24"/>
              </w:rPr>
              <w:t>现场工况依据《建设项目竣工环境保护验收技术指南  污染影响类》（生态环境部 公告2018年第9号）的相关规定，保证环保设施正常运行情况下进行验收监测。</w:t>
            </w:r>
          </w:p>
          <w:p w14:paraId="78DCBB69">
            <w:pPr>
              <w:spacing w:after="0" w:line="360" w:lineRule="auto"/>
              <w:ind w:firstLine="460" w:firstLineChars="192"/>
              <w:rPr>
                <w:rFonts w:ascii="Times New Roman" w:hAnsi="Times New Roman" w:eastAsia="宋体"/>
                <w:color w:val="000000"/>
                <w:sz w:val="24"/>
                <w:szCs w:val="24"/>
              </w:rPr>
            </w:pPr>
            <w:r>
              <w:rPr>
                <w:rFonts w:ascii="Times New Roman" w:hAnsi="Times New Roman" w:eastAsia="宋体"/>
                <w:color w:val="000000"/>
                <w:sz w:val="24"/>
                <w:szCs w:val="24"/>
              </w:rPr>
              <w:t>（3）验收监测期间噪声监测按照GB 12348-2008《工业企业厂界环境噪声排放标准》执行。噪声监测仪器测量前后在现场进行声学校准，其前后校准示值偏差小于0.5dB，满足监测规范的要求；</w:t>
            </w:r>
          </w:p>
          <w:p w14:paraId="306B727D">
            <w:pPr>
              <w:spacing w:after="0" w:line="360" w:lineRule="auto"/>
              <w:ind w:firstLine="460" w:firstLineChars="192"/>
              <w:rPr>
                <w:rFonts w:ascii="Times New Roman" w:hAnsi="Times New Roman" w:eastAsia="宋体"/>
                <w:color w:val="000000"/>
                <w:sz w:val="24"/>
                <w:szCs w:val="24"/>
              </w:rPr>
            </w:pPr>
            <w:r>
              <w:rPr>
                <w:rFonts w:ascii="Times New Roman" w:hAnsi="Times New Roman" w:eastAsia="宋体"/>
                <w:color w:val="000000"/>
                <w:sz w:val="24"/>
                <w:szCs w:val="24"/>
              </w:rPr>
              <w:t>（4）所有监测人员持证上岗，严格按照本公司质量管理体系文件中的规定开展工作；</w:t>
            </w:r>
          </w:p>
          <w:p w14:paraId="5D74AC48">
            <w:pPr>
              <w:spacing w:after="0" w:line="360" w:lineRule="auto"/>
              <w:ind w:right="145" w:rightChars="66"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（5）监测分析仪器经陕西省计量科学研究院鉴定，且在有效使用期内；</w:t>
            </w:r>
          </w:p>
          <w:p w14:paraId="56C10069">
            <w:pPr>
              <w:spacing w:after="0" w:line="360" w:lineRule="auto"/>
              <w:ind w:left="147" w:leftChars="67" w:right="145" w:rightChars="66" w:firstLine="360" w:firstLineChars="150"/>
              <w:rPr>
                <w:rFonts w:ascii="Times New Roman" w:hAnsi="Times New Roman" w:eastAsia="宋体"/>
                <w:color w:val="000000"/>
                <w:sz w:val="24"/>
                <w:szCs w:val="24"/>
              </w:rPr>
            </w:pPr>
            <w:r>
              <w:rPr>
                <w:rFonts w:ascii="Times New Roman" w:hAnsi="Times New Roman" w:eastAsia="宋体"/>
                <w:color w:val="000000"/>
                <w:sz w:val="24"/>
                <w:szCs w:val="24"/>
              </w:rPr>
              <w:t>（6）验收监测的采样记录及分析测试结果，按照国家标准和监测技术规范有关要求进行数据处理和填报，并按照有关规定和要求对监测结果实行三级审核，经过校对、审核后编制结果报告，验收监测报告亦实行三级审核程序，经复核、审核、签发后发出。</w:t>
            </w:r>
          </w:p>
          <w:p w14:paraId="172228D3">
            <w:pPr>
              <w:spacing w:line="360" w:lineRule="auto"/>
              <w:ind w:firstLine="440" w:firstLineChars="200"/>
              <w:rPr>
                <w:rFonts w:ascii="Times New Roman" w:hAnsi="Times New Roman"/>
                <w:color w:val="000000"/>
                <w:szCs w:val="21"/>
              </w:rPr>
            </w:pPr>
          </w:p>
        </w:tc>
      </w:tr>
    </w:tbl>
    <w:p w14:paraId="463B4E78">
      <w:pPr>
        <w:spacing w:line="360" w:lineRule="auto"/>
        <w:rPr>
          <w:rFonts w:ascii="Times New Roman" w:hAnsi="Times New Roman" w:eastAsia="仿宋_GB2312"/>
          <w:color w:val="000000"/>
          <w:sz w:val="21"/>
          <w:szCs w:val="21"/>
        </w:rPr>
      </w:pPr>
    </w:p>
    <w:p w14:paraId="21375BC8">
      <w:pPr>
        <w:spacing w:line="360" w:lineRule="auto"/>
        <w:rPr>
          <w:rFonts w:ascii="Times New Roman" w:hAnsi="Times New Roman" w:eastAsia="仿宋_GB2312"/>
          <w:color w:val="000000"/>
          <w:sz w:val="21"/>
          <w:szCs w:val="21"/>
        </w:rPr>
        <w:sectPr>
          <w:pgSz w:w="11906" w:h="16838"/>
          <w:pgMar w:top="1440" w:right="1800" w:bottom="1440" w:left="1800" w:header="708" w:footer="708" w:gutter="0"/>
          <w:cols w:space="720" w:num="1"/>
          <w:docGrid w:linePitch="360" w:charSpace="0"/>
        </w:sectPr>
      </w:pPr>
    </w:p>
    <w:p w14:paraId="41885461">
      <w:pPr>
        <w:spacing w:after="0" w:line="360" w:lineRule="auto"/>
        <w:rPr>
          <w:rFonts w:ascii="Times New Roman" w:hAnsi="Times New Roman" w:eastAsia="仿宋_GB2312"/>
          <w:b/>
          <w:color w:val="000000"/>
          <w:sz w:val="21"/>
          <w:szCs w:val="21"/>
        </w:rPr>
      </w:pPr>
      <w:r>
        <w:rPr>
          <w:rFonts w:ascii="Times New Roman" w:hAnsi="Times New Roman" w:eastAsia="仿宋_GB2312"/>
          <w:b/>
          <w:color w:val="000000"/>
          <w:sz w:val="21"/>
          <w:szCs w:val="21"/>
        </w:rPr>
        <w:t>表六</w:t>
      </w:r>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D6A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2" w:hRule="atLeast"/>
          <w:jc w:val="center"/>
        </w:trPr>
        <w:tc>
          <w:tcPr>
            <w:tcW w:w="8522" w:type="dxa"/>
          </w:tcPr>
          <w:p w14:paraId="40A16C98">
            <w:pPr>
              <w:spacing w:after="0" w:line="360" w:lineRule="auto"/>
              <w:rPr>
                <w:rFonts w:ascii="Times New Roman" w:hAnsi="Times New Roman" w:eastAsia="宋体"/>
                <w:color w:val="000000"/>
                <w:sz w:val="21"/>
                <w:szCs w:val="21"/>
              </w:rPr>
            </w:pPr>
            <w:r>
              <w:rPr>
                <w:rFonts w:ascii="Times New Roman" w:hAnsi="Times New Roman" w:eastAsia="宋体"/>
                <w:color w:val="000000"/>
                <w:sz w:val="21"/>
                <w:szCs w:val="21"/>
              </w:rPr>
              <w:t>验收监测内容：</w:t>
            </w:r>
          </w:p>
          <w:p w14:paraId="67370FA3">
            <w:pPr>
              <w:spacing w:after="0" w:line="360" w:lineRule="auto"/>
              <w:rPr>
                <w:rFonts w:ascii="Times New Roman" w:hAnsi="Times New Roman" w:eastAsia="宋体"/>
                <w:b/>
                <w:color w:val="000000"/>
                <w:sz w:val="24"/>
                <w:szCs w:val="24"/>
              </w:rPr>
            </w:pPr>
            <w:r>
              <w:rPr>
                <w:rFonts w:hint="eastAsia" w:ascii="Times New Roman" w:hAnsi="Times New Roman" w:eastAsia="宋体"/>
                <w:b/>
                <w:color w:val="000000"/>
                <w:sz w:val="24"/>
                <w:szCs w:val="24"/>
              </w:rPr>
              <w:t>1</w:t>
            </w:r>
            <w:r>
              <w:rPr>
                <w:rFonts w:ascii="Times New Roman" w:hAnsi="Times New Roman" w:eastAsia="宋体"/>
                <w:b/>
                <w:color w:val="000000"/>
                <w:sz w:val="24"/>
                <w:szCs w:val="24"/>
              </w:rPr>
              <w:t>、固体废弃物的调查内容主要包括：</w:t>
            </w:r>
          </w:p>
          <w:p w14:paraId="5A69D6E3">
            <w:pPr>
              <w:spacing w:after="0"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（1）调查该项目产生的各种固体废物种类及产生量、处理方式、最终去向。</w:t>
            </w:r>
          </w:p>
          <w:p w14:paraId="48D938D8">
            <w:pPr>
              <w:spacing w:line="0" w:lineRule="atLeast"/>
              <w:ind w:right="145" w:rightChars="66" w:firstLine="480" w:firstLineChars="200"/>
              <w:rPr>
                <w:rFonts w:ascii="Times New Roman" w:hAnsi="Times New Roman" w:eastAsia="宋体"/>
                <w:b/>
                <w:color w:val="000000"/>
                <w:sz w:val="24"/>
                <w:szCs w:val="24"/>
              </w:rPr>
            </w:pPr>
            <w:r>
              <w:rPr>
                <w:rFonts w:ascii="Times New Roman" w:hAnsi="Times New Roman" w:eastAsia="宋体"/>
                <w:color w:val="000000" w:themeColor="text1"/>
                <w:sz w:val="24"/>
                <w:szCs w:val="24"/>
                <w14:textFill>
                  <w14:solidFill>
                    <w14:schemeClr w14:val="tx1"/>
                  </w14:solidFill>
                </w14:textFill>
              </w:rPr>
              <w:t>（2）各种固体废弃物的堆存、转运是否符合国家有关固体废物管理的相关规定。</w:t>
            </w:r>
          </w:p>
          <w:p w14:paraId="2DB6AE39">
            <w:pPr>
              <w:spacing w:line="0" w:lineRule="atLeast"/>
              <w:ind w:right="145" w:rightChars="66"/>
              <w:rPr>
                <w:rFonts w:ascii="Times New Roman" w:hAnsi="Times New Roman" w:eastAsia="宋体"/>
                <w:b/>
                <w:color w:val="000000"/>
                <w:sz w:val="24"/>
                <w:szCs w:val="24"/>
              </w:rPr>
            </w:pPr>
            <w:r>
              <w:rPr>
                <w:rFonts w:hint="eastAsia" w:ascii="Times New Roman" w:hAnsi="Times New Roman" w:eastAsia="宋体"/>
                <w:b/>
                <w:color w:val="000000"/>
                <w:sz w:val="24"/>
                <w:szCs w:val="24"/>
              </w:rPr>
              <w:t>2</w:t>
            </w:r>
            <w:r>
              <w:rPr>
                <w:rFonts w:ascii="Times New Roman" w:hAnsi="Times New Roman" w:eastAsia="宋体"/>
                <w:b/>
                <w:color w:val="000000"/>
                <w:sz w:val="24"/>
                <w:szCs w:val="24"/>
              </w:rPr>
              <w:t>、环境检查相关内容</w:t>
            </w:r>
          </w:p>
          <w:p w14:paraId="42072304">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（1）调查项目建设和试运行期间是否有环保投诉和扰民现象，是否存在环保处罚等情况。</w:t>
            </w:r>
          </w:p>
          <w:p w14:paraId="587B99BA">
            <w:pPr>
              <w:spacing w:after="0" w:line="360" w:lineRule="auto"/>
              <w:ind w:firstLine="480" w:firstLineChars="200"/>
              <w:rPr>
                <w:rFonts w:ascii="Times New Roman" w:hAnsi="Times New Roman" w:eastAsia="宋体"/>
                <w:color w:val="000000"/>
                <w:sz w:val="21"/>
                <w:szCs w:val="21"/>
              </w:rPr>
            </w:pPr>
            <w:r>
              <w:rPr>
                <w:rFonts w:ascii="Times New Roman" w:hAnsi="Times New Roman" w:eastAsia="宋体"/>
                <w:sz w:val="24"/>
                <w:szCs w:val="24"/>
              </w:rPr>
              <w:t>（2）环境管理机构、环保制度、环境监测计划、环保设施运行维护记录、排污口标识等落实情况。</w:t>
            </w:r>
          </w:p>
        </w:tc>
      </w:tr>
    </w:tbl>
    <w:p w14:paraId="0EFB5279">
      <w:pPr>
        <w:spacing w:line="360" w:lineRule="auto"/>
        <w:rPr>
          <w:rFonts w:ascii="Times New Roman" w:hAnsi="Times New Roman" w:eastAsia="仿宋_GB2312"/>
          <w:color w:val="000000"/>
          <w:sz w:val="21"/>
          <w:szCs w:val="21"/>
        </w:rPr>
      </w:pPr>
    </w:p>
    <w:p w14:paraId="67A843E2">
      <w:pPr>
        <w:spacing w:after="0" w:line="360" w:lineRule="auto"/>
        <w:rPr>
          <w:rFonts w:ascii="Times New Roman" w:hAnsi="Times New Roman" w:eastAsia="仿宋_GB2312"/>
          <w:b/>
          <w:color w:val="000000"/>
          <w:sz w:val="21"/>
          <w:szCs w:val="21"/>
        </w:rPr>
        <w:sectPr>
          <w:pgSz w:w="11906" w:h="16838"/>
          <w:pgMar w:top="1440" w:right="1800" w:bottom="1440" w:left="1800" w:header="708" w:footer="708" w:gutter="0"/>
          <w:cols w:space="720" w:num="1"/>
          <w:docGrid w:linePitch="360" w:charSpace="0"/>
        </w:sectPr>
      </w:pPr>
    </w:p>
    <w:p w14:paraId="0EA51FFF">
      <w:pPr>
        <w:spacing w:after="0" w:line="360" w:lineRule="auto"/>
        <w:rPr>
          <w:rFonts w:ascii="Times New Roman" w:hAnsi="Times New Roman" w:eastAsia="仿宋_GB2312"/>
          <w:b/>
          <w:color w:val="000000"/>
          <w:sz w:val="21"/>
          <w:szCs w:val="21"/>
        </w:rPr>
      </w:pPr>
      <w:r>
        <w:rPr>
          <w:rFonts w:ascii="Times New Roman" w:hAnsi="Times New Roman" w:eastAsia="仿宋_GB2312"/>
          <w:b/>
          <w:color w:val="000000"/>
          <w:sz w:val="21"/>
          <w:szCs w:val="21"/>
        </w:rPr>
        <w:t>表七</w:t>
      </w:r>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D22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2" w:hRule="atLeast"/>
          <w:jc w:val="center"/>
        </w:trPr>
        <w:tc>
          <w:tcPr>
            <w:tcW w:w="8522" w:type="dxa"/>
          </w:tcPr>
          <w:p w14:paraId="5C72FD5F">
            <w:pPr>
              <w:spacing w:before="48" w:beforeLines="20" w:line="360" w:lineRule="auto"/>
              <w:rPr>
                <w:rFonts w:ascii="Times New Roman" w:hAnsi="Times New Roman" w:eastAsia="宋体"/>
                <w:b/>
                <w:color w:val="000000"/>
                <w:sz w:val="24"/>
                <w:szCs w:val="24"/>
              </w:rPr>
            </w:pPr>
            <w:r>
              <w:rPr>
                <w:rFonts w:ascii="Times New Roman" w:hAnsi="Times New Roman" w:eastAsia="宋体"/>
                <w:b/>
                <w:color w:val="000000"/>
                <w:sz w:val="24"/>
                <w:szCs w:val="24"/>
              </w:rPr>
              <w:t>一、验收监测期间生产工况记录</w:t>
            </w:r>
          </w:p>
          <w:p w14:paraId="6F340412">
            <w:pPr>
              <w:spacing w:after="0" w:line="360" w:lineRule="auto"/>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201</w:t>
            </w:r>
            <w:r>
              <w:rPr>
                <w:rFonts w:hint="eastAsia" w:ascii="Times New Roman" w:hAnsi="Times New Roman" w:eastAsia="宋体"/>
                <w:color w:val="000000"/>
                <w:sz w:val="24"/>
                <w:szCs w:val="24"/>
              </w:rPr>
              <w:t>9</w:t>
            </w:r>
            <w:r>
              <w:rPr>
                <w:rFonts w:ascii="Times New Roman" w:hAnsi="Times New Roman" w:eastAsia="宋体"/>
                <w:color w:val="000000"/>
                <w:sz w:val="24"/>
                <w:szCs w:val="24"/>
              </w:rPr>
              <w:t>年</w:t>
            </w:r>
            <w:r>
              <w:rPr>
                <w:rFonts w:hint="eastAsia" w:ascii="Times New Roman" w:hAnsi="Times New Roman" w:eastAsia="宋体"/>
                <w:color w:val="000000"/>
                <w:sz w:val="24"/>
                <w:szCs w:val="24"/>
              </w:rPr>
              <w:t>4</w:t>
            </w:r>
            <w:r>
              <w:rPr>
                <w:rFonts w:ascii="Times New Roman" w:hAnsi="Times New Roman" w:eastAsia="宋体"/>
                <w:color w:val="000000"/>
                <w:sz w:val="24"/>
                <w:szCs w:val="24"/>
              </w:rPr>
              <w:t>月</w:t>
            </w:r>
            <w:r>
              <w:rPr>
                <w:rFonts w:hint="eastAsia" w:ascii="Times New Roman" w:hAnsi="Times New Roman" w:eastAsia="宋体"/>
                <w:color w:val="000000"/>
                <w:sz w:val="24"/>
                <w:szCs w:val="24"/>
              </w:rPr>
              <w:t>17</w:t>
            </w:r>
            <w:r>
              <w:rPr>
                <w:rFonts w:ascii="Times New Roman" w:hAnsi="Times New Roman" w:eastAsia="宋体"/>
                <w:color w:val="000000"/>
                <w:sz w:val="24"/>
                <w:szCs w:val="24"/>
              </w:rPr>
              <w:t>日到</w:t>
            </w:r>
            <w:r>
              <w:rPr>
                <w:rFonts w:hint="eastAsia" w:ascii="Times New Roman" w:hAnsi="Times New Roman" w:eastAsia="宋体"/>
                <w:color w:val="000000"/>
                <w:sz w:val="24"/>
                <w:szCs w:val="24"/>
              </w:rPr>
              <w:t>4</w:t>
            </w:r>
            <w:r>
              <w:rPr>
                <w:rFonts w:ascii="Times New Roman" w:hAnsi="Times New Roman" w:eastAsia="宋体"/>
                <w:color w:val="000000"/>
                <w:sz w:val="24"/>
                <w:szCs w:val="24"/>
              </w:rPr>
              <w:t>月</w:t>
            </w:r>
            <w:r>
              <w:rPr>
                <w:rFonts w:hint="eastAsia" w:ascii="Times New Roman" w:hAnsi="Times New Roman" w:eastAsia="宋体"/>
                <w:color w:val="000000"/>
                <w:sz w:val="24"/>
                <w:szCs w:val="24"/>
              </w:rPr>
              <w:t>18</w:t>
            </w:r>
            <w:r>
              <w:rPr>
                <w:rFonts w:ascii="Times New Roman" w:hAnsi="Times New Roman" w:eastAsia="宋体"/>
                <w:color w:val="000000"/>
                <w:sz w:val="24"/>
                <w:szCs w:val="24"/>
              </w:rPr>
              <w:t>日，</w:t>
            </w:r>
            <w:r>
              <w:rPr>
                <w:rFonts w:hint="eastAsia" w:ascii="Times New Roman" w:hAnsi="Times New Roman" w:eastAsia="宋体"/>
                <w:color w:val="000000"/>
                <w:sz w:val="24"/>
                <w:szCs w:val="24"/>
              </w:rPr>
              <w:t>陕西蓝邦环保建材有限公司</w:t>
            </w:r>
            <w:r>
              <w:rPr>
                <w:rFonts w:ascii="Times New Roman" w:hAnsi="Times New Roman" w:eastAsia="宋体"/>
                <w:color w:val="000000"/>
                <w:sz w:val="24"/>
                <w:szCs w:val="24"/>
              </w:rPr>
              <w:t>委托陕西同元环境检测有限公司对</w:t>
            </w:r>
            <w:r>
              <w:rPr>
                <w:rFonts w:hint="eastAsia" w:ascii="Times New Roman" w:hAnsi="Times New Roman" w:eastAsia="宋体"/>
                <w:color w:val="000000"/>
                <w:sz w:val="24"/>
                <w:szCs w:val="24"/>
              </w:rPr>
              <w:t>蒸压加气混凝土砌块项目</w:t>
            </w:r>
            <w:r>
              <w:rPr>
                <w:rFonts w:ascii="Times New Roman" w:hAnsi="Times New Roman" w:eastAsia="宋体"/>
                <w:color w:val="000000"/>
                <w:sz w:val="24"/>
                <w:szCs w:val="24"/>
              </w:rPr>
              <w:t>进行了竣工环境保护验收监测。验收期间，环保设施运行正常，生产系统负荷情况见表7-1、表7-2。</w:t>
            </w:r>
          </w:p>
          <w:p w14:paraId="5570AC33">
            <w:pPr>
              <w:spacing w:after="0" w:line="360" w:lineRule="auto"/>
              <w:jc w:val="center"/>
              <w:rPr>
                <w:rFonts w:ascii="Times New Roman" w:hAnsi="Times New Roman" w:eastAsia="宋体"/>
                <w:color w:val="000000"/>
                <w:sz w:val="24"/>
                <w:szCs w:val="24"/>
              </w:rPr>
            </w:pPr>
            <w:r>
              <w:rPr>
                <w:rFonts w:ascii="Times New Roman" w:hAnsi="Times New Roman" w:eastAsia="宋体"/>
                <w:color w:val="000000"/>
                <w:sz w:val="24"/>
                <w:szCs w:val="24"/>
              </w:rPr>
              <w:t>表7-1  设计生产能力一览表</w:t>
            </w:r>
          </w:p>
          <w:tbl>
            <w:tblPr>
              <w:tblStyle w:val="11"/>
              <w:tblW w:w="8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410"/>
              <w:gridCol w:w="1701"/>
              <w:gridCol w:w="2342"/>
            </w:tblGrid>
            <w:tr w14:paraId="6DD86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38" w:type="dxa"/>
                  <w:vAlign w:val="center"/>
                </w:tcPr>
                <w:p w14:paraId="4A6C12C6">
                  <w:pPr>
                    <w:spacing w:after="0"/>
                    <w:jc w:val="center"/>
                    <w:rPr>
                      <w:rFonts w:ascii="Times New Roman" w:hAnsi="Times New Roman" w:eastAsia="宋体"/>
                      <w:sz w:val="21"/>
                      <w:szCs w:val="21"/>
                    </w:rPr>
                  </w:pPr>
                  <w:r>
                    <w:rPr>
                      <w:rFonts w:ascii="Times New Roman" w:hAnsi="Times New Roman" w:eastAsia="宋体"/>
                      <w:sz w:val="21"/>
                      <w:szCs w:val="21"/>
                    </w:rPr>
                    <w:t>产品</w:t>
                  </w:r>
                </w:p>
              </w:tc>
              <w:tc>
                <w:tcPr>
                  <w:tcW w:w="2410" w:type="dxa"/>
                  <w:vAlign w:val="center"/>
                </w:tcPr>
                <w:p w14:paraId="158A3121">
                  <w:pPr>
                    <w:spacing w:after="0"/>
                    <w:jc w:val="center"/>
                    <w:rPr>
                      <w:rFonts w:ascii="Times New Roman" w:hAnsi="Times New Roman" w:eastAsia="宋体"/>
                      <w:sz w:val="21"/>
                      <w:szCs w:val="21"/>
                    </w:rPr>
                  </w:pPr>
                  <w:r>
                    <w:rPr>
                      <w:rFonts w:ascii="Times New Roman" w:hAnsi="Times New Roman" w:eastAsia="宋体"/>
                      <w:sz w:val="21"/>
                      <w:szCs w:val="21"/>
                    </w:rPr>
                    <w:t>设计年生产总量</w:t>
                  </w:r>
                </w:p>
              </w:tc>
              <w:tc>
                <w:tcPr>
                  <w:tcW w:w="1701" w:type="dxa"/>
                  <w:vAlign w:val="center"/>
                </w:tcPr>
                <w:p w14:paraId="0D28BD76">
                  <w:pPr>
                    <w:spacing w:after="0"/>
                    <w:jc w:val="center"/>
                    <w:rPr>
                      <w:rFonts w:ascii="Times New Roman" w:hAnsi="Times New Roman" w:eastAsia="宋体"/>
                      <w:sz w:val="21"/>
                      <w:szCs w:val="21"/>
                    </w:rPr>
                  </w:pPr>
                  <w:r>
                    <w:rPr>
                      <w:rFonts w:ascii="Times New Roman" w:hAnsi="Times New Roman" w:eastAsia="宋体"/>
                      <w:sz w:val="21"/>
                      <w:szCs w:val="21"/>
                    </w:rPr>
                    <w:t>生产天数(天)</w:t>
                  </w:r>
                </w:p>
              </w:tc>
              <w:tc>
                <w:tcPr>
                  <w:tcW w:w="2342" w:type="dxa"/>
                  <w:vAlign w:val="center"/>
                </w:tcPr>
                <w:p w14:paraId="49591FF9">
                  <w:pPr>
                    <w:spacing w:after="0"/>
                    <w:jc w:val="center"/>
                    <w:rPr>
                      <w:rFonts w:ascii="Times New Roman" w:hAnsi="Times New Roman" w:eastAsia="宋体"/>
                      <w:sz w:val="21"/>
                      <w:szCs w:val="21"/>
                    </w:rPr>
                  </w:pPr>
                  <w:r>
                    <w:rPr>
                      <w:rFonts w:ascii="Times New Roman" w:hAnsi="Times New Roman" w:eastAsia="宋体"/>
                      <w:sz w:val="21"/>
                      <w:szCs w:val="21"/>
                    </w:rPr>
                    <w:t>设计</w:t>
                  </w:r>
                  <w:r>
                    <w:rPr>
                      <w:rFonts w:hint="eastAsia" w:ascii="Times New Roman" w:hAnsi="Times New Roman" w:eastAsia="宋体"/>
                      <w:sz w:val="21"/>
                      <w:szCs w:val="21"/>
                    </w:rPr>
                    <w:t>日</w:t>
                  </w:r>
                  <w:r>
                    <w:rPr>
                      <w:rFonts w:ascii="Times New Roman" w:hAnsi="Times New Roman" w:eastAsia="宋体"/>
                      <w:sz w:val="21"/>
                      <w:szCs w:val="21"/>
                    </w:rPr>
                    <w:t>生产量</w:t>
                  </w:r>
                </w:p>
              </w:tc>
            </w:tr>
            <w:tr w14:paraId="1C76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38" w:type="dxa"/>
                  <w:vAlign w:val="center"/>
                </w:tcPr>
                <w:p w14:paraId="5B25F53C">
                  <w:pPr>
                    <w:spacing w:after="0"/>
                    <w:jc w:val="center"/>
                    <w:rPr>
                      <w:rFonts w:ascii="Times New Roman" w:hAnsi="Times New Roman" w:eastAsia="宋体"/>
                      <w:sz w:val="21"/>
                      <w:szCs w:val="21"/>
                    </w:rPr>
                  </w:pPr>
                  <w:r>
                    <w:rPr>
                      <w:rFonts w:hint="eastAsia" w:ascii="Times New Roman" w:hAnsi="Times New Roman" w:eastAsia="宋体"/>
                      <w:sz w:val="21"/>
                      <w:szCs w:val="21"/>
                    </w:rPr>
                    <w:t>粉煤灰蒸压加气混凝土砌块</w:t>
                  </w:r>
                </w:p>
              </w:tc>
              <w:tc>
                <w:tcPr>
                  <w:tcW w:w="2410" w:type="dxa"/>
                  <w:vAlign w:val="center"/>
                </w:tcPr>
                <w:p w14:paraId="21413DDA">
                  <w:pPr>
                    <w:spacing w:after="0"/>
                    <w:jc w:val="center"/>
                    <w:rPr>
                      <w:rFonts w:ascii="Times New Roman" w:hAnsi="Times New Roman" w:eastAsia="宋体"/>
                      <w:sz w:val="21"/>
                      <w:szCs w:val="21"/>
                    </w:rPr>
                  </w:pPr>
                  <w:r>
                    <w:rPr>
                      <w:rFonts w:hint="eastAsia" w:ascii="Times New Roman" w:hAnsi="Times New Roman" w:eastAsia="宋体"/>
                      <w:sz w:val="21"/>
                      <w:szCs w:val="21"/>
                    </w:rPr>
                    <w:t>30万m</w:t>
                  </w:r>
                  <w:r>
                    <w:rPr>
                      <w:rFonts w:hint="eastAsia" w:ascii="Times New Roman" w:hAnsi="Times New Roman" w:eastAsia="宋体"/>
                      <w:sz w:val="21"/>
                      <w:szCs w:val="21"/>
                      <w:vertAlign w:val="superscript"/>
                    </w:rPr>
                    <w:t>3</w:t>
                  </w:r>
                  <w:r>
                    <w:rPr>
                      <w:rFonts w:hint="eastAsia" w:ascii="Times New Roman" w:hAnsi="Times New Roman" w:eastAsia="宋体"/>
                      <w:sz w:val="21"/>
                      <w:szCs w:val="21"/>
                    </w:rPr>
                    <w:t>/a</w:t>
                  </w:r>
                </w:p>
              </w:tc>
              <w:tc>
                <w:tcPr>
                  <w:tcW w:w="1701" w:type="dxa"/>
                  <w:vAlign w:val="center"/>
                </w:tcPr>
                <w:p w14:paraId="1F0E58BE">
                  <w:pPr>
                    <w:spacing w:after="0"/>
                    <w:jc w:val="center"/>
                    <w:rPr>
                      <w:rFonts w:ascii="Times New Roman" w:hAnsi="Times New Roman" w:eastAsia="宋体"/>
                      <w:sz w:val="21"/>
                      <w:szCs w:val="21"/>
                    </w:rPr>
                  </w:pPr>
                  <w:r>
                    <w:rPr>
                      <w:rFonts w:ascii="Times New Roman" w:hAnsi="Times New Roman" w:eastAsia="宋体"/>
                      <w:sz w:val="21"/>
                      <w:szCs w:val="21"/>
                    </w:rPr>
                    <w:t>300</w:t>
                  </w:r>
                </w:p>
              </w:tc>
              <w:tc>
                <w:tcPr>
                  <w:tcW w:w="2342" w:type="dxa"/>
                  <w:vAlign w:val="center"/>
                </w:tcPr>
                <w:p w14:paraId="02737970">
                  <w:pPr>
                    <w:spacing w:after="0"/>
                    <w:jc w:val="center"/>
                    <w:rPr>
                      <w:rFonts w:ascii="Times New Roman" w:hAnsi="Times New Roman" w:eastAsia="宋体"/>
                      <w:sz w:val="21"/>
                      <w:szCs w:val="21"/>
                    </w:rPr>
                  </w:pPr>
                  <w:r>
                    <w:rPr>
                      <w:rFonts w:hint="eastAsia" w:ascii="Times New Roman" w:hAnsi="Times New Roman" w:eastAsia="宋体"/>
                      <w:sz w:val="21"/>
                      <w:szCs w:val="21"/>
                    </w:rPr>
                    <w:t>1000m</w:t>
                  </w:r>
                  <w:r>
                    <w:rPr>
                      <w:rFonts w:hint="eastAsia" w:ascii="Times New Roman" w:hAnsi="Times New Roman" w:eastAsia="宋体"/>
                      <w:sz w:val="21"/>
                      <w:szCs w:val="21"/>
                      <w:vertAlign w:val="superscript"/>
                    </w:rPr>
                    <w:t>3</w:t>
                  </w:r>
                  <w:r>
                    <w:rPr>
                      <w:rFonts w:hint="eastAsia" w:ascii="Times New Roman" w:hAnsi="Times New Roman" w:eastAsia="宋体"/>
                      <w:sz w:val="21"/>
                      <w:szCs w:val="21"/>
                    </w:rPr>
                    <w:t>/d</w:t>
                  </w:r>
                </w:p>
              </w:tc>
            </w:tr>
          </w:tbl>
          <w:p w14:paraId="36B7B63A">
            <w:pPr>
              <w:spacing w:after="0" w:line="360" w:lineRule="auto"/>
              <w:jc w:val="center"/>
              <w:rPr>
                <w:rFonts w:ascii="Times New Roman" w:hAnsi="Times New Roman" w:eastAsia="宋体"/>
                <w:color w:val="000000"/>
                <w:sz w:val="24"/>
                <w:szCs w:val="24"/>
              </w:rPr>
            </w:pPr>
            <w:r>
              <w:rPr>
                <w:rFonts w:ascii="Times New Roman" w:hAnsi="Times New Roman" w:eastAsia="宋体"/>
                <w:color w:val="000000"/>
                <w:sz w:val="24"/>
                <w:szCs w:val="24"/>
              </w:rPr>
              <w:t>表7-2  验收监测期间工况一览表</w:t>
            </w:r>
          </w:p>
          <w:tbl>
            <w:tblPr>
              <w:tblStyle w:val="11"/>
              <w:tblW w:w="8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903"/>
              <w:gridCol w:w="1658"/>
              <w:gridCol w:w="1658"/>
              <w:gridCol w:w="1659"/>
            </w:tblGrid>
            <w:tr w14:paraId="5073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vAlign w:val="center"/>
                </w:tcPr>
                <w:p w14:paraId="3B6C2C27">
                  <w:pPr>
                    <w:spacing w:after="0"/>
                    <w:jc w:val="center"/>
                    <w:rPr>
                      <w:rFonts w:ascii="Times New Roman" w:hAnsi="Times New Roman" w:eastAsia="宋体"/>
                      <w:sz w:val="21"/>
                      <w:szCs w:val="21"/>
                    </w:rPr>
                  </w:pPr>
                  <w:r>
                    <w:rPr>
                      <w:rFonts w:ascii="Times New Roman" w:hAnsi="Times New Roman" w:eastAsia="宋体"/>
                      <w:sz w:val="21"/>
                      <w:szCs w:val="21"/>
                    </w:rPr>
                    <w:t>时间</w:t>
                  </w:r>
                </w:p>
              </w:tc>
              <w:tc>
                <w:tcPr>
                  <w:tcW w:w="1903" w:type="dxa"/>
                  <w:vAlign w:val="center"/>
                </w:tcPr>
                <w:p w14:paraId="351D154B">
                  <w:pPr>
                    <w:spacing w:after="0"/>
                    <w:jc w:val="center"/>
                    <w:rPr>
                      <w:rFonts w:ascii="Times New Roman" w:hAnsi="Times New Roman" w:eastAsia="宋体"/>
                      <w:sz w:val="21"/>
                      <w:szCs w:val="21"/>
                    </w:rPr>
                  </w:pPr>
                  <w:r>
                    <w:rPr>
                      <w:rFonts w:ascii="Times New Roman" w:hAnsi="Times New Roman" w:eastAsia="宋体"/>
                      <w:sz w:val="21"/>
                      <w:szCs w:val="21"/>
                    </w:rPr>
                    <w:t>产品</w:t>
                  </w:r>
                </w:p>
              </w:tc>
              <w:tc>
                <w:tcPr>
                  <w:tcW w:w="1658" w:type="dxa"/>
                  <w:vAlign w:val="center"/>
                </w:tcPr>
                <w:p w14:paraId="69E7AE86">
                  <w:pPr>
                    <w:spacing w:after="0"/>
                    <w:jc w:val="center"/>
                    <w:rPr>
                      <w:rFonts w:ascii="Times New Roman" w:hAnsi="Times New Roman" w:eastAsia="宋体"/>
                      <w:sz w:val="21"/>
                      <w:szCs w:val="21"/>
                    </w:rPr>
                  </w:pPr>
                  <w:r>
                    <w:rPr>
                      <w:rFonts w:ascii="Times New Roman" w:hAnsi="Times New Roman" w:eastAsia="宋体"/>
                      <w:sz w:val="21"/>
                      <w:szCs w:val="21"/>
                    </w:rPr>
                    <w:t>设计日产量</w:t>
                  </w:r>
                </w:p>
              </w:tc>
              <w:tc>
                <w:tcPr>
                  <w:tcW w:w="1658" w:type="dxa"/>
                  <w:vAlign w:val="center"/>
                </w:tcPr>
                <w:p w14:paraId="1B0B1150">
                  <w:pPr>
                    <w:spacing w:after="0"/>
                    <w:jc w:val="center"/>
                    <w:rPr>
                      <w:rFonts w:ascii="Times New Roman" w:hAnsi="Times New Roman" w:eastAsia="宋体"/>
                      <w:sz w:val="21"/>
                      <w:szCs w:val="21"/>
                    </w:rPr>
                  </w:pPr>
                  <w:r>
                    <w:rPr>
                      <w:rFonts w:ascii="Times New Roman" w:hAnsi="Times New Roman" w:eastAsia="宋体"/>
                      <w:sz w:val="21"/>
                      <w:szCs w:val="21"/>
                    </w:rPr>
                    <w:t>实际产量</w:t>
                  </w:r>
                </w:p>
              </w:tc>
              <w:tc>
                <w:tcPr>
                  <w:tcW w:w="1659" w:type="dxa"/>
                  <w:vAlign w:val="center"/>
                </w:tcPr>
                <w:p w14:paraId="64DE21FA">
                  <w:pPr>
                    <w:spacing w:after="0"/>
                    <w:jc w:val="center"/>
                    <w:rPr>
                      <w:rFonts w:ascii="Times New Roman" w:hAnsi="Times New Roman" w:eastAsia="宋体"/>
                      <w:sz w:val="21"/>
                      <w:szCs w:val="21"/>
                    </w:rPr>
                  </w:pPr>
                  <w:r>
                    <w:rPr>
                      <w:rFonts w:ascii="Times New Roman" w:hAnsi="Times New Roman" w:eastAsia="宋体"/>
                      <w:sz w:val="21"/>
                      <w:szCs w:val="21"/>
                    </w:rPr>
                    <w:t>工况负荷(%)</w:t>
                  </w:r>
                </w:p>
              </w:tc>
            </w:tr>
            <w:tr w14:paraId="632D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vAlign w:val="center"/>
                </w:tcPr>
                <w:p w14:paraId="092A5A92">
                  <w:pPr>
                    <w:spacing w:after="0"/>
                    <w:jc w:val="center"/>
                    <w:rPr>
                      <w:rFonts w:ascii="Times New Roman" w:hAnsi="Times New Roman" w:eastAsia="宋体"/>
                      <w:sz w:val="21"/>
                      <w:szCs w:val="21"/>
                    </w:rPr>
                  </w:pPr>
                  <w:r>
                    <w:rPr>
                      <w:rFonts w:ascii="Times New Roman" w:hAnsi="Times New Roman" w:eastAsia="宋体"/>
                      <w:sz w:val="21"/>
                      <w:szCs w:val="21"/>
                    </w:rPr>
                    <w:t>201</w:t>
                  </w:r>
                  <w:r>
                    <w:rPr>
                      <w:rFonts w:hint="eastAsia" w:ascii="Times New Roman" w:hAnsi="Times New Roman" w:eastAsia="宋体"/>
                      <w:sz w:val="21"/>
                      <w:szCs w:val="21"/>
                    </w:rPr>
                    <w:t>9</w:t>
                  </w:r>
                  <w:r>
                    <w:rPr>
                      <w:rFonts w:ascii="Times New Roman" w:hAnsi="Times New Roman" w:eastAsia="宋体"/>
                      <w:sz w:val="21"/>
                      <w:szCs w:val="21"/>
                    </w:rPr>
                    <w:t>.</w:t>
                  </w:r>
                  <w:r>
                    <w:rPr>
                      <w:rFonts w:hint="eastAsia" w:ascii="Times New Roman" w:hAnsi="Times New Roman" w:eastAsia="宋体"/>
                      <w:sz w:val="21"/>
                      <w:szCs w:val="21"/>
                    </w:rPr>
                    <w:t>4</w:t>
                  </w:r>
                  <w:r>
                    <w:rPr>
                      <w:rFonts w:ascii="Times New Roman" w:hAnsi="Times New Roman" w:eastAsia="宋体"/>
                      <w:sz w:val="21"/>
                      <w:szCs w:val="21"/>
                    </w:rPr>
                    <w:t>.</w:t>
                  </w:r>
                  <w:r>
                    <w:rPr>
                      <w:rFonts w:hint="eastAsia" w:ascii="Times New Roman" w:hAnsi="Times New Roman" w:eastAsia="宋体"/>
                      <w:sz w:val="21"/>
                      <w:szCs w:val="21"/>
                    </w:rPr>
                    <w:t>17</w:t>
                  </w:r>
                </w:p>
              </w:tc>
              <w:tc>
                <w:tcPr>
                  <w:tcW w:w="1903" w:type="dxa"/>
                  <w:vAlign w:val="center"/>
                </w:tcPr>
                <w:p w14:paraId="7EC27461">
                  <w:pPr>
                    <w:spacing w:after="0"/>
                    <w:jc w:val="center"/>
                    <w:rPr>
                      <w:rFonts w:ascii="Times New Roman" w:hAnsi="Times New Roman" w:eastAsia="宋体"/>
                      <w:sz w:val="21"/>
                      <w:szCs w:val="21"/>
                    </w:rPr>
                  </w:pPr>
                  <w:r>
                    <w:rPr>
                      <w:rFonts w:hint="eastAsia" w:ascii="Times New Roman" w:hAnsi="Times New Roman" w:eastAsia="宋体"/>
                      <w:sz w:val="21"/>
                      <w:szCs w:val="21"/>
                    </w:rPr>
                    <w:t>粉煤灰蒸压加气混凝土砌块</w:t>
                  </w:r>
                </w:p>
              </w:tc>
              <w:tc>
                <w:tcPr>
                  <w:tcW w:w="1658" w:type="dxa"/>
                  <w:vAlign w:val="center"/>
                </w:tcPr>
                <w:p w14:paraId="04266850">
                  <w:pPr>
                    <w:spacing w:after="0"/>
                    <w:jc w:val="center"/>
                    <w:rPr>
                      <w:rFonts w:ascii="Times New Roman" w:hAnsi="Times New Roman" w:eastAsia="宋体"/>
                      <w:sz w:val="21"/>
                      <w:szCs w:val="21"/>
                    </w:rPr>
                  </w:pPr>
                  <w:r>
                    <w:rPr>
                      <w:rFonts w:hint="eastAsia" w:ascii="Times New Roman" w:hAnsi="Times New Roman" w:eastAsia="宋体"/>
                      <w:sz w:val="21"/>
                      <w:szCs w:val="21"/>
                    </w:rPr>
                    <w:t>1000m</w:t>
                  </w:r>
                  <w:r>
                    <w:rPr>
                      <w:rFonts w:hint="eastAsia" w:ascii="Times New Roman" w:hAnsi="Times New Roman" w:eastAsia="宋体"/>
                      <w:sz w:val="21"/>
                      <w:szCs w:val="21"/>
                      <w:vertAlign w:val="superscript"/>
                    </w:rPr>
                    <w:t>3</w:t>
                  </w:r>
                  <w:r>
                    <w:rPr>
                      <w:rFonts w:hint="eastAsia" w:ascii="Times New Roman" w:hAnsi="Times New Roman" w:eastAsia="宋体"/>
                      <w:sz w:val="21"/>
                      <w:szCs w:val="21"/>
                    </w:rPr>
                    <w:t>/d</w:t>
                  </w:r>
                </w:p>
              </w:tc>
              <w:tc>
                <w:tcPr>
                  <w:tcW w:w="1658" w:type="dxa"/>
                  <w:vAlign w:val="center"/>
                </w:tcPr>
                <w:p w14:paraId="63DF75CF">
                  <w:pPr>
                    <w:spacing w:after="0"/>
                    <w:jc w:val="center"/>
                    <w:rPr>
                      <w:rFonts w:ascii="Times New Roman" w:hAnsi="Times New Roman" w:eastAsia="宋体"/>
                      <w:sz w:val="21"/>
                      <w:szCs w:val="21"/>
                    </w:rPr>
                  </w:pPr>
                  <w:r>
                    <w:rPr>
                      <w:rFonts w:hint="eastAsia" w:ascii="Times New Roman" w:hAnsi="Times New Roman" w:eastAsia="宋体"/>
                      <w:sz w:val="21"/>
                      <w:szCs w:val="21"/>
                    </w:rPr>
                    <w:t>8350</w:t>
                  </w:r>
                </w:p>
              </w:tc>
              <w:tc>
                <w:tcPr>
                  <w:tcW w:w="1659" w:type="dxa"/>
                  <w:vAlign w:val="center"/>
                </w:tcPr>
                <w:p w14:paraId="05FBEF0D">
                  <w:pPr>
                    <w:spacing w:after="0"/>
                    <w:jc w:val="center"/>
                    <w:rPr>
                      <w:rFonts w:ascii="Times New Roman" w:hAnsi="Times New Roman" w:eastAsia="宋体"/>
                      <w:sz w:val="21"/>
                      <w:szCs w:val="21"/>
                    </w:rPr>
                  </w:pPr>
                  <w:r>
                    <w:rPr>
                      <w:rFonts w:hint="eastAsia" w:ascii="Times New Roman" w:hAnsi="Times New Roman" w:eastAsia="宋体"/>
                      <w:sz w:val="21"/>
                      <w:szCs w:val="21"/>
                    </w:rPr>
                    <w:t>83.5%</w:t>
                  </w:r>
                </w:p>
              </w:tc>
            </w:tr>
            <w:tr w14:paraId="5501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vAlign w:val="center"/>
                </w:tcPr>
                <w:p w14:paraId="0647953A">
                  <w:pPr>
                    <w:spacing w:after="0"/>
                    <w:jc w:val="center"/>
                    <w:rPr>
                      <w:rFonts w:ascii="Times New Roman" w:hAnsi="Times New Roman" w:eastAsia="宋体"/>
                      <w:sz w:val="21"/>
                      <w:szCs w:val="21"/>
                    </w:rPr>
                  </w:pPr>
                  <w:r>
                    <w:rPr>
                      <w:rFonts w:ascii="Times New Roman" w:hAnsi="Times New Roman" w:eastAsia="宋体"/>
                      <w:sz w:val="21"/>
                      <w:szCs w:val="21"/>
                    </w:rPr>
                    <w:t>201</w:t>
                  </w:r>
                  <w:r>
                    <w:rPr>
                      <w:rFonts w:hint="eastAsia" w:ascii="Times New Roman" w:hAnsi="Times New Roman" w:eastAsia="宋体"/>
                      <w:sz w:val="21"/>
                      <w:szCs w:val="21"/>
                    </w:rPr>
                    <w:t>9</w:t>
                  </w:r>
                  <w:r>
                    <w:rPr>
                      <w:rFonts w:ascii="Times New Roman" w:hAnsi="Times New Roman" w:eastAsia="宋体"/>
                      <w:sz w:val="21"/>
                      <w:szCs w:val="21"/>
                    </w:rPr>
                    <w:t>.</w:t>
                  </w:r>
                  <w:r>
                    <w:rPr>
                      <w:rFonts w:hint="eastAsia" w:ascii="Times New Roman" w:hAnsi="Times New Roman" w:eastAsia="宋体"/>
                      <w:sz w:val="21"/>
                      <w:szCs w:val="21"/>
                    </w:rPr>
                    <w:t>4</w:t>
                  </w:r>
                  <w:r>
                    <w:rPr>
                      <w:rFonts w:ascii="Times New Roman" w:hAnsi="Times New Roman" w:eastAsia="宋体"/>
                      <w:sz w:val="21"/>
                      <w:szCs w:val="21"/>
                    </w:rPr>
                    <w:t>.</w:t>
                  </w:r>
                  <w:r>
                    <w:rPr>
                      <w:rFonts w:hint="eastAsia" w:ascii="Times New Roman" w:hAnsi="Times New Roman" w:eastAsia="宋体"/>
                      <w:sz w:val="21"/>
                      <w:szCs w:val="21"/>
                    </w:rPr>
                    <w:t>18</w:t>
                  </w:r>
                </w:p>
              </w:tc>
              <w:tc>
                <w:tcPr>
                  <w:tcW w:w="1903" w:type="dxa"/>
                  <w:vAlign w:val="center"/>
                </w:tcPr>
                <w:p w14:paraId="27911218">
                  <w:pPr>
                    <w:spacing w:after="0"/>
                    <w:jc w:val="center"/>
                    <w:rPr>
                      <w:rFonts w:ascii="Times New Roman" w:hAnsi="Times New Roman" w:eastAsia="宋体"/>
                      <w:sz w:val="21"/>
                      <w:szCs w:val="21"/>
                    </w:rPr>
                  </w:pPr>
                  <w:r>
                    <w:rPr>
                      <w:rFonts w:hint="eastAsia" w:ascii="Times New Roman" w:hAnsi="Times New Roman" w:eastAsia="宋体"/>
                      <w:sz w:val="21"/>
                      <w:szCs w:val="21"/>
                    </w:rPr>
                    <w:t>粉煤灰蒸压加气混凝土砌块</w:t>
                  </w:r>
                </w:p>
              </w:tc>
              <w:tc>
                <w:tcPr>
                  <w:tcW w:w="1658" w:type="dxa"/>
                  <w:vAlign w:val="center"/>
                </w:tcPr>
                <w:p w14:paraId="2C060778">
                  <w:pPr>
                    <w:spacing w:after="0"/>
                    <w:jc w:val="center"/>
                    <w:rPr>
                      <w:rFonts w:ascii="Times New Roman" w:hAnsi="Times New Roman" w:eastAsia="宋体"/>
                      <w:sz w:val="21"/>
                      <w:szCs w:val="21"/>
                    </w:rPr>
                  </w:pPr>
                  <w:r>
                    <w:rPr>
                      <w:rFonts w:hint="eastAsia" w:ascii="Times New Roman" w:hAnsi="Times New Roman" w:eastAsia="宋体"/>
                      <w:sz w:val="21"/>
                      <w:szCs w:val="21"/>
                    </w:rPr>
                    <w:t>1000m</w:t>
                  </w:r>
                  <w:r>
                    <w:rPr>
                      <w:rFonts w:hint="eastAsia" w:ascii="Times New Roman" w:hAnsi="Times New Roman" w:eastAsia="宋体"/>
                      <w:sz w:val="21"/>
                      <w:szCs w:val="21"/>
                      <w:vertAlign w:val="superscript"/>
                    </w:rPr>
                    <w:t>3</w:t>
                  </w:r>
                  <w:r>
                    <w:rPr>
                      <w:rFonts w:hint="eastAsia" w:ascii="Times New Roman" w:hAnsi="Times New Roman" w:eastAsia="宋体"/>
                      <w:sz w:val="21"/>
                      <w:szCs w:val="21"/>
                    </w:rPr>
                    <w:t>/d</w:t>
                  </w:r>
                </w:p>
              </w:tc>
              <w:tc>
                <w:tcPr>
                  <w:tcW w:w="1658" w:type="dxa"/>
                  <w:vAlign w:val="center"/>
                </w:tcPr>
                <w:p w14:paraId="31ECACC7">
                  <w:pPr>
                    <w:spacing w:after="0"/>
                    <w:jc w:val="center"/>
                    <w:rPr>
                      <w:rFonts w:ascii="Times New Roman" w:hAnsi="Times New Roman" w:eastAsia="宋体"/>
                      <w:sz w:val="21"/>
                      <w:szCs w:val="21"/>
                    </w:rPr>
                  </w:pPr>
                  <w:r>
                    <w:rPr>
                      <w:rFonts w:hint="eastAsia" w:ascii="Times New Roman" w:hAnsi="Times New Roman" w:eastAsia="宋体"/>
                      <w:sz w:val="21"/>
                      <w:szCs w:val="21"/>
                    </w:rPr>
                    <w:t>8620</w:t>
                  </w:r>
                </w:p>
              </w:tc>
              <w:tc>
                <w:tcPr>
                  <w:tcW w:w="1659" w:type="dxa"/>
                  <w:vAlign w:val="center"/>
                </w:tcPr>
                <w:p w14:paraId="62858FE5">
                  <w:pPr>
                    <w:spacing w:after="0"/>
                    <w:jc w:val="center"/>
                    <w:rPr>
                      <w:rFonts w:ascii="Times New Roman" w:hAnsi="Times New Roman" w:eastAsia="宋体"/>
                      <w:sz w:val="21"/>
                      <w:szCs w:val="21"/>
                    </w:rPr>
                  </w:pPr>
                  <w:r>
                    <w:rPr>
                      <w:rFonts w:hint="eastAsia" w:ascii="Times New Roman" w:hAnsi="Times New Roman" w:eastAsia="宋体"/>
                      <w:sz w:val="21"/>
                      <w:szCs w:val="21"/>
                    </w:rPr>
                    <w:t>86.2%</w:t>
                  </w:r>
                </w:p>
              </w:tc>
            </w:tr>
          </w:tbl>
          <w:p w14:paraId="6E382245">
            <w:pPr>
              <w:spacing w:after="0" w:line="360" w:lineRule="auto"/>
              <w:ind w:firstLine="480" w:firstLineChars="200"/>
              <w:rPr>
                <w:rFonts w:ascii="Times New Roman" w:hAnsi="Times New Roman" w:eastAsia="宋体"/>
                <w:color w:val="000000"/>
                <w:sz w:val="21"/>
                <w:szCs w:val="21"/>
              </w:rPr>
            </w:pPr>
            <w:r>
              <w:rPr>
                <w:rFonts w:ascii="Times New Roman" w:hAnsi="Times New Roman" w:eastAsia="宋体"/>
                <w:color w:val="000000"/>
                <w:sz w:val="24"/>
                <w:szCs w:val="24"/>
              </w:rPr>
              <w:t>201</w:t>
            </w:r>
            <w:r>
              <w:rPr>
                <w:rFonts w:hint="eastAsia" w:ascii="Times New Roman" w:hAnsi="Times New Roman" w:eastAsia="宋体"/>
                <w:color w:val="000000"/>
                <w:sz w:val="24"/>
                <w:szCs w:val="24"/>
              </w:rPr>
              <w:t>9</w:t>
            </w:r>
            <w:r>
              <w:rPr>
                <w:rFonts w:ascii="Times New Roman" w:hAnsi="Times New Roman" w:eastAsia="宋体"/>
                <w:color w:val="000000"/>
                <w:sz w:val="24"/>
                <w:szCs w:val="24"/>
              </w:rPr>
              <w:t>年</w:t>
            </w:r>
            <w:r>
              <w:rPr>
                <w:rFonts w:hint="eastAsia" w:ascii="Times New Roman" w:hAnsi="Times New Roman" w:eastAsia="宋体"/>
                <w:color w:val="000000"/>
                <w:sz w:val="24"/>
                <w:szCs w:val="24"/>
              </w:rPr>
              <w:t>4</w:t>
            </w:r>
            <w:r>
              <w:rPr>
                <w:rFonts w:ascii="Times New Roman" w:hAnsi="Times New Roman" w:eastAsia="宋体"/>
                <w:color w:val="000000"/>
                <w:sz w:val="24"/>
                <w:szCs w:val="24"/>
              </w:rPr>
              <w:t>月</w:t>
            </w:r>
            <w:r>
              <w:rPr>
                <w:rFonts w:hint="eastAsia" w:ascii="Times New Roman" w:hAnsi="Times New Roman" w:eastAsia="宋体"/>
                <w:color w:val="000000"/>
                <w:sz w:val="24"/>
                <w:szCs w:val="24"/>
              </w:rPr>
              <w:t>17</w:t>
            </w:r>
            <w:r>
              <w:rPr>
                <w:rFonts w:ascii="Times New Roman" w:hAnsi="Times New Roman" w:eastAsia="宋体"/>
                <w:color w:val="000000"/>
                <w:sz w:val="24"/>
                <w:szCs w:val="24"/>
              </w:rPr>
              <w:t>日到</w:t>
            </w:r>
            <w:r>
              <w:rPr>
                <w:rFonts w:hint="eastAsia" w:ascii="Times New Roman" w:hAnsi="Times New Roman" w:eastAsia="宋体"/>
                <w:color w:val="000000"/>
                <w:sz w:val="24"/>
                <w:szCs w:val="24"/>
              </w:rPr>
              <w:t>4</w:t>
            </w:r>
            <w:r>
              <w:rPr>
                <w:rFonts w:ascii="Times New Roman" w:hAnsi="Times New Roman" w:eastAsia="宋体"/>
                <w:color w:val="000000"/>
                <w:sz w:val="24"/>
                <w:szCs w:val="24"/>
              </w:rPr>
              <w:t>月</w:t>
            </w:r>
            <w:r>
              <w:rPr>
                <w:rFonts w:hint="eastAsia" w:ascii="Times New Roman" w:hAnsi="Times New Roman" w:eastAsia="宋体"/>
                <w:color w:val="000000"/>
                <w:sz w:val="24"/>
                <w:szCs w:val="24"/>
              </w:rPr>
              <w:t>18</w:t>
            </w:r>
            <w:r>
              <w:rPr>
                <w:rFonts w:ascii="Times New Roman" w:hAnsi="Times New Roman" w:eastAsia="宋体"/>
                <w:color w:val="000000"/>
                <w:sz w:val="24"/>
                <w:szCs w:val="24"/>
              </w:rPr>
              <w:t>日</w:t>
            </w:r>
            <w:r>
              <w:rPr>
                <w:rFonts w:ascii="Times New Roman" w:hAnsi="Times New Roman" w:eastAsia="宋体"/>
                <w:color w:val="000000" w:themeColor="text1"/>
                <w:sz w:val="24"/>
                <w:szCs w:val="24"/>
                <w14:textFill>
                  <w14:solidFill>
                    <w14:schemeClr w14:val="tx1"/>
                  </w14:solidFill>
                </w14:textFill>
              </w:rPr>
              <w:t>，</w:t>
            </w:r>
            <w:r>
              <w:rPr>
                <w:rFonts w:ascii="Times New Roman" w:hAnsi="Times New Roman" w:eastAsia="宋体"/>
                <w:color w:val="000000"/>
                <w:sz w:val="24"/>
                <w:szCs w:val="24"/>
              </w:rPr>
              <w:t>验收监测期间</w:t>
            </w:r>
            <w:r>
              <w:rPr>
                <w:rFonts w:hint="eastAsia" w:ascii="Times New Roman" w:hAnsi="Times New Roman" w:eastAsia="宋体"/>
                <w:color w:val="000000"/>
                <w:sz w:val="24"/>
                <w:szCs w:val="24"/>
              </w:rPr>
              <w:t>陕西蓝邦环保建材有限公司</w:t>
            </w:r>
            <w:r>
              <w:rPr>
                <w:rFonts w:ascii="Times New Roman" w:hAnsi="Times New Roman" w:eastAsia="宋体"/>
                <w:color w:val="000000"/>
                <w:sz w:val="24"/>
                <w:szCs w:val="24"/>
              </w:rPr>
              <w:t>生产负荷平均为</w:t>
            </w:r>
            <w:r>
              <w:rPr>
                <w:rFonts w:hint="eastAsia" w:ascii="Times New Roman" w:hAnsi="Times New Roman" w:eastAsia="宋体"/>
                <w:color w:val="000000"/>
                <w:sz w:val="24"/>
                <w:szCs w:val="24"/>
              </w:rPr>
              <w:t>84.8</w:t>
            </w:r>
            <w:r>
              <w:rPr>
                <w:rFonts w:ascii="Times New Roman" w:hAnsi="Times New Roman" w:eastAsia="宋体"/>
                <w:color w:val="000000"/>
                <w:sz w:val="24"/>
                <w:szCs w:val="24"/>
              </w:rPr>
              <w:t>%，满足《建设项目竣工环境保护验收技术指南 污染影响类》(生态环境部  公告2018年第9号)中的要求：验收监测应当在确保主体工程工况稳定、环境保护设施运行正常的情况下进行，并如实记录监测时的实际工况以及决定或影响工况的关键参数，如实记录能够反映环境保护设施运行状态的主要指标。</w:t>
            </w:r>
          </w:p>
        </w:tc>
      </w:tr>
      <w:tr w14:paraId="3C66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8" w:hRule="atLeast"/>
          <w:jc w:val="center"/>
        </w:trPr>
        <w:tc>
          <w:tcPr>
            <w:tcW w:w="8522" w:type="dxa"/>
          </w:tcPr>
          <w:p w14:paraId="06A6F91C">
            <w:pPr>
              <w:spacing w:after="0" w:line="360" w:lineRule="auto"/>
              <w:rPr>
                <w:rFonts w:ascii="Times New Roman" w:hAnsi="Times New Roman" w:eastAsia="宋体"/>
                <w:b/>
                <w:color w:val="000000"/>
                <w:sz w:val="24"/>
                <w:szCs w:val="24"/>
              </w:rPr>
            </w:pPr>
            <w:r>
              <w:rPr>
                <w:rFonts w:hint="eastAsia" w:ascii="Times New Roman" w:hAnsi="Times New Roman" w:eastAsia="宋体"/>
                <w:b/>
                <w:color w:val="000000"/>
                <w:sz w:val="24"/>
                <w:szCs w:val="24"/>
              </w:rPr>
              <w:t>二、</w:t>
            </w:r>
            <w:r>
              <w:rPr>
                <w:rFonts w:ascii="Times New Roman" w:hAnsi="Times New Roman" w:eastAsia="宋体"/>
                <w:b/>
                <w:color w:val="000000"/>
                <w:sz w:val="24"/>
                <w:szCs w:val="24"/>
              </w:rPr>
              <w:t>环境管理检查</w:t>
            </w:r>
          </w:p>
          <w:p w14:paraId="02A93432">
            <w:pPr>
              <w:spacing w:after="0"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2</w:t>
            </w:r>
            <w:r>
              <w:rPr>
                <w:rFonts w:ascii="Times New Roman" w:hAnsi="Times New Roman" w:eastAsia="宋体"/>
                <w:color w:val="000000"/>
                <w:sz w:val="24"/>
                <w:szCs w:val="24"/>
              </w:rPr>
              <w:t>.1建设单位环境管理状况</w:t>
            </w:r>
          </w:p>
          <w:p w14:paraId="2941FA2D">
            <w:pPr>
              <w:tabs>
                <w:tab w:val="left" w:pos="4675"/>
              </w:tabs>
              <w:spacing w:after="0" w:line="360" w:lineRule="auto"/>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该公司在</w:t>
            </w:r>
            <w:r>
              <w:rPr>
                <w:rFonts w:hint="eastAsia" w:ascii="Times New Roman" w:hAnsi="Times New Roman" w:eastAsia="宋体"/>
                <w:color w:val="000000"/>
                <w:sz w:val="24"/>
                <w:szCs w:val="24"/>
              </w:rPr>
              <w:t>做</w:t>
            </w:r>
            <w:r>
              <w:rPr>
                <w:rFonts w:ascii="Times New Roman" w:hAnsi="Times New Roman" w:eastAsia="宋体"/>
                <w:color w:val="000000"/>
                <w:sz w:val="24"/>
                <w:szCs w:val="24"/>
              </w:rPr>
              <w:t>好生产的同时十分重视环境保护工作，公司成立了环境保护领导小组，制定了相应的管理制度和职责。环境管理执行环境保护法律、法规和规章制度，</w:t>
            </w:r>
            <w:r>
              <w:rPr>
                <w:rFonts w:hint="eastAsia" w:ascii="Times New Roman" w:hAnsi="Times New Roman" w:eastAsia="宋体"/>
                <w:kern w:val="2"/>
                <w:sz w:val="24"/>
                <w:szCs w:val="24"/>
              </w:rPr>
              <w:t>严格执行建设项目环境保护“三同时”制度要求，</w:t>
            </w:r>
            <w:r>
              <w:rPr>
                <w:rFonts w:ascii="Times New Roman" w:hAnsi="Times New Roman" w:eastAsia="宋体"/>
                <w:color w:val="000000"/>
                <w:sz w:val="24"/>
                <w:szCs w:val="24"/>
              </w:rPr>
              <w:t>具有环境保护审批手续及环境保护档案资料，设置专人负责的环境管理制度。</w:t>
            </w:r>
          </w:p>
          <w:p w14:paraId="1C738B20">
            <w:pPr>
              <w:tabs>
                <w:tab w:val="left" w:pos="4675"/>
              </w:tabs>
              <w:spacing w:after="0"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2</w:t>
            </w:r>
            <w:r>
              <w:rPr>
                <w:rFonts w:ascii="Times New Roman" w:hAnsi="Times New Roman" w:eastAsia="宋体"/>
                <w:color w:val="000000"/>
                <w:sz w:val="24"/>
                <w:szCs w:val="24"/>
              </w:rPr>
              <w:t>.2环境监测计划</w:t>
            </w:r>
          </w:p>
          <w:p w14:paraId="02AD0159">
            <w:pPr>
              <w:tabs>
                <w:tab w:val="left" w:pos="4675"/>
              </w:tabs>
              <w:spacing w:after="0"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陕西蓝邦环保建材有限公司</w:t>
            </w:r>
            <w:r>
              <w:rPr>
                <w:rFonts w:ascii="Times New Roman" w:hAnsi="Times New Roman" w:eastAsia="宋体"/>
                <w:color w:val="000000"/>
                <w:sz w:val="24"/>
                <w:szCs w:val="24"/>
              </w:rPr>
              <w:t>制定了环境监测计划，</w:t>
            </w:r>
            <w:r>
              <w:rPr>
                <w:rFonts w:hint="eastAsia" w:ascii="Times New Roman" w:hAnsi="Times New Roman" w:eastAsia="宋体"/>
                <w:color w:val="000000"/>
                <w:sz w:val="24"/>
                <w:szCs w:val="24"/>
              </w:rPr>
              <w:t>后期</w:t>
            </w:r>
            <w:r>
              <w:rPr>
                <w:rFonts w:ascii="Times New Roman" w:hAnsi="Times New Roman" w:eastAsia="宋体"/>
                <w:color w:val="000000"/>
                <w:sz w:val="24"/>
                <w:szCs w:val="24"/>
              </w:rPr>
              <w:t>委托有资质的单位按照监测计划进行监测，并接受当地环保部门的监督管理。</w:t>
            </w:r>
          </w:p>
          <w:p w14:paraId="1F881FB3">
            <w:pPr>
              <w:tabs>
                <w:tab w:val="left" w:pos="4675"/>
              </w:tabs>
              <w:spacing w:after="0"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2</w:t>
            </w:r>
            <w:r>
              <w:rPr>
                <w:rFonts w:ascii="Times New Roman" w:hAnsi="Times New Roman" w:eastAsia="宋体"/>
                <w:color w:val="000000"/>
                <w:sz w:val="24"/>
                <w:szCs w:val="24"/>
              </w:rPr>
              <w:t>.3</w:t>
            </w:r>
            <w:r>
              <w:rPr>
                <w:rFonts w:hint="eastAsia" w:ascii="Times New Roman" w:hAnsi="Times New Roman" w:eastAsia="宋体"/>
                <w:color w:val="000000"/>
                <w:sz w:val="24"/>
                <w:szCs w:val="24"/>
              </w:rPr>
              <w:t>绿化</w:t>
            </w:r>
          </w:p>
          <w:p w14:paraId="1C0A4E2B">
            <w:pPr>
              <w:tabs>
                <w:tab w:val="left" w:pos="4675"/>
              </w:tabs>
              <w:spacing w:after="0" w:line="360" w:lineRule="auto"/>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绿化工作不断深入和完善，对厂区内部分区域、厂区周边均种植了适宜当地生长的植被，净化和美化环境。</w:t>
            </w:r>
          </w:p>
          <w:p w14:paraId="3D4E006D">
            <w:pPr>
              <w:tabs>
                <w:tab w:val="left" w:pos="4675"/>
              </w:tabs>
              <w:spacing w:after="0"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2</w:t>
            </w:r>
            <w:r>
              <w:rPr>
                <w:rFonts w:ascii="Times New Roman" w:hAnsi="Times New Roman" w:eastAsia="宋体"/>
                <w:color w:val="000000"/>
                <w:sz w:val="24"/>
                <w:szCs w:val="24"/>
              </w:rPr>
              <w:t>.4公众意见</w:t>
            </w:r>
          </w:p>
          <w:p w14:paraId="4695BDB1">
            <w:pPr>
              <w:tabs>
                <w:tab w:val="left" w:pos="4675"/>
              </w:tabs>
              <w:spacing w:after="0" w:line="360" w:lineRule="auto"/>
              <w:ind w:firstLine="480" w:firstLineChars="200"/>
              <w:rPr>
                <w:rFonts w:ascii="Times New Roman" w:hAnsi="Times New Roman" w:eastAsia="宋体"/>
                <w:color w:val="000000"/>
                <w:sz w:val="24"/>
                <w:szCs w:val="24"/>
              </w:rPr>
            </w:pPr>
            <w:r>
              <w:rPr>
                <w:rFonts w:ascii="Times New Roman" w:hAnsi="Times New Roman" w:eastAsia="宋体"/>
                <w:kern w:val="2"/>
                <w:sz w:val="24"/>
                <w:szCs w:val="24"/>
              </w:rPr>
              <w:t>经调查</w:t>
            </w:r>
            <w:r>
              <w:rPr>
                <w:rFonts w:hint="eastAsia" w:ascii="Times New Roman" w:hAnsi="Times New Roman" w:eastAsia="宋体"/>
                <w:kern w:val="2"/>
                <w:sz w:val="24"/>
                <w:szCs w:val="24"/>
              </w:rPr>
              <w:t>，</w:t>
            </w:r>
            <w:r>
              <w:rPr>
                <w:rFonts w:ascii="Times New Roman" w:hAnsi="Times New Roman" w:eastAsia="宋体"/>
                <w:kern w:val="2"/>
                <w:sz w:val="24"/>
                <w:szCs w:val="24"/>
              </w:rPr>
              <w:t>项目建设和试运行期间未收到公众针对该项目的环保投诉。</w:t>
            </w:r>
          </w:p>
          <w:p w14:paraId="34015582">
            <w:pPr>
              <w:tabs>
                <w:tab w:val="left" w:pos="4675"/>
              </w:tabs>
              <w:spacing w:after="0"/>
              <w:jc w:val="center"/>
              <w:rPr>
                <w:rFonts w:ascii="Times New Roman" w:hAnsi="Times New Roman" w:eastAsia="宋体"/>
                <w:color w:val="000000"/>
                <w:sz w:val="21"/>
                <w:szCs w:val="21"/>
              </w:rPr>
            </w:pPr>
          </w:p>
        </w:tc>
      </w:tr>
    </w:tbl>
    <w:p w14:paraId="798D10B2">
      <w:pPr>
        <w:spacing w:after="0" w:line="360" w:lineRule="auto"/>
        <w:rPr>
          <w:rFonts w:ascii="Times New Roman" w:hAnsi="Times New Roman" w:eastAsia="仿宋_GB2312"/>
          <w:b/>
          <w:color w:val="000000"/>
          <w:sz w:val="21"/>
          <w:szCs w:val="21"/>
        </w:rPr>
        <w:sectPr>
          <w:pgSz w:w="11906" w:h="16838"/>
          <w:pgMar w:top="1440" w:right="1800" w:bottom="1440" w:left="1800" w:header="708" w:footer="708" w:gutter="0"/>
          <w:cols w:space="720" w:num="1"/>
          <w:docGrid w:linePitch="360" w:charSpace="0"/>
        </w:sectPr>
      </w:pPr>
    </w:p>
    <w:p w14:paraId="1428308E">
      <w:pPr>
        <w:spacing w:after="0" w:line="360" w:lineRule="auto"/>
        <w:rPr>
          <w:rFonts w:ascii="Times New Roman" w:hAnsi="Times New Roman" w:eastAsia="仿宋_GB2312"/>
          <w:b/>
          <w:color w:val="000000"/>
          <w:sz w:val="21"/>
          <w:szCs w:val="21"/>
        </w:rPr>
      </w:pPr>
      <w:r>
        <w:rPr>
          <w:rFonts w:ascii="Times New Roman" w:hAnsi="Times New Roman" w:eastAsia="仿宋_GB2312"/>
          <w:b/>
          <w:color w:val="000000"/>
          <w:sz w:val="21"/>
          <w:szCs w:val="21"/>
        </w:rPr>
        <w:t>表八</w:t>
      </w:r>
    </w:p>
    <w:tbl>
      <w:tblPr>
        <w:tblStyle w:val="1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11CD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9" w:hRule="atLeast"/>
          <w:jc w:val="center"/>
        </w:trPr>
        <w:tc>
          <w:tcPr>
            <w:tcW w:w="8924" w:type="dxa"/>
          </w:tcPr>
          <w:p w14:paraId="0BB36406">
            <w:pPr>
              <w:spacing w:after="0" w:line="360" w:lineRule="auto"/>
              <w:rPr>
                <w:rFonts w:ascii="Times New Roman" w:hAnsi="Times New Roman" w:eastAsia="宋体"/>
                <w:b/>
                <w:color w:val="000000"/>
                <w:sz w:val="24"/>
                <w:szCs w:val="24"/>
              </w:rPr>
            </w:pPr>
            <w:r>
              <w:rPr>
                <w:rFonts w:ascii="Times New Roman" w:hAnsi="Times New Roman" w:eastAsia="宋体"/>
                <w:b/>
                <w:color w:val="000000"/>
                <w:sz w:val="24"/>
                <w:szCs w:val="24"/>
              </w:rPr>
              <w:t>一、验收监测结论</w:t>
            </w:r>
          </w:p>
          <w:p w14:paraId="67D164BC">
            <w:pPr>
              <w:spacing w:after="0" w:line="360" w:lineRule="auto"/>
              <w:ind w:right="-284"/>
              <w:rPr>
                <w:rFonts w:ascii="Times New Roman" w:hAnsi="Times New Roman" w:eastAsia="宋体"/>
                <w:color w:val="000000"/>
                <w:sz w:val="24"/>
                <w:szCs w:val="24"/>
              </w:rPr>
            </w:pPr>
            <w:r>
              <w:rPr>
                <w:rFonts w:ascii="Times New Roman" w:hAnsi="Times New Roman" w:eastAsia="宋体"/>
                <w:color w:val="000000"/>
                <w:sz w:val="24"/>
                <w:szCs w:val="24"/>
              </w:rPr>
              <w:t>1、环保设施调试运行结果</w:t>
            </w:r>
          </w:p>
          <w:p w14:paraId="651E3737">
            <w:pPr>
              <w:spacing w:after="0" w:line="360" w:lineRule="auto"/>
              <w:ind w:right="-284"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验收监测期间，该项目正常运行，符合验收条件。</w:t>
            </w:r>
          </w:p>
          <w:p w14:paraId="702214D0">
            <w:pPr>
              <w:spacing w:after="0"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sz w:val="24"/>
                <w:szCs w:val="24"/>
              </w:rPr>
              <w:t>1.1</w:t>
            </w:r>
            <w:r>
              <w:rPr>
                <w:rFonts w:ascii="Times New Roman" w:hAnsi="Times New Roman" w:eastAsia="宋体"/>
                <w:kern w:val="2"/>
                <w:sz w:val="24"/>
                <w:szCs w:val="24"/>
              </w:rPr>
              <w:t>固体废物验收监测结论</w:t>
            </w:r>
          </w:p>
          <w:p w14:paraId="15005974">
            <w:pPr>
              <w:spacing w:after="0" w:line="360" w:lineRule="auto"/>
              <w:ind w:firstLine="480" w:firstLineChars="200"/>
              <w:rPr>
                <w:rFonts w:ascii="Times New Roman" w:hAnsi="Times New Roman" w:eastAsia="宋体"/>
                <w:color w:val="000000"/>
                <w:sz w:val="24"/>
                <w:szCs w:val="24"/>
              </w:rPr>
            </w:pPr>
            <w:r>
              <w:rPr>
                <w:rFonts w:ascii="Times New Roman" w:hAnsi="Times New Roman" w:eastAsia="宋体"/>
                <w:sz w:val="24"/>
              </w:rPr>
              <w:t>本项目运行产生的固体废物主要为</w:t>
            </w:r>
            <w:r>
              <w:rPr>
                <w:rFonts w:hint="eastAsia" w:asciiTheme="minorEastAsia" w:hAnsiTheme="minorEastAsia" w:eastAsiaTheme="minorEastAsia" w:cstheme="minorEastAsia"/>
                <w:bCs/>
                <w:color w:val="000000"/>
                <w:sz w:val="24"/>
              </w:rPr>
              <w:t>生活垃圾、残次品、沉淀泥沙、化粪池污泥和</w:t>
            </w:r>
            <w:r>
              <w:rPr>
                <w:rFonts w:hint="eastAsia" w:asciiTheme="minorEastAsia" w:hAnsiTheme="minorEastAsia" w:eastAsiaTheme="minorEastAsia" w:cstheme="minorEastAsia"/>
                <w:sz w:val="24"/>
                <w:szCs w:val="24"/>
              </w:rPr>
              <w:t>沉淀池的泥沙</w:t>
            </w:r>
            <w:r>
              <w:rPr>
                <w:rFonts w:ascii="Times New Roman" w:hAnsi="Times New Roman" w:eastAsia="宋体"/>
                <w:sz w:val="24"/>
              </w:rPr>
              <w:t>。</w:t>
            </w:r>
            <w:r>
              <w:rPr>
                <w:rFonts w:hint="eastAsia" w:ascii="Times New Roman" w:hAnsi="Times New Roman" w:eastAsia="宋体"/>
                <w:sz w:val="24"/>
              </w:rPr>
              <w:t>生活垃圾收集集中收集后，运至指定地点填埋</w:t>
            </w:r>
            <w:r>
              <w:rPr>
                <w:rFonts w:ascii="Times New Roman" w:hAnsi="Times New Roman" w:eastAsia="宋体"/>
                <w:sz w:val="24"/>
              </w:rPr>
              <w:t>；</w:t>
            </w:r>
            <w:r>
              <w:rPr>
                <w:rFonts w:hint="eastAsia" w:ascii="Times New Roman" w:hAnsi="Times New Roman" w:eastAsia="宋体"/>
                <w:sz w:val="24"/>
              </w:rPr>
              <w:t>残次品直接返回至蒸压成形工序，作为原料再次使用，不外排</w:t>
            </w:r>
            <w:r>
              <w:rPr>
                <w:rFonts w:ascii="Times New Roman" w:hAnsi="Times New Roman" w:eastAsia="宋体"/>
                <w:sz w:val="24"/>
              </w:rPr>
              <w:t>；</w:t>
            </w:r>
            <w:r>
              <w:rPr>
                <w:rFonts w:hint="eastAsia" w:ascii="Times New Roman" w:hAnsi="Times New Roman" w:eastAsia="宋体"/>
                <w:color w:val="000000"/>
                <w:sz w:val="24"/>
                <w:szCs w:val="24"/>
              </w:rPr>
              <w:t>沉淀池的泥沙直接返回至原料搅拌工序，作为原料再次使用，不外排；</w:t>
            </w:r>
            <w:r>
              <w:rPr>
                <w:rFonts w:hint="eastAsia" w:asciiTheme="minorEastAsia" w:hAnsiTheme="minorEastAsia" w:eastAsiaTheme="minorEastAsia" w:cstheme="minorEastAsia"/>
                <w:bCs/>
                <w:color w:val="000000"/>
                <w:sz w:val="24"/>
              </w:rPr>
              <w:t>化粪</w:t>
            </w:r>
            <w:r>
              <w:rPr>
                <w:rFonts w:hint="eastAsia" w:ascii="Times New Roman" w:hAnsi="Times New Roman" w:eastAsia="宋体"/>
                <w:sz w:val="24"/>
              </w:rPr>
              <w:t>池污泥采用吸粪车进行抽吸外运作农肥；</w:t>
            </w:r>
            <w:r>
              <w:rPr>
                <w:rFonts w:hint="eastAsia" w:asciiTheme="minorEastAsia" w:hAnsiTheme="minorEastAsia" w:eastAsiaTheme="minorEastAsia" w:cstheme="minorEastAsia"/>
                <w:sz w:val="24"/>
                <w:szCs w:val="24"/>
              </w:rPr>
              <w:t>设备检修产</w:t>
            </w:r>
            <w:r>
              <w:rPr>
                <w:rFonts w:hint="eastAsia" w:ascii="Times New Roman" w:hAnsi="Times New Roman" w:eastAsia="宋体"/>
                <w:color w:val="000000"/>
                <w:sz w:val="24"/>
                <w:szCs w:val="24"/>
              </w:rPr>
              <w:t>生的少量废机油放置于危废暂存间，后交由陕西明瑞资源再生有限公司处置</w:t>
            </w:r>
            <w:r>
              <w:rPr>
                <w:rFonts w:ascii="Times New Roman" w:hAnsi="Times New Roman" w:eastAsia="宋体"/>
                <w:sz w:val="24"/>
              </w:rPr>
              <w:t>。</w:t>
            </w:r>
            <w:r>
              <w:rPr>
                <w:rFonts w:ascii="Times New Roman" w:hAnsi="Times New Roman" w:eastAsia="宋体"/>
                <w:kern w:val="2"/>
                <w:sz w:val="24"/>
                <w:szCs w:val="24"/>
              </w:rPr>
              <w:t>项目固体废弃物</w:t>
            </w:r>
            <w:r>
              <w:rPr>
                <w:rFonts w:hint="eastAsia" w:ascii="Times New Roman" w:hAnsi="Times New Roman" w:eastAsia="宋体"/>
                <w:kern w:val="2"/>
                <w:sz w:val="24"/>
                <w:szCs w:val="24"/>
              </w:rPr>
              <w:t>均能得到妥善处置</w:t>
            </w:r>
            <w:r>
              <w:rPr>
                <w:rFonts w:ascii="Times New Roman" w:hAnsi="Times New Roman" w:eastAsia="宋体"/>
                <w:kern w:val="2"/>
                <w:sz w:val="24"/>
                <w:szCs w:val="24"/>
              </w:rPr>
              <w:t>。</w:t>
            </w:r>
          </w:p>
          <w:p w14:paraId="324FCA87">
            <w:pPr>
              <w:spacing w:after="0" w:line="360" w:lineRule="auto"/>
              <w:rPr>
                <w:rFonts w:ascii="Times New Roman" w:hAnsi="Times New Roman" w:eastAsia="宋体"/>
                <w:color w:val="000000"/>
                <w:sz w:val="24"/>
                <w:szCs w:val="24"/>
              </w:rPr>
            </w:pPr>
            <w:r>
              <w:rPr>
                <w:rFonts w:ascii="Times New Roman" w:hAnsi="Times New Roman" w:eastAsia="宋体"/>
                <w:color w:val="000000"/>
                <w:sz w:val="24"/>
                <w:szCs w:val="24"/>
              </w:rPr>
              <w:t>2、验收监测总结论</w:t>
            </w:r>
          </w:p>
          <w:p w14:paraId="0C8EA6BD">
            <w:pPr>
              <w:widowControl w:val="0"/>
              <w:spacing w:after="0" w:line="360" w:lineRule="auto"/>
              <w:ind w:firstLine="480" w:firstLineChars="200"/>
              <w:jc w:val="both"/>
              <w:rPr>
                <w:rFonts w:ascii="Times New Roman" w:hAnsi="Times New Roman" w:eastAsia="宋体"/>
                <w:kern w:val="2"/>
                <w:sz w:val="24"/>
                <w:szCs w:val="24"/>
              </w:rPr>
            </w:pPr>
            <w:r>
              <w:rPr>
                <w:rFonts w:hint="eastAsia" w:ascii="Times New Roman" w:hAnsi="Times New Roman" w:eastAsia="宋体"/>
                <w:color w:val="000000"/>
                <w:sz w:val="24"/>
                <w:szCs w:val="24"/>
              </w:rPr>
              <w:t>陕西蓝邦环保建材有限公司蒸压加气混凝土砌块项目</w:t>
            </w:r>
            <w:r>
              <w:rPr>
                <w:rFonts w:ascii="Times New Roman" w:hAnsi="Times New Roman" w:eastAsia="宋体"/>
                <w:kern w:val="2"/>
                <w:sz w:val="24"/>
                <w:szCs w:val="24"/>
              </w:rPr>
              <w:t>自建设到竣工调试过程中，能执行环保管理的各项规章制度，重视环保管理，环保机构及各项管理规章制度健全；落实了环评及批复提出的环保措施和建议，设施运转正常，管理措施得当，符合国家有关的规定和环保管理要求。</w:t>
            </w:r>
          </w:p>
          <w:p w14:paraId="3C02122D">
            <w:pPr>
              <w:spacing w:after="0" w:line="360" w:lineRule="auto"/>
              <w:ind w:firstLine="480" w:firstLineChars="200"/>
              <w:rPr>
                <w:rFonts w:ascii="Times New Roman" w:hAnsi="Times New Roman" w:eastAsia="宋体"/>
                <w:color w:val="000000"/>
                <w:sz w:val="24"/>
                <w:szCs w:val="24"/>
              </w:rPr>
            </w:pPr>
            <w:r>
              <w:rPr>
                <w:rFonts w:ascii="Times New Roman" w:hAnsi="Times New Roman" w:eastAsia="宋体"/>
                <w:kern w:val="2"/>
                <w:sz w:val="24"/>
                <w:szCs w:val="24"/>
              </w:rPr>
              <w:t>综上总述，该项目总体上符合竣工验收的要求，建议通过竣工环境保护验收。</w:t>
            </w:r>
          </w:p>
          <w:p w14:paraId="51D97041">
            <w:pPr>
              <w:spacing w:after="0" w:line="360" w:lineRule="auto"/>
              <w:rPr>
                <w:rFonts w:ascii="Times New Roman" w:hAnsi="Times New Roman" w:eastAsia="宋体"/>
                <w:b/>
                <w:color w:val="000000"/>
                <w:sz w:val="24"/>
                <w:szCs w:val="24"/>
              </w:rPr>
            </w:pPr>
            <w:r>
              <w:rPr>
                <w:rFonts w:ascii="Times New Roman" w:hAnsi="Times New Roman" w:eastAsia="宋体"/>
                <w:b/>
                <w:color w:val="000000"/>
                <w:sz w:val="24"/>
                <w:szCs w:val="24"/>
              </w:rPr>
              <w:t>二、建议</w:t>
            </w:r>
          </w:p>
          <w:p w14:paraId="68DDA8CA">
            <w:pPr>
              <w:spacing w:after="0" w:line="360" w:lineRule="auto"/>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1、继续加强环境保护环境管理工作，确保环保设施正常稳定运行；</w:t>
            </w:r>
          </w:p>
          <w:p w14:paraId="356159F5">
            <w:pPr>
              <w:spacing w:after="0" w:line="360" w:lineRule="auto"/>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2、加强固体废物的收集与回收，确保固体废物均得到妥善处置。</w:t>
            </w:r>
          </w:p>
          <w:p w14:paraId="78ED595F">
            <w:pPr>
              <w:spacing w:after="0" w:line="360" w:lineRule="auto"/>
              <w:ind w:firstLine="420" w:firstLineChars="200"/>
              <w:rPr>
                <w:rFonts w:ascii="Times New Roman" w:hAnsi="Times New Roman" w:eastAsia="宋体"/>
                <w:color w:val="000000"/>
                <w:sz w:val="21"/>
                <w:szCs w:val="21"/>
              </w:rPr>
            </w:pPr>
          </w:p>
        </w:tc>
      </w:tr>
    </w:tbl>
    <w:p w14:paraId="12193BD3">
      <w:pPr>
        <w:rPr>
          <w:rFonts w:ascii="Times New Roman" w:hAnsi="Times New Roman"/>
        </w:rPr>
        <w:sectPr>
          <w:pgSz w:w="11906" w:h="16838"/>
          <w:pgMar w:top="1440" w:right="1800" w:bottom="1440" w:left="1800" w:header="851" w:footer="992" w:gutter="0"/>
          <w:cols w:space="720" w:num="1"/>
          <w:docGrid w:type="lines" w:linePitch="312" w:charSpace="0"/>
        </w:sectPr>
      </w:pPr>
    </w:p>
    <w:p w14:paraId="6A03E4C9">
      <w:pPr>
        <w:widowControl w:val="0"/>
        <w:adjustRightInd/>
        <w:snapToGrid/>
        <w:spacing w:after="0"/>
        <w:jc w:val="both"/>
        <w:rPr>
          <w:rFonts w:ascii="Times New Roman" w:hAnsi="Times New Roman"/>
          <w:sz w:val="24"/>
          <w:szCs w:val="24"/>
        </w:rPr>
      </w:pPr>
    </w:p>
    <w:sectPr>
      <w:footerReference r:id="rId6" w:type="default"/>
      <w:pgSz w:w="11907" w:h="16840"/>
      <w:pgMar w:top="720" w:right="720" w:bottom="720" w:left="72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BE4C1">
    <w:pPr>
      <w:pStyle w:val="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5151E">
    <w:pPr>
      <w:pStyle w:val="7"/>
      <w:framePr w:wrap="around" w:vAnchor="text" w:hAnchor="page" w:x="8986" w:y="-54"/>
      <w:jc w:val="center"/>
      <w:rPr>
        <w:rStyle w:val="13"/>
        <w:rFonts w:ascii="宋体" w:hAnsi="宋体" w:eastAsia="宋体"/>
        <w:sz w:val="28"/>
        <w:szCs w:val="28"/>
      </w:rPr>
    </w:pPr>
    <w:r>
      <w:rPr>
        <w:rStyle w:val="13"/>
        <w:rFonts w:hint="eastAsia" w:ascii="宋体" w:hAnsi="宋体" w:eastAsia="宋体"/>
        <w:sz w:val="28"/>
        <w:szCs w:val="28"/>
      </w:rPr>
      <w:t>—</w:t>
    </w:r>
    <w:r>
      <w:rPr>
        <w:rStyle w:val="13"/>
        <w:rFonts w:hint="eastAsia" w:ascii="宋体" w:hAnsi="宋体" w:eastAsia="宋体"/>
        <w:sz w:val="20"/>
        <w:szCs w:val="20"/>
      </w:rPr>
      <w:t xml:space="preserve">  </w:t>
    </w:r>
    <w:r>
      <w:rPr>
        <w:rFonts w:ascii="宋体" w:hAnsi="宋体" w:eastAsia="宋体"/>
        <w:sz w:val="26"/>
        <w:szCs w:val="26"/>
      </w:rPr>
      <w:fldChar w:fldCharType="begin"/>
    </w:r>
    <w:r>
      <w:rPr>
        <w:rStyle w:val="13"/>
        <w:rFonts w:ascii="宋体" w:hAnsi="宋体" w:eastAsia="宋体"/>
        <w:sz w:val="26"/>
        <w:szCs w:val="26"/>
      </w:rPr>
      <w:instrText xml:space="preserve">PAGE  </w:instrText>
    </w:r>
    <w:r>
      <w:rPr>
        <w:rFonts w:ascii="宋体" w:hAnsi="宋体" w:eastAsia="宋体"/>
        <w:sz w:val="26"/>
        <w:szCs w:val="26"/>
      </w:rPr>
      <w:fldChar w:fldCharType="separate"/>
    </w:r>
    <w:r>
      <w:rPr>
        <w:rStyle w:val="13"/>
        <w:rFonts w:ascii="宋体" w:hAnsi="宋体" w:eastAsia="宋体"/>
        <w:sz w:val="26"/>
        <w:szCs w:val="26"/>
      </w:rPr>
      <w:t>1</w:t>
    </w:r>
    <w:r>
      <w:rPr>
        <w:rFonts w:ascii="宋体" w:hAnsi="宋体" w:eastAsia="宋体"/>
        <w:sz w:val="26"/>
        <w:szCs w:val="26"/>
      </w:rPr>
      <w:fldChar w:fldCharType="end"/>
    </w:r>
    <w:r>
      <w:rPr>
        <w:rStyle w:val="13"/>
        <w:rFonts w:hint="eastAsia" w:ascii="宋体" w:hAnsi="宋体" w:eastAsia="宋体"/>
        <w:sz w:val="20"/>
        <w:szCs w:val="20"/>
      </w:rPr>
      <w:t xml:space="preserve">  </w:t>
    </w:r>
    <w:r>
      <w:rPr>
        <w:rStyle w:val="13"/>
        <w:rFonts w:hint="eastAsia" w:ascii="宋体" w:hAnsi="宋体" w:eastAsia="宋体"/>
        <w:sz w:val="28"/>
        <w:szCs w:val="28"/>
      </w:rPr>
      <w:t>—</w:t>
    </w:r>
  </w:p>
  <w:p w14:paraId="1672118D">
    <w:pPr>
      <w:pStyle w:val="7"/>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7B9BC">
    <w:pPr>
      <w:pStyle w:val="7"/>
      <w:ind w:right="360" w:firstLine="360"/>
      <w:jc w:val="center"/>
    </w:pPr>
  </w:p>
  <w:p w14:paraId="0EC715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6E1"/>
    <w:rsid w:val="00011043"/>
    <w:rsid w:val="00014E5E"/>
    <w:rsid w:val="00015543"/>
    <w:rsid w:val="000203E6"/>
    <w:rsid w:val="00034293"/>
    <w:rsid w:val="000378EA"/>
    <w:rsid w:val="00037C75"/>
    <w:rsid w:val="00045D05"/>
    <w:rsid w:val="00057AC5"/>
    <w:rsid w:val="000626BF"/>
    <w:rsid w:val="00064F2E"/>
    <w:rsid w:val="00071C57"/>
    <w:rsid w:val="00072448"/>
    <w:rsid w:val="0007245C"/>
    <w:rsid w:val="00076FDF"/>
    <w:rsid w:val="000825F5"/>
    <w:rsid w:val="00086469"/>
    <w:rsid w:val="00086F6C"/>
    <w:rsid w:val="000872FC"/>
    <w:rsid w:val="00087EE0"/>
    <w:rsid w:val="0009387E"/>
    <w:rsid w:val="00094219"/>
    <w:rsid w:val="00095A97"/>
    <w:rsid w:val="00097EEF"/>
    <w:rsid w:val="000B0A16"/>
    <w:rsid w:val="000B431F"/>
    <w:rsid w:val="000C2803"/>
    <w:rsid w:val="000C6F7B"/>
    <w:rsid w:val="000C7E89"/>
    <w:rsid w:val="000D672B"/>
    <w:rsid w:val="000E064B"/>
    <w:rsid w:val="000E1AF5"/>
    <w:rsid w:val="000E28CF"/>
    <w:rsid w:val="000E47C5"/>
    <w:rsid w:val="000E5022"/>
    <w:rsid w:val="000E61A3"/>
    <w:rsid w:val="000E7C0D"/>
    <w:rsid w:val="000F2025"/>
    <w:rsid w:val="00100D45"/>
    <w:rsid w:val="00112170"/>
    <w:rsid w:val="001165D0"/>
    <w:rsid w:val="00117262"/>
    <w:rsid w:val="00130E0D"/>
    <w:rsid w:val="001373A9"/>
    <w:rsid w:val="0014013B"/>
    <w:rsid w:val="001453BB"/>
    <w:rsid w:val="001532EA"/>
    <w:rsid w:val="00154FF6"/>
    <w:rsid w:val="001605E8"/>
    <w:rsid w:val="0016395F"/>
    <w:rsid w:val="00164433"/>
    <w:rsid w:val="001671CB"/>
    <w:rsid w:val="001706B8"/>
    <w:rsid w:val="00171617"/>
    <w:rsid w:val="00173863"/>
    <w:rsid w:val="001755FB"/>
    <w:rsid w:val="00181C07"/>
    <w:rsid w:val="0018599D"/>
    <w:rsid w:val="00187132"/>
    <w:rsid w:val="0019095F"/>
    <w:rsid w:val="0019179E"/>
    <w:rsid w:val="001940A8"/>
    <w:rsid w:val="001A008C"/>
    <w:rsid w:val="001A327A"/>
    <w:rsid w:val="001B2FA9"/>
    <w:rsid w:val="001B39C4"/>
    <w:rsid w:val="001B4BD7"/>
    <w:rsid w:val="001C1785"/>
    <w:rsid w:val="001C3528"/>
    <w:rsid w:val="001C3530"/>
    <w:rsid w:val="001C4F90"/>
    <w:rsid w:val="001C6B06"/>
    <w:rsid w:val="001C71A1"/>
    <w:rsid w:val="001D50B5"/>
    <w:rsid w:val="001D7574"/>
    <w:rsid w:val="001E552E"/>
    <w:rsid w:val="001E61E1"/>
    <w:rsid w:val="001F02DD"/>
    <w:rsid w:val="001F2D0E"/>
    <w:rsid w:val="001F31EC"/>
    <w:rsid w:val="0020116C"/>
    <w:rsid w:val="0020155D"/>
    <w:rsid w:val="00207327"/>
    <w:rsid w:val="0021020C"/>
    <w:rsid w:val="00211C22"/>
    <w:rsid w:val="002139D9"/>
    <w:rsid w:val="002232BA"/>
    <w:rsid w:val="0023473A"/>
    <w:rsid w:val="002358D5"/>
    <w:rsid w:val="00236744"/>
    <w:rsid w:val="002371E7"/>
    <w:rsid w:val="00241CA7"/>
    <w:rsid w:val="00243B0D"/>
    <w:rsid w:val="002518FC"/>
    <w:rsid w:val="00254A1D"/>
    <w:rsid w:val="00254B66"/>
    <w:rsid w:val="00256FAA"/>
    <w:rsid w:val="002570FC"/>
    <w:rsid w:val="00262DEC"/>
    <w:rsid w:val="002670AA"/>
    <w:rsid w:val="00267CF6"/>
    <w:rsid w:val="00267F37"/>
    <w:rsid w:val="00274BE1"/>
    <w:rsid w:val="00281847"/>
    <w:rsid w:val="002820D3"/>
    <w:rsid w:val="0028605C"/>
    <w:rsid w:val="00286F2A"/>
    <w:rsid w:val="0029352D"/>
    <w:rsid w:val="002961B0"/>
    <w:rsid w:val="002A004E"/>
    <w:rsid w:val="002A4420"/>
    <w:rsid w:val="002A51E8"/>
    <w:rsid w:val="002B1CC2"/>
    <w:rsid w:val="002B1DC1"/>
    <w:rsid w:val="002B3D40"/>
    <w:rsid w:val="002B434A"/>
    <w:rsid w:val="002B4B28"/>
    <w:rsid w:val="002B58C5"/>
    <w:rsid w:val="002D503D"/>
    <w:rsid w:val="002D63FE"/>
    <w:rsid w:val="002E214E"/>
    <w:rsid w:val="002E2A64"/>
    <w:rsid w:val="002E5DF5"/>
    <w:rsid w:val="002F10B7"/>
    <w:rsid w:val="002F24F4"/>
    <w:rsid w:val="002F3E6D"/>
    <w:rsid w:val="002F6B04"/>
    <w:rsid w:val="00301765"/>
    <w:rsid w:val="003056C5"/>
    <w:rsid w:val="00311834"/>
    <w:rsid w:val="00313563"/>
    <w:rsid w:val="00315B5A"/>
    <w:rsid w:val="00316319"/>
    <w:rsid w:val="003200A7"/>
    <w:rsid w:val="003212B0"/>
    <w:rsid w:val="00321CB8"/>
    <w:rsid w:val="00322120"/>
    <w:rsid w:val="003255CC"/>
    <w:rsid w:val="00325808"/>
    <w:rsid w:val="00325B25"/>
    <w:rsid w:val="003332BE"/>
    <w:rsid w:val="00336B3E"/>
    <w:rsid w:val="003400D0"/>
    <w:rsid w:val="003422DD"/>
    <w:rsid w:val="00343A19"/>
    <w:rsid w:val="00343B08"/>
    <w:rsid w:val="00345150"/>
    <w:rsid w:val="00352339"/>
    <w:rsid w:val="00353D62"/>
    <w:rsid w:val="003550BA"/>
    <w:rsid w:val="003557E0"/>
    <w:rsid w:val="00355833"/>
    <w:rsid w:val="00360B5A"/>
    <w:rsid w:val="00362AFB"/>
    <w:rsid w:val="00363985"/>
    <w:rsid w:val="003746EB"/>
    <w:rsid w:val="0037482B"/>
    <w:rsid w:val="00375804"/>
    <w:rsid w:val="00377430"/>
    <w:rsid w:val="003807DB"/>
    <w:rsid w:val="003836B4"/>
    <w:rsid w:val="00384DB5"/>
    <w:rsid w:val="003903CD"/>
    <w:rsid w:val="003933AF"/>
    <w:rsid w:val="00395F62"/>
    <w:rsid w:val="003A303F"/>
    <w:rsid w:val="003A5439"/>
    <w:rsid w:val="003A64F0"/>
    <w:rsid w:val="003A737D"/>
    <w:rsid w:val="003B1BE3"/>
    <w:rsid w:val="003B47DB"/>
    <w:rsid w:val="003B5995"/>
    <w:rsid w:val="003B75E0"/>
    <w:rsid w:val="003C0788"/>
    <w:rsid w:val="003C384C"/>
    <w:rsid w:val="003C3993"/>
    <w:rsid w:val="003C3D0D"/>
    <w:rsid w:val="003C76BC"/>
    <w:rsid w:val="003D1396"/>
    <w:rsid w:val="003D17A2"/>
    <w:rsid w:val="003D47F4"/>
    <w:rsid w:val="003D5AAD"/>
    <w:rsid w:val="003D5BB3"/>
    <w:rsid w:val="003E08E0"/>
    <w:rsid w:val="003E1EC6"/>
    <w:rsid w:val="003E58FA"/>
    <w:rsid w:val="003E644A"/>
    <w:rsid w:val="003E79C4"/>
    <w:rsid w:val="003E79E2"/>
    <w:rsid w:val="003E7D0F"/>
    <w:rsid w:val="003F607E"/>
    <w:rsid w:val="004008F1"/>
    <w:rsid w:val="00403EC8"/>
    <w:rsid w:val="00422F62"/>
    <w:rsid w:val="004258C2"/>
    <w:rsid w:val="0042697F"/>
    <w:rsid w:val="004269C7"/>
    <w:rsid w:val="004348F1"/>
    <w:rsid w:val="00434AE8"/>
    <w:rsid w:val="004374A3"/>
    <w:rsid w:val="00447CA8"/>
    <w:rsid w:val="00456C2E"/>
    <w:rsid w:val="00463276"/>
    <w:rsid w:val="00463349"/>
    <w:rsid w:val="00463817"/>
    <w:rsid w:val="00471ED9"/>
    <w:rsid w:val="00472DAE"/>
    <w:rsid w:val="00473A1A"/>
    <w:rsid w:val="00476C00"/>
    <w:rsid w:val="00481307"/>
    <w:rsid w:val="00483034"/>
    <w:rsid w:val="00484D25"/>
    <w:rsid w:val="00486628"/>
    <w:rsid w:val="00492CF4"/>
    <w:rsid w:val="00492F08"/>
    <w:rsid w:val="00493083"/>
    <w:rsid w:val="0049359D"/>
    <w:rsid w:val="00493EFB"/>
    <w:rsid w:val="00496417"/>
    <w:rsid w:val="004A18FC"/>
    <w:rsid w:val="004A1A4F"/>
    <w:rsid w:val="004A4441"/>
    <w:rsid w:val="004A7251"/>
    <w:rsid w:val="004B0A99"/>
    <w:rsid w:val="004B7BA3"/>
    <w:rsid w:val="004C4194"/>
    <w:rsid w:val="004D363E"/>
    <w:rsid w:val="004D38F4"/>
    <w:rsid w:val="004D669D"/>
    <w:rsid w:val="004D677B"/>
    <w:rsid w:val="004D7222"/>
    <w:rsid w:val="004E13F7"/>
    <w:rsid w:val="004E27A7"/>
    <w:rsid w:val="004E34AE"/>
    <w:rsid w:val="004E3AC9"/>
    <w:rsid w:val="004E4D66"/>
    <w:rsid w:val="004E4F24"/>
    <w:rsid w:val="004F08F5"/>
    <w:rsid w:val="004F4651"/>
    <w:rsid w:val="004F7AB4"/>
    <w:rsid w:val="00503ACE"/>
    <w:rsid w:val="0050493A"/>
    <w:rsid w:val="0050623F"/>
    <w:rsid w:val="00512DF3"/>
    <w:rsid w:val="00515789"/>
    <w:rsid w:val="00517BC6"/>
    <w:rsid w:val="00523459"/>
    <w:rsid w:val="00525CAB"/>
    <w:rsid w:val="00550D32"/>
    <w:rsid w:val="0055710F"/>
    <w:rsid w:val="00562987"/>
    <w:rsid w:val="00563565"/>
    <w:rsid w:val="0056685E"/>
    <w:rsid w:val="0057093A"/>
    <w:rsid w:val="0057163B"/>
    <w:rsid w:val="00571C27"/>
    <w:rsid w:val="00572C48"/>
    <w:rsid w:val="00572C88"/>
    <w:rsid w:val="00574C76"/>
    <w:rsid w:val="00582295"/>
    <w:rsid w:val="00583EF9"/>
    <w:rsid w:val="00586401"/>
    <w:rsid w:val="0059230E"/>
    <w:rsid w:val="00596B8E"/>
    <w:rsid w:val="005A733E"/>
    <w:rsid w:val="005B1DCA"/>
    <w:rsid w:val="005B7789"/>
    <w:rsid w:val="005C086F"/>
    <w:rsid w:val="005C7727"/>
    <w:rsid w:val="005D07DA"/>
    <w:rsid w:val="005D33A2"/>
    <w:rsid w:val="005D45D3"/>
    <w:rsid w:val="005D4EFF"/>
    <w:rsid w:val="005D5437"/>
    <w:rsid w:val="005E08BE"/>
    <w:rsid w:val="005E137B"/>
    <w:rsid w:val="005E5057"/>
    <w:rsid w:val="005F28B4"/>
    <w:rsid w:val="005F2A99"/>
    <w:rsid w:val="005F50AC"/>
    <w:rsid w:val="00600BD0"/>
    <w:rsid w:val="006020AE"/>
    <w:rsid w:val="00602A3C"/>
    <w:rsid w:val="006066DB"/>
    <w:rsid w:val="00611AB6"/>
    <w:rsid w:val="006129A4"/>
    <w:rsid w:val="00613D86"/>
    <w:rsid w:val="006149EB"/>
    <w:rsid w:val="006159CB"/>
    <w:rsid w:val="00616FF1"/>
    <w:rsid w:val="00622A93"/>
    <w:rsid w:val="00627855"/>
    <w:rsid w:val="00627FBC"/>
    <w:rsid w:val="00631A9B"/>
    <w:rsid w:val="00632449"/>
    <w:rsid w:val="0063457D"/>
    <w:rsid w:val="00644C9A"/>
    <w:rsid w:val="006513AE"/>
    <w:rsid w:val="006514F7"/>
    <w:rsid w:val="00652942"/>
    <w:rsid w:val="00654C36"/>
    <w:rsid w:val="006561AF"/>
    <w:rsid w:val="00661676"/>
    <w:rsid w:val="00662A7A"/>
    <w:rsid w:val="00664F18"/>
    <w:rsid w:val="006663FC"/>
    <w:rsid w:val="0067304A"/>
    <w:rsid w:val="0067548F"/>
    <w:rsid w:val="00676045"/>
    <w:rsid w:val="006767FB"/>
    <w:rsid w:val="00676F3C"/>
    <w:rsid w:val="006941E2"/>
    <w:rsid w:val="00695B74"/>
    <w:rsid w:val="006A5275"/>
    <w:rsid w:val="006B3678"/>
    <w:rsid w:val="006B3D92"/>
    <w:rsid w:val="006C23C6"/>
    <w:rsid w:val="006C625F"/>
    <w:rsid w:val="006D5588"/>
    <w:rsid w:val="006E0782"/>
    <w:rsid w:val="006F024B"/>
    <w:rsid w:val="006F123E"/>
    <w:rsid w:val="006F64C5"/>
    <w:rsid w:val="007014B8"/>
    <w:rsid w:val="007025EE"/>
    <w:rsid w:val="00704321"/>
    <w:rsid w:val="00705139"/>
    <w:rsid w:val="00710C22"/>
    <w:rsid w:val="00717D3A"/>
    <w:rsid w:val="00722DA3"/>
    <w:rsid w:val="00726A69"/>
    <w:rsid w:val="00735C17"/>
    <w:rsid w:val="007367C6"/>
    <w:rsid w:val="00740496"/>
    <w:rsid w:val="00742823"/>
    <w:rsid w:val="00744DA5"/>
    <w:rsid w:val="007477DC"/>
    <w:rsid w:val="00750C50"/>
    <w:rsid w:val="0075436C"/>
    <w:rsid w:val="0075656F"/>
    <w:rsid w:val="00757C6D"/>
    <w:rsid w:val="00761993"/>
    <w:rsid w:val="00762193"/>
    <w:rsid w:val="00765502"/>
    <w:rsid w:val="00771551"/>
    <w:rsid w:val="007848C3"/>
    <w:rsid w:val="007912F6"/>
    <w:rsid w:val="0079287D"/>
    <w:rsid w:val="007944BC"/>
    <w:rsid w:val="007950C5"/>
    <w:rsid w:val="007A08C9"/>
    <w:rsid w:val="007A2E97"/>
    <w:rsid w:val="007A621C"/>
    <w:rsid w:val="007A79E7"/>
    <w:rsid w:val="007B03C3"/>
    <w:rsid w:val="007B46E1"/>
    <w:rsid w:val="007C1906"/>
    <w:rsid w:val="007D225B"/>
    <w:rsid w:val="007D257E"/>
    <w:rsid w:val="007D52E9"/>
    <w:rsid w:val="007E0C9D"/>
    <w:rsid w:val="007E12DF"/>
    <w:rsid w:val="007F3933"/>
    <w:rsid w:val="007F6EA7"/>
    <w:rsid w:val="007F7F1B"/>
    <w:rsid w:val="00800F69"/>
    <w:rsid w:val="00803242"/>
    <w:rsid w:val="00807E9E"/>
    <w:rsid w:val="00815C6D"/>
    <w:rsid w:val="00821D8D"/>
    <w:rsid w:val="00823266"/>
    <w:rsid w:val="008242EF"/>
    <w:rsid w:val="00824A75"/>
    <w:rsid w:val="00827820"/>
    <w:rsid w:val="00835D88"/>
    <w:rsid w:val="00835FAF"/>
    <w:rsid w:val="008465EF"/>
    <w:rsid w:val="0085014A"/>
    <w:rsid w:val="008505D6"/>
    <w:rsid w:val="0085067B"/>
    <w:rsid w:val="00852CA0"/>
    <w:rsid w:val="00865EB0"/>
    <w:rsid w:val="00867A49"/>
    <w:rsid w:val="00872266"/>
    <w:rsid w:val="008728AD"/>
    <w:rsid w:val="008745D3"/>
    <w:rsid w:val="008813B7"/>
    <w:rsid w:val="00883780"/>
    <w:rsid w:val="008847F4"/>
    <w:rsid w:val="00885473"/>
    <w:rsid w:val="0089356F"/>
    <w:rsid w:val="008954D0"/>
    <w:rsid w:val="00896CE7"/>
    <w:rsid w:val="00897AD6"/>
    <w:rsid w:val="008A470F"/>
    <w:rsid w:val="008B02D4"/>
    <w:rsid w:val="008B0D2B"/>
    <w:rsid w:val="008B4765"/>
    <w:rsid w:val="008B538D"/>
    <w:rsid w:val="008B6F69"/>
    <w:rsid w:val="008C25ED"/>
    <w:rsid w:val="008C2686"/>
    <w:rsid w:val="008D5CDE"/>
    <w:rsid w:val="008D5F87"/>
    <w:rsid w:val="008D7DAA"/>
    <w:rsid w:val="008E0A73"/>
    <w:rsid w:val="008E0DCA"/>
    <w:rsid w:val="008E1B1E"/>
    <w:rsid w:val="008E3339"/>
    <w:rsid w:val="008E4517"/>
    <w:rsid w:val="008E4FF2"/>
    <w:rsid w:val="008E5F0D"/>
    <w:rsid w:val="008E7058"/>
    <w:rsid w:val="008F0AEF"/>
    <w:rsid w:val="008F69EA"/>
    <w:rsid w:val="009010D8"/>
    <w:rsid w:val="00902F45"/>
    <w:rsid w:val="00906ACA"/>
    <w:rsid w:val="0090764E"/>
    <w:rsid w:val="00925093"/>
    <w:rsid w:val="00925F49"/>
    <w:rsid w:val="009262A9"/>
    <w:rsid w:val="00927F82"/>
    <w:rsid w:val="009311B2"/>
    <w:rsid w:val="00931A24"/>
    <w:rsid w:val="00931FE0"/>
    <w:rsid w:val="009321F9"/>
    <w:rsid w:val="00932A6E"/>
    <w:rsid w:val="0093469E"/>
    <w:rsid w:val="00935021"/>
    <w:rsid w:val="00935642"/>
    <w:rsid w:val="00946678"/>
    <w:rsid w:val="009561E0"/>
    <w:rsid w:val="00956D19"/>
    <w:rsid w:val="0095708A"/>
    <w:rsid w:val="00957C7B"/>
    <w:rsid w:val="00961817"/>
    <w:rsid w:val="00963C68"/>
    <w:rsid w:val="00966AC3"/>
    <w:rsid w:val="009716B9"/>
    <w:rsid w:val="009776E8"/>
    <w:rsid w:val="00977C53"/>
    <w:rsid w:val="0098750C"/>
    <w:rsid w:val="00996431"/>
    <w:rsid w:val="009A0B10"/>
    <w:rsid w:val="009A4A27"/>
    <w:rsid w:val="009A778F"/>
    <w:rsid w:val="009B3F74"/>
    <w:rsid w:val="009B580A"/>
    <w:rsid w:val="009B5A22"/>
    <w:rsid w:val="009B5E43"/>
    <w:rsid w:val="009C5B27"/>
    <w:rsid w:val="009C725C"/>
    <w:rsid w:val="009C7299"/>
    <w:rsid w:val="009D1366"/>
    <w:rsid w:val="009D3857"/>
    <w:rsid w:val="009D413A"/>
    <w:rsid w:val="009E0DEC"/>
    <w:rsid w:val="009F2AB4"/>
    <w:rsid w:val="009F684C"/>
    <w:rsid w:val="009F7842"/>
    <w:rsid w:val="009F7851"/>
    <w:rsid w:val="00A01D1D"/>
    <w:rsid w:val="00A02690"/>
    <w:rsid w:val="00A065C1"/>
    <w:rsid w:val="00A10B2A"/>
    <w:rsid w:val="00A114DD"/>
    <w:rsid w:val="00A2460E"/>
    <w:rsid w:val="00A3339F"/>
    <w:rsid w:val="00A335C6"/>
    <w:rsid w:val="00A3554C"/>
    <w:rsid w:val="00A35A85"/>
    <w:rsid w:val="00A41C8C"/>
    <w:rsid w:val="00A43B54"/>
    <w:rsid w:val="00A44267"/>
    <w:rsid w:val="00A50CD8"/>
    <w:rsid w:val="00A54129"/>
    <w:rsid w:val="00A557A6"/>
    <w:rsid w:val="00A727BF"/>
    <w:rsid w:val="00A72EB8"/>
    <w:rsid w:val="00A814CD"/>
    <w:rsid w:val="00A86F0D"/>
    <w:rsid w:val="00A91D29"/>
    <w:rsid w:val="00A93502"/>
    <w:rsid w:val="00AA1874"/>
    <w:rsid w:val="00AA1BC9"/>
    <w:rsid w:val="00AA3B2B"/>
    <w:rsid w:val="00AA6EBE"/>
    <w:rsid w:val="00AA7D4F"/>
    <w:rsid w:val="00AB2407"/>
    <w:rsid w:val="00AB2645"/>
    <w:rsid w:val="00AB33CA"/>
    <w:rsid w:val="00AB507B"/>
    <w:rsid w:val="00AC38D7"/>
    <w:rsid w:val="00AC53BF"/>
    <w:rsid w:val="00AC5E71"/>
    <w:rsid w:val="00AE2CDA"/>
    <w:rsid w:val="00AE459C"/>
    <w:rsid w:val="00AE5441"/>
    <w:rsid w:val="00AE61A9"/>
    <w:rsid w:val="00AF500A"/>
    <w:rsid w:val="00B0233A"/>
    <w:rsid w:val="00B04056"/>
    <w:rsid w:val="00B04554"/>
    <w:rsid w:val="00B0652B"/>
    <w:rsid w:val="00B07CC5"/>
    <w:rsid w:val="00B16AB3"/>
    <w:rsid w:val="00B17FBE"/>
    <w:rsid w:val="00B2411E"/>
    <w:rsid w:val="00B25F6F"/>
    <w:rsid w:val="00B300A7"/>
    <w:rsid w:val="00B34B92"/>
    <w:rsid w:val="00B4000C"/>
    <w:rsid w:val="00B51D60"/>
    <w:rsid w:val="00B534EF"/>
    <w:rsid w:val="00B54AF5"/>
    <w:rsid w:val="00B636CC"/>
    <w:rsid w:val="00B675B7"/>
    <w:rsid w:val="00B72F63"/>
    <w:rsid w:val="00BA14B3"/>
    <w:rsid w:val="00BA45B8"/>
    <w:rsid w:val="00BA5FC3"/>
    <w:rsid w:val="00BA79D4"/>
    <w:rsid w:val="00BB0433"/>
    <w:rsid w:val="00BB1F4C"/>
    <w:rsid w:val="00BB5742"/>
    <w:rsid w:val="00BB6701"/>
    <w:rsid w:val="00BC5C7E"/>
    <w:rsid w:val="00BC6640"/>
    <w:rsid w:val="00BD68A1"/>
    <w:rsid w:val="00BD743C"/>
    <w:rsid w:val="00BE028D"/>
    <w:rsid w:val="00BE0FF7"/>
    <w:rsid w:val="00BF2A47"/>
    <w:rsid w:val="00BF34D4"/>
    <w:rsid w:val="00BF4268"/>
    <w:rsid w:val="00C01238"/>
    <w:rsid w:val="00C026B1"/>
    <w:rsid w:val="00C04667"/>
    <w:rsid w:val="00C05AAF"/>
    <w:rsid w:val="00C12AA5"/>
    <w:rsid w:val="00C12C1A"/>
    <w:rsid w:val="00C12D1D"/>
    <w:rsid w:val="00C2586F"/>
    <w:rsid w:val="00C3422D"/>
    <w:rsid w:val="00C368BF"/>
    <w:rsid w:val="00C37449"/>
    <w:rsid w:val="00C406D4"/>
    <w:rsid w:val="00C407AB"/>
    <w:rsid w:val="00C41B0E"/>
    <w:rsid w:val="00C4363B"/>
    <w:rsid w:val="00C449B4"/>
    <w:rsid w:val="00C44A86"/>
    <w:rsid w:val="00C479DB"/>
    <w:rsid w:val="00C51358"/>
    <w:rsid w:val="00C51D85"/>
    <w:rsid w:val="00C566D1"/>
    <w:rsid w:val="00C57A41"/>
    <w:rsid w:val="00C60353"/>
    <w:rsid w:val="00C628A3"/>
    <w:rsid w:val="00C6419C"/>
    <w:rsid w:val="00C64393"/>
    <w:rsid w:val="00C6663D"/>
    <w:rsid w:val="00C706D1"/>
    <w:rsid w:val="00C81947"/>
    <w:rsid w:val="00C923A3"/>
    <w:rsid w:val="00C929A4"/>
    <w:rsid w:val="00CA0733"/>
    <w:rsid w:val="00CA7D0D"/>
    <w:rsid w:val="00CC0935"/>
    <w:rsid w:val="00CC0E33"/>
    <w:rsid w:val="00CC3310"/>
    <w:rsid w:val="00CD7594"/>
    <w:rsid w:val="00CE0477"/>
    <w:rsid w:val="00CE0F4F"/>
    <w:rsid w:val="00CE3BDA"/>
    <w:rsid w:val="00CF0DFC"/>
    <w:rsid w:val="00CF0EE6"/>
    <w:rsid w:val="00CF2EB0"/>
    <w:rsid w:val="00CF7311"/>
    <w:rsid w:val="00D00B8B"/>
    <w:rsid w:val="00D023D0"/>
    <w:rsid w:val="00D02FCD"/>
    <w:rsid w:val="00D0477C"/>
    <w:rsid w:val="00D20154"/>
    <w:rsid w:val="00D20371"/>
    <w:rsid w:val="00D21CC4"/>
    <w:rsid w:val="00D2380E"/>
    <w:rsid w:val="00D34747"/>
    <w:rsid w:val="00D374FD"/>
    <w:rsid w:val="00D426A6"/>
    <w:rsid w:val="00D429D7"/>
    <w:rsid w:val="00D42D12"/>
    <w:rsid w:val="00D42F2E"/>
    <w:rsid w:val="00D44F49"/>
    <w:rsid w:val="00D452C7"/>
    <w:rsid w:val="00D45868"/>
    <w:rsid w:val="00D47908"/>
    <w:rsid w:val="00D47A7A"/>
    <w:rsid w:val="00D52A2D"/>
    <w:rsid w:val="00D61A5F"/>
    <w:rsid w:val="00D61DF1"/>
    <w:rsid w:val="00D65296"/>
    <w:rsid w:val="00D656A8"/>
    <w:rsid w:val="00D679CA"/>
    <w:rsid w:val="00D71CB7"/>
    <w:rsid w:val="00D7364F"/>
    <w:rsid w:val="00D74C9B"/>
    <w:rsid w:val="00D764D7"/>
    <w:rsid w:val="00D77FAF"/>
    <w:rsid w:val="00D81AA7"/>
    <w:rsid w:val="00D90516"/>
    <w:rsid w:val="00DA0270"/>
    <w:rsid w:val="00DA1772"/>
    <w:rsid w:val="00DA3F17"/>
    <w:rsid w:val="00DA4BDB"/>
    <w:rsid w:val="00DA4E7D"/>
    <w:rsid w:val="00DA6D39"/>
    <w:rsid w:val="00DA739F"/>
    <w:rsid w:val="00DB3AFF"/>
    <w:rsid w:val="00DB5525"/>
    <w:rsid w:val="00DC138B"/>
    <w:rsid w:val="00DC28DB"/>
    <w:rsid w:val="00DC3B52"/>
    <w:rsid w:val="00DD13C8"/>
    <w:rsid w:val="00DD38A7"/>
    <w:rsid w:val="00DD65EB"/>
    <w:rsid w:val="00DD6C2E"/>
    <w:rsid w:val="00DE4C77"/>
    <w:rsid w:val="00DE681E"/>
    <w:rsid w:val="00DE6A48"/>
    <w:rsid w:val="00DF0FF9"/>
    <w:rsid w:val="00DF1165"/>
    <w:rsid w:val="00DF4CE9"/>
    <w:rsid w:val="00DF77D7"/>
    <w:rsid w:val="00E00D02"/>
    <w:rsid w:val="00E1321F"/>
    <w:rsid w:val="00E16A4F"/>
    <w:rsid w:val="00E17703"/>
    <w:rsid w:val="00E25DFC"/>
    <w:rsid w:val="00E32489"/>
    <w:rsid w:val="00E34BE3"/>
    <w:rsid w:val="00E422FC"/>
    <w:rsid w:val="00E45D22"/>
    <w:rsid w:val="00E45F01"/>
    <w:rsid w:val="00E505B0"/>
    <w:rsid w:val="00E50927"/>
    <w:rsid w:val="00E51D2F"/>
    <w:rsid w:val="00E561AE"/>
    <w:rsid w:val="00E578D8"/>
    <w:rsid w:val="00E61803"/>
    <w:rsid w:val="00E744B3"/>
    <w:rsid w:val="00E74515"/>
    <w:rsid w:val="00E775FC"/>
    <w:rsid w:val="00E8091C"/>
    <w:rsid w:val="00E81049"/>
    <w:rsid w:val="00E8222F"/>
    <w:rsid w:val="00E87212"/>
    <w:rsid w:val="00E87F01"/>
    <w:rsid w:val="00E90FE6"/>
    <w:rsid w:val="00E91FB3"/>
    <w:rsid w:val="00E93F5A"/>
    <w:rsid w:val="00EA6A2E"/>
    <w:rsid w:val="00EB17CD"/>
    <w:rsid w:val="00EC15D8"/>
    <w:rsid w:val="00EC18E3"/>
    <w:rsid w:val="00EC296E"/>
    <w:rsid w:val="00EC3BB2"/>
    <w:rsid w:val="00EC71D0"/>
    <w:rsid w:val="00EE13DA"/>
    <w:rsid w:val="00EE2A9C"/>
    <w:rsid w:val="00EE50FF"/>
    <w:rsid w:val="00EF20CC"/>
    <w:rsid w:val="00EF6141"/>
    <w:rsid w:val="00EF69B4"/>
    <w:rsid w:val="00F11081"/>
    <w:rsid w:val="00F16B3A"/>
    <w:rsid w:val="00F17606"/>
    <w:rsid w:val="00F21B64"/>
    <w:rsid w:val="00F25220"/>
    <w:rsid w:val="00F27BF2"/>
    <w:rsid w:val="00F34184"/>
    <w:rsid w:val="00F35C6B"/>
    <w:rsid w:val="00F448B9"/>
    <w:rsid w:val="00F457DB"/>
    <w:rsid w:val="00F45A82"/>
    <w:rsid w:val="00F57B45"/>
    <w:rsid w:val="00F62089"/>
    <w:rsid w:val="00F62FCC"/>
    <w:rsid w:val="00F67995"/>
    <w:rsid w:val="00F75C13"/>
    <w:rsid w:val="00F75DA8"/>
    <w:rsid w:val="00F80EC0"/>
    <w:rsid w:val="00F815AB"/>
    <w:rsid w:val="00F8257D"/>
    <w:rsid w:val="00F834F4"/>
    <w:rsid w:val="00F90C93"/>
    <w:rsid w:val="00F914B3"/>
    <w:rsid w:val="00F93C75"/>
    <w:rsid w:val="00F950D0"/>
    <w:rsid w:val="00FA1D7D"/>
    <w:rsid w:val="00FA5D04"/>
    <w:rsid w:val="00FB01AA"/>
    <w:rsid w:val="00FB062F"/>
    <w:rsid w:val="00FC236E"/>
    <w:rsid w:val="00FC280D"/>
    <w:rsid w:val="00FC5EE7"/>
    <w:rsid w:val="00FC62DF"/>
    <w:rsid w:val="00FC63B2"/>
    <w:rsid w:val="00FD44CC"/>
    <w:rsid w:val="00FE7F31"/>
    <w:rsid w:val="00FF3D73"/>
    <w:rsid w:val="08D5688C"/>
    <w:rsid w:val="62A7548B"/>
    <w:rsid w:val="7EAD66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qFormat="1" w:uiPriority="39" w:semiHidden="0"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kern w:val="0"/>
      <w:sz w:val="22"/>
      <w:szCs w:val="22"/>
      <w:lang w:val="en-US" w:eastAsia="zh-CN" w:bidi="ar-SA"/>
    </w:rPr>
  </w:style>
  <w:style w:type="paragraph" w:styleId="2">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8"/>
    <w:unhideWhenUsed/>
    <w:qFormat/>
    <w:uiPriority w:val="9"/>
    <w:pPr>
      <w:keepNext/>
      <w:keepLines/>
      <w:widowControl w:val="0"/>
      <w:adjustRightInd/>
      <w:snapToGrid/>
      <w:spacing w:before="260" w:after="260" w:line="416" w:lineRule="auto"/>
      <w:jc w:val="both"/>
      <w:outlineLvl w:val="2"/>
    </w:pPr>
    <w:rPr>
      <w:rFonts w:ascii="Times New Roman" w:hAnsi="Times New Roman" w:eastAsia="宋体"/>
      <w:b/>
      <w:bCs/>
      <w:kern w:val="2"/>
      <w:sz w:val="28"/>
      <w:szCs w:val="32"/>
    </w:rPr>
  </w:style>
  <w:style w:type="character" w:default="1" w:styleId="12">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Plain Text"/>
    <w:basedOn w:val="1"/>
    <w:link w:val="19"/>
    <w:qFormat/>
    <w:uiPriority w:val="0"/>
    <w:pPr>
      <w:adjustRightInd/>
      <w:snapToGrid/>
      <w:spacing w:before="100" w:beforeAutospacing="1" w:after="100" w:afterAutospacing="1"/>
    </w:pPr>
    <w:rPr>
      <w:rFonts w:ascii="ˎ̥" w:hAnsi="ˎ̥" w:eastAsiaTheme="minorEastAsia" w:cstheme="minorBidi"/>
      <w:kern w:val="2"/>
      <w:sz w:val="18"/>
      <w:szCs w:val="18"/>
    </w:rPr>
  </w:style>
  <w:style w:type="paragraph" w:styleId="5">
    <w:name w:val="toc 8"/>
    <w:basedOn w:val="1"/>
    <w:next w:val="1"/>
    <w:unhideWhenUsed/>
    <w:qFormat/>
    <w:uiPriority w:val="39"/>
    <w:pPr>
      <w:widowControl w:val="0"/>
      <w:adjustRightInd/>
      <w:snapToGrid/>
      <w:spacing w:after="0"/>
      <w:ind w:left="1470"/>
    </w:pPr>
    <w:rPr>
      <w:rFonts w:eastAsia="宋体" w:asciiTheme="minorHAnsi" w:hAnsiTheme="minorHAnsi" w:cstheme="minorHAnsi"/>
      <w:kern w:val="2"/>
      <w:sz w:val="18"/>
      <w:szCs w:val="18"/>
    </w:rPr>
  </w:style>
  <w:style w:type="paragraph" w:styleId="6">
    <w:name w:val="Balloon Text"/>
    <w:basedOn w:val="1"/>
    <w:link w:val="17"/>
    <w:semiHidden/>
    <w:unhideWhenUsed/>
    <w:qFormat/>
    <w:uiPriority w:val="99"/>
    <w:pPr>
      <w:spacing w:after="0"/>
    </w:pPr>
    <w:rPr>
      <w:sz w:val="18"/>
      <w:szCs w:val="18"/>
    </w:rPr>
  </w:style>
  <w:style w:type="paragraph" w:styleId="7">
    <w:name w:val="footer"/>
    <w:basedOn w:val="1"/>
    <w:link w:val="15"/>
    <w:unhideWhenUsed/>
    <w:qFormat/>
    <w:uiPriority w:val="0"/>
    <w:pPr>
      <w:widowControl w:val="0"/>
      <w:tabs>
        <w:tab w:val="center" w:pos="4153"/>
        <w:tab w:val="right" w:pos="8306"/>
      </w:tabs>
      <w:adjustRightInd/>
      <w:spacing w:after="0"/>
    </w:pPr>
    <w:rPr>
      <w:rFonts w:asciiTheme="minorHAnsi" w:hAnsiTheme="minorHAnsi" w:eastAsiaTheme="minorEastAsia" w:cstheme="minorBidi"/>
      <w:kern w:val="2"/>
      <w:sz w:val="18"/>
      <w:szCs w:val="18"/>
    </w:rPr>
  </w:style>
  <w:style w:type="paragraph" w:styleId="8">
    <w:name w:val="header"/>
    <w:basedOn w:val="1"/>
    <w:link w:val="14"/>
    <w:unhideWhenUsed/>
    <w:qFormat/>
    <w:uiPriority w:val="99"/>
    <w:pPr>
      <w:widowControl w:val="0"/>
      <w:pBdr>
        <w:bottom w:val="single" w:color="auto" w:sz="6" w:space="1"/>
      </w:pBdr>
      <w:tabs>
        <w:tab w:val="center" w:pos="4153"/>
        <w:tab w:val="right" w:pos="8306"/>
      </w:tabs>
      <w:adjustRightInd/>
      <w:spacing w:after="0"/>
      <w:jc w:val="center"/>
    </w:pPr>
    <w:rPr>
      <w:rFonts w:asciiTheme="minorHAnsi" w:hAnsiTheme="minorHAnsi" w:eastAsiaTheme="minorEastAsia" w:cstheme="minorBidi"/>
      <w:kern w:val="2"/>
      <w:sz w:val="18"/>
      <w:szCs w:val="18"/>
    </w:rPr>
  </w:style>
  <w:style w:type="paragraph" w:styleId="9">
    <w:name w:val="Normal (Web)"/>
    <w:basedOn w:val="1"/>
    <w:semiHidden/>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1">
    <w:name w:val="Table Grid"/>
    <w:basedOn w:val="10"/>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customStyle="1" w:styleId="14">
    <w:name w:val="页眉 Char"/>
    <w:basedOn w:val="12"/>
    <w:link w:val="8"/>
    <w:qFormat/>
    <w:uiPriority w:val="99"/>
    <w:rPr>
      <w:sz w:val="18"/>
      <w:szCs w:val="18"/>
    </w:rPr>
  </w:style>
  <w:style w:type="character" w:customStyle="1" w:styleId="15">
    <w:name w:val="页脚 Char"/>
    <w:basedOn w:val="12"/>
    <w:link w:val="7"/>
    <w:qFormat/>
    <w:uiPriority w:val="0"/>
    <w:rPr>
      <w:sz w:val="18"/>
      <w:szCs w:val="18"/>
    </w:rPr>
  </w:style>
  <w:style w:type="paragraph" w:styleId="16">
    <w:name w:val="List Paragraph"/>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character" w:customStyle="1" w:styleId="17">
    <w:name w:val="批注框文本 Char"/>
    <w:basedOn w:val="12"/>
    <w:link w:val="6"/>
    <w:semiHidden/>
    <w:qFormat/>
    <w:uiPriority w:val="99"/>
    <w:rPr>
      <w:rFonts w:ascii="Tahoma" w:hAnsi="Tahoma" w:eastAsia="微软雅黑" w:cs="Times New Roman"/>
      <w:kern w:val="0"/>
      <w:sz w:val="18"/>
      <w:szCs w:val="18"/>
    </w:rPr>
  </w:style>
  <w:style w:type="character" w:customStyle="1" w:styleId="18">
    <w:name w:val="标题 3 Char"/>
    <w:basedOn w:val="12"/>
    <w:link w:val="3"/>
    <w:qFormat/>
    <w:uiPriority w:val="9"/>
    <w:rPr>
      <w:rFonts w:ascii="Times New Roman" w:hAnsi="Times New Roman" w:eastAsia="宋体" w:cs="Times New Roman"/>
      <w:b/>
      <w:bCs/>
      <w:sz w:val="28"/>
      <w:szCs w:val="32"/>
    </w:rPr>
  </w:style>
  <w:style w:type="character" w:customStyle="1" w:styleId="19">
    <w:name w:val="纯文本 Char"/>
    <w:link w:val="4"/>
    <w:qFormat/>
    <w:uiPriority w:val="0"/>
    <w:rPr>
      <w:rFonts w:ascii="ˎ̥" w:hAnsi="ˎ̥"/>
      <w:sz w:val="18"/>
      <w:szCs w:val="18"/>
    </w:rPr>
  </w:style>
  <w:style w:type="character" w:customStyle="1" w:styleId="20">
    <w:name w:val="纯文本 Char1"/>
    <w:basedOn w:val="12"/>
    <w:semiHidden/>
    <w:qFormat/>
    <w:uiPriority w:val="99"/>
    <w:rPr>
      <w:rFonts w:ascii="宋体" w:hAnsi="Courier New" w:eastAsia="宋体" w:cs="Courier New"/>
      <w:kern w:val="0"/>
      <w:szCs w:val="21"/>
    </w:rPr>
  </w:style>
  <w:style w:type="character" w:customStyle="1" w:styleId="21">
    <w:name w:val="表格 Char Char"/>
    <w:basedOn w:val="12"/>
    <w:link w:val="22"/>
    <w:qFormat/>
    <w:uiPriority w:val="0"/>
    <w:rPr>
      <w:rFonts w:ascii="宋体" w:hAnsi="宋体"/>
      <w:snapToGrid w:val="0"/>
    </w:rPr>
  </w:style>
  <w:style w:type="paragraph" w:customStyle="1" w:styleId="22">
    <w:name w:val="表格"/>
    <w:link w:val="21"/>
    <w:qFormat/>
    <w:uiPriority w:val="0"/>
    <w:pPr>
      <w:spacing w:line="380" w:lineRule="exact"/>
      <w:jc w:val="center"/>
    </w:pPr>
    <w:rPr>
      <w:rFonts w:ascii="宋体" w:hAnsi="宋体" w:eastAsiaTheme="minorEastAsia" w:cstheme="minorBidi"/>
      <w:snapToGrid w:val="0"/>
      <w:kern w:val="2"/>
      <w:sz w:val="21"/>
      <w:szCs w:val="22"/>
      <w:lang w:val="en-US" w:eastAsia="zh-CN" w:bidi="ar-SA"/>
    </w:rPr>
  </w:style>
  <w:style w:type="character" w:customStyle="1" w:styleId="23">
    <w:name w:val="标题 2 Char"/>
    <w:basedOn w:val="12"/>
    <w:link w:val="2"/>
    <w:qFormat/>
    <w:uiPriority w:val="9"/>
    <w:rPr>
      <w:rFonts w:asciiTheme="majorHAnsi" w:hAnsiTheme="majorHAnsi" w:eastAsiaTheme="majorEastAsia" w:cstheme="majorBidi"/>
      <w:b/>
      <w:bCs/>
      <w:kern w:val="0"/>
      <w:sz w:val="32"/>
      <w:szCs w:val="32"/>
    </w:rPr>
  </w:style>
  <w:style w:type="character" w:customStyle="1" w:styleId="24">
    <w:name w:val="表格内容 Char"/>
    <w:link w:val="25"/>
    <w:qFormat/>
    <w:uiPriority w:val="0"/>
    <w:rPr>
      <w:rFonts w:hAnsi="宋体"/>
    </w:rPr>
  </w:style>
  <w:style w:type="paragraph" w:customStyle="1" w:styleId="25">
    <w:name w:val="表格内容"/>
    <w:basedOn w:val="1"/>
    <w:link w:val="24"/>
    <w:qFormat/>
    <w:uiPriority w:val="0"/>
    <w:pPr>
      <w:widowControl w:val="0"/>
      <w:tabs>
        <w:tab w:val="left" w:pos="2340"/>
      </w:tabs>
      <w:adjustRightInd/>
      <w:spacing w:after="0"/>
      <w:jc w:val="center"/>
    </w:pPr>
    <w:rPr>
      <w:rFonts w:hAnsi="宋体" w:asciiTheme="minorHAnsi" w:eastAsiaTheme="minorEastAsia" w:cstheme="minorBidi"/>
      <w:kern w:val="2"/>
      <w:sz w:val="21"/>
    </w:rPr>
  </w:style>
  <w:style w:type="paragraph" w:customStyle="1" w:styleId="26">
    <w:name w:val="Table Paragraph"/>
    <w:basedOn w:val="1"/>
    <w:qFormat/>
    <w:uiPriority w:val="1"/>
    <w:pPr>
      <w:widowControl w:val="0"/>
      <w:autoSpaceDE w:val="0"/>
      <w:autoSpaceDN w:val="0"/>
      <w:adjustRightInd/>
      <w:snapToGrid/>
      <w:spacing w:after="0"/>
    </w:pPr>
    <w:rPr>
      <w:rFonts w:ascii="宋体" w:hAnsi="宋体" w:eastAsia="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55BA6-D328-4026-9F6E-B2921DEA1C42}">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21</Pages>
  <Words>219</Words>
  <Characters>253</Characters>
  <Lines>567</Lines>
  <Paragraphs>621</Paragraphs>
  <TotalTime>4453</TotalTime>
  <ScaleCrop>false</ScaleCrop>
  <LinksUpToDate>false</LinksUpToDate>
  <CharactersWithSpaces>281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2018-07-12T02:16:00Z</dcterms:created>
  <dc:creator>Administrator</dc:creator>
  <cp:lastModifiedBy>Hello.び</cp:lastModifiedBy>
  <dcterms:modified xsi:type="dcterms:W3CDTF">2025-02-25T09:45:23Z</dcterms:modified>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eyJoZGlkIjoiM2JjYTE2NWNjYzFmNDQ4NzA3YjlkMmRjMDhjNzYyYzgiLCJ1c2VySWQiOiIxMDU4MTg3NDkyIn0=</vt:lpwstr>
  </property>
  <property fmtid="{D5CDD505-2E9C-101B-9397-08002B2CF9AE}" pid="4" name="ICV">
    <vt:lpwstr>274518FF5D7342F09E15E0D82656612F_13</vt:lpwstr>
  </property>
</Properties>
</file>