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3182"/>
      <w:bookmarkStart w:id="1" w:name="_Toc20258"/>
      <w:bookmarkStart w:id="2" w:name="_Toc23897"/>
      <w:bookmarkStart w:id="3" w:name="_Toc5853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009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0000009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李阳、张茹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在秦汉新城太伟豪园（枫丹丽舍）小区3-XXXX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2号，未经审批，擅自修建房屋（砖混）面积34.73㎡</w:t>
      </w:r>
      <w:r>
        <w:rPr>
          <w:rFonts w:hint="eastAsia" w:ascii="仿宋_GB2312" w:eastAsia="仿宋_GB2312"/>
          <w:sz w:val="32"/>
          <w:szCs w:val="32"/>
        </w:rPr>
        <w:t>的行为，违反了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 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14CD18FF"/>
    <w:rsid w:val="16AE750E"/>
    <w:rsid w:val="17F43F58"/>
    <w:rsid w:val="2D0B31B9"/>
    <w:rsid w:val="2D9708A4"/>
    <w:rsid w:val="2F1842F3"/>
    <w:rsid w:val="35472BB0"/>
    <w:rsid w:val="42A96C58"/>
    <w:rsid w:val="44BE1474"/>
    <w:rsid w:val="481D191B"/>
    <w:rsid w:val="4D602A63"/>
    <w:rsid w:val="586E773C"/>
    <w:rsid w:val="5E4B65AD"/>
    <w:rsid w:val="622F287E"/>
    <w:rsid w:val="6DF36E56"/>
    <w:rsid w:val="6F655B31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462</Characters>
  <Lines>0</Lines>
  <Paragraphs>0</Paragraphs>
  <TotalTime>0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7ED9AC229A254067BD2081A97ECDCFB9</vt:lpwstr>
  </property>
</Properties>
</file>