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jc w:val="left"/>
        <w:rPr>
          <w:rFonts w:hint="eastAsia" w:ascii="宋体" w:hAnsi="宋体" w:eastAsia="宋体" w:cs="宋体"/>
          <w:b w:val="0"/>
          <w:bCs/>
          <w:sz w:val="28"/>
          <w:szCs w:val="28"/>
        </w:rPr>
      </w:pPr>
      <w:r>
        <w:rPr>
          <w:rFonts w:hint="eastAsia" w:ascii="黑体" w:hAnsi="Times New Roman" w:eastAsia="黑体"/>
          <w:kern w:val="0"/>
        </w:rPr>
        <w:t>附表1</w:t>
      </w:r>
      <w:r>
        <w:rPr>
          <w:rFonts w:hint="eastAsia" w:ascii="黑体" w:hAnsi="Times New Roman" w:eastAsia="黑体"/>
          <w:kern w:val="0"/>
          <w:lang w:val="en-US" w:eastAsia="zh-CN"/>
        </w:rPr>
        <w:t xml:space="preserve">    </w:t>
      </w:r>
      <w:r>
        <w:rPr>
          <w:rFonts w:hint="eastAsia" w:ascii="宋体" w:hAnsi="宋体" w:eastAsia="宋体" w:cs="宋体"/>
          <w:b w:val="0"/>
          <w:bCs/>
          <w:color w:val="auto"/>
          <w:kern w:val="0"/>
          <w:sz w:val="28"/>
          <w:szCs w:val="28"/>
          <w:lang w:eastAsia="zh-CN"/>
        </w:rPr>
        <w:t>咸阳昱隆票据印务有限公司</w:t>
      </w:r>
      <w:r>
        <w:rPr>
          <w:rFonts w:hint="eastAsia" w:ascii="宋体" w:hAnsi="宋体" w:eastAsia="宋体" w:cs="宋体"/>
          <w:b w:val="0"/>
          <w:bCs/>
          <w:sz w:val="28"/>
          <w:szCs w:val="28"/>
        </w:rPr>
        <w:t>突发环境事件应急预案评审表</w:t>
      </w:r>
    </w:p>
    <w:p>
      <w:pPr>
        <w:autoSpaceDE w:val="0"/>
        <w:autoSpaceDN w:val="0"/>
        <w:adjustRightInd w:val="0"/>
        <w:snapToGrid w:val="0"/>
        <w:spacing w:line="408" w:lineRule="auto"/>
        <w:jc w:val="left"/>
        <w:rPr>
          <w:rFonts w:ascii="黑体" w:hAnsi="Times New Roman" w:eastAsia="黑体"/>
          <w:kern w:val="0"/>
        </w:rPr>
      </w:pPr>
    </w:p>
    <w:tbl>
      <w:tblPr>
        <w:tblStyle w:val="5"/>
        <w:tblW w:w="1378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3795"/>
        <w:gridCol w:w="1275"/>
        <w:gridCol w:w="630"/>
        <w:gridCol w:w="1671"/>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1" w:type="dxa"/>
            <w:gridSpan w:val="7"/>
            <w:noWrap w:val="0"/>
            <w:vAlign w:val="center"/>
          </w:tcPr>
          <w:p>
            <w:pPr>
              <w:adjustRightInd w:val="0"/>
              <w:snapToGrid w:val="0"/>
              <w:spacing w:before="93" w:beforeLines="30"/>
              <w:jc w:val="left"/>
              <w:rPr>
                <w:rFonts w:hint="eastAsia" w:ascii="宋体" w:hAnsi="宋体" w:eastAsia="宋体"/>
                <w:sz w:val="21"/>
                <w:szCs w:val="21"/>
                <w:lang w:val="en-US" w:eastAsia="zh-CN"/>
              </w:rPr>
            </w:pPr>
            <w:r>
              <w:rPr>
                <w:rFonts w:hint="eastAsia" w:ascii="宋体" w:hAnsi="宋体" w:eastAsia="宋体"/>
                <w:sz w:val="21"/>
                <w:szCs w:val="21"/>
              </w:rPr>
              <w:t>预案编制单位：</w:t>
            </w:r>
            <w:r>
              <w:rPr>
                <w:rFonts w:hint="eastAsia" w:ascii="宋体" w:hAnsi="宋体" w:eastAsia="宋体" w:cs="宋体"/>
                <w:b w:val="0"/>
                <w:bCs/>
                <w:color w:val="auto"/>
                <w:kern w:val="0"/>
                <w:sz w:val="28"/>
                <w:szCs w:val="28"/>
                <w:lang w:eastAsia="zh-CN"/>
              </w:rPr>
              <w:t>咸阳昱隆票据印务有限公司</w:t>
            </w:r>
          </w:p>
          <w:p>
            <w:pPr>
              <w:adjustRightInd w:val="0"/>
              <w:snapToGrid w:val="0"/>
              <w:jc w:val="left"/>
              <w:rPr>
                <w:rFonts w:ascii="宋体" w:hAnsi="宋体" w:eastAsia="宋体"/>
                <w:sz w:val="21"/>
                <w:szCs w:val="21"/>
              </w:rPr>
            </w:pPr>
            <w:r>
              <w:rPr>
                <w:rFonts w:ascii="宋体" w:hAnsi="宋体" w:eastAsia="宋体"/>
                <w:sz w:val="21"/>
                <w:szCs w:val="21"/>
              </w:rPr>
              <w:t>(</w:t>
            </w:r>
            <w:r>
              <w:rPr>
                <w:rFonts w:hint="eastAsia" w:ascii="宋体" w:hAnsi="宋体" w:eastAsia="宋体"/>
                <w:sz w:val="21"/>
                <w:szCs w:val="21"/>
              </w:rPr>
              <w:t>专业技术服务机构</w:t>
            </w:r>
            <w:r>
              <w:rPr>
                <w:rFonts w:hint="eastAsia" w:ascii="宋体" w:hAnsi="宋体" w:eastAsia="宋体"/>
                <w:sz w:val="21"/>
                <w:szCs w:val="21"/>
                <w:lang w:val="en-US" w:eastAsia="zh-CN"/>
              </w:rPr>
              <w:t>;</w:t>
            </w:r>
            <w:r>
              <w:rPr>
                <w:rFonts w:ascii="宋体" w:hAnsi="宋体" w:eastAsia="宋体"/>
                <w:sz w:val="21"/>
                <w:szCs w:val="21"/>
              </w:rPr>
              <w:t>)</w:t>
            </w:r>
          </w:p>
          <w:p>
            <w:pPr>
              <w:adjustRightInd w:val="0"/>
              <w:snapToGrid w:val="0"/>
              <w:jc w:val="left"/>
              <w:rPr>
                <w:rFonts w:ascii="宋体" w:hAnsi="宋体" w:eastAsia="宋体"/>
                <w:sz w:val="21"/>
                <w:szCs w:val="21"/>
              </w:rPr>
            </w:pPr>
            <w:r>
              <w:rPr>
                <w:rFonts w:hint="eastAsia" w:ascii="宋体" w:hAnsi="宋体" w:eastAsia="宋体"/>
                <w:sz w:val="21"/>
                <w:szCs w:val="21"/>
              </w:rPr>
              <w:t>企业环境风险级别：</w:t>
            </w:r>
            <w:r>
              <w:rPr>
                <w:rFonts w:hint="eastAsia" w:ascii="宋体" w:hAnsi="宋体" w:eastAsia="宋体"/>
                <w:sz w:val="21"/>
                <w:szCs w:val="21"/>
                <w:lang w:eastAsia="zh-CN"/>
              </w:rPr>
              <w:t>☑</w:t>
            </w:r>
            <w:r>
              <w:rPr>
                <w:rFonts w:hint="eastAsia" w:ascii="宋体" w:hAnsi="宋体" w:eastAsia="宋体"/>
                <w:sz w:val="21"/>
                <w:szCs w:val="21"/>
              </w:rPr>
              <w:t>一般；□较大；□重大</w:t>
            </w:r>
          </w:p>
          <w:p>
            <w:pPr>
              <w:adjustRightInd w:val="0"/>
              <w:snapToGrid w:val="0"/>
              <w:spacing w:after="93" w:afterLines="30"/>
              <w:jc w:val="right"/>
              <w:rPr>
                <w:rFonts w:hint="eastAsia"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1" w:type="dxa"/>
            <w:gridSpan w:val="7"/>
            <w:noWrap w:val="0"/>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5355" w:type="dxa"/>
            <w:gridSpan w:val="3"/>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3576" w:type="dxa"/>
            <w:gridSpan w:val="3"/>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5355" w:type="dxa"/>
            <w:gridSpan w:val="3"/>
            <w:vMerge w:val="continue"/>
            <w:noWrap w:val="0"/>
            <w:vAlign w:val="center"/>
          </w:tcPr>
          <w:p>
            <w:pPr>
              <w:adjustRightInd w:val="0"/>
              <w:snapToGrid w:val="0"/>
              <w:jc w:val="center"/>
              <w:rPr>
                <w:rFonts w:ascii="宋体" w:hAnsi="宋体" w:eastAsia="宋体"/>
                <w:sz w:val="21"/>
                <w:szCs w:val="21"/>
              </w:rPr>
            </w:pPr>
          </w:p>
        </w:tc>
        <w:tc>
          <w:tcPr>
            <w:tcW w:w="1275"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  定</w:t>
            </w:r>
          </w:p>
        </w:tc>
        <w:tc>
          <w:tcPr>
            <w:tcW w:w="2301" w:type="dxa"/>
            <w:gridSpan w:val="2"/>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  明</w:t>
            </w:r>
          </w:p>
        </w:tc>
        <w:tc>
          <w:tcPr>
            <w:tcW w:w="4850" w:type="dxa"/>
            <w:vMerge w:val="continue"/>
            <w:noWrap w:val="0"/>
            <w:vAlign w:val="center"/>
          </w:tcPr>
          <w:p>
            <w:pPr>
              <w:adjustRightInd w:val="0"/>
              <w:snapToGrid w:val="0"/>
              <w:jc w:val="left"/>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5355" w:type="dxa"/>
            <w:gridSpan w:val="3"/>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有单独的环境风险评估报告和环境应急资源调查报告（表）</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2301" w:type="dxa"/>
            <w:gridSpan w:val="2"/>
            <w:noWrap w:val="0"/>
            <w:vAlign w:val="center"/>
          </w:tcPr>
          <w:p>
            <w:pPr>
              <w:adjustRightInd w:val="0"/>
              <w:snapToGrid w:val="0"/>
              <w:jc w:val="left"/>
              <w:rPr>
                <w:rFonts w:ascii="宋体" w:hAnsi="宋体" w:eastAsia="宋体"/>
                <w:sz w:val="21"/>
                <w:szCs w:val="21"/>
              </w:rPr>
            </w:pPr>
          </w:p>
        </w:tc>
        <w:tc>
          <w:tcPr>
            <w:tcW w:w="4850" w:type="dxa"/>
            <w:noWrap w:val="0"/>
            <w:vAlign w:val="center"/>
          </w:tcPr>
          <w:p>
            <w:pPr>
              <w:adjustRightInd w:val="0"/>
              <w:snapToGrid w:val="0"/>
              <w:rPr>
                <w:rFonts w:hint="eastAsia" w:ascii="宋体" w:hAnsi="宋体" w:eastAsia="宋体"/>
                <w:sz w:val="21"/>
                <w:szCs w:val="21"/>
              </w:rPr>
            </w:pPr>
            <w:r>
              <w:rPr>
                <w:rFonts w:hint="eastAsia" w:ascii="宋体" w:hAnsi="宋体" w:eastAsia="宋体"/>
                <w:sz w:val="21"/>
                <w:szCs w:val="21"/>
              </w:rPr>
              <w:t>突发事件应急预案管理办法有关规定；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5355" w:type="dxa"/>
            <w:gridSpan w:val="3"/>
            <w:noWrap w:val="0"/>
            <w:vAlign w:val="center"/>
          </w:tcPr>
          <w:p>
            <w:pPr>
              <w:adjustRightInd w:val="0"/>
              <w:snapToGrid w:val="0"/>
              <w:jc w:val="left"/>
              <w:rPr>
                <w:rFonts w:ascii="宋体" w:hAnsi="宋体" w:eastAsia="宋体"/>
                <w:spacing w:val="-4"/>
                <w:sz w:val="21"/>
                <w:szCs w:val="21"/>
              </w:rPr>
            </w:pPr>
            <w:r>
              <w:rPr>
                <w:rFonts w:hint="eastAsia" w:ascii="宋体" w:hAnsi="宋体" w:eastAsia="宋体"/>
                <w:spacing w:val="-4"/>
                <w:sz w:val="21"/>
                <w:szCs w:val="21"/>
              </w:rPr>
              <w:t>从可能的突发环境事件情景出发编制且典型突发环境事件情景无缺失</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2301" w:type="dxa"/>
            <w:gridSpan w:val="2"/>
            <w:noWrap w:val="0"/>
            <w:vAlign w:val="center"/>
          </w:tcPr>
          <w:p>
            <w:pPr>
              <w:adjustRightInd w:val="0"/>
              <w:snapToGrid w:val="0"/>
              <w:jc w:val="left"/>
              <w:rPr>
                <w:rFonts w:ascii="宋体" w:hAnsi="宋体" w:eastAsia="宋体"/>
                <w:sz w:val="21"/>
                <w:szCs w:val="21"/>
              </w:rPr>
            </w:pPr>
          </w:p>
        </w:tc>
        <w:tc>
          <w:tcPr>
            <w:tcW w:w="4850" w:type="dxa"/>
            <w:noWrap w:val="0"/>
            <w:vAlign w:val="center"/>
          </w:tcPr>
          <w:p>
            <w:pPr>
              <w:adjustRightInd w:val="0"/>
              <w:snapToGrid w:val="0"/>
              <w:rPr>
                <w:rFonts w:hint="eastAsia" w:ascii="宋体" w:hAnsi="宋体" w:eastAsia="宋体"/>
                <w:sz w:val="21"/>
                <w:szCs w:val="21"/>
              </w:rPr>
            </w:pPr>
            <w:r>
              <w:rPr>
                <w:rFonts w:hint="eastAsia" w:ascii="宋体" w:hAnsi="宋体" w:eastAsia="宋体"/>
                <w:sz w:val="21"/>
                <w:szCs w:val="21"/>
              </w:rPr>
              <w:t>突发事件应对法有关规定；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备案管理办法第九、十条，均对企业从可能的突发环境事件情景出发编制环境应急预案提出了要求；</w:t>
            </w:r>
          </w:p>
          <w:p>
            <w:pPr>
              <w:adjustRightInd w:val="0"/>
              <w:snapToGrid w:val="0"/>
              <w:rPr>
                <w:rFonts w:ascii="宋体" w:hAnsi="宋体" w:eastAsia="宋体"/>
                <w:sz w:val="21"/>
                <w:szCs w:val="21"/>
              </w:rPr>
            </w:pPr>
            <w:r>
              <w:rPr>
                <w:rFonts w:hint="eastAsia" w:ascii="宋体" w:hAnsi="宋体" w:eastAsia="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5355" w:type="dxa"/>
            <w:gridSpan w:val="3"/>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能够让周边居民和单位获得事件信息</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2301" w:type="dxa"/>
            <w:gridSpan w:val="2"/>
            <w:noWrap w:val="0"/>
            <w:vAlign w:val="center"/>
          </w:tcPr>
          <w:p>
            <w:pPr>
              <w:adjustRightInd w:val="0"/>
              <w:snapToGrid w:val="0"/>
              <w:jc w:val="left"/>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1" w:type="dxa"/>
            <w:gridSpan w:val="7"/>
            <w:noWrap w:val="0"/>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评审项目</w:t>
            </w:r>
          </w:p>
        </w:tc>
        <w:tc>
          <w:tcPr>
            <w:tcW w:w="4221" w:type="dxa"/>
            <w:gridSpan w:val="2"/>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3576" w:type="dxa"/>
            <w:gridSpan w:val="3"/>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21" w:type="dxa"/>
            <w:gridSpan w:val="2"/>
            <w:vMerge w:val="continue"/>
            <w:noWrap w:val="0"/>
            <w:vAlign w:val="center"/>
          </w:tcPr>
          <w:p>
            <w:pPr>
              <w:adjustRightInd w:val="0"/>
              <w:snapToGrid w:val="0"/>
              <w:jc w:val="center"/>
              <w:rPr>
                <w:rFonts w:ascii="宋体" w:hAnsi="宋体" w:eastAsia="宋体"/>
                <w:sz w:val="21"/>
                <w:szCs w:val="21"/>
              </w:rPr>
            </w:pPr>
          </w:p>
        </w:tc>
        <w:tc>
          <w:tcPr>
            <w:tcW w:w="1275"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判定</w:t>
            </w:r>
          </w:p>
        </w:tc>
        <w:tc>
          <w:tcPr>
            <w:tcW w:w="630"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得分</w:t>
            </w:r>
          </w:p>
        </w:tc>
        <w:tc>
          <w:tcPr>
            <w:tcW w:w="1671"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说明</w:t>
            </w:r>
          </w:p>
        </w:tc>
        <w:tc>
          <w:tcPr>
            <w:tcW w:w="4850" w:type="dxa"/>
            <w:vMerge w:val="continue"/>
            <w:noWrap w:val="0"/>
            <w:vAlign w:val="center"/>
          </w:tcPr>
          <w:p>
            <w:pPr>
              <w:adjustRightInd w:val="0"/>
              <w:snapToGrid w:val="0"/>
              <w:jc w:val="center"/>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封面目录</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vertAlign w:val="superscript"/>
              </w:rPr>
            </w:pPr>
            <w:r>
              <w:rPr>
                <w:rFonts w:hint="eastAsia" w:ascii="宋体" w:hAnsi="宋体" w:eastAsia="宋体"/>
                <w:sz w:val="21"/>
                <w:szCs w:val="21"/>
              </w:rPr>
              <w:t>1</w:t>
            </w:r>
            <w:r>
              <w:rPr>
                <w:rFonts w:hint="eastAsia" w:ascii="宋体" w:hAnsi="宋体" w:eastAsia="宋体"/>
                <w:sz w:val="21"/>
                <w:szCs w:val="21"/>
                <w:vertAlign w:val="superscript"/>
              </w:rPr>
              <w:t>a</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封面有环境应急预案、预案编制单位名称，预留正式发布预案的版本号、发布日期等设计；</w:t>
            </w:r>
          </w:p>
          <w:p>
            <w:pPr>
              <w:adjustRightInd w:val="0"/>
              <w:snapToGrid w:val="0"/>
              <w:rPr>
                <w:rFonts w:ascii="宋体" w:hAnsi="宋体" w:eastAsia="宋体"/>
                <w:sz w:val="21"/>
                <w:szCs w:val="21"/>
              </w:rPr>
            </w:pPr>
            <w:r>
              <w:rPr>
                <w:rFonts w:hint="eastAsia" w:ascii="宋体" w:hAnsi="宋体" w:eastAsia="宋体"/>
                <w:sz w:val="21"/>
                <w:szCs w:val="21"/>
              </w:rPr>
              <w:t>目录有编号、标题和页码，一般至少设置两级目录</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w:t>
            </w:r>
            <w:r>
              <w:rPr>
                <w:rFonts w:hint="eastAsia" w:ascii="宋体" w:hAnsi="宋体" w:eastAsia="宋体"/>
                <w:sz w:val="21"/>
                <w:szCs w:val="21"/>
                <w:lang w:eastAsia="zh-CN"/>
              </w:rPr>
              <w:t>分</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预案版本号指为便于索引、回溯而在发布时赋予预案的标识号，企业可以按照内部技术文件版本号管理要求执行；</w:t>
            </w:r>
          </w:p>
          <w:p>
            <w:pPr>
              <w:adjustRightInd w:val="0"/>
              <w:snapToGrid w:val="0"/>
              <w:rPr>
                <w:rFonts w:ascii="宋体" w:hAnsi="宋体" w:eastAsia="宋体"/>
                <w:sz w:val="21"/>
                <w:szCs w:val="21"/>
              </w:rPr>
            </w:pPr>
            <w:r>
              <w:rPr>
                <w:rFonts w:hint="eastAsia" w:ascii="宋体" w:hAnsi="宋体" w:eastAsia="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结构</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w:t>
            </w:r>
            <w:r>
              <w:rPr>
                <w:rFonts w:hint="eastAsia" w:ascii="宋体" w:hAnsi="宋体" w:eastAsia="宋体"/>
                <w:sz w:val="21"/>
                <w:szCs w:val="21"/>
                <w:vertAlign w:val="superscript"/>
              </w:rPr>
              <w:t>a</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结构完整，格式规范</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结构完整指预案文件布局合理、层次分明，无错漏章节、段落；正文对附件的引用、说明等，与附件索引、附件一致；</w:t>
            </w:r>
          </w:p>
          <w:p>
            <w:pPr>
              <w:adjustRightInd w:val="0"/>
              <w:snapToGrid w:val="0"/>
              <w:rPr>
                <w:rFonts w:ascii="宋体" w:hAnsi="宋体" w:eastAsia="宋体"/>
                <w:sz w:val="21"/>
                <w:szCs w:val="21"/>
              </w:rPr>
            </w:pPr>
            <w:r>
              <w:rPr>
                <w:rFonts w:hint="eastAsia" w:ascii="宋体" w:hAnsi="宋体" w:eastAsia="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行文</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w:t>
            </w:r>
            <w:r>
              <w:rPr>
                <w:rFonts w:hint="eastAsia" w:ascii="宋体" w:hAnsi="宋体" w:eastAsia="宋体"/>
                <w:sz w:val="21"/>
                <w:szCs w:val="21"/>
                <w:vertAlign w:val="superscript"/>
              </w:rPr>
              <w:t>a</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文字准确，语言通顺，内容简明</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0.5</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文字准确是指无明显错别字、多字、漏字、语句错误、数据错误、时间错误等现象；</w:t>
            </w:r>
          </w:p>
          <w:p>
            <w:pPr>
              <w:adjustRightInd w:val="0"/>
              <w:snapToGrid w:val="0"/>
              <w:rPr>
                <w:rFonts w:ascii="宋体" w:hAnsi="宋体" w:eastAsia="宋体"/>
                <w:sz w:val="21"/>
                <w:szCs w:val="21"/>
              </w:rPr>
            </w:pPr>
            <w:r>
              <w:rPr>
                <w:rFonts w:hint="eastAsia" w:ascii="宋体" w:hAnsi="宋体" w:eastAsia="宋体"/>
                <w:sz w:val="21"/>
                <w:szCs w:val="21"/>
              </w:rPr>
              <w:t>语言通顺是指语言规范、连贯、易懂，合乎事理逻辑，关键内容不会产生歧义等；</w:t>
            </w:r>
          </w:p>
          <w:p>
            <w:pPr>
              <w:adjustRightInd w:val="0"/>
              <w:snapToGrid w:val="0"/>
              <w:rPr>
                <w:rFonts w:ascii="宋体" w:hAnsi="宋体" w:eastAsia="宋体"/>
                <w:sz w:val="21"/>
                <w:szCs w:val="21"/>
              </w:rPr>
            </w:pPr>
            <w:r>
              <w:rPr>
                <w:rFonts w:hint="eastAsia" w:ascii="宋体" w:hAnsi="宋体" w:eastAsia="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97" w:hRule="atLeast"/>
          <w:jc w:val="center"/>
        </w:trPr>
        <w:tc>
          <w:tcPr>
            <w:tcW w:w="13781" w:type="dxa"/>
            <w:gridSpan w:val="7"/>
            <w:noWrap w:val="0"/>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过程说明</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w:t>
            </w:r>
            <w:r>
              <w:rPr>
                <w:rFonts w:hint="eastAsia" w:ascii="宋体" w:hAnsi="宋体" w:eastAsia="宋体"/>
                <w:sz w:val="21"/>
                <w:szCs w:val="21"/>
                <w:vertAlign w:val="superscript"/>
              </w:rPr>
              <w:t>a</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说清预案编修过程</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highlight w:val="yellow"/>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default" w:ascii="宋体" w:hAnsi="宋体" w:eastAsia="宋体"/>
                <w:sz w:val="21"/>
                <w:szCs w:val="21"/>
                <w:highlight w:val="yellow"/>
                <w:lang w:val="en-US" w:eastAsia="zh-CN"/>
              </w:rPr>
            </w:pPr>
            <w:r>
              <w:rPr>
                <w:rFonts w:hint="eastAsia" w:ascii="宋体" w:hAnsi="宋体" w:eastAsia="宋体"/>
                <w:sz w:val="21"/>
                <w:szCs w:val="21"/>
                <w:highlight w:val="none"/>
                <w:lang w:val="en-US" w:eastAsia="zh-CN"/>
              </w:rPr>
              <w:t>0.5</w:t>
            </w:r>
          </w:p>
        </w:tc>
        <w:tc>
          <w:tcPr>
            <w:tcW w:w="1671" w:type="dxa"/>
            <w:noWrap w:val="0"/>
            <w:vAlign w:val="top"/>
          </w:tcPr>
          <w:p>
            <w:pPr>
              <w:keepNext/>
              <w:keepLines/>
              <w:adjustRightInd w:val="0"/>
              <w:snapToGrid w:val="0"/>
              <w:rPr>
                <w:rFonts w:hint="eastAsia" w:ascii="宋体" w:hAnsi="宋体" w:eastAsia="宋体"/>
                <w:sz w:val="21"/>
                <w:szCs w:val="21"/>
                <w:highlight w:val="yellow"/>
                <w:lang w:eastAsia="zh-CN"/>
              </w:rPr>
            </w:pPr>
            <w:r>
              <w:rPr>
                <w:rFonts w:hint="eastAsia" w:ascii="宋体" w:hAnsi="宋体" w:eastAsia="宋体"/>
                <w:sz w:val="18"/>
                <w:szCs w:val="18"/>
                <w:highlight w:val="none"/>
                <w:lang w:eastAsia="zh-CN"/>
              </w:rPr>
              <w:t>细化修编过程及上一版应急预案执行情况。</w:t>
            </w:r>
          </w:p>
        </w:tc>
        <w:tc>
          <w:tcPr>
            <w:tcW w:w="4850" w:type="dxa"/>
            <w:noWrap w:val="0"/>
            <w:vAlign w:val="center"/>
          </w:tcPr>
          <w:p>
            <w:pPr>
              <w:adjustRightInd w:val="0"/>
              <w:snapToGrid w:val="0"/>
              <w:rPr>
                <w:rFonts w:ascii="宋体" w:hAnsi="宋体" w:eastAsia="宋体"/>
                <w:sz w:val="21"/>
                <w:szCs w:val="21"/>
                <w:highlight w:val="yellow"/>
              </w:rPr>
            </w:pPr>
            <w:r>
              <w:rPr>
                <w:rFonts w:hint="eastAsia" w:ascii="宋体" w:hAnsi="宋体" w:eastAsia="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问题说明</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5</w:t>
            </w:r>
            <w:r>
              <w:rPr>
                <w:rFonts w:hint="eastAsia" w:ascii="宋体" w:hAnsi="宋体" w:eastAsia="宋体"/>
                <w:sz w:val="21"/>
                <w:szCs w:val="21"/>
                <w:vertAlign w:val="superscript"/>
              </w:rPr>
              <w:t>a</w:t>
            </w:r>
          </w:p>
        </w:tc>
        <w:tc>
          <w:tcPr>
            <w:tcW w:w="3795" w:type="dxa"/>
            <w:noWrap w:val="0"/>
            <w:vAlign w:val="center"/>
          </w:tcPr>
          <w:p>
            <w:pPr>
              <w:adjustRightInd w:val="0"/>
              <w:snapToGrid w:val="0"/>
              <w:rPr>
                <w:rFonts w:ascii="宋体" w:hAnsi="宋体" w:eastAsia="宋体"/>
                <w:spacing w:val="-2"/>
                <w:sz w:val="21"/>
                <w:szCs w:val="21"/>
              </w:rPr>
            </w:pPr>
            <w:r>
              <w:rPr>
                <w:rFonts w:hint="eastAsia" w:ascii="宋体" w:hAnsi="宋体" w:eastAsia="宋体"/>
                <w:spacing w:val="-2"/>
                <w:sz w:val="21"/>
                <w:szCs w:val="21"/>
              </w:rPr>
              <w:t>说明意见建议及采纳情况、演练暴露问题及解决措施</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0.5</w:t>
            </w:r>
          </w:p>
        </w:tc>
        <w:tc>
          <w:tcPr>
            <w:tcW w:w="1671" w:type="dxa"/>
            <w:noWrap w:val="0"/>
            <w:vAlign w:val="top"/>
          </w:tcPr>
          <w:p>
            <w:pPr>
              <w:keepNext/>
              <w:keepLines/>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细化演练暴露问题解决措施</w:t>
            </w: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41" w:hRule="atLeast"/>
          <w:jc w:val="center"/>
        </w:trPr>
        <w:tc>
          <w:tcPr>
            <w:tcW w:w="13781" w:type="dxa"/>
            <w:gridSpan w:val="7"/>
            <w:noWrap w:val="0"/>
            <w:vAlign w:val="center"/>
          </w:tcPr>
          <w:p>
            <w:pPr>
              <w:adjustRightInd w:val="0"/>
              <w:snapToGrid w:val="0"/>
              <w:jc w:val="center"/>
              <w:rPr>
                <w:rFonts w:hint="default" w:ascii="黑体" w:hAnsi="黑体" w:eastAsia="黑体"/>
                <w:sz w:val="21"/>
                <w:szCs w:val="21"/>
                <w:lang w:val="en-US" w:eastAsia="zh-CN"/>
              </w:rPr>
            </w:pPr>
            <w:r>
              <w:rPr>
                <w:rFonts w:hint="eastAsia" w:ascii="黑体" w:hAnsi="黑体" w:eastAsia="黑体"/>
                <w:sz w:val="21"/>
                <w:szCs w:val="21"/>
              </w:rPr>
              <w:t>环境应急预案文本</w:t>
            </w:r>
            <w:r>
              <w:rPr>
                <w:rFonts w:hint="eastAsia" w:ascii="黑体" w:hAnsi="黑体" w:eastAsia="黑体"/>
                <w:sz w:val="21"/>
                <w:szCs w:val="21"/>
                <w:lang w:val="en-US" w:eastAsia="zh-CN"/>
              </w:rPr>
              <w:t>56</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编制目的</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6</w:t>
            </w:r>
          </w:p>
        </w:tc>
        <w:tc>
          <w:tcPr>
            <w:tcW w:w="3795" w:type="dxa"/>
            <w:noWrap w:val="0"/>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体现：规范事发后的应对工作，提高事件应对能力，避免或减轻事件影响，加强企业与政府应对工作衔接</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vMerge w:val="restart"/>
            <w:noWrap w:val="0"/>
            <w:vAlign w:val="top"/>
          </w:tcPr>
          <w:p>
            <w:pPr>
              <w:adjustRightInd w:val="0"/>
              <w:snapToGrid w:val="0"/>
              <w:rPr>
                <w:rFonts w:ascii="宋体" w:hAnsi="宋体" w:eastAsia="宋体"/>
                <w:sz w:val="21"/>
                <w:szCs w:val="21"/>
              </w:rPr>
            </w:pPr>
            <w:r>
              <w:rPr>
                <w:rFonts w:hint="eastAsia" w:ascii="宋体" w:hAnsi="宋体" w:eastAsia="宋体"/>
                <w:sz w:val="21"/>
                <w:szCs w:val="21"/>
              </w:rPr>
              <w:t>此三项为预案的总纲。</w:t>
            </w: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hint="eastAsia" w:ascii="宋体" w:hAnsi="宋体" w:eastAsia="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eastAsia="宋体"/>
                <w:sz w:val="21"/>
                <w:szCs w:val="21"/>
              </w:rPr>
            </w:pPr>
          </w:p>
          <w:p>
            <w:pPr>
              <w:adjustRightInd w:val="0"/>
              <w:snapToGrid w:val="0"/>
              <w:rPr>
                <w:rFonts w:hint="eastAsia" w:ascii="宋体" w:hAnsi="宋体" w:eastAsia="宋体"/>
                <w:sz w:val="21"/>
                <w:szCs w:val="21"/>
              </w:rPr>
            </w:pPr>
            <w:r>
              <w:rPr>
                <w:rFonts w:hint="eastAsia" w:ascii="宋体" w:hAnsi="宋体" w:eastAsia="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eastAsia="宋体"/>
                <w:sz w:val="21"/>
                <w:szCs w:val="21"/>
              </w:rPr>
            </w:pPr>
            <w:r>
              <w:rPr>
                <w:rFonts w:hint="eastAsia" w:ascii="宋体" w:hAnsi="宋体" w:eastAsia="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适用范围</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7</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明确：预案适用的主体、地理或管理范围、事件类别、工作内容</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vMerge w:val="continue"/>
            <w:noWrap w:val="0"/>
            <w:vAlign w:val="top"/>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工作原则</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8</w:t>
            </w:r>
          </w:p>
        </w:tc>
        <w:tc>
          <w:tcPr>
            <w:tcW w:w="3795" w:type="dxa"/>
            <w:noWrap w:val="0"/>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体现：符合国家有关规定和要求，结合本单位实际；救人第一、环境优先；先期处置、防止危害扩大；快速响应、科学应对；应急工作与岗位职责相结合等</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vMerge w:val="continue"/>
            <w:noWrap w:val="0"/>
            <w:vAlign w:val="top"/>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03"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应急预案</w:t>
            </w:r>
          </w:p>
          <w:p>
            <w:pPr>
              <w:adjustRightInd w:val="0"/>
              <w:snapToGrid w:val="0"/>
              <w:jc w:val="center"/>
              <w:rPr>
                <w:rFonts w:ascii="宋体" w:hAnsi="宋体" w:eastAsia="宋体"/>
                <w:sz w:val="21"/>
                <w:szCs w:val="21"/>
              </w:rPr>
            </w:pPr>
            <w:r>
              <w:rPr>
                <w:rFonts w:hint="eastAsia" w:ascii="宋体" w:hAnsi="宋体" w:eastAsia="宋体"/>
                <w:sz w:val="21"/>
                <w:szCs w:val="21"/>
              </w:rPr>
              <w:t>体系</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9</w:t>
            </w:r>
            <w:r>
              <w:rPr>
                <w:rFonts w:hint="eastAsia" w:ascii="宋体" w:hAnsi="宋体" w:eastAsia="宋体"/>
                <w:sz w:val="21"/>
                <w:szCs w:val="21"/>
                <w:vertAlign w:val="superscript"/>
              </w:rPr>
              <w:t>b</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3</w:t>
            </w:r>
          </w:p>
        </w:tc>
        <w:tc>
          <w:tcPr>
            <w:tcW w:w="1671" w:type="dxa"/>
            <w:noWrap w:val="0"/>
            <w:vAlign w:val="top"/>
          </w:tcPr>
          <w:p>
            <w:pPr>
              <w:keepNext/>
              <w:keepLines/>
              <w:adjustRightInd w:val="0"/>
              <w:snapToGrid w:val="0"/>
              <w:rPr>
                <w:rFonts w:ascii="宋体" w:hAnsi="宋体" w:eastAsia="宋体"/>
                <w:sz w:val="21"/>
                <w:szCs w:val="21"/>
              </w:rPr>
            </w:pPr>
          </w:p>
        </w:tc>
        <w:tc>
          <w:tcPr>
            <w:tcW w:w="4850" w:type="dxa"/>
            <w:vMerge w:val="restart"/>
            <w:noWrap w:val="0"/>
            <w:vAlign w:val="top"/>
          </w:tcPr>
          <w:p>
            <w:pPr>
              <w:adjustRightInd w:val="0"/>
              <w:snapToGrid w:val="0"/>
              <w:rPr>
                <w:rFonts w:hint="eastAsia" w:ascii="宋体" w:hAnsi="宋体" w:eastAsia="宋体"/>
                <w:sz w:val="21"/>
                <w:szCs w:val="21"/>
              </w:rPr>
            </w:pPr>
            <w:r>
              <w:rPr>
                <w:rFonts w:hint="eastAsia" w:ascii="宋体" w:hAnsi="宋体" w:eastAsia="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hint="eastAsia" w:ascii="宋体" w:hAnsi="宋体" w:eastAsia="宋体"/>
                <w:sz w:val="21"/>
                <w:szCs w:val="21"/>
              </w:rPr>
            </w:pPr>
            <w:r>
              <w:rPr>
                <w:rFonts w:hint="eastAsia" w:ascii="宋体" w:hAnsi="宋体" w:eastAsia="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hint="eastAsia" w:ascii="宋体" w:hAnsi="宋体" w:eastAsia="宋体"/>
                <w:sz w:val="21"/>
                <w:szCs w:val="21"/>
              </w:rPr>
            </w:pPr>
            <w:r>
              <w:rPr>
                <w:rFonts w:hint="eastAsia" w:ascii="宋体" w:hAnsi="宋体" w:eastAsia="宋体"/>
                <w:sz w:val="21"/>
                <w:szCs w:val="21"/>
              </w:rPr>
              <w:t>环境应急预案定位于控制并减轻、消除污染，与企业内部生产安全事故预案等其他预案清晰界定、相互支持。</w:t>
            </w:r>
          </w:p>
          <w:p>
            <w:pPr>
              <w:adjustRightInd w:val="0"/>
              <w:snapToGrid w:val="0"/>
              <w:rPr>
                <w:rFonts w:ascii="宋体" w:hAnsi="宋体" w:eastAsia="宋体"/>
                <w:sz w:val="21"/>
                <w:szCs w:val="21"/>
              </w:rPr>
            </w:pPr>
            <w:r>
              <w:rPr>
                <w:rFonts w:hint="eastAsia" w:ascii="宋体" w:hAnsi="宋体" w:eastAsia="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10</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预案体系构成合理，以现场处置预案为主，确有必要编制综合预案、专项预案，且定位清晰、有机衔接</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vMerge w:val="continue"/>
            <w:noWrap w:val="0"/>
            <w:vAlign w:val="top"/>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11</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预案整体定位清晰，与内部生产安全事故预案等其他预案清晰界定、相互支持，与地方人民政府环境应急预案有机衔接</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vMerge w:val="continue"/>
            <w:noWrap w:val="0"/>
            <w:vAlign w:val="top"/>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restart"/>
            <w:noWrap w:val="0"/>
            <w:vAlign w:val="center"/>
          </w:tcPr>
          <w:p>
            <w:pPr>
              <w:adjustRightInd w:val="0"/>
              <w:snapToGrid w:val="0"/>
              <w:jc w:val="center"/>
              <w:rPr>
                <w:rFonts w:ascii="宋体" w:hAnsi="宋体" w:eastAsia="宋体"/>
                <w:color w:val="000000"/>
                <w:kern w:val="0"/>
                <w:sz w:val="21"/>
                <w:szCs w:val="21"/>
                <w:lang w:val="zh-CN"/>
              </w:rPr>
            </w:pPr>
            <w:r>
              <w:rPr>
                <w:rFonts w:hint="eastAsia" w:ascii="宋体" w:hAnsi="宋体" w:eastAsia="宋体"/>
                <w:sz w:val="21"/>
                <w:szCs w:val="21"/>
              </w:rPr>
              <w:t>组织指挥机制</w:t>
            </w:r>
          </w:p>
        </w:tc>
        <w:tc>
          <w:tcPr>
            <w:tcW w:w="426" w:type="dxa"/>
            <w:noWrap w:val="0"/>
            <w:vAlign w:val="center"/>
          </w:tcPr>
          <w:p>
            <w:pPr>
              <w:pStyle w:val="8"/>
              <w:keepNext/>
              <w:keepLines/>
              <w:adjustRightInd w:val="0"/>
              <w:snapToGrid w:val="0"/>
              <w:ind w:firstLine="0" w:firstLineChars="0"/>
              <w:jc w:val="center"/>
              <w:rPr>
                <w:rFonts w:ascii="宋体" w:hAnsi="宋体" w:eastAsia="宋体"/>
                <w:color w:val="000000"/>
                <w:sz w:val="21"/>
                <w:szCs w:val="21"/>
              </w:rPr>
            </w:pPr>
            <w:r>
              <w:rPr>
                <w:rFonts w:hint="eastAsia" w:ascii="宋体" w:hAnsi="宋体" w:eastAsia="宋体"/>
                <w:color w:val="000000"/>
                <w:sz w:val="21"/>
                <w:szCs w:val="21"/>
              </w:rPr>
              <w:t>12</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以应急组织体系结构图、应急响应流程图的形式，说明组织体系构成、应急指挥运行机制，配有应急队伍成员名单和联系方式表</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color w:val="000000"/>
                <w:sz w:val="21"/>
                <w:szCs w:val="21"/>
              </w:rPr>
            </w:pPr>
            <w:r>
              <w:rPr>
                <w:rFonts w:hint="eastAsia" w:ascii="宋体" w:hAnsi="宋体" w:eastAsia="宋体"/>
                <w:color w:val="000000"/>
                <w:sz w:val="21"/>
                <w:szCs w:val="21"/>
              </w:rPr>
              <w:t>13</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明确组织体系的构成及其职责。一般包括应急指挥部及其办事机构、现场处置组、环境应急监测组、应急保障组以及其他必要的行动组</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noWrap w:val="0"/>
            <w:vAlign w:val="center"/>
          </w:tcPr>
          <w:p>
            <w:pPr>
              <w:keepNext/>
              <w:keepLines/>
              <w:adjustRightInd w:val="0"/>
              <w:snapToGrid w:val="0"/>
              <w:jc w:val="center"/>
              <w:rPr>
                <w:rFonts w:ascii="宋体" w:hAnsi="宋体" w:eastAsia="宋体"/>
                <w:sz w:val="21"/>
                <w:szCs w:val="21"/>
              </w:rPr>
            </w:pPr>
            <w:r>
              <w:rPr>
                <w:rFonts w:hint="eastAsia" w:ascii="宋体" w:hAnsi="宋体" w:eastAsia="宋体"/>
                <w:sz w:val="21"/>
                <w:szCs w:val="21"/>
              </w:rPr>
              <w:t>组织指挥机制</w:t>
            </w: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14</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明确应急状态下指挥运行机制，建立统一的应急指挥、协调和决策程序</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15</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根据突发环境事件的危害程度、影响范围、周边环境敏感点、企业应急响应能力等，建立分级应急响应机制，明确不同应急响应级别对应的指挥权限</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完善不同应急级别指挥权限</w:t>
            </w: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16</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说明企业与政府及其有关部门之间的关系。明确政府及其有关部门介入后，企业内部指挥协调、配合处置、参与应急保障等工作任务和责任人</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监测预警</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17</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建立企业内部监控预警方案</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根据</w:t>
            </w:r>
            <w:r>
              <w:rPr>
                <w:rFonts w:ascii="宋体" w:hAnsi="宋体" w:eastAsia="宋体"/>
                <w:sz w:val="21"/>
                <w:szCs w:val="21"/>
              </w:rPr>
              <w:t>企业</w:t>
            </w:r>
            <w:r>
              <w:rPr>
                <w:rFonts w:hint="eastAsia" w:ascii="宋体" w:hAnsi="宋体" w:eastAsia="宋体"/>
                <w:sz w:val="21"/>
                <w:szCs w:val="21"/>
              </w:rPr>
              <w:t>可能面临事件情景</w:t>
            </w:r>
            <w:r>
              <w:rPr>
                <w:rFonts w:ascii="宋体" w:hAnsi="宋体" w:eastAsia="宋体"/>
                <w:sz w:val="21"/>
                <w:szCs w:val="21"/>
              </w:rPr>
              <w:t>，</w:t>
            </w:r>
            <w:r>
              <w:rPr>
                <w:rFonts w:hint="eastAsia" w:ascii="宋体" w:hAnsi="宋体" w:eastAsia="宋体"/>
                <w:sz w:val="21"/>
                <w:szCs w:val="21"/>
              </w:rPr>
              <w:t>结合事件危害程度、紧急程度和发展态势</w:t>
            </w:r>
            <w:r>
              <w:rPr>
                <w:rFonts w:ascii="宋体" w:hAnsi="宋体" w:eastAsia="宋体"/>
                <w:sz w:val="21"/>
                <w:szCs w:val="21"/>
              </w:rPr>
              <w:t>，</w:t>
            </w:r>
            <w:r>
              <w:rPr>
                <w:rFonts w:hint="eastAsia" w:ascii="宋体" w:hAnsi="宋体" w:eastAsia="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06"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18</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明确监控信息的获得途径和分析研判的方式方法</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监控信息的获得途径，例如极端天气等自然灾害、生产安全事故等事故灾难、相关监控监测信息等；</w:t>
            </w:r>
          </w:p>
          <w:p>
            <w:pPr>
              <w:adjustRightInd w:val="0"/>
              <w:snapToGrid w:val="0"/>
              <w:jc w:val="left"/>
              <w:rPr>
                <w:rFonts w:ascii="宋体" w:hAnsi="宋体" w:eastAsia="宋体"/>
                <w:sz w:val="21"/>
                <w:szCs w:val="21"/>
              </w:rPr>
            </w:pPr>
            <w:r>
              <w:rPr>
                <w:rFonts w:hint="eastAsia" w:ascii="宋体" w:hAnsi="宋体" w:eastAsia="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19</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明确企业内部预警条件，预警等级，预警信息发布、接收、调整、解除程序、发布内容、责任人</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完善企业信息发布程序及内容</w:t>
            </w:r>
          </w:p>
        </w:tc>
        <w:tc>
          <w:tcPr>
            <w:tcW w:w="4850"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eastAsia="宋体"/>
                <w:sz w:val="21"/>
                <w:szCs w:val="21"/>
              </w:rPr>
            </w:pPr>
            <w:r>
              <w:rPr>
                <w:rFonts w:hint="eastAsia" w:ascii="宋体" w:hAnsi="宋体" w:eastAsia="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信息报告</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20</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明确企业内部事件信息传递的责任人、程序、时限、方式、内容等，包括向协议应急救援单位传递信息的方式方法</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21</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明确企业向当地人民政府及其环保等部门报告的责任人、程序、时限方式、内容等，辅以信息报告格式规范</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22</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明确企业向可能受影响的居民、单位通报的责任人、程序、时限、方式、内容等</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应急监测</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23</w:t>
            </w:r>
            <w:r>
              <w:rPr>
                <w:rFonts w:hint="eastAsia" w:ascii="宋体" w:hAnsi="宋体" w:eastAsia="宋体"/>
                <w:sz w:val="21"/>
                <w:szCs w:val="21"/>
                <w:vertAlign w:val="superscript"/>
              </w:rPr>
              <w:t>c</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涉大气污染的，说明排放口和厂界气体监测的一般原则</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eastAsia="宋体"/>
                <w:sz w:val="21"/>
                <w:szCs w:val="21"/>
              </w:rPr>
            </w:pPr>
            <w:r>
              <w:rPr>
                <w:rFonts w:hint="eastAsia" w:ascii="宋体" w:hAnsi="宋体" w:eastAsia="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24</w:t>
            </w:r>
            <w:r>
              <w:rPr>
                <w:rFonts w:hint="eastAsia" w:ascii="宋体" w:hAnsi="宋体" w:eastAsia="宋体"/>
                <w:sz w:val="21"/>
                <w:szCs w:val="21"/>
                <w:vertAlign w:val="superscript"/>
              </w:rPr>
              <w:t>c</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涉水污染的，说明废水排放口、雨水排放口、清净下水排放口等可能外排渠道监测的一般原则</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2"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25</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监测方案一般应明确监测项目、采样（监测）人员、监测设备、监测频次等</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26</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明确监测执行单位；自身没有监测能力的，说明协议监测方案，并附协议</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完善应急监测方案</w:t>
            </w:r>
          </w:p>
        </w:tc>
        <w:tc>
          <w:tcPr>
            <w:tcW w:w="4850"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应对流程和措施</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27</w:t>
            </w:r>
            <w:r>
              <w:rPr>
                <w:rFonts w:hint="eastAsia" w:ascii="宋体" w:hAnsi="宋体" w:eastAsia="宋体"/>
                <w:sz w:val="21"/>
                <w:szCs w:val="21"/>
                <w:vertAlign w:val="superscript"/>
              </w:rPr>
              <w:t>b</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根据环境风险评估报告中的风险分析和情景构建内容，说明应对流程和措施，体现：企业内部控制污染源</w:t>
            </w:r>
            <w:r>
              <w:rPr>
                <w:rFonts w:ascii="宋体" w:hAnsi="宋体" w:eastAsia="宋体"/>
                <w:sz w:val="21"/>
                <w:szCs w:val="21"/>
              </w:rPr>
              <w:t>-</w:t>
            </w:r>
            <w:r>
              <w:rPr>
                <w:rFonts w:hint="eastAsia" w:ascii="宋体" w:hAnsi="宋体" w:eastAsia="宋体"/>
                <w:sz w:val="21"/>
                <w:szCs w:val="21"/>
              </w:rPr>
              <w:t>研判污染范围</w:t>
            </w:r>
            <w:r>
              <w:rPr>
                <w:rFonts w:ascii="宋体" w:hAnsi="宋体" w:eastAsia="宋体"/>
                <w:sz w:val="21"/>
                <w:szCs w:val="21"/>
              </w:rPr>
              <w:t>-</w:t>
            </w:r>
            <w:r>
              <w:rPr>
                <w:rFonts w:hint="eastAsia" w:ascii="宋体" w:hAnsi="宋体" w:eastAsia="宋体"/>
                <w:sz w:val="21"/>
                <w:szCs w:val="21"/>
              </w:rPr>
              <w:t>控制污染扩散</w:t>
            </w:r>
            <w:r>
              <w:rPr>
                <w:rFonts w:ascii="宋体" w:hAnsi="宋体" w:eastAsia="宋体"/>
                <w:sz w:val="21"/>
                <w:szCs w:val="21"/>
              </w:rPr>
              <w:t>-</w:t>
            </w:r>
            <w:r>
              <w:rPr>
                <w:rFonts w:hint="eastAsia" w:ascii="宋体" w:hAnsi="宋体" w:eastAsia="宋体"/>
                <w:sz w:val="21"/>
                <w:szCs w:val="21"/>
              </w:rPr>
              <w:t>污染处置应对流程和措施</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1.5</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28</w:t>
            </w:r>
            <w:r>
              <w:rPr>
                <w:rFonts w:hint="eastAsia" w:ascii="宋体" w:hAnsi="宋体" w:eastAsia="宋体"/>
                <w:sz w:val="21"/>
                <w:szCs w:val="21"/>
                <w:vertAlign w:val="superscript"/>
              </w:rPr>
              <w:t>b</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体现必要的企业外部应急措施、配合当地人民政府的响应措施及对当地人民政府应急措施的建议</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1.5</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71"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29</w:t>
            </w:r>
            <w:r>
              <w:rPr>
                <w:rFonts w:hint="eastAsia" w:ascii="宋体" w:hAnsi="宋体" w:eastAsia="宋体"/>
                <w:sz w:val="21"/>
                <w:szCs w:val="21"/>
                <w:vertAlign w:val="superscript"/>
              </w:rPr>
              <w:t>c</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涉及大气污染的，应重点说明受威胁范围、组织公众避险的方式方法，涉及疏散的一般应辅以疏散路线图；如果装备风向标，应配有风向标分布图</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明确受危险范围</w:t>
            </w: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30</w:t>
            </w:r>
            <w:r>
              <w:rPr>
                <w:rFonts w:hint="eastAsia" w:ascii="宋体" w:hAnsi="宋体" w:eastAsia="宋体"/>
                <w:sz w:val="21"/>
                <w:szCs w:val="21"/>
                <w:vertAlign w:val="superscript"/>
              </w:rPr>
              <w:t>c</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涉及水污染的，应重点说明企业内收集、封堵、处置污染物的方式方法，适当延伸至企业外防控方式方法；配有废水、雨水、清净下水管网及重要阀门设置图</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给出雨水及废水管线图及截断阀位置图</w:t>
            </w: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31</w:t>
            </w:r>
            <w:r>
              <w:rPr>
                <w:rFonts w:hint="eastAsia" w:ascii="宋体" w:hAnsi="宋体" w:eastAsia="宋体"/>
                <w:sz w:val="21"/>
                <w:szCs w:val="21"/>
                <w:vertAlign w:val="superscript"/>
              </w:rPr>
              <w:t>b</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分别说明可能的事件情景及应急处置方案，明确相关岗位人员采取措施的时间、地点、内容、方式、目标等</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1.5</w:t>
            </w:r>
          </w:p>
        </w:tc>
        <w:tc>
          <w:tcPr>
            <w:tcW w:w="1671" w:type="dxa"/>
            <w:noWrap w:val="0"/>
            <w:vAlign w:val="top"/>
          </w:tcPr>
          <w:p>
            <w:pPr>
              <w:adjustRightInd w:val="0"/>
              <w:snapToGrid w:val="0"/>
              <w:rPr>
                <w:rFonts w:hint="eastAsia" w:ascii="宋体" w:hAnsi="宋体" w:eastAsia="宋体"/>
                <w:sz w:val="21"/>
                <w:szCs w:val="21"/>
                <w:lang w:eastAsia="zh-CN"/>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32</w:t>
            </w:r>
            <w:r>
              <w:rPr>
                <w:rFonts w:hint="eastAsia" w:ascii="宋体" w:hAnsi="宋体" w:eastAsia="宋体"/>
                <w:sz w:val="21"/>
                <w:szCs w:val="21"/>
                <w:vertAlign w:val="superscript"/>
              </w:rPr>
              <w:t>b</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将应急措施细化、落实到岗位，形成应急处置卡</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default" w:ascii="宋体" w:hAnsi="宋体" w:eastAsia="宋体"/>
                <w:sz w:val="21"/>
                <w:szCs w:val="21"/>
                <w:lang w:val="en-US" w:eastAsia="zh-CN"/>
              </w:rPr>
            </w:pPr>
            <w:r>
              <w:rPr>
                <w:rFonts w:hint="eastAsia" w:ascii="宋体" w:hAnsi="宋体" w:eastAsia="宋体"/>
                <w:sz w:val="21"/>
                <w:szCs w:val="21"/>
                <w:lang w:val="en-US" w:eastAsia="zh-CN"/>
              </w:rPr>
              <w:t>1.5</w:t>
            </w:r>
          </w:p>
        </w:tc>
        <w:tc>
          <w:tcPr>
            <w:tcW w:w="1671" w:type="dxa"/>
            <w:noWrap w:val="0"/>
            <w:vAlign w:val="top"/>
          </w:tcPr>
          <w:p>
            <w:pPr>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细化应急处置卡内容</w:t>
            </w: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33</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配有厂区平面布置图，应急物资表</w:t>
            </w:r>
            <w:r>
              <w:rPr>
                <w:rFonts w:ascii="宋体" w:hAnsi="宋体" w:eastAsia="宋体"/>
                <w:sz w:val="21"/>
                <w:szCs w:val="21"/>
              </w:rPr>
              <w:t>/</w:t>
            </w:r>
            <w:r>
              <w:rPr>
                <w:rFonts w:hint="eastAsia" w:ascii="宋体" w:hAnsi="宋体" w:eastAsia="宋体"/>
                <w:sz w:val="21"/>
                <w:szCs w:val="21"/>
              </w:rPr>
              <w:t>分布图</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应急终止</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34</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结合本单位实际，说明应急终止的条件和发布程序</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事后恢复</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35</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说明事后恢复的工作内容和责任人，一般包括：现场污染物的后续处理；环境应急相关设施、设备、场所的维护；配合开展环境损害评估、赔偿、事件调查处理等</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保障措施</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36</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说明环境应急预案涉及的人力资源、财力、物资以及其他技术、重要设施的保障</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16"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预案管理</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37</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安排有关环境应急预案的培训和演练</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38</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明确环境应急预案的评估修订要求</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1" w:type="dxa"/>
            <w:gridSpan w:val="7"/>
            <w:noWrap w:val="0"/>
            <w:vAlign w:val="center"/>
          </w:tcPr>
          <w:p>
            <w:pPr>
              <w:adjustRightInd w:val="0"/>
              <w:snapToGrid w:val="0"/>
              <w:jc w:val="center"/>
              <w:rPr>
                <w:rFonts w:hint="default" w:ascii="黑体" w:hAnsi="黑体" w:eastAsia="黑体"/>
                <w:sz w:val="21"/>
                <w:szCs w:val="21"/>
                <w:lang w:val="en-US" w:eastAsia="zh-CN"/>
              </w:rPr>
            </w:pPr>
            <w:r>
              <w:rPr>
                <w:rFonts w:hint="eastAsia" w:ascii="黑体" w:hAnsi="黑体" w:eastAsia="黑体"/>
                <w:sz w:val="21"/>
                <w:szCs w:val="21"/>
              </w:rPr>
              <w:t>环境风险评估报告</w:t>
            </w:r>
            <w:r>
              <w:rPr>
                <w:rFonts w:hint="eastAsia" w:ascii="黑体" w:hAnsi="黑体" w:eastAsia="黑体"/>
                <w:sz w:val="21"/>
                <w:szCs w:val="21"/>
                <w:lang w:val="en-US" w:eastAsia="zh-CN"/>
              </w:rPr>
              <w:t>13</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4" w:type="dxa"/>
            <w:vMerge w:val="restart"/>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风险分析</w:t>
            </w:r>
            <w:r>
              <w:rPr>
                <w:rFonts w:hint="eastAsia" w:ascii="宋体" w:hAnsi="宋体" w:eastAsia="宋体"/>
                <w:sz w:val="21"/>
                <w:szCs w:val="21"/>
                <w:vertAlign w:val="superscript"/>
              </w:rPr>
              <w:t>c</w:t>
            </w: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39</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识别出所有重要的环境风险物质；列表，至少列出重要环境风险物质的名称、数量（最大存在总量）、位置</w:t>
            </w:r>
            <w:r>
              <w:rPr>
                <w:rFonts w:ascii="宋体" w:hAnsi="宋体" w:eastAsia="宋体"/>
                <w:sz w:val="21"/>
                <w:szCs w:val="21"/>
              </w:rPr>
              <w:t>/</w:t>
            </w:r>
            <w:r>
              <w:rPr>
                <w:rFonts w:hint="eastAsia" w:ascii="宋体" w:hAnsi="宋体" w:eastAsia="宋体"/>
                <w:sz w:val="21"/>
                <w:szCs w:val="21"/>
              </w:rPr>
              <w:t>所在装置；环境风险物质数量大于临界量的，辨识重要环境风险单元</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40</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重点核对生产工艺、环境风险防控措施各项指标的赋值是否合理</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18" w:hRule="atLeast"/>
          <w:jc w:val="center"/>
        </w:trPr>
        <w:tc>
          <w:tcPr>
            <w:tcW w:w="1134" w:type="dxa"/>
            <w:vMerge w:val="continue"/>
            <w:noWrap w:val="0"/>
            <w:vAlign w:val="center"/>
          </w:tcPr>
          <w:p/>
        </w:tc>
        <w:tc>
          <w:tcPr>
            <w:tcW w:w="426"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41</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环境风险受体类型的确定是否合理</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4" w:type="dxa"/>
            <w:vMerge w:val="continue"/>
            <w:noWrap w:val="0"/>
            <w:vAlign w:val="center"/>
          </w:tcPr>
          <w:p/>
        </w:tc>
        <w:tc>
          <w:tcPr>
            <w:tcW w:w="426"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42</w:t>
            </w:r>
          </w:p>
        </w:tc>
        <w:tc>
          <w:tcPr>
            <w:tcW w:w="379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环境风险等级划分是否正确</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8" w:hRule="atLeast"/>
          <w:jc w:val="center"/>
        </w:trPr>
        <w:tc>
          <w:tcPr>
            <w:tcW w:w="1134" w:type="dxa"/>
            <w:vMerge w:val="restart"/>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情景构建</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43</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列明国内外同类企业的突发环境事件信息，提出本企业可能发生的突发环境事件情景</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2"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44</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源强分析，重点分析释放环境风险物质的种类、释放速率、持续时间</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复核环境风险源强</w:t>
            </w: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89"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45</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释放途径分析，重点分析环境风险物质从释放源头到受体之间的过程</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noWrap w:val="0"/>
            <w:vAlign w:val="center"/>
          </w:tcPr>
          <w:p>
            <w:pPr>
              <w:adjustRightInd w:val="0"/>
              <w:snapToGrid w:val="0"/>
              <w:jc w:val="center"/>
              <w:rPr>
                <w:rFonts w:ascii="宋体" w:hAnsi="宋体" w:eastAsia="宋体"/>
                <w:sz w:val="21"/>
                <w:szCs w:val="21"/>
              </w:rPr>
            </w:pP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46</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危害后果分析，重点分析环境风险物质的影响范围和程度</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hint="eastAsia" w:ascii="宋体" w:hAnsi="宋体" w:eastAsia="宋体"/>
                <w:sz w:val="21"/>
                <w:szCs w:val="21"/>
                <w:lang w:eastAsia="zh-CN"/>
              </w:rPr>
            </w:pPr>
            <w:r>
              <w:rPr>
                <w:rFonts w:hint="eastAsia" w:ascii="宋体" w:hAnsi="宋体" w:eastAsia="宋体"/>
                <w:sz w:val="18"/>
                <w:szCs w:val="18"/>
                <w:lang w:eastAsia="zh-CN"/>
              </w:rPr>
              <w:t>完善环境风险物质运行范围及程度</w:t>
            </w: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1134" w:type="dxa"/>
            <w:vMerge w:val="continue"/>
            <w:noWrap w:val="0"/>
            <w:vAlign w:val="center"/>
          </w:tcPr>
          <w:p>
            <w:pPr>
              <w:keepNext/>
              <w:keepLines/>
              <w:adjustRightInd w:val="0"/>
              <w:snapToGrid w:val="0"/>
              <w:jc w:val="center"/>
              <w:rPr>
                <w:rFonts w:ascii="宋体" w:hAnsi="宋体" w:eastAsia="宋体"/>
                <w:sz w:val="21"/>
                <w:szCs w:val="21"/>
              </w:rPr>
            </w:pP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47</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明确在最坏情景下，大气环境风险物质影响最远距离内的人口数量及位置等，水环境敏感受体的数量及位置等信息，并附有相关示意图</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adjustRightInd w:val="0"/>
              <w:snapToGrid w:val="0"/>
              <w:rPr>
                <w:rFonts w:ascii="宋体" w:hAnsi="宋体" w:eastAsia="宋体"/>
                <w:sz w:val="21"/>
                <w:szCs w:val="21"/>
              </w:rPr>
            </w:pPr>
          </w:p>
        </w:tc>
        <w:tc>
          <w:tcPr>
            <w:tcW w:w="4850"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33"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完善计划</w:t>
            </w:r>
          </w:p>
        </w:tc>
        <w:tc>
          <w:tcPr>
            <w:tcW w:w="426" w:type="dxa"/>
            <w:noWrap w:val="0"/>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48</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分析现有环境风险防控与应急措施所存在的差距，制定环境风险防控整改完善计划</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top"/>
          </w:tcPr>
          <w:p>
            <w:pPr>
              <w:keepNext/>
              <w:keepLines/>
              <w:adjustRightInd w:val="0"/>
              <w:snapToGrid w:val="0"/>
              <w:rPr>
                <w:rFonts w:hint="eastAsia" w:ascii="宋体" w:hAnsi="宋体" w:eastAsia="宋体"/>
                <w:sz w:val="21"/>
                <w:szCs w:val="21"/>
                <w:lang w:val="en-US" w:eastAsia="zh-CN"/>
              </w:rPr>
            </w:pPr>
            <w:r>
              <w:rPr>
                <w:rFonts w:hint="eastAsia" w:ascii="宋体" w:hAnsi="宋体" w:eastAsia="宋体"/>
                <w:sz w:val="21"/>
                <w:szCs w:val="21"/>
                <w:lang w:val="en-US" w:eastAsia="zh-CN"/>
              </w:rPr>
              <w:t>1</w:t>
            </w:r>
          </w:p>
        </w:tc>
        <w:tc>
          <w:tcPr>
            <w:tcW w:w="1671" w:type="dxa"/>
            <w:noWrap w:val="0"/>
            <w:vAlign w:val="top"/>
          </w:tcPr>
          <w:p>
            <w:pPr>
              <w:keepNext/>
              <w:keepLines/>
              <w:adjustRightInd w:val="0"/>
              <w:snapToGrid w:val="0"/>
              <w:rPr>
                <w:rFonts w:ascii="宋体" w:hAnsi="宋体" w:eastAsia="宋体"/>
                <w:sz w:val="21"/>
                <w:szCs w:val="21"/>
              </w:rPr>
            </w:pPr>
          </w:p>
        </w:tc>
        <w:tc>
          <w:tcPr>
            <w:tcW w:w="4850" w:type="dxa"/>
            <w:noWrap w:val="0"/>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1" w:type="dxa"/>
            <w:gridSpan w:val="7"/>
            <w:noWrap w:val="0"/>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713"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调查内容</w:t>
            </w:r>
          </w:p>
        </w:tc>
        <w:tc>
          <w:tcPr>
            <w:tcW w:w="426" w:type="dxa"/>
            <w:noWrap w:val="0"/>
            <w:vAlign w:val="center"/>
          </w:tcPr>
          <w:p>
            <w:pPr>
              <w:pStyle w:val="8"/>
              <w:keepNext/>
              <w:keepLines/>
              <w:tabs>
                <w:tab w:val="left" w:pos="0"/>
              </w:tab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49</w:t>
            </w:r>
          </w:p>
        </w:tc>
        <w:tc>
          <w:tcPr>
            <w:tcW w:w="3795" w:type="dxa"/>
            <w:noWrap w:val="0"/>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第一时间可调用的环境应急队伍、装备、物资、场所</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30" w:type="dxa"/>
            <w:noWrap w:val="0"/>
            <w:vAlign w:val="center"/>
          </w:tcPr>
          <w:p>
            <w:pPr>
              <w:keepNext/>
              <w:keepLines/>
              <w:adjustRightInd w:val="0"/>
              <w:snapToGrid w:val="0"/>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center"/>
          </w:tcPr>
          <w:p>
            <w:pPr>
              <w:keepNext/>
              <w:keepLines/>
              <w:adjustRightInd w:val="0"/>
              <w:snapToGrid w:val="0"/>
              <w:jc w:val="center"/>
              <w:rPr>
                <w:rFonts w:ascii="宋体" w:hAnsi="宋体" w:eastAsia="宋体"/>
                <w:sz w:val="21"/>
                <w:szCs w:val="21"/>
              </w:rPr>
            </w:pPr>
          </w:p>
        </w:tc>
        <w:tc>
          <w:tcPr>
            <w:tcW w:w="4850" w:type="dxa"/>
            <w:noWrap w:val="0"/>
            <w:vAlign w:val="center"/>
          </w:tcPr>
          <w:p>
            <w:pPr>
              <w:keepNext/>
              <w:keepLines/>
              <w:adjustRightInd w:val="0"/>
              <w:snapToGrid w:val="0"/>
              <w:jc w:val="left"/>
              <w:rPr>
                <w:rFonts w:ascii="宋体" w:hAnsi="宋体" w:eastAsia="宋体"/>
                <w:sz w:val="21"/>
                <w:szCs w:val="21"/>
              </w:rPr>
            </w:pPr>
            <w:r>
              <w:rPr>
                <w:rFonts w:hint="eastAsia" w:ascii="宋体" w:hAnsi="宋体" w:eastAsia="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noWrap w:val="0"/>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调查结果</w:t>
            </w:r>
          </w:p>
        </w:tc>
        <w:tc>
          <w:tcPr>
            <w:tcW w:w="426" w:type="dxa"/>
            <w:noWrap w:val="0"/>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50</w:t>
            </w:r>
          </w:p>
        </w:tc>
        <w:tc>
          <w:tcPr>
            <w:tcW w:w="3795"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针对环境应急资源清单，抽查数据的可信性</w:t>
            </w:r>
          </w:p>
        </w:tc>
        <w:tc>
          <w:tcPr>
            <w:tcW w:w="1275" w:type="dxa"/>
            <w:noWrap w:val="0"/>
            <w:vAlign w:val="center"/>
          </w:tcPr>
          <w:p>
            <w:pPr>
              <w:adjustRightInd w:val="0"/>
              <w:snapToGrid w:val="0"/>
              <w:rPr>
                <w:rFonts w:ascii="宋体" w:hAnsi="宋体" w:eastAsia="宋体"/>
                <w:sz w:val="21"/>
                <w:szCs w:val="21"/>
              </w:rPr>
            </w:pPr>
            <w:r>
              <w:rPr>
                <w:rFonts w:hint="eastAsia" w:ascii="宋体" w:hAnsi="宋体" w:eastAsia="宋体"/>
                <w:sz w:val="21"/>
                <w:szCs w:val="21"/>
                <w:lang w:eastAsia="zh-CN"/>
              </w:rPr>
              <w:t>☑</w:t>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630" w:type="dxa"/>
            <w:noWrap w:val="0"/>
            <w:vAlign w:val="center"/>
          </w:tcPr>
          <w:p>
            <w:pPr>
              <w:adjustRightInd w:val="0"/>
              <w:snapToGrid w:val="0"/>
              <w:jc w:val="center"/>
              <w:rPr>
                <w:rFonts w:hint="eastAsia" w:ascii="宋体" w:hAnsi="宋体" w:eastAsia="宋体"/>
                <w:sz w:val="21"/>
                <w:szCs w:val="21"/>
                <w:lang w:val="en-US" w:eastAsia="zh-CN"/>
              </w:rPr>
            </w:pPr>
            <w:r>
              <w:rPr>
                <w:rFonts w:hint="eastAsia" w:ascii="宋体" w:hAnsi="宋体" w:eastAsia="宋体"/>
                <w:sz w:val="21"/>
                <w:szCs w:val="21"/>
                <w:lang w:val="en-US" w:eastAsia="zh-CN"/>
              </w:rPr>
              <w:t>2</w:t>
            </w:r>
          </w:p>
        </w:tc>
        <w:tc>
          <w:tcPr>
            <w:tcW w:w="1671" w:type="dxa"/>
            <w:noWrap w:val="0"/>
            <w:vAlign w:val="center"/>
          </w:tcPr>
          <w:p>
            <w:pPr>
              <w:adjustRightInd w:val="0"/>
              <w:snapToGrid w:val="0"/>
              <w:jc w:val="center"/>
              <w:rPr>
                <w:rFonts w:ascii="宋体" w:hAnsi="宋体" w:eastAsia="宋体"/>
                <w:sz w:val="21"/>
                <w:szCs w:val="21"/>
              </w:rPr>
            </w:pPr>
          </w:p>
        </w:tc>
        <w:tc>
          <w:tcPr>
            <w:tcW w:w="4850" w:type="dxa"/>
            <w:noWrap w:val="0"/>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74" w:hRule="atLeast"/>
          <w:jc w:val="center"/>
        </w:trPr>
        <w:tc>
          <w:tcPr>
            <w:tcW w:w="6630" w:type="dxa"/>
            <w:gridSpan w:val="4"/>
            <w:noWrap w:val="0"/>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合  计</w:t>
            </w:r>
          </w:p>
        </w:tc>
        <w:tc>
          <w:tcPr>
            <w:tcW w:w="630" w:type="dxa"/>
            <w:noWrap w:val="0"/>
            <w:vAlign w:val="center"/>
          </w:tcPr>
          <w:p>
            <w:pPr>
              <w:adjustRightInd w:val="0"/>
              <w:snapToGrid w:val="0"/>
              <w:jc w:val="center"/>
              <w:rPr>
                <w:rFonts w:hint="default" w:ascii="宋体" w:hAnsi="宋体" w:eastAsia="宋体"/>
                <w:b/>
                <w:sz w:val="21"/>
                <w:szCs w:val="21"/>
                <w:lang w:val="en-US" w:eastAsia="zh-CN"/>
              </w:rPr>
            </w:pPr>
            <w:r>
              <w:rPr>
                <w:rFonts w:hint="eastAsia" w:ascii="宋体" w:hAnsi="宋体" w:eastAsia="宋体"/>
                <w:b/>
                <w:sz w:val="21"/>
                <w:szCs w:val="21"/>
                <w:lang w:val="en-US" w:eastAsia="zh-CN"/>
              </w:rPr>
              <w:t>76</w:t>
            </w:r>
          </w:p>
        </w:tc>
        <w:tc>
          <w:tcPr>
            <w:tcW w:w="1671" w:type="dxa"/>
            <w:noWrap w:val="0"/>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c>
          <w:tcPr>
            <w:tcW w:w="4850" w:type="dxa"/>
            <w:noWrap w:val="0"/>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3781" w:type="dxa"/>
            <w:gridSpan w:val="7"/>
            <w:noWrap w:val="0"/>
            <w:vAlign w:val="center"/>
          </w:tcPr>
          <w:p>
            <w:pPr>
              <w:keepNext/>
              <w:keepLines/>
              <w:adjustRightInd w:val="0"/>
              <w:snapToGrid w:val="0"/>
              <w:rPr>
                <w:rFonts w:hint="eastAsia" w:ascii="宋体" w:hAnsi="宋体" w:eastAsia="宋体"/>
                <w:sz w:val="21"/>
                <w:szCs w:val="21"/>
                <w:lang w:eastAsia="zh-CN"/>
              </w:rPr>
            </w:pPr>
            <w:r>
              <w:rPr>
                <w:rFonts w:hint="eastAsia" w:ascii="宋体" w:hAnsi="宋体" w:eastAsia="宋体"/>
                <w:sz w:val="21"/>
                <w:szCs w:val="21"/>
              </w:rPr>
              <w:t>评审人员（签字）：</w:t>
            </w:r>
          </w:p>
          <w:p>
            <w:pPr>
              <w:keepNext/>
              <w:keepLines/>
              <w:adjustRightInd w:val="0"/>
              <w:snapToGrid w:val="0"/>
              <w:rPr>
                <w:rFonts w:ascii="宋体" w:hAnsi="宋体" w:eastAsia="宋体"/>
                <w:sz w:val="21"/>
                <w:szCs w:val="21"/>
              </w:rPr>
            </w:pPr>
            <w:r>
              <w:rPr>
                <w:rFonts w:hint="eastAsia" w:ascii="宋体" w:hAnsi="宋体" w:eastAsia="宋体"/>
                <w:sz w:val="21"/>
                <w:szCs w:val="21"/>
              </w:rPr>
              <w:t xml:space="preserve">                                                                                          评审日期：</w:t>
            </w:r>
            <w:r>
              <w:rPr>
                <w:rFonts w:hint="eastAsia" w:ascii="宋体" w:hAnsi="宋体" w:eastAsia="宋体"/>
                <w:sz w:val="21"/>
                <w:szCs w:val="21"/>
                <w:lang w:val="en-US" w:eastAsia="zh-CN"/>
              </w:rPr>
              <w:t>2023</w:t>
            </w:r>
            <w:r>
              <w:rPr>
                <w:rFonts w:hint="eastAsia" w:ascii="宋体" w:hAnsi="宋体" w:eastAsia="宋体"/>
                <w:sz w:val="21"/>
                <w:szCs w:val="21"/>
              </w:rPr>
              <w:t>年</w:t>
            </w:r>
            <w:r>
              <w:rPr>
                <w:rFonts w:hint="eastAsia" w:ascii="宋体" w:hAnsi="宋体" w:eastAsia="宋体"/>
                <w:sz w:val="21"/>
                <w:szCs w:val="21"/>
                <w:lang w:val="en-US" w:eastAsia="zh-CN"/>
              </w:rPr>
              <w:t>2</w:t>
            </w:r>
            <w:r>
              <w:rPr>
                <w:rFonts w:hint="eastAsia" w:ascii="宋体" w:hAnsi="宋体" w:eastAsia="宋体"/>
                <w:sz w:val="21"/>
                <w:szCs w:val="21"/>
              </w:rPr>
              <w:t>月</w:t>
            </w:r>
            <w:r>
              <w:rPr>
                <w:rFonts w:hint="eastAsia" w:ascii="宋体" w:hAnsi="宋体" w:eastAsia="宋体"/>
                <w:sz w:val="21"/>
                <w:szCs w:val="21"/>
                <w:lang w:val="en-US" w:eastAsia="zh-CN"/>
              </w:rPr>
              <w:t>22</w:t>
            </w:r>
            <w:r>
              <w:rPr>
                <w:rFonts w:hint="eastAsia" w:ascii="宋体" w:hAnsi="宋体" w:eastAsia="宋体"/>
                <w:sz w:val="21"/>
                <w:szCs w:val="21"/>
              </w:rPr>
              <w:t>日</w:t>
            </w:r>
          </w:p>
        </w:tc>
      </w:tr>
    </w:tbl>
    <w:p>
      <w:pPr>
        <w:adjustRightInd w:val="0"/>
        <w:snapToGrid w:val="0"/>
        <w:spacing w:line="288" w:lineRule="auto"/>
        <w:rPr>
          <w:rFonts w:hint="eastAsia" w:ascii="宋体" w:hAnsi="宋体" w:eastAsia="宋体"/>
          <w:sz w:val="21"/>
        </w:rPr>
      </w:pPr>
      <w:r>
        <w:rPr>
          <w:rFonts w:hint="eastAsia" w:ascii="宋体" w:hAnsi="宋体" w:eastAsia="宋体"/>
          <w:sz w:val="21"/>
        </w:rPr>
        <w:t>注：1.符合，指的是评审专家判定某一项指标所涉及的内容能够反映制定环境应急预案的企业开展了该项工作，且工作全面、深入、质量高；部分</w:t>
      </w:r>
    </w:p>
    <w:p>
      <w:pPr>
        <w:adjustRightInd w:val="0"/>
        <w:snapToGrid w:val="0"/>
        <w:spacing w:line="288" w:lineRule="auto"/>
        <w:rPr>
          <w:rFonts w:hint="eastAsia" w:ascii="宋体" w:hAnsi="宋体" w:eastAsia="宋体"/>
          <w:sz w:val="21"/>
        </w:rPr>
      </w:pPr>
      <w:r>
        <w:rPr>
          <w:rFonts w:hint="eastAsia" w:ascii="宋体" w:hAnsi="宋体" w:eastAsia="宋体"/>
          <w:sz w:val="21"/>
        </w:rPr>
        <w:t xml:space="preserve">      符合，指的是评审专家判定企业开展了该项工作，但工作不全面、不深入或质量不高；不符合，指的是评审人员判定企业未开展该项工作，</w:t>
      </w:r>
    </w:p>
    <w:p>
      <w:pPr>
        <w:adjustRightInd w:val="0"/>
        <w:snapToGrid w:val="0"/>
        <w:spacing w:line="288" w:lineRule="auto"/>
        <w:rPr>
          <w:rFonts w:ascii="宋体" w:hAnsi="宋体" w:eastAsia="宋体"/>
          <w:sz w:val="21"/>
        </w:rPr>
      </w:pPr>
      <w:r>
        <w:rPr>
          <w:rFonts w:hint="eastAsia" w:ascii="宋体" w:hAnsi="宋体" w:eastAsia="宋体"/>
          <w:sz w:val="21"/>
        </w:rPr>
        <w:t xml:space="preserve">      或工作有重大疏漏、流于形式或质量差。</w:t>
      </w:r>
    </w:p>
    <w:p>
      <w:pPr>
        <w:adjustRightInd w:val="0"/>
        <w:snapToGrid w:val="0"/>
        <w:spacing w:line="288" w:lineRule="auto"/>
        <w:rPr>
          <w:rFonts w:hint="eastAsia" w:ascii="宋体" w:hAnsi="宋体" w:eastAsia="宋体"/>
          <w:sz w:val="21"/>
        </w:rPr>
      </w:pPr>
      <w:r>
        <w:rPr>
          <w:rFonts w:hint="eastAsia" w:ascii="宋体" w:hAnsi="宋体" w:eastAsia="宋体"/>
          <w:sz w:val="21"/>
        </w:rPr>
        <w:t xml:space="preserve">    2.赋分原则：“符合”得2分、“部分符合”得1分、“不符合”得0分；其中标注a的指标得分按“符合”得1分、“部分符合”得0.5分、“不</w:t>
      </w:r>
    </w:p>
    <w:p>
      <w:pPr>
        <w:adjustRightInd w:val="0"/>
        <w:snapToGrid w:val="0"/>
        <w:spacing w:line="288" w:lineRule="auto"/>
        <w:rPr>
          <w:rFonts w:hint="eastAsia" w:ascii="宋体" w:hAnsi="宋体" w:eastAsia="宋体"/>
          <w:sz w:val="21"/>
        </w:rPr>
      </w:pPr>
      <w:r>
        <w:rPr>
          <w:rFonts w:hint="eastAsia" w:ascii="宋体" w:hAnsi="宋体" w:eastAsia="宋体"/>
          <w:sz w:val="21"/>
        </w:rPr>
        <w:t xml:space="preserve">      符合”得0分计，标注b的指标得分按“符合”得3分、“部分符合”得1.5分、“不符合”得0分计。</w:t>
      </w:r>
    </w:p>
    <w:p>
      <w:pPr>
        <w:adjustRightInd w:val="0"/>
        <w:snapToGrid w:val="0"/>
        <w:spacing w:line="288" w:lineRule="auto"/>
        <w:rPr>
          <w:rFonts w:ascii="宋体" w:hAnsi="宋体" w:eastAsia="宋体"/>
          <w:sz w:val="21"/>
        </w:rPr>
      </w:pPr>
      <w:r>
        <w:rPr>
          <w:rFonts w:hint="eastAsia" w:ascii="宋体" w:hAnsi="宋体" w:eastAsia="宋体"/>
          <w:sz w:val="21"/>
        </w:rPr>
        <w:t xml:space="preserve">    3.指标调整：标注</w:t>
      </w:r>
      <w:r>
        <w:rPr>
          <w:rFonts w:ascii="宋体" w:hAnsi="宋体" w:eastAsia="宋体"/>
          <w:sz w:val="21"/>
        </w:rPr>
        <w:t>c</w:t>
      </w:r>
      <w:r>
        <w:rPr>
          <w:rFonts w:hint="eastAsia" w:ascii="宋体" w:hAnsi="宋体" w:eastAsia="宋体"/>
          <w:sz w:val="21"/>
        </w:rPr>
        <w:t>的指标或项目中的部分指标，评审组可以对不适用的进行调整。</w:t>
      </w:r>
    </w:p>
    <w:p>
      <w:pPr>
        <w:adjustRightInd w:val="0"/>
        <w:snapToGrid w:val="0"/>
        <w:spacing w:line="288" w:lineRule="auto"/>
        <w:rPr>
          <w:rFonts w:ascii="宋体" w:hAnsi="宋体" w:eastAsia="宋体"/>
          <w:sz w:val="21"/>
        </w:rPr>
      </w:pPr>
      <w:r>
        <w:rPr>
          <w:rFonts w:hint="eastAsia" w:ascii="宋体" w:hAnsi="宋体" w:eastAsia="宋体"/>
          <w:sz w:val="21"/>
        </w:rPr>
        <w:t xml:space="preserve">    4.“一票否决”项不计入评审得分。</w:t>
      </w:r>
    </w:p>
    <w:p>
      <w:pPr>
        <w:adjustRightInd w:val="0"/>
        <w:snapToGrid w:val="0"/>
        <w:spacing w:line="288" w:lineRule="auto"/>
        <w:rPr>
          <w:rFonts w:ascii="宋体" w:hAnsi="宋体" w:eastAsia="宋体"/>
          <w:sz w:val="21"/>
        </w:rPr>
      </w:pPr>
      <w:r>
        <w:rPr>
          <w:rFonts w:hint="eastAsia" w:ascii="宋体" w:hAnsi="宋体" w:eastAsia="宋体"/>
          <w:sz w:val="21"/>
        </w:rPr>
        <w:t xml:space="preserve">    5.指标说明供参考。</w:t>
      </w:r>
    </w:p>
    <w:p>
      <w:pPr>
        <w:sectPr>
          <w:footerReference r:id="rId3" w:type="default"/>
          <w:pgSz w:w="16838" w:h="11906" w:orient="landscape"/>
          <w:pgMar w:top="1701" w:right="1701" w:bottom="1701" w:left="1701" w:header="851" w:footer="1418" w:gutter="0"/>
          <w:cols w:space="720" w:num="1"/>
          <w:docGrid w:type="lines" w:linePitch="579" w:charSpace="-849"/>
        </w:sectPr>
      </w:pPr>
    </w:p>
    <w:p>
      <w:pPr>
        <w:autoSpaceDE w:val="0"/>
        <w:autoSpaceDN w:val="0"/>
        <w:adjustRightInd w:val="0"/>
        <w:snapToGrid w:val="0"/>
        <w:jc w:val="left"/>
        <w:rPr>
          <w:rFonts w:hint="eastAsia" w:ascii="宋体" w:hAnsi="宋体" w:eastAsia="宋体" w:cs="宋体"/>
          <w:sz w:val="24"/>
          <w:szCs w:val="24"/>
        </w:rPr>
      </w:pPr>
      <w:r>
        <w:rPr>
          <w:rFonts w:hint="eastAsia" w:ascii="黑体" w:hAnsi="Times New Roman" w:eastAsia="黑体"/>
          <w:kern w:val="0"/>
        </w:rPr>
        <w:t>附表2</w:t>
      </w:r>
      <w:r>
        <w:rPr>
          <w:rFonts w:hint="eastAsia" w:ascii="黑体" w:hAnsi="Times New Roman" w:eastAsia="黑体"/>
          <w:kern w:val="0"/>
          <w:lang w:val="en-US" w:eastAsia="zh-CN"/>
        </w:rPr>
        <w:t xml:space="preserve">   </w:t>
      </w:r>
      <w:r>
        <w:rPr>
          <w:rFonts w:hint="eastAsia" w:ascii="宋体" w:hAnsi="宋体" w:eastAsia="宋体" w:cs="宋体"/>
          <w:b w:val="0"/>
          <w:bCs/>
          <w:color w:val="auto"/>
          <w:kern w:val="0"/>
          <w:sz w:val="24"/>
          <w:szCs w:val="24"/>
          <w:lang w:eastAsia="zh-CN"/>
        </w:rPr>
        <w:t>咸阳昱隆票据印务有限公司</w:t>
      </w:r>
      <w:r>
        <w:rPr>
          <w:rFonts w:hint="eastAsia" w:ascii="宋体" w:hAnsi="宋体" w:eastAsia="宋体" w:cs="宋体"/>
          <w:sz w:val="24"/>
          <w:szCs w:val="24"/>
        </w:rPr>
        <w:t>突发环境事件应急预案评审意见表</w:t>
      </w:r>
    </w:p>
    <w:p>
      <w:pPr>
        <w:autoSpaceDE w:val="0"/>
        <w:autoSpaceDN w:val="0"/>
        <w:adjustRightInd w:val="0"/>
        <w:snapToGrid w:val="0"/>
        <w:spacing w:line="408" w:lineRule="auto"/>
        <w:jc w:val="left"/>
        <w:rPr>
          <w:rFonts w:hint="eastAsia" w:asciiTheme="minorEastAsia" w:hAnsiTheme="minorEastAsia" w:eastAsiaTheme="minorEastAsia" w:cstheme="minorEastAsia"/>
          <w:kern w:val="0"/>
          <w:sz w:val="24"/>
          <w:szCs w:val="24"/>
        </w:rPr>
      </w:pPr>
    </w:p>
    <w:tbl>
      <w:tblPr>
        <w:tblStyle w:val="5"/>
        <w:tblW w:w="0" w:type="auto"/>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895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56" w:type="dxa"/>
            <w:noWrap w:val="0"/>
            <w:vAlign w:val="center"/>
          </w:tcPr>
          <w:p>
            <w:pPr>
              <w:adjustRightInd w:val="0"/>
              <w:snapToGrid w:val="0"/>
              <w:jc w:val="left"/>
              <w:rPr>
                <w:rFonts w:hint="eastAsia" w:asciiTheme="minorEastAsia" w:hAnsiTheme="minorEastAsia" w:eastAsiaTheme="minorEastAsia" w:cstheme="minorEastAsia"/>
                <w:b w:val="0"/>
                <w:bCs w:val="0"/>
                <w:sz w:val="21"/>
                <w:szCs w:val="21"/>
                <w:u w:val="single"/>
                <w:lang w:val="en-US" w:eastAsia="zh-CN"/>
              </w:rPr>
            </w:pPr>
            <w:r>
              <w:rPr>
                <w:rFonts w:hint="eastAsia" w:asciiTheme="minorEastAsia" w:hAnsiTheme="minorEastAsia" w:eastAsiaTheme="minorEastAsia" w:cstheme="minorEastAsia"/>
                <w:b w:val="0"/>
                <w:bCs w:val="0"/>
                <w:sz w:val="21"/>
                <w:szCs w:val="21"/>
              </w:rPr>
              <w:t>评审时间</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lang w:val="en-US" w:eastAsia="zh-CN"/>
              </w:rPr>
              <w:t xml:space="preserve">2023.2.22                     </w:t>
            </w:r>
            <w:r>
              <w:rPr>
                <w:rFonts w:hint="eastAsia" w:asciiTheme="minorEastAsia" w:hAnsiTheme="minorEastAsia" w:eastAsiaTheme="minorEastAsia" w:cstheme="minorEastAsia"/>
                <w:b w:val="0"/>
                <w:bCs w:val="0"/>
                <w:sz w:val="21"/>
                <w:szCs w:val="21"/>
              </w:rPr>
              <w:t>地点：</w:t>
            </w:r>
            <w:r>
              <w:rPr>
                <w:rFonts w:hint="eastAsia" w:asciiTheme="minorEastAsia" w:hAnsiTheme="minorEastAsia" w:eastAsiaTheme="minorEastAsia" w:cstheme="minorEastAsia"/>
                <w:b w:val="0"/>
                <w:bCs w:val="0"/>
                <w:sz w:val="21"/>
                <w:szCs w:val="21"/>
                <w:lang w:val="en-US" w:eastAsia="zh-CN"/>
              </w:rPr>
              <w:t>咸阳市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56" w:type="dxa"/>
            <w:noWrap w:val="0"/>
            <w:vAlign w:val="center"/>
          </w:tcPr>
          <w:p>
            <w:pPr>
              <w:adjustRightInd w:val="0"/>
              <w:snapToGrid w:val="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评审方式：</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函审，□会议评审，□函审、会议评审结合，□其他</w:t>
            </w:r>
            <w:r>
              <w:rPr>
                <w:rFonts w:hint="eastAsia" w:asciiTheme="minorEastAsia" w:hAnsiTheme="minorEastAsia" w:eastAsiaTheme="minorEastAsia" w:cstheme="minorEastAsia"/>
                <w:b w:val="0"/>
                <w:bCs w:val="0"/>
                <w:sz w:val="21"/>
                <w:szCs w:val="21"/>
                <w:u w:val="single"/>
              </w:rPr>
              <w:t xml:space="preserve">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956" w:type="dxa"/>
            <w:noWrap w:val="0"/>
            <w:vAlign w:val="center"/>
          </w:tcPr>
          <w:p>
            <w:pPr>
              <w:adjustRightInd w:val="0"/>
              <w:snapToGrid w:val="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评审结论：□通过评审，</w:t>
            </w:r>
            <w:r>
              <w:rPr>
                <w:rFonts w:hint="eastAsia" w:asciiTheme="minorEastAsia" w:hAnsiTheme="minorEastAsia" w:eastAsiaTheme="minorEastAsia" w:cstheme="minorEastAsia"/>
                <w:b w:val="0"/>
                <w:bCs w:val="0"/>
                <w:sz w:val="21"/>
                <w:szCs w:val="21"/>
                <w:lang w:eastAsia="zh-CN"/>
              </w:rPr>
              <w:t>☑</w:t>
            </w:r>
            <w:r>
              <w:rPr>
                <w:rFonts w:hint="eastAsia" w:asciiTheme="minorEastAsia" w:hAnsiTheme="minorEastAsia" w:eastAsiaTheme="minorEastAsia" w:cstheme="minorEastAsia"/>
                <w:b w:val="0"/>
                <w:bCs w:val="0"/>
                <w:sz w:val="21"/>
                <w:szCs w:val="21"/>
              </w:rPr>
              <w:t>原则通过但需进行修改复核，□未通过评审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7" w:hRule="atLeast"/>
        </w:trPr>
        <w:tc>
          <w:tcPr>
            <w:tcW w:w="8956" w:type="dxa"/>
            <w:noWrap w:val="0"/>
            <w:vAlign w:val="center"/>
          </w:tcPr>
          <w:p>
            <w:pPr>
              <w:adjustRightInd w:val="0"/>
              <w:snapToGrid w:val="0"/>
              <w:spacing w:before="120" w:line="360" w:lineRule="auto"/>
              <w:ind w:left="257" w:hanging="256" w:hangingChars="122"/>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评审过程：依据《企业事业单位突发环境事件应急预案评审工作指南（试行）》（环办应急[2018]8号）对本预案进行了函审。</w:t>
            </w:r>
          </w:p>
          <w:p>
            <w:pPr>
              <w:adjustRightInd w:val="0"/>
              <w:snapToGrid w:val="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总体评价：</w:t>
            </w:r>
            <w:r>
              <w:rPr>
                <w:rFonts w:hint="eastAsia" w:asciiTheme="minorEastAsia" w:hAnsiTheme="minorEastAsia" w:eastAsiaTheme="minorEastAsia" w:cstheme="minorEastAsia"/>
                <w:b w:val="0"/>
                <w:bCs w:val="0"/>
                <w:sz w:val="21"/>
                <w:szCs w:val="21"/>
                <w:highlight w:val="none"/>
              </w:rPr>
              <w:t>《</w:t>
            </w:r>
            <w:r>
              <w:rPr>
                <w:rFonts w:hint="eastAsia" w:asciiTheme="minorEastAsia" w:hAnsiTheme="minorEastAsia" w:eastAsiaTheme="minorEastAsia" w:cstheme="minorEastAsia"/>
                <w:b w:val="0"/>
                <w:bCs w:val="0"/>
                <w:color w:val="auto"/>
                <w:kern w:val="0"/>
                <w:sz w:val="21"/>
                <w:szCs w:val="21"/>
                <w:lang w:eastAsia="zh-CN"/>
              </w:rPr>
              <w:t>咸阳昱隆票据印务有限公司</w:t>
            </w:r>
            <w:r>
              <w:rPr>
                <w:rFonts w:hint="eastAsia" w:asciiTheme="minorEastAsia" w:hAnsiTheme="minorEastAsia" w:eastAsiaTheme="minorEastAsia" w:cstheme="minorEastAsia"/>
                <w:b w:val="0"/>
                <w:bCs w:val="0"/>
                <w:sz w:val="21"/>
                <w:szCs w:val="21"/>
                <w:highlight w:val="none"/>
              </w:rPr>
              <w:t>突发环境事件应急预案》基本要素齐全、内容格式</w:t>
            </w:r>
            <w:r>
              <w:rPr>
                <w:rFonts w:hint="eastAsia" w:asciiTheme="minorEastAsia" w:hAnsiTheme="minorEastAsia" w:eastAsiaTheme="minorEastAsia" w:cstheme="minorEastAsia"/>
                <w:b w:val="0"/>
                <w:bCs w:val="0"/>
                <w:sz w:val="21"/>
                <w:szCs w:val="21"/>
                <w:highlight w:val="none"/>
                <w:lang w:eastAsia="zh-CN"/>
              </w:rPr>
              <w:t>基本</w:t>
            </w:r>
            <w:r>
              <w:rPr>
                <w:rFonts w:hint="eastAsia" w:asciiTheme="minorEastAsia" w:hAnsiTheme="minorEastAsia" w:eastAsiaTheme="minorEastAsia" w:cstheme="minorEastAsia"/>
                <w:b w:val="0"/>
                <w:bCs w:val="0"/>
                <w:sz w:val="21"/>
                <w:szCs w:val="21"/>
                <w:highlight w:val="none"/>
              </w:rPr>
              <w:t>规范，环境风险等级评估结论</w:t>
            </w:r>
            <w:r>
              <w:rPr>
                <w:rFonts w:hint="eastAsia" w:asciiTheme="minorEastAsia" w:hAnsiTheme="minorEastAsia" w:eastAsiaTheme="minorEastAsia" w:cstheme="minorEastAsia"/>
                <w:b w:val="0"/>
                <w:bCs w:val="0"/>
                <w:sz w:val="21"/>
                <w:szCs w:val="21"/>
                <w:highlight w:val="none"/>
                <w:lang w:eastAsia="zh-CN"/>
              </w:rPr>
              <w:t>基本</w:t>
            </w:r>
            <w:r>
              <w:rPr>
                <w:rFonts w:hint="eastAsia" w:asciiTheme="minorEastAsia" w:hAnsiTheme="minorEastAsia" w:eastAsiaTheme="minorEastAsia" w:cstheme="minorEastAsia"/>
                <w:b w:val="0"/>
                <w:bCs w:val="0"/>
                <w:sz w:val="21"/>
                <w:szCs w:val="21"/>
                <w:highlight w:val="none"/>
              </w:rPr>
              <w:t>可信，对企业存在的环境风险分析</w:t>
            </w:r>
            <w:r>
              <w:rPr>
                <w:rFonts w:hint="eastAsia" w:asciiTheme="minorEastAsia" w:hAnsiTheme="minorEastAsia" w:eastAsiaTheme="minorEastAsia" w:cstheme="minorEastAsia"/>
                <w:b w:val="0"/>
                <w:bCs w:val="0"/>
                <w:sz w:val="21"/>
                <w:szCs w:val="21"/>
                <w:highlight w:val="none"/>
                <w:lang w:eastAsia="zh-CN"/>
              </w:rPr>
              <w:t>基本</w:t>
            </w:r>
            <w:r>
              <w:rPr>
                <w:rFonts w:hint="eastAsia" w:asciiTheme="minorEastAsia" w:hAnsiTheme="minorEastAsia" w:eastAsiaTheme="minorEastAsia" w:cstheme="minorEastAsia"/>
                <w:b w:val="0"/>
                <w:bCs w:val="0"/>
                <w:sz w:val="21"/>
                <w:szCs w:val="21"/>
                <w:highlight w:val="none"/>
              </w:rPr>
              <w:t>全面，现场处置措施具有一定操作性，总体符合《企业事业单位突发环境事件应急预案备案管理办法（试行）》要求和企业突发环境事件应急工作实际，预案经修改完善后</w:t>
            </w:r>
            <w:r>
              <w:rPr>
                <w:rFonts w:hint="eastAsia" w:asciiTheme="minorEastAsia" w:hAnsiTheme="minorEastAsia" w:eastAsiaTheme="minorEastAsia" w:cstheme="minorEastAsia"/>
                <w:b w:val="0"/>
                <w:bCs w:val="0"/>
                <w:sz w:val="21"/>
                <w:szCs w:val="21"/>
                <w:highlight w:val="none"/>
                <w:lang w:eastAsia="zh-CN"/>
              </w:rPr>
              <w:t>可上</w:t>
            </w:r>
            <w:r>
              <w:rPr>
                <w:rFonts w:hint="eastAsia" w:asciiTheme="minorEastAsia" w:hAnsiTheme="minorEastAsia" w:eastAsiaTheme="minorEastAsia" w:cstheme="minorEastAsia"/>
                <w:b w:val="0"/>
                <w:bCs w:val="0"/>
                <w:sz w:val="21"/>
                <w:szCs w:val="21"/>
                <w:highlight w:val="none"/>
              </w:rPr>
              <w:t>报备案。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9" w:hRule="atLeast"/>
        </w:trPr>
        <w:tc>
          <w:tcPr>
            <w:tcW w:w="8956" w:type="dxa"/>
            <w:noWrap w:val="0"/>
            <w:vAlign w:val="center"/>
          </w:tcPr>
          <w:p>
            <w:pPr>
              <w:adjustRightInd w:val="0"/>
              <w:snapToGrid w:val="0"/>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问题清单：见评审表中评审意见说明及修改意见和建议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919" w:hRule="atLeast"/>
        </w:trPr>
        <w:tc>
          <w:tcPr>
            <w:tcW w:w="8956" w:type="dxa"/>
            <w:noWrap w:val="0"/>
            <w:vAlign w:val="top"/>
          </w:tcPr>
          <w:p>
            <w:pPr>
              <w:snapToGrid w:val="0"/>
              <w:spacing w:before="0" w:beforeAutospacing="0" w:after="0" w:afterAutospacing="0" w:line="400" w:lineRule="exact"/>
              <w:jc w:val="both"/>
              <w:textAlignment w:val="baseline"/>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rPr>
              <w:t>修改意见和建议</w:t>
            </w:r>
          </w:p>
          <w:p>
            <w:pPr>
              <w:numPr>
                <w:ilvl w:val="0"/>
                <w:numId w:val="1"/>
              </w:numPr>
              <w:snapToGrid w:val="0"/>
              <w:spacing w:before="0" w:beforeAutospacing="0" w:after="0" w:afterAutospacing="0" w:line="400" w:lineRule="exact"/>
              <w:jc w:val="both"/>
              <w:textAlignment w:val="baseline"/>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说明上一版应急预案执行情况，完善修编依据，补充西安市及经开区生态环境部门突发环境事件应急预案，细化企业应急外部支持单位信息。</w:t>
            </w:r>
          </w:p>
          <w:p>
            <w:pPr>
              <w:numPr>
                <w:ilvl w:val="0"/>
                <w:numId w:val="1"/>
              </w:numPr>
              <w:snapToGrid w:val="0"/>
              <w:spacing w:before="0" w:beforeAutospacing="0" w:after="0" w:afterAutospacing="0" w:line="400" w:lineRule="exact"/>
              <w:jc w:val="both"/>
              <w:textAlignment w:val="baseline"/>
              <w:rPr>
                <w:rFonts w:hint="eastAsia" w:asciiTheme="minorEastAsia" w:hAnsiTheme="minorEastAsia" w:eastAsiaTheme="minorEastAsia" w:cstheme="minorEastAsia"/>
                <w:b w:val="0"/>
                <w:bCs w:val="0"/>
                <w:i w:val="0"/>
                <w:caps w:val="0"/>
                <w:spacing w:val="0"/>
                <w:w w:val="100"/>
                <w:sz w:val="21"/>
                <w:szCs w:val="21"/>
              </w:rPr>
            </w:pPr>
            <w:r>
              <w:rPr>
                <w:rFonts w:hint="eastAsia" w:asciiTheme="minorEastAsia" w:hAnsiTheme="minorEastAsia" w:eastAsiaTheme="minorEastAsia" w:cstheme="minorEastAsia"/>
                <w:b w:val="0"/>
                <w:bCs w:val="0"/>
                <w:sz w:val="21"/>
                <w:szCs w:val="21"/>
                <w:lang w:eastAsia="zh-CN"/>
              </w:rPr>
              <w:t>完善</w:t>
            </w:r>
            <w:r>
              <w:rPr>
                <w:rFonts w:hint="eastAsia" w:asciiTheme="minorEastAsia" w:hAnsiTheme="minorEastAsia" w:eastAsiaTheme="minorEastAsia" w:cstheme="minorEastAsia"/>
                <w:b w:val="0"/>
                <w:bCs w:val="0"/>
                <w:sz w:val="21"/>
                <w:szCs w:val="21"/>
              </w:rPr>
              <w:t>企业环境风险隐患排查开展情况，按照识别出来的环境风险事件，逐一细化突发环境事件发生时释放的环境风险物质的源强，释放环境风险物质的扩散途径、涉及的环境风险防控与应急设施、应急资源情况等。</w:t>
            </w:r>
          </w:p>
          <w:p>
            <w:pPr>
              <w:numPr>
                <w:ilvl w:val="0"/>
                <w:numId w:val="1"/>
              </w:numPr>
              <w:snapToGrid w:val="0"/>
              <w:spacing w:before="0" w:beforeAutospacing="0" w:after="0" w:afterAutospacing="0" w:line="400" w:lineRule="exact"/>
              <w:jc w:val="both"/>
              <w:textAlignment w:val="baseline"/>
              <w:rPr>
                <w:rFonts w:hint="eastAsia" w:asciiTheme="minorEastAsia" w:hAnsiTheme="minorEastAsia" w:eastAsiaTheme="minorEastAsia" w:cstheme="minorEastAsia"/>
                <w:b w:val="0"/>
                <w:bCs w:val="0"/>
                <w:i w:val="0"/>
                <w:caps w:val="0"/>
                <w:spacing w:val="0"/>
                <w:w w:val="100"/>
                <w:sz w:val="21"/>
                <w:szCs w:val="21"/>
              </w:rPr>
            </w:pPr>
            <w:r>
              <w:rPr>
                <w:rFonts w:hint="eastAsia" w:asciiTheme="minorEastAsia" w:hAnsiTheme="minorEastAsia" w:eastAsiaTheme="minorEastAsia" w:cstheme="minorEastAsia"/>
                <w:b w:val="0"/>
                <w:bCs w:val="0"/>
                <w:i w:val="0"/>
                <w:caps w:val="0"/>
                <w:spacing w:val="0"/>
                <w:w w:val="100"/>
                <w:sz w:val="21"/>
                <w:szCs w:val="21"/>
                <w:lang w:val="en-US" w:eastAsia="zh-CN"/>
              </w:rPr>
              <w:t>完善企业内部预警信息发布、接收、调整、解除程序、发布内容及责任人；细化预警、响应各级别转换条件。</w:t>
            </w:r>
          </w:p>
          <w:p>
            <w:pPr>
              <w:pStyle w:val="2"/>
              <w:rPr>
                <w:rFonts w:hint="eastAsia" w:asciiTheme="minorEastAsia" w:hAnsiTheme="minorEastAsia" w:eastAsiaTheme="minorEastAsia" w:cstheme="minorEastAsia"/>
                <w:b w:val="0"/>
                <w:bCs w:val="0"/>
                <w:sz w:val="21"/>
                <w:szCs w:val="21"/>
                <w:lang w:val="en-US"/>
              </w:rPr>
            </w:pPr>
            <w:r>
              <w:rPr>
                <w:rFonts w:hint="eastAsia" w:asciiTheme="minorEastAsia" w:hAnsiTheme="minorEastAsia" w:eastAsiaTheme="minorEastAsia" w:cstheme="minorEastAsia"/>
                <w:b w:val="0"/>
                <w:bCs w:val="0"/>
                <w:i w:val="0"/>
                <w:caps w:val="0"/>
                <w:spacing w:val="0"/>
                <w:w w:val="100"/>
                <w:sz w:val="21"/>
                <w:szCs w:val="21"/>
                <w:lang w:val="en-US" w:eastAsia="zh-CN"/>
              </w:rPr>
              <w:t>4、</w:t>
            </w:r>
            <w:r>
              <w:rPr>
                <w:rFonts w:hint="eastAsia" w:asciiTheme="minorEastAsia" w:hAnsiTheme="minorEastAsia" w:eastAsiaTheme="minorEastAsia" w:cstheme="minorEastAsia"/>
                <w:b w:val="0"/>
                <w:bCs w:val="0"/>
                <w:sz w:val="21"/>
                <w:szCs w:val="21"/>
              </w:rPr>
              <w:t>完善现场处置方案并结合岗位职责形成应急处置卡（采取措施、岗位参与人员、所需应急物资、物资所在位置等）。</w:t>
            </w:r>
          </w:p>
          <w:p>
            <w:pPr>
              <w:adjustRightInd w:val="0"/>
              <w:snapToGrid w:val="0"/>
              <w:spacing w:line="300" w:lineRule="exact"/>
              <w:rPr>
                <w:rFonts w:hint="eastAsia" w:asciiTheme="minorEastAsia" w:hAnsiTheme="minorEastAsia" w:eastAsiaTheme="minorEastAsia" w:cstheme="minorEastAsia"/>
                <w:b w:val="0"/>
                <w:bCs w:val="0"/>
                <w:sz w:val="21"/>
                <w:szCs w:val="21"/>
              </w:rPr>
            </w:pPr>
            <w:bookmarkStart w:id="0" w:name="_Hlk78298222"/>
            <w:r>
              <w:rPr>
                <w:rFonts w:hint="eastAsia" w:asciiTheme="minorEastAsia" w:hAnsiTheme="minorEastAsia" w:eastAsiaTheme="minorEastAsia" w:cstheme="minorEastAsia"/>
                <w:b w:val="0"/>
                <w:bCs w:val="0"/>
                <w:sz w:val="21"/>
                <w:szCs w:val="21"/>
                <w:lang w:val="en-US" w:eastAsia="zh-CN"/>
              </w:rPr>
              <w:t>5、</w:t>
            </w:r>
            <w:r>
              <w:rPr>
                <w:rFonts w:hint="eastAsia" w:asciiTheme="minorEastAsia" w:hAnsiTheme="minorEastAsia" w:eastAsiaTheme="minorEastAsia" w:cstheme="minorEastAsia"/>
                <w:b w:val="0"/>
                <w:bCs w:val="0"/>
                <w:sz w:val="21"/>
                <w:szCs w:val="21"/>
              </w:rPr>
              <w:t>核实事故池、切断阀、风险物质监控设施等现有环境风险防控与应急措施及有效性分析，进一步分析现有环境风险防控和应急措施差距，完善整改计划。</w:t>
            </w:r>
          </w:p>
          <w:p>
            <w:pPr>
              <w:adjustRightInd w:val="0"/>
              <w:snapToGrid w:val="0"/>
              <w:spacing w:line="300" w:lineRule="exac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6、</w:t>
            </w:r>
            <w:r>
              <w:rPr>
                <w:rFonts w:hint="eastAsia" w:asciiTheme="minorEastAsia" w:hAnsiTheme="minorEastAsia" w:eastAsiaTheme="minorEastAsia" w:cstheme="minorEastAsia"/>
                <w:b w:val="0"/>
                <w:bCs w:val="0"/>
                <w:sz w:val="21"/>
                <w:szCs w:val="21"/>
              </w:rPr>
              <w:t>针对识别出来的事件情景，逐一制定完善应急监测方案（监测点位、监测因子、频次等）。</w:t>
            </w:r>
          </w:p>
          <w:bookmarkEnd w:id="0"/>
          <w:p>
            <w:pPr>
              <w:adjustRightInd w:val="0"/>
              <w:snapToGrid w:val="0"/>
              <w:spacing w:before="249" w:beforeLines="80"/>
              <w:rPr>
                <w:rFonts w:hint="eastAsia" w:asciiTheme="minorEastAsia" w:hAnsiTheme="minorEastAsia" w:eastAsiaTheme="minorEastAsia" w:cstheme="minorEastAsia"/>
                <w:b w:val="0"/>
                <w:bCs w:val="0"/>
                <w:sz w:val="21"/>
                <w:szCs w:val="21"/>
                <w:lang w:eastAsia="zh-CN"/>
              </w:rPr>
            </w:pPr>
            <w:r>
              <w:rPr>
                <w:rFonts w:hint="eastAsia" w:asciiTheme="minorEastAsia" w:hAnsiTheme="minorEastAsia" w:eastAsiaTheme="minorEastAsia" w:cstheme="minorEastAsia"/>
                <w:b w:val="0"/>
                <w:bCs w:val="0"/>
                <w:sz w:val="21"/>
                <w:szCs w:val="21"/>
              </w:rPr>
              <w:t>结合打分表中评审说明一并修改完善。</w:t>
            </w:r>
            <w:r>
              <w:rPr>
                <w:rFonts w:hint="eastAsia" w:asciiTheme="minorEastAsia" w:hAnsiTheme="minorEastAsia" w:eastAsiaTheme="minorEastAsia" w:cstheme="minorEastAsia"/>
                <w:b w:val="0"/>
                <w:bCs w:val="0"/>
                <w:sz w:val="21"/>
                <w:szCs w:val="21"/>
                <w:lang w:val="en-US" w:eastAsia="zh-CN"/>
              </w:rPr>
              <w:t xml:space="preserve"> </w:t>
            </w:r>
          </w:p>
          <w:p>
            <w:pPr>
              <w:adjustRightInd w:val="0"/>
              <w:snapToGrid w:val="0"/>
              <w:rPr>
                <w:rFonts w:hint="eastAsia" w:asciiTheme="minorEastAsia" w:hAnsiTheme="minorEastAsia" w:eastAsiaTheme="minorEastAsia" w:cstheme="minorEastAsia"/>
                <w:b w:val="0"/>
                <w:bCs w:val="0"/>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8956" w:type="dxa"/>
            <w:noWrap w:val="0"/>
            <w:vAlign w:val="center"/>
          </w:tcPr>
          <w:p>
            <w:pPr>
              <w:adjustRightInd w:val="0"/>
              <w:snapToGrid w:val="0"/>
              <w:rPr>
                <w:rFonts w:hint="eastAsia" w:asciiTheme="minorEastAsia" w:hAnsiTheme="minorEastAsia" w:eastAsiaTheme="minorEastAsia" w:cstheme="minorEastAsia"/>
                <w:b w:val="0"/>
                <w:bCs w:val="0"/>
                <w:sz w:val="21"/>
                <w:szCs w:val="21"/>
              </w:rPr>
            </w:pPr>
          </w:p>
          <w:p>
            <w:pPr>
              <w:adjustRightInd w:val="0"/>
              <w:snapToGrid w:val="0"/>
              <w:spacing w:line="360" w:lineRule="auto"/>
              <w:rPr>
                <w:rFonts w:hint="eastAsia"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rPr>
              <w:t>评审</w:t>
            </w:r>
            <w:r>
              <w:rPr>
                <w:rFonts w:hint="eastAsia" w:asciiTheme="minorEastAsia" w:hAnsiTheme="minorEastAsia" w:eastAsiaTheme="minorEastAsia" w:cstheme="minorEastAsia"/>
                <w:b w:val="0"/>
                <w:bCs w:val="0"/>
                <w:sz w:val="21"/>
                <w:szCs w:val="21"/>
                <w:lang w:val="en-US" w:eastAsia="zh-CN"/>
              </w:rPr>
              <w:t>专家</w:t>
            </w:r>
            <w:r>
              <w:rPr>
                <w:rFonts w:hint="eastAsia" w:asciiTheme="minorEastAsia" w:hAnsiTheme="minorEastAsia" w:eastAsiaTheme="minorEastAsia" w:cstheme="minorEastAsia"/>
                <w:b w:val="0"/>
                <w:bCs w:val="0"/>
                <w:sz w:val="21"/>
                <w:szCs w:val="21"/>
                <w:lang w:eastAsia="zh-CN"/>
              </w:rPr>
              <w:t>签字</w:t>
            </w:r>
            <w:r>
              <w:rPr>
                <w:rFonts w:hint="eastAsia" w:asciiTheme="minorEastAsia" w:hAnsiTheme="minorEastAsia" w:eastAsiaTheme="minorEastAsia" w:cstheme="minorEastAsia"/>
                <w:b w:val="0"/>
                <w:bCs w:val="0"/>
                <w:sz w:val="21"/>
                <w:szCs w:val="21"/>
                <w:lang w:val="en-US" w:eastAsia="zh-CN"/>
              </w:rPr>
              <w:t>：</w:t>
            </w:r>
          </w:p>
          <w:p>
            <w:pPr>
              <w:adjustRightInd w:val="0"/>
              <w:snapToGrid w:val="0"/>
              <w:spacing w:line="360" w:lineRule="auto"/>
              <w:ind w:firstLine="210" w:firstLineChars="100"/>
              <w:jc w:val="both"/>
              <w:rPr>
                <w:rFonts w:hint="default" w:asciiTheme="minorEastAsia" w:hAnsiTheme="minorEastAsia" w:eastAsiaTheme="minorEastAsia" w:cstheme="minorEastAsia"/>
                <w:b w:val="0"/>
                <w:bCs w:val="0"/>
                <w:sz w:val="21"/>
                <w:szCs w:val="21"/>
                <w:lang w:val="en-US" w:eastAsia="zh-CN"/>
              </w:rPr>
            </w:pPr>
            <w:r>
              <w:rPr>
                <w:rFonts w:hint="eastAsia" w:asciiTheme="minorEastAsia" w:hAnsiTheme="minorEastAsia" w:eastAsiaTheme="minorEastAsia" w:cstheme="minorEastAsia"/>
                <w:b w:val="0"/>
                <w:bCs w:val="0"/>
                <w:sz w:val="21"/>
                <w:szCs w:val="21"/>
                <w:lang w:val="en-US" w:eastAsia="zh-CN"/>
              </w:rPr>
              <w:t xml:space="preserve">   </w:t>
            </w:r>
          </w:p>
          <w:p>
            <w:pPr>
              <w:adjustRightInd w:val="0"/>
              <w:snapToGrid w:val="0"/>
              <w:spacing w:line="360" w:lineRule="auto"/>
              <w:jc w:val="right"/>
              <w:rPr>
                <w:rFonts w:hint="eastAsia" w:asciiTheme="minorEastAsia" w:hAnsiTheme="minorEastAsia" w:eastAsiaTheme="minorEastAsia" w:cstheme="minorEastAsia"/>
                <w:b w:val="0"/>
                <w:bCs w:val="0"/>
                <w:sz w:val="21"/>
                <w:szCs w:val="21"/>
              </w:rPr>
            </w:pPr>
            <w:r>
              <w:rPr>
                <w:rFonts w:hint="eastAsia" w:asciiTheme="minorEastAsia" w:hAnsiTheme="minorEastAsia" w:eastAsiaTheme="minorEastAsia" w:cstheme="minorEastAsia"/>
                <w:b w:val="0"/>
                <w:bCs w:val="0"/>
                <w:sz w:val="21"/>
                <w:szCs w:val="21"/>
                <w:lang w:val="en-US" w:eastAsia="zh-CN"/>
              </w:rPr>
              <w:t>2023</w:t>
            </w:r>
            <w:r>
              <w:rPr>
                <w:rFonts w:hint="eastAsia" w:asciiTheme="minorEastAsia" w:hAnsiTheme="minorEastAsia" w:eastAsiaTheme="minorEastAsia" w:cstheme="minorEastAsia"/>
                <w:b w:val="0"/>
                <w:bCs w:val="0"/>
                <w:sz w:val="21"/>
                <w:szCs w:val="21"/>
              </w:rPr>
              <w:t>年</w:t>
            </w:r>
            <w:r>
              <w:rPr>
                <w:rFonts w:hint="eastAsia" w:asciiTheme="minorEastAsia" w:hAnsiTheme="minorEastAsia" w:eastAsiaTheme="minorEastAsia" w:cstheme="minorEastAsia"/>
                <w:b w:val="0"/>
                <w:bCs w:val="0"/>
                <w:sz w:val="21"/>
                <w:szCs w:val="21"/>
                <w:lang w:val="en-US" w:eastAsia="zh-CN"/>
              </w:rPr>
              <w:t>2</w:t>
            </w:r>
            <w:r>
              <w:rPr>
                <w:rFonts w:hint="eastAsia" w:asciiTheme="minorEastAsia" w:hAnsiTheme="minorEastAsia" w:eastAsiaTheme="minorEastAsia" w:cstheme="minorEastAsia"/>
                <w:b w:val="0"/>
                <w:bCs w:val="0"/>
                <w:sz w:val="21"/>
                <w:szCs w:val="21"/>
              </w:rPr>
              <w:t>月</w:t>
            </w:r>
            <w:r>
              <w:rPr>
                <w:rFonts w:hint="eastAsia" w:asciiTheme="minorEastAsia" w:hAnsiTheme="minorEastAsia" w:eastAsiaTheme="minorEastAsia" w:cstheme="minorEastAsia"/>
                <w:b w:val="0"/>
                <w:bCs w:val="0"/>
                <w:sz w:val="21"/>
                <w:szCs w:val="21"/>
                <w:lang w:val="en-US" w:eastAsia="zh-CN"/>
              </w:rPr>
              <w:t>22</w:t>
            </w:r>
            <w:bookmarkStart w:id="1" w:name="_GoBack"/>
            <w:bookmarkEnd w:id="1"/>
            <w:r>
              <w:rPr>
                <w:rFonts w:hint="eastAsia" w:asciiTheme="minorEastAsia" w:hAnsiTheme="minorEastAsia" w:eastAsiaTheme="minorEastAsia" w:cstheme="minorEastAsia"/>
                <w:b w:val="0"/>
                <w:bCs w:val="0"/>
                <w:sz w:val="21"/>
                <w:szCs w:val="21"/>
              </w:rPr>
              <w:t>日</w:t>
            </w:r>
          </w:p>
        </w:tc>
      </w:tr>
    </w:tbl>
    <w:p>
      <w:pPr>
        <w:rPr>
          <w:rFonts w:hint="eastAsia" w:eastAsia="仿宋_GB2312"/>
          <w:lang w:eastAsia="zh-CN"/>
        </w:rPr>
      </w:pPr>
      <w:r>
        <w:rPr>
          <w:rFonts w:hint="eastAsia" w:ascii="宋体" w:hAnsi="宋体" w:eastAsia="宋体"/>
          <w:sz w:val="21"/>
          <w:szCs w:val="21"/>
          <w:lang w:val="en-US" w:eastAsia="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7"/>
        <w:rFonts w:hint="eastAsia" w:ascii="宋体" w:hAnsi="宋体" w:eastAsia="宋体"/>
        <w:sz w:val="28"/>
        <w:szCs w:val="28"/>
      </w:rPr>
    </w:pPr>
    <w:r>
      <w:rPr>
        <w:rStyle w:val="7"/>
        <w:rFonts w:hint="eastAsia" w:ascii="宋体" w:hAnsi="宋体" w:eastAsia="宋体"/>
        <w:sz w:val="28"/>
        <w:szCs w:val="28"/>
      </w:rPr>
      <w:t>—</w:t>
    </w:r>
    <w:r>
      <w:rPr>
        <w:rStyle w:val="7"/>
        <w:rFonts w:hint="eastAsia" w:ascii="宋体" w:hAnsi="宋体" w:eastAsia="宋体"/>
        <w:sz w:val="20"/>
        <w:szCs w:val="20"/>
      </w:rPr>
      <w:t xml:space="preserve">  </w:t>
    </w:r>
    <w:r>
      <w:rPr>
        <w:rFonts w:ascii="宋体" w:hAnsi="宋体" w:eastAsia="宋体"/>
        <w:sz w:val="26"/>
        <w:szCs w:val="26"/>
      </w:rPr>
      <w:fldChar w:fldCharType="begin"/>
    </w:r>
    <w:r>
      <w:rPr>
        <w:rStyle w:val="7"/>
        <w:rFonts w:ascii="宋体" w:hAnsi="宋体" w:eastAsia="宋体"/>
        <w:sz w:val="26"/>
        <w:szCs w:val="26"/>
      </w:rPr>
      <w:instrText xml:space="preserve">PAGE  </w:instrText>
    </w:r>
    <w:r>
      <w:rPr>
        <w:rFonts w:ascii="宋体" w:hAnsi="宋体" w:eastAsia="宋体"/>
        <w:sz w:val="26"/>
        <w:szCs w:val="26"/>
      </w:rPr>
      <w:fldChar w:fldCharType="separate"/>
    </w:r>
    <w:r>
      <w:rPr>
        <w:rStyle w:val="7"/>
        <w:rFonts w:ascii="宋体" w:hAnsi="宋体" w:eastAsia="宋体"/>
        <w:sz w:val="26"/>
        <w:szCs w:val="26"/>
      </w:rPr>
      <w:t>19</w:t>
    </w:r>
    <w:r>
      <w:rPr>
        <w:rFonts w:ascii="宋体" w:hAnsi="宋体" w:eastAsia="宋体"/>
        <w:sz w:val="26"/>
        <w:szCs w:val="26"/>
      </w:rPr>
      <w:fldChar w:fldCharType="end"/>
    </w:r>
    <w:r>
      <w:rPr>
        <w:rStyle w:val="7"/>
        <w:rFonts w:hint="eastAsia" w:ascii="宋体" w:hAnsi="宋体" w:eastAsia="宋体"/>
        <w:sz w:val="20"/>
        <w:szCs w:val="20"/>
      </w:rPr>
      <w:t xml:space="preserve">  </w:t>
    </w:r>
    <w:r>
      <w:rPr>
        <w:rStyle w:val="7"/>
        <w:rFonts w:hint="eastAsia" w:ascii="宋体" w:hAnsi="宋体" w:eastAsia="宋体"/>
        <w:sz w:val="28"/>
        <w:szCs w:val="28"/>
      </w:rPr>
      <w:t>—</w:t>
    </w:r>
  </w:p>
  <w:p>
    <w:pPr>
      <w:pStyle w:val="4"/>
      <w:ind w:right="360" w:firstLine="360"/>
      <w:jc w:val="center"/>
      <w:rPr>
        <w:rFonts w:hint="eastAsi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5AE789"/>
    <w:multiLevelType w:val="singleLevel"/>
    <w:tmpl w:val="CB5AE789"/>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lmNGRkMDE3ODA1ZmY5OGY0YTRjZTMwMzgwNTc3ZDMifQ=="/>
  </w:docVars>
  <w:rsids>
    <w:rsidRoot w:val="2E2A7236"/>
    <w:rsid w:val="05734278"/>
    <w:rsid w:val="1EB65FF6"/>
    <w:rsid w:val="28F00B50"/>
    <w:rsid w:val="2B4A0A9E"/>
    <w:rsid w:val="2E2A7236"/>
    <w:rsid w:val="351C54A2"/>
    <w:rsid w:val="46980B92"/>
    <w:rsid w:val="505032CA"/>
    <w:rsid w:val="7432170C"/>
    <w:rsid w:val="7FC70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heme="minorBidi"/>
      <w:kern w:val="2"/>
      <w:sz w:val="32"/>
      <w:lang w:val="en-US" w:eastAsia="zh-CN" w:bidi="ar-SA"/>
    </w:rPr>
  </w:style>
  <w:style w:type="paragraph" w:styleId="2">
    <w:name w:val="heading 2"/>
    <w:basedOn w:val="1"/>
    <w:next w:val="1"/>
    <w:unhideWhenUsed/>
    <w:qFormat/>
    <w:uiPriority w:val="0"/>
    <w:pPr>
      <w:ind w:firstLine="0" w:firstLineChars="0"/>
      <w:outlineLvl w:val="1"/>
    </w:pPr>
    <w:rPr>
      <w:rFonts w:ascii="Times New Roman" w:hAnsi="Times New Roman"/>
      <w:b/>
      <w:bCs/>
      <w:kern w:val="0"/>
      <w:sz w:val="30"/>
      <w:szCs w:val="32"/>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240" w:lineRule="auto"/>
      <w:ind w:left="0" w:firstLine="0" w:firstLineChars="0"/>
    </w:pPr>
    <w:rPr>
      <w:szCs w:val="24"/>
    </w:rPr>
  </w:style>
  <w:style w:type="paragraph" w:styleId="4">
    <w:name w:val="footer"/>
    <w:basedOn w:val="1"/>
    <w:qFormat/>
    <w:uiPriority w:val="0"/>
    <w:pPr>
      <w:tabs>
        <w:tab w:val="center" w:pos="4153"/>
        <w:tab w:val="right" w:pos="8306"/>
      </w:tabs>
      <w:snapToGrid w:val="0"/>
      <w:jc w:val="left"/>
    </w:pPr>
    <w:rPr>
      <w:rFonts w:ascii="Calibri" w:hAnsi="Calibri"/>
      <w:sz w:val="18"/>
      <w:szCs w:val="18"/>
    </w:rPr>
  </w:style>
  <w:style w:type="character" w:styleId="7">
    <w:name w:val="page number"/>
    <w:basedOn w:val="6"/>
    <w:qFormat/>
    <w:uiPriority w:val="0"/>
  </w:style>
  <w:style w:type="paragraph" w:customStyle="1" w:styleId="8">
    <w:name w:val="列出段落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7658</Words>
  <Characters>7763</Characters>
  <Lines>0</Lines>
  <Paragraphs>0</Paragraphs>
  <TotalTime>24</TotalTime>
  <ScaleCrop>false</ScaleCrop>
  <LinksUpToDate>false</LinksUpToDate>
  <CharactersWithSpaces>8011</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2022-11-04T12:34:00Z</dcterms:created>
  <dc:creator>冯护国</dc:creator>
  <cp:lastModifiedBy>Administrator</cp:lastModifiedBy>
  <dcterms:modified xsi:type="dcterms:W3CDTF">2023-03-01T02:45:01Z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ED66E6428D064948B479F684D4D4540A</vt:lpwstr>
  </property>
</Properties>
</file>