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color w:val="000000" w:themeColor="text1"/>
          <w14:textFill>
            <w14:solidFill>
              <w14:schemeClr w14:val="tx1"/>
            </w14:solidFill>
          </w14:textFill>
        </w:rPr>
      </w:pPr>
      <w:bookmarkStart w:id="6" w:name="_GoBack"/>
      <w:bookmarkEnd w:id="6"/>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adjustRightInd w:val="0"/>
        <w:snapToGrid w:val="0"/>
        <w:jc w:val="center"/>
        <w:outlineLvl w:val="0"/>
        <w:rPr>
          <w:rFonts w:ascii="红豆小标宋简体" w:eastAsia="红豆小标宋简体"/>
          <w:bCs/>
          <w:color w:val="000000" w:themeColor="text1"/>
          <w:sz w:val="72"/>
          <w:szCs w:val="72"/>
          <w14:textFill>
            <w14:solidFill>
              <w14:schemeClr w14:val="tx1"/>
            </w14:solidFill>
          </w14:textFill>
        </w:rPr>
      </w:pPr>
      <w:r>
        <w:rPr>
          <w:rFonts w:hint="eastAsia" w:ascii="红豆小标宋简体" w:eastAsia="红豆小标宋简体"/>
          <w:bCs/>
          <w:color w:val="000000" w:themeColor="text1"/>
          <w:sz w:val="72"/>
          <w:szCs w:val="72"/>
          <w14:textFill>
            <w14:solidFill>
              <w14:schemeClr w14:val="tx1"/>
            </w14:solidFill>
          </w14:textFill>
        </w:rPr>
        <w:t>建设项目环境影响报告表</w:t>
      </w:r>
    </w:p>
    <w:p>
      <w:pPr>
        <w:adjustRightInd w:val="0"/>
        <w:snapToGrid w:val="0"/>
        <w:spacing w:beforeLines="80"/>
        <w:jc w:val="center"/>
        <w:rPr>
          <w:rFonts w:ascii="方正楷体_GB2312" w:eastAsia="方正楷体_GB2312"/>
          <w:bCs/>
          <w:color w:val="000000" w:themeColor="text1"/>
          <w:sz w:val="48"/>
          <w:szCs w:val="48"/>
          <w14:textFill>
            <w14:solidFill>
              <w14:schemeClr w14:val="tx1"/>
            </w14:solidFill>
          </w14:textFill>
        </w:rPr>
      </w:pPr>
      <w:r>
        <w:rPr>
          <w:rFonts w:hint="eastAsia" w:ascii="方正楷体_GB2312" w:eastAsia="方正楷体_GB2312"/>
          <w:bCs/>
          <w:color w:val="000000" w:themeColor="text1"/>
          <w:sz w:val="48"/>
          <w:szCs w:val="48"/>
          <w14:textFill>
            <w14:solidFill>
              <w14:schemeClr w14:val="tx1"/>
            </w14:solidFill>
          </w14:textFill>
        </w:rPr>
        <w:t>（污染影响类）</w:t>
      </w:r>
    </w:p>
    <w:p>
      <w:pPr>
        <w:bidi w:val="0"/>
        <w:rPr>
          <w:color w:val="000000" w:themeColor="text1"/>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keepNext w:val="0"/>
        <w:keepLines w:val="0"/>
        <w:pageBreakBefore w:val="0"/>
        <w:widowControl w:val="0"/>
        <w:tabs>
          <w:tab w:val="left" w:pos="3235"/>
        </w:tabs>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仿宋" w:cs="Times New Roman"/>
          <w:color w:val="000000" w:themeColor="text1"/>
          <w:sz w:val="36"/>
          <w:szCs w:val="36"/>
          <w:u w:val="single"/>
          <w:lang w:val="en-US"/>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项目名称：</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密度计量检定实验室项目   </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建设单位（盖章）：</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中国石油集团川庆钻探工程有限公司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仿宋" w:cs="Times New Roman"/>
          <w:color w:val="000000" w:themeColor="text1"/>
          <w:sz w:val="36"/>
          <w:szCs w:val="36"/>
          <w:u w:val="single"/>
          <w:lang w:val="en-US"/>
          <w14:textFill>
            <w14:solidFill>
              <w14:schemeClr w14:val="tx1"/>
            </w14:solidFill>
          </w14:textFill>
        </w:rPr>
      </w:pP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长庆井下</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技术</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作业公司     </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textAlignment w:val="auto"/>
        <w:rPr>
          <w:rFonts w:hint="eastAsia" w:ascii="仿宋" w:hAnsi="仿宋" w:eastAsia="仿宋" w:cs="仿宋"/>
          <w:color w:val="000000" w:themeColor="text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编制日期：</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eastAsia="zh-CN"/>
          <w14:textFill>
            <w14:solidFill>
              <w14:schemeClr w14:val="tx1"/>
            </w14:solidFill>
          </w14:textFill>
        </w:rPr>
        <w:t>202</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2</w:t>
      </w:r>
      <w:r>
        <w:rPr>
          <w:rFonts w:hint="default" w:ascii="Times New Roman" w:hAnsi="Times New Roman" w:eastAsia="仿宋" w:cs="Times New Roman"/>
          <w:color w:val="000000" w:themeColor="text1"/>
          <w:sz w:val="36"/>
          <w:szCs w:val="36"/>
          <w:u w:val="single"/>
          <w:lang w:eastAsia="zh-CN"/>
          <w14:textFill>
            <w14:solidFill>
              <w14:schemeClr w14:val="tx1"/>
            </w14:solidFill>
          </w14:textFill>
        </w:rPr>
        <w:t>年</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11</w:t>
      </w:r>
      <w:r>
        <w:rPr>
          <w:rFonts w:hint="default" w:ascii="Times New Roman" w:hAnsi="Times New Roman" w:eastAsia="仿宋" w:cs="Times New Roman"/>
          <w:color w:val="000000" w:themeColor="text1"/>
          <w:sz w:val="36"/>
          <w:szCs w:val="36"/>
          <w:u w:val="single"/>
          <w:lang w:eastAsia="zh-CN"/>
          <w14:textFill>
            <w14:solidFill>
              <w14:schemeClr w14:val="tx1"/>
            </w14:solidFill>
          </w14:textFill>
        </w:rPr>
        <w:t>月</w:t>
      </w:r>
      <w:bookmarkStart w:id="0" w:name="_Hlk57884087"/>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rPr>
          <w:rFonts w:hint="eastAsia" w:ascii="仿宋" w:hAnsi="仿宋" w:eastAsia="仿宋" w:cs="仿宋"/>
          <w:color w:val="000000" w:themeColor="text1"/>
          <w:sz w:val="36"/>
          <w:szCs w:val="36"/>
          <w14:textFill>
            <w14:solidFill>
              <w14:schemeClr w14:val="tx1"/>
            </w14:solidFill>
          </w14:textFill>
        </w:rPr>
      </w:pPr>
    </w:p>
    <w:p>
      <w:pPr>
        <w:adjustRightInd w:val="0"/>
        <w:snapToGrid w:val="0"/>
        <w:spacing w:line="288" w:lineRule="auto"/>
        <w:ind w:firstLine="1040"/>
        <w:rPr>
          <w:rFonts w:ascii="方正楷体_GB2312" w:eastAsia="方正楷体_GB2312"/>
          <w:color w:val="000000" w:themeColor="text1"/>
          <w:sz w:val="36"/>
          <w:szCs w:val="36"/>
          <w14:textFill>
            <w14:solidFill>
              <w14:schemeClr w14:val="tx1"/>
            </w14:solidFill>
          </w14:textFill>
        </w:rPr>
      </w:pPr>
    </w:p>
    <w:p>
      <w:pPr>
        <w:pStyle w:val="19"/>
        <w:ind w:firstLine="440"/>
        <w:rPr>
          <w:color w:val="000000" w:themeColor="text1"/>
          <w14:textFill>
            <w14:solidFill>
              <w14:schemeClr w14:val="tx1"/>
            </w14:solidFill>
          </w14:textFill>
        </w:rPr>
      </w:pPr>
    </w:p>
    <w:bookmarkEnd w:id="0"/>
    <w:p>
      <w:pPr>
        <w:jc w:val="center"/>
        <w:rPr>
          <w:rFonts w:hint="eastAsia" w:ascii="方正楷体_GB2312" w:eastAsia="方正楷体_GB2312"/>
          <w:color w:val="000000" w:themeColor="text1"/>
          <w:sz w:val="36"/>
          <w:szCs w:val="36"/>
          <w14:textFill>
            <w14:solidFill>
              <w14:schemeClr w14:val="tx1"/>
            </w14:solidFill>
          </w14:textFill>
        </w:rPr>
        <w:sectPr>
          <w:pgSz w:w="11906" w:h="16838"/>
          <w:pgMar w:top="1531" w:right="737" w:bottom="567" w:left="737" w:header="851" w:footer="992" w:gutter="0"/>
          <w:cols w:space="425" w:num="1"/>
          <w:docGrid w:type="lines" w:linePitch="312" w:charSpace="0"/>
        </w:sectPr>
      </w:pPr>
      <w:r>
        <w:rPr>
          <w:rFonts w:hint="eastAsia" w:ascii="方正楷体_GB2312" w:eastAsia="方正楷体_GB2312"/>
          <w:color w:val="000000" w:themeColor="text1"/>
          <w:sz w:val="36"/>
          <w:szCs w:val="36"/>
          <w14:textFill>
            <w14:solidFill>
              <w14:schemeClr w14:val="tx1"/>
            </w14:solidFill>
          </w14:textFill>
        </w:rPr>
        <w:t>中华人民共和国生态环境部制</w:t>
      </w:r>
    </w:p>
    <w:p>
      <w:pPr>
        <w:pStyle w:val="18"/>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3"/>
        <w:gridCol w:w="746"/>
        <w:gridCol w:w="2364"/>
        <w:gridCol w:w="2080"/>
        <w:gridCol w:w="28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331" w:type="dxa"/>
            <w:gridSpan w:val="3"/>
            <w:noWrap/>
            <w:vAlign w:val="center"/>
          </w:tcPr>
          <w:p>
            <w:pPr>
              <w:adjustRightInd w:val="0"/>
              <w:snapToGrid w:val="0"/>
              <w:jc w:val="center"/>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密度计量检定实验室项目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331" w:type="dxa"/>
            <w:gridSpan w:val="3"/>
            <w:noWrap/>
            <w:vAlign w:val="center"/>
          </w:tcPr>
          <w:p>
            <w:pPr>
              <w:adjustRightInd w:val="0"/>
              <w:snapToGrid w:val="0"/>
              <w:jc w:val="center"/>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建设单位联系人</w:t>
            </w:r>
          </w:p>
        </w:tc>
        <w:tc>
          <w:tcPr>
            <w:tcW w:w="2364"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李婧</w:t>
            </w:r>
          </w:p>
        </w:tc>
        <w:tc>
          <w:tcPr>
            <w:tcW w:w="2080" w:type="dxa"/>
            <w:noWrap/>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2887" w:type="dxa"/>
            <w:noWrap/>
            <w:vAlign w:val="center"/>
          </w:tcPr>
          <w:p>
            <w:pPr>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18192629016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331" w:type="dxa"/>
            <w:gridSpan w:val="3"/>
            <w:noWrap/>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陕西</w:t>
            </w:r>
            <w:r>
              <w:rPr>
                <w:rFonts w:hint="default" w:ascii="Times New Roman" w:hAnsi="Times New Roman" w:eastAsia="宋体" w:cs="Times New Roman"/>
                <w:color w:val="000000" w:themeColor="text1"/>
                <w:sz w:val="24"/>
                <w:szCs w:val="24"/>
                <w14:textFill>
                  <w14:solidFill>
                    <w14:schemeClr w14:val="tx1"/>
                  </w14:solidFill>
                </w14:textFill>
              </w:rPr>
              <w:t>省（自治区）</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市</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西咸新区</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区</w:t>
            </w:r>
            <w:r>
              <w:rPr>
                <w:rFonts w:hint="default" w:ascii="Times New Roman" w:hAnsi="Times New Roman" w:eastAsia="宋体" w:cs="Times New Roman"/>
                <w:color w:val="000000" w:themeColor="text1"/>
                <w:sz w:val="24"/>
                <w:szCs w:val="24"/>
                <w14:textFill>
                  <w14:solidFill>
                    <w14:schemeClr w14:val="tx1"/>
                  </w14:solidFill>
                </w14:textFill>
              </w:rPr>
              <w:t>县（区）</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秦汉新城</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乡（街道）</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朝阳四路长庆井下工业园内</w:t>
            </w:r>
            <w:r>
              <w:rPr>
                <w:rFonts w:hint="default" w:ascii="Times New Roman" w:hAnsi="Times New Roman" w:eastAsia="宋体" w:cs="Times New Roman"/>
                <w:color w:val="000000" w:themeColor="text1"/>
                <w:sz w:val="24"/>
                <w:szCs w:val="24"/>
                <w14:textFill>
                  <w14:solidFill>
                    <w14:schemeClr w14:val="tx1"/>
                  </w14:solidFill>
                </w14:textFill>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331" w:type="dxa"/>
            <w:gridSpan w:val="3"/>
            <w:noWrap/>
            <w:vAlign w:val="center"/>
          </w:tcPr>
          <w:p>
            <w:pPr>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 xml:space="preserve">东经 </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 xml:space="preserve">108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 xml:space="preserve">度 </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 xml:space="preserve">45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 xml:space="preserve">分 </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5</w:t>
            </w:r>
            <w:r>
              <w:rPr>
                <w:rFonts w:hint="default" w:ascii="Times New Roman" w:hAnsi="Times New Roman" w:eastAsia="宋体" w:cs="Times New Roman"/>
                <w:color w:val="000000" w:themeColor="text1"/>
                <w:spacing w:val="-9"/>
                <w:sz w:val="24"/>
                <w:szCs w:val="24"/>
                <w:highlight w:val="none"/>
                <w:lang w:val="en-US" w:eastAsia="zh-CN"/>
                <w14:textFill>
                  <w14:solidFill>
                    <w14:schemeClr w14:val="tx1"/>
                  </w14:solidFill>
                </w14:textFill>
              </w:rPr>
              <w:t>1.087</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 xml:space="preserve">秒， 北纬 </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 xml:space="preserve">34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 xml:space="preserve">度 </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 xml:space="preserve">22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 xml:space="preserve">分 </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9"/>
                <w:sz w:val="24"/>
                <w:szCs w:val="24"/>
                <w:highlight w:val="none"/>
                <w:lang w:val="en-US" w:eastAsia="zh-CN"/>
                <w14:textFill>
                  <w14:solidFill>
                    <w14:schemeClr w14:val="tx1"/>
                  </w14:solidFill>
                </w14:textFill>
              </w:rPr>
              <w:t>6</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.7</w:t>
            </w:r>
            <w:r>
              <w:rPr>
                <w:rFonts w:hint="default" w:ascii="Times New Roman" w:hAnsi="Times New Roman" w:eastAsia="宋体" w:cs="Times New Roman"/>
                <w:color w:val="000000" w:themeColor="text1"/>
                <w:spacing w:val="-9"/>
                <w:sz w:val="24"/>
                <w:szCs w:val="24"/>
                <w:highlight w:val="none"/>
                <w:lang w:val="en-US" w:eastAsia="zh-CN"/>
                <w14:textFill>
                  <w14:solidFill>
                    <w14:schemeClr w14:val="tx1"/>
                  </w14:solidFill>
                </w14:textFill>
              </w:rPr>
              <w:t>17</w:t>
            </w:r>
            <w:r>
              <w:rPr>
                <w:rFonts w:hint="default" w:ascii="Times New Roman" w:hAnsi="Times New Roman" w:eastAsia="Times New Roman" w:cs="Times New Roman"/>
                <w:color w:val="000000" w:themeColor="text1"/>
                <w:spacing w:val="-9"/>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秒</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国民经济</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364"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M7452 检测服务</w:t>
            </w:r>
          </w:p>
        </w:tc>
        <w:tc>
          <w:tcPr>
            <w:tcW w:w="2080" w:type="dxa"/>
            <w:noWrap/>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bookmarkStart w:id="1" w:name="_Hlk49843745"/>
            <w:r>
              <w:rPr>
                <w:rFonts w:hint="default" w:ascii="Times New Roman" w:hAnsi="Times New Roman" w:eastAsia="宋体" w:cs="Times New Roman"/>
                <w:color w:val="000000" w:themeColor="text1"/>
                <w:sz w:val="24"/>
                <w:szCs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bookmarkEnd w:id="1"/>
          </w:p>
        </w:tc>
        <w:tc>
          <w:tcPr>
            <w:tcW w:w="2887" w:type="dxa"/>
            <w:noWrap/>
            <w:vAlign w:val="center"/>
          </w:tcPr>
          <w:p>
            <w:pPr>
              <w:adjustRightInd w:val="0"/>
              <w:snapToGrid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四十五、研究和试验发展 </w:t>
            </w:r>
          </w:p>
          <w:p>
            <w:pPr>
              <w:adjustRightInd w:val="0"/>
              <w:snapToGrid w:val="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“98、专业实验室、研发（试验）基地”中的“其他（不产生实验废气、废水、危险废物的除外）”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364" w:type="dxa"/>
            <w:noWrap/>
            <w:vAlign w:val="center"/>
          </w:tcPr>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FE"/>
            </w:r>
            <w:r>
              <w:rPr>
                <w:rFonts w:hint="default" w:ascii="Times New Roman" w:hAnsi="Times New Roman" w:eastAsia="宋体" w:cs="Times New Roman"/>
                <w:color w:val="000000" w:themeColor="text1"/>
                <w:sz w:val="24"/>
                <w:szCs w:val="24"/>
                <w14:textFill>
                  <w14:solidFill>
                    <w14:schemeClr w14:val="tx1"/>
                  </w14:solidFill>
                </w14:textFill>
              </w:rPr>
              <w:t>新建（迁建）</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扩建</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2080" w:type="dxa"/>
            <w:noWrap/>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2887" w:type="dxa"/>
            <w:noWrap/>
            <w:vAlign w:val="center"/>
          </w:tcPr>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FE"/>
            </w:r>
            <w:r>
              <w:rPr>
                <w:rFonts w:hint="default" w:ascii="Times New Roman" w:hAnsi="Times New Roman" w:eastAsia="宋体" w:cs="Times New Roman"/>
                <w:color w:val="000000" w:themeColor="text1"/>
                <w:sz w:val="24"/>
                <w:szCs w:val="24"/>
                <w14:textFill>
                  <w14:solidFill>
                    <w14:schemeClr w14:val="tx1"/>
                  </w14:solidFill>
                </w14:textFill>
              </w:rPr>
              <w:t xml:space="preserve">首次申报项目             </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 xml:space="preserve">超五年重新审核项目     </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项目审批（核准/备案）部门（选填）</w:t>
            </w:r>
          </w:p>
        </w:tc>
        <w:tc>
          <w:tcPr>
            <w:tcW w:w="2364"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西咸新区秦汉新城行政审批与政务服务局</w:t>
            </w:r>
          </w:p>
        </w:tc>
        <w:tc>
          <w:tcPr>
            <w:tcW w:w="2080" w:type="dxa"/>
            <w:noWrap/>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备案）文号（选填）</w:t>
            </w:r>
          </w:p>
        </w:tc>
        <w:tc>
          <w:tcPr>
            <w:tcW w:w="2887" w:type="dxa"/>
            <w:noWrap/>
            <w:vAlign w:val="center"/>
          </w:tcPr>
          <w:p>
            <w:pPr>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总投资（万元）</w:t>
            </w:r>
          </w:p>
        </w:tc>
        <w:tc>
          <w:tcPr>
            <w:tcW w:w="2364"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280</w:t>
            </w:r>
          </w:p>
        </w:tc>
        <w:tc>
          <w:tcPr>
            <w:tcW w:w="2080" w:type="dxa"/>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环保投资（万元）</w:t>
            </w:r>
          </w:p>
        </w:tc>
        <w:tc>
          <w:tcPr>
            <w:tcW w:w="2887"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364"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2.9</w:t>
            </w:r>
          </w:p>
        </w:tc>
        <w:tc>
          <w:tcPr>
            <w:tcW w:w="2080" w:type="dxa"/>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施工工期</w:t>
            </w:r>
          </w:p>
        </w:tc>
        <w:tc>
          <w:tcPr>
            <w:tcW w:w="2887"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gridSpan w:val="2"/>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是否开工建设</w:t>
            </w:r>
          </w:p>
        </w:tc>
        <w:tc>
          <w:tcPr>
            <w:tcW w:w="2364" w:type="dxa"/>
            <w:noWrap/>
            <w:vAlign w:val="center"/>
          </w:tcPr>
          <w:p>
            <w:pPr>
              <w:adjustRightInd w:val="0"/>
              <w:snapToGrid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FE"/>
            </w:r>
            <w:r>
              <w:rPr>
                <w:rFonts w:hint="default" w:ascii="Times New Roman" w:hAnsi="Times New Roman" w:eastAsia="宋体" w:cs="Times New Roman"/>
                <w:color w:val="000000" w:themeColor="text1"/>
                <w:sz w:val="24"/>
                <w:szCs w:val="24"/>
                <w14:textFill>
                  <w14:solidFill>
                    <w14:schemeClr w14:val="tx1"/>
                  </w14:solidFill>
                </w14:textFill>
              </w:rPr>
              <w:t>否</w:t>
            </w:r>
          </w:p>
          <w:p>
            <w:pPr>
              <w:adjustRightInd w:val="0"/>
              <w:snapToGrid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14:textFill>
                  <w14:solidFill>
                    <w14:schemeClr w14:val="tx1"/>
                  </w14:solidFill>
                </w14:textFill>
              </w:rPr>
              <w:t>是：</w:t>
            </w:r>
          </w:p>
        </w:tc>
        <w:tc>
          <w:tcPr>
            <w:tcW w:w="2080" w:type="dxa"/>
            <w:noWrap/>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面积（m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14:textFill>
                  <w14:solidFill>
                    <w14:schemeClr w14:val="tx1"/>
                  </w14:solidFill>
                </w14:textFill>
              </w:rPr>
              <w:t>）</w:t>
            </w:r>
          </w:p>
        </w:tc>
        <w:tc>
          <w:tcPr>
            <w:tcW w:w="2887"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9" w:type="dxa"/>
            <w:gridSpan w:val="2"/>
            <w:noWrap/>
            <w:vAlign w:val="center"/>
          </w:tcPr>
          <w:p>
            <w:pPr>
              <w:autoSpaceDE w:val="0"/>
              <w:autoSpaceDN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专项评价设置情况</w:t>
            </w:r>
          </w:p>
        </w:tc>
        <w:tc>
          <w:tcPr>
            <w:tcW w:w="7331" w:type="dxa"/>
            <w:gridSpan w:val="3"/>
            <w:noWrap/>
            <w:vAlign w:val="center"/>
          </w:tcPr>
          <w:p>
            <w:pPr>
              <w:autoSpaceDE w:val="0"/>
              <w:autoSpaceDN w:val="0"/>
              <w:adjustRightInd w:val="0"/>
              <w:snapToGrid w:val="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539" w:type="dxa"/>
            <w:gridSpan w:val="2"/>
            <w:noWrap/>
            <w:vAlign w:val="center"/>
          </w:tcPr>
          <w:p>
            <w:pPr>
              <w:autoSpaceDE w:val="0"/>
              <w:autoSpaceDN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7331" w:type="dxa"/>
            <w:gridSpan w:val="3"/>
            <w:noWrap/>
            <w:vAlign w:val="center"/>
          </w:tcPr>
          <w:p>
            <w:pPr>
              <w:pStyle w:val="3"/>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陕西省西咸新区秦汉新城控制性详细规划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noWrap/>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规划环境影响</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评价情况</w:t>
            </w:r>
          </w:p>
        </w:tc>
        <w:tc>
          <w:tcPr>
            <w:tcW w:w="8077" w:type="dxa"/>
            <w:gridSpan w:val="4"/>
            <w:noWrap/>
            <w:vAlign w:val="center"/>
          </w:tcPr>
          <w:p>
            <w:pPr>
              <w:autoSpaceDE w:val="0"/>
              <w:autoSpaceDN w:val="0"/>
              <w:adjustRightInd w:val="0"/>
              <w:snapToGrid w:val="0"/>
              <w:jc w:val="center"/>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表1-</w:t>
            </w:r>
            <w:r>
              <w:rPr>
                <w:rFonts w:hint="default" w:ascii="Times New Roman" w:hAnsi="Times New Roman"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lang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西咸新区秦汉新城</w:t>
            </w:r>
            <w:r>
              <w:rPr>
                <w:rFonts w:hint="default" w:ascii="Times New Roman" w:hAnsi="Times New Roman" w:cs="Times New Roman"/>
                <w:b/>
                <w:bCs/>
                <w:color w:val="000000" w:themeColor="text1"/>
                <w:lang w:eastAsia="zh-CN"/>
                <w14:textFill>
                  <w14:solidFill>
                    <w14:schemeClr w14:val="tx1"/>
                  </w14:solidFill>
                </w14:textFill>
              </w:rPr>
              <w:t>规划</w:t>
            </w:r>
            <w:r>
              <w:rPr>
                <w:rFonts w:hint="default" w:ascii="Times New Roman" w:hAnsi="Times New Roman" w:cs="Times New Roman"/>
                <w:b/>
                <w:bCs/>
                <w:color w:val="000000" w:themeColor="text1"/>
                <w:lang w:val="en-US" w:eastAsia="zh-CN"/>
                <w14:textFill>
                  <w14:solidFill>
                    <w14:schemeClr w14:val="tx1"/>
                  </w14:solidFill>
                </w14:textFill>
              </w:rPr>
              <w:t>环境影响评价</w:t>
            </w:r>
            <w:r>
              <w:rPr>
                <w:rFonts w:hint="default" w:ascii="Times New Roman" w:hAnsi="Times New Roman" w:cs="Times New Roman"/>
                <w:b/>
                <w:bCs/>
                <w:color w:val="000000" w:themeColor="text1"/>
                <w:lang w:eastAsia="zh-CN"/>
                <w14:textFill>
                  <w14:solidFill>
                    <w14:schemeClr w14:val="tx1"/>
                  </w14:solidFill>
                </w14:textFill>
              </w:rPr>
              <w:t>情况</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959"/>
              <w:gridCol w:w="4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pct"/>
                  <w:vAlign w:val="center"/>
                </w:tcPr>
                <w:p>
                  <w:pPr>
                    <w:autoSpaceDE w:val="0"/>
                    <w:autoSpaceDN w:val="0"/>
                    <w:adjustRightInd w:val="0"/>
                    <w:snapToGrid w:val="0"/>
                    <w:jc w:val="center"/>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规划名称</w:t>
                  </w:r>
                </w:p>
              </w:tc>
              <w:tc>
                <w:tcPr>
                  <w:tcW w:w="1248" w:type="pct"/>
                  <w:vAlign w:val="center"/>
                </w:tcPr>
                <w:p>
                  <w:pPr>
                    <w:autoSpaceDE w:val="0"/>
                    <w:autoSpaceDN w:val="0"/>
                    <w:adjustRightInd w:val="0"/>
                    <w:snapToGrid w:val="0"/>
                    <w:jc w:val="center"/>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审批机关</w:t>
                  </w:r>
                </w:p>
              </w:tc>
              <w:tc>
                <w:tcPr>
                  <w:tcW w:w="2657" w:type="pct"/>
                  <w:vAlign w:val="center"/>
                </w:tcPr>
                <w:p>
                  <w:pPr>
                    <w:autoSpaceDE w:val="0"/>
                    <w:autoSpaceDN w:val="0"/>
                    <w:adjustRightInd w:val="0"/>
                    <w:snapToGrid w:val="0"/>
                    <w:jc w:val="center"/>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审批文件名称、文号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pct"/>
                  <w:vAlign w:val="center"/>
                </w:tcPr>
                <w:p>
                  <w:pPr>
                    <w:autoSpaceDE w:val="0"/>
                    <w:autoSpaceDN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西咸新区-秦汉新城分区规划（2016-2035）环境影响报告书</w:t>
                  </w:r>
                </w:p>
              </w:tc>
              <w:tc>
                <w:tcPr>
                  <w:tcW w:w="1248" w:type="pct"/>
                  <w:vAlign w:val="center"/>
                </w:tcPr>
                <w:p>
                  <w:pPr>
                    <w:autoSpaceDE w:val="0"/>
                    <w:autoSpaceDN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陕西省西咸新区生态环境局</w:t>
                  </w:r>
                </w:p>
              </w:tc>
              <w:tc>
                <w:tcPr>
                  <w:tcW w:w="2657" w:type="pct"/>
                  <w:vAlign w:val="center"/>
                </w:tcPr>
                <w:p>
                  <w:pPr>
                    <w:autoSpaceDE w:val="0"/>
                    <w:autoSpaceDN w:val="0"/>
                    <w:adjustRightInd w:val="0"/>
                    <w:snapToGrid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陕西省西咸新区生态环境局关于《西咸新区-秦汉新城分区规划（2016-2035）环境影响报告书》审查意见  陕西咸环函[2019]24号</w:t>
                  </w:r>
                </w:p>
              </w:tc>
            </w:tr>
          </w:tbl>
          <w:p>
            <w:pPr>
              <w:pStyle w:val="11"/>
              <w:rPr>
                <w:rFonts w:hint="default" w:ascii="Times New Roman" w:hAnsi="Times New Roman" w:cs="Times New Roman"/>
                <w:color w:val="000000" w:themeColor="text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93" w:type="dxa"/>
            <w:noWrap/>
            <w:vAlign w:val="center"/>
          </w:tcPr>
          <w:p>
            <w:pPr>
              <w:autoSpaceDE w:val="0"/>
              <w:autoSpaceDN w:val="0"/>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规划及规划环境</w:t>
            </w:r>
          </w:p>
          <w:p>
            <w:pPr>
              <w:autoSpaceDE w:val="0"/>
              <w:autoSpaceDN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影响评价符合性分析</w:t>
            </w:r>
          </w:p>
        </w:tc>
        <w:tc>
          <w:tcPr>
            <w:tcW w:w="8077" w:type="dxa"/>
            <w:gridSpan w:val="4"/>
            <w:noWrap/>
            <w:vAlign w:val="center"/>
          </w:tcPr>
          <w:p>
            <w:pPr>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本项目与相关规划符合性分析见表1</w:t>
            </w:r>
            <w:r>
              <w:rPr>
                <w:rFonts w:hint="default" w:ascii="Times New Roman" w:hAnsi="Times New Roman" w:eastAsia="宋体" w:cs="Times New Roman"/>
                <w:color w:val="000000" w:themeColor="text1"/>
                <w:sz w:val="24"/>
                <w:lang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p>
          <w:p>
            <w:pPr>
              <w:jc w:val="center"/>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val="zh-CN" w:eastAsia="zh-CN"/>
                <w14:textFill>
                  <w14:solidFill>
                    <w14:schemeClr w14:val="tx1"/>
                  </w14:solidFill>
                </w14:textFill>
              </w:rPr>
              <w:t>表</w:t>
            </w:r>
            <w:r>
              <w:rPr>
                <w:rFonts w:hint="default" w:ascii="Times New Roman" w:hAnsi="Times New Roman" w:cs="Times New Roman"/>
                <w:b/>
                <w:bCs/>
                <w:color w:val="000000" w:themeColor="text1"/>
                <w:sz w:val="24"/>
                <w:szCs w:val="24"/>
                <w:lang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 xml:space="preserve">2  </w:t>
            </w:r>
            <w:r>
              <w:rPr>
                <w:rFonts w:hint="default" w:ascii="Times New Roman" w:hAnsi="Times New Roman" w:cs="Times New Roman"/>
                <w:b/>
                <w:bCs/>
                <w:color w:val="000000" w:themeColor="text1"/>
                <w:sz w:val="24"/>
                <w:szCs w:val="24"/>
                <w:lang w:val="zh-CN" w:eastAsia="zh-CN"/>
                <w14:textFill>
                  <w14:solidFill>
                    <w14:schemeClr w14:val="tx1"/>
                  </w14:solidFill>
                </w14:textFill>
              </w:rPr>
              <w:t>项目规划符合性分析一览表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1"/>
              <w:gridCol w:w="3016"/>
              <w:gridCol w:w="2418"/>
              <w:gridCol w:w="7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64" w:type="pct"/>
                  <w:tcBorders>
                    <w:bottom w:val="single" w:color="auto" w:sz="6" w:space="0"/>
                    <w:right w:val="single" w:color="auto" w:sz="6" w:space="0"/>
                  </w:tcBorders>
                  <w:vAlign w:val="center"/>
                </w:tcPr>
                <w:p>
                  <w:pPr>
                    <w:jc w:val="center"/>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规划名称</w:t>
                  </w:r>
                </w:p>
              </w:tc>
              <w:tc>
                <w:tcPr>
                  <w:tcW w:w="1920" w:type="pct"/>
                  <w:tcBorders>
                    <w:left w:val="single" w:color="auto" w:sz="6" w:space="0"/>
                    <w:bottom w:val="single" w:color="auto" w:sz="6" w:space="0"/>
                    <w:right w:val="single" w:color="auto" w:sz="6" w:space="0"/>
                  </w:tcBorders>
                  <w:vAlign w:val="center"/>
                </w:tcPr>
                <w:p>
                  <w:pPr>
                    <w:jc w:val="center"/>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规划内容</w:t>
                  </w:r>
                </w:p>
              </w:tc>
              <w:tc>
                <w:tcPr>
                  <w:tcW w:w="1539" w:type="pct"/>
                  <w:tcBorders>
                    <w:left w:val="single" w:color="auto" w:sz="6" w:space="0"/>
                    <w:bottom w:val="single" w:color="auto" w:sz="6" w:space="0"/>
                    <w:right w:val="single" w:color="auto" w:sz="6" w:space="0"/>
                  </w:tcBorders>
                  <w:vAlign w:val="center"/>
                </w:tcPr>
                <w:p>
                  <w:pPr>
                    <w:jc w:val="center"/>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本项目情况</w:t>
                  </w:r>
                </w:p>
              </w:tc>
              <w:tc>
                <w:tcPr>
                  <w:tcW w:w="475" w:type="pct"/>
                  <w:tcBorders>
                    <w:left w:val="single" w:color="auto" w:sz="6" w:space="0"/>
                    <w:bottom w:val="single" w:color="auto" w:sz="6" w:space="0"/>
                  </w:tcBorders>
                  <w:vAlign w:val="center"/>
                </w:tcPr>
                <w:p>
                  <w:pPr>
                    <w:jc w:val="center"/>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0" w:hRule="atLeast"/>
                <w:jc w:val="center"/>
              </w:trPr>
              <w:tc>
                <w:tcPr>
                  <w:tcW w:w="1064" w:type="pct"/>
                  <w:tcBorders>
                    <w:top w:val="single" w:color="auto" w:sz="6" w:space="0"/>
                    <w:bottom w:val="single" w:color="auto" w:sz="4"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《陕西省西咸新区秦汉新城控制性详细规划》</w:t>
                  </w:r>
                </w:p>
              </w:tc>
              <w:tc>
                <w:tcPr>
                  <w:tcW w:w="1920" w:type="pct"/>
                  <w:tcBorders>
                    <w:top w:val="single" w:color="auto" w:sz="6"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在保护范围内不得进行其它建设工程，对保护范围内有碍景观的非文物建筑的拆除、改建以及为文保单位本身复原、配套而进行的建设工程，必须经文物和规划主管部门审核、批准后才能进行，禁止存放易燃易爆物品，禁止取土、开矿、采石、拦河截溪、设置垃圾堆场、排放污水、违章搭建、私设广告和其他有碍观瞻、破坏环境风貌的活动。</w:t>
                  </w:r>
                  <w:r>
                    <w:rPr>
                      <w:rFonts w:hint="default" w:ascii="Times New Roman" w:hAnsi="Times New Roman" w:eastAsia="宋体" w:cs="Times New Roman"/>
                      <w:color w:val="000000" w:themeColor="text1"/>
                      <w:sz w:val="21"/>
                      <w:szCs w:val="21"/>
                      <w14:textFill>
                        <w14:solidFill>
                          <w14:schemeClr w14:val="tx1"/>
                        </w14:solidFill>
                      </w14:textFill>
                    </w:rPr>
                    <w:t>不得进行新的建设工程。</w:t>
                  </w:r>
                </w:p>
              </w:tc>
              <w:tc>
                <w:tcPr>
                  <w:tcW w:w="1539" w:type="pct"/>
                  <w:tcBorders>
                    <w:top w:val="single" w:color="auto" w:sz="6"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本项目属于实验室检测项目，位于工业园区内压裂所101室，厂房主体已建设完成，本次环评仅涉及密度计计量标准装置安装，</w:t>
                  </w:r>
                  <w:r>
                    <w:rPr>
                      <w:rFonts w:hint="default" w:ascii="Times New Roman" w:hAnsi="Times New Roman" w:eastAsia="宋体" w:cs="Times New Roman"/>
                      <w:color w:val="000000" w:themeColor="text1"/>
                      <w:sz w:val="21"/>
                      <w:szCs w:val="21"/>
                      <w:lang w:eastAsia="zh-CN"/>
                      <w14:textFill>
                        <w14:solidFill>
                          <w14:schemeClr w14:val="tx1"/>
                        </w14:solidFill>
                      </w14:textFill>
                    </w:rPr>
                    <w:t>不属于</w:t>
                  </w:r>
                  <w:r>
                    <w:rPr>
                      <w:rFonts w:hint="default" w:ascii="Times New Roman" w:hAnsi="Times New Roman" w:eastAsia="宋体" w:cs="Times New Roman"/>
                      <w:color w:val="000000" w:themeColor="text1"/>
                      <w:sz w:val="21"/>
                      <w:szCs w:val="21"/>
                      <w:lang w:eastAsia="zh-CN"/>
                      <w14:textFill>
                        <w14:solidFill>
                          <w14:schemeClr w14:val="tx1"/>
                        </w14:solidFill>
                      </w14:textFill>
                    </w:rPr>
                    <w:t>重点保护范围内进行其它建设工程。</w:t>
                  </w:r>
                </w:p>
              </w:tc>
              <w:tc>
                <w:tcPr>
                  <w:tcW w:w="475" w:type="pct"/>
                  <w:tcBorders>
                    <w:top w:val="single" w:color="auto" w:sz="6" w:space="0"/>
                    <w:left w:val="single" w:color="auto" w:sz="6" w:space="0"/>
                    <w:bottom w:val="single" w:color="auto" w:sz="4" w:space="0"/>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85" w:hRule="atLeast"/>
                <w:jc w:val="center"/>
              </w:trPr>
              <w:tc>
                <w:tcPr>
                  <w:tcW w:w="1064" w:type="pct"/>
                  <w:vMerge w:val="restart"/>
                  <w:tcBorders>
                    <w:top w:val="single" w:color="auto" w:sz="4"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《西咸新区-秦汉新城分区规划（2016-2035）环境影响报告书》及审查意见陕西咸环函[2019]24号</w:t>
                  </w:r>
                </w:p>
              </w:tc>
              <w:tc>
                <w:tcPr>
                  <w:tcW w:w="1920" w:type="pct"/>
                  <w:tcBorders>
                    <w:top w:val="single" w:color="auto" w:sz="4"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态保护红线：禁建区包括包括泾河、渭河河道及两侧绿地、渭河湿地、泾河湿地、秦咸阳宫遗址等文物保护区、主要交通设施和市政设施分布红线（高速公路、铁路两侧各50m用地、国道两侧各20m用地）、高压走廊用地、渭河活动断裂带两侧各100m用地、阶地前缘、塬边陡坡地带等。限建区包括秦咸阳宫遗址等文物建设控制地带、西安咸阳国际机场噪声控制区、一般耕地等，限建区中已确定为禁建区或规划城镇建设区的予以扣除。适建区规划城镇建设区。</w:t>
                  </w:r>
                </w:p>
              </w:tc>
              <w:tc>
                <w:tcPr>
                  <w:tcW w:w="1539" w:type="pct"/>
                  <w:tcBorders>
                    <w:top w:val="single" w:color="auto" w:sz="4"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所在地位于陕西省西咸新区秦汉新城朝阳四路长庆井下工业园内，用地性质属于工业用地，项目地周围不涉及泾河、渭河河道、渭河湿地、泾河湿地、高压走廊用地等禁建区，不涉及秦咸阳宫等文物控制地带、西安咸阳国际机场噪声控制地带等限建区，建设地属于适建区，不涉及秦汉新城生态保护红线。</w:t>
                  </w:r>
                </w:p>
              </w:tc>
              <w:tc>
                <w:tcPr>
                  <w:tcW w:w="475" w:type="pct"/>
                  <w:tcBorders>
                    <w:top w:val="single" w:color="auto" w:sz="4" w:space="0"/>
                    <w:left w:val="single" w:color="auto" w:sz="6" w:space="0"/>
                    <w:bottom w:val="single" w:color="auto" w:sz="4"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1064" w:type="pct"/>
                  <w:vMerge w:val="continue"/>
                  <w:tcBorders>
                    <w:right w:val="single" w:color="auto" w:sz="6"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920" w:type="pct"/>
                  <w:tcBorders>
                    <w:top w:val="single" w:color="auto" w:sz="4"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质量底线：规划区确保环境空气质量达到《环境空气质量标准》（GB3095-2012）二级标准。渭河该段水质确保水环境质量达到《地表水环境质量标准》（GB3838-2002）Ⅳ级标准要求。本规划区声环境质量底线为区域环境噪声、交通干线噪声、功能区噪声平均值达到相应声环境功能区标准。</w:t>
                  </w:r>
                </w:p>
              </w:tc>
              <w:tc>
                <w:tcPr>
                  <w:tcW w:w="1539" w:type="pct"/>
                  <w:tcBorders>
                    <w:top w:val="single" w:color="auto" w:sz="4"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项目建成后，废气产生量较少；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实验</w:t>
                  </w: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作为危废处理</w:t>
                  </w:r>
                  <w:r>
                    <w:rPr>
                      <w:rFonts w:hint="default" w:ascii="Times New Roman" w:hAnsi="Times New Roman" w:eastAsia="宋体" w:cs="Times New Roman"/>
                      <w:color w:val="000000" w:themeColor="text1"/>
                      <w:sz w:val="21"/>
                      <w:szCs w:val="21"/>
                      <w:lang w:eastAsia="zh-CN"/>
                      <w14:textFill>
                        <w14:solidFill>
                          <w14:schemeClr w14:val="tx1"/>
                        </w14:solidFill>
                      </w14:textFill>
                    </w:rPr>
                    <w:t>；固体废物均得到合理的处理和处置。因此，项目的建设未触及环境质量底线要求。</w:t>
                  </w:r>
                </w:p>
              </w:tc>
              <w:tc>
                <w:tcPr>
                  <w:tcW w:w="475" w:type="pct"/>
                  <w:tcBorders>
                    <w:top w:val="single" w:color="auto" w:sz="4" w:space="0"/>
                    <w:left w:val="single" w:color="auto" w:sz="6" w:space="0"/>
                    <w:bottom w:val="single" w:color="auto" w:sz="4"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0" w:hRule="atLeast"/>
                <w:jc w:val="center"/>
              </w:trPr>
              <w:tc>
                <w:tcPr>
                  <w:tcW w:w="1064" w:type="pct"/>
                  <w:vMerge w:val="continue"/>
                  <w:tcBorders>
                    <w:right w:val="single" w:color="auto" w:sz="6"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920" w:type="pct"/>
                  <w:tcBorders>
                    <w:top w:val="single" w:color="auto" w:sz="4"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资源利用上线：新城新鲜水总用量需求为18.8万m</w:t>
                  </w:r>
                  <w:r>
                    <w:rPr>
                      <w:rFonts w:hint="default"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/d。规划实施过程中应坚守上述水资源底线，合理配置能源。根据规划建设，燃气主要分为居民用户用气、公共福利用户用气、工业用户用气、采暖用气及未预见量用气五部分。新城年总用气量8367.14万Nm</w:t>
                  </w:r>
                  <w:r>
                    <w:rPr>
                      <w:rFonts w:hint="default"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，规划实施过程中应坚守天然气能源底线，引进能耗低、能源利用率高的企业，避免超出天然气规划能耗总量指标。</w:t>
                  </w:r>
                </w:p>
              </w:tc>
              <w:tc>
                <w:tcPr>
                  <w:tcW w:w="1539" w:type="pct"/>
                  <w:tcBorders>
                    <w:top w:val="single" w:color="auto" w:sz="4" w:space="0"/>
                    <w:left w:val="single" w:color="auto" w:sz="6" w:space="0"/>
                    <w:bottom w:val="single" w:color="auto" w:sz="4"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项目主要能源消耗为水和电，项目耗水和电量相对整个区域来说较小，因此，本项目不触及秦汉新城资源利用上线。</w:t>
                  </w:r>
                </w:p>
              </w:tc>
              <w:tc>
                <w:tcPr>
                  <w:tcW w:w="475" w:type="pct"/>
                  <w:tcBorders>
                    <w:top w:val="single" w:color="auto" w:sz="4" w:space="0"/>
                    <w:left w:val="single" w:color="auto" w:sz="6" w:space="0"/>
                    <w:bottom w:val="single" w:color="auto" w:sz="4"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1064" w:type="pct"/>
                  <w:vMerge w:val="continue"/>
                  <w:tcBorders>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920" w:type="pct"/>
                  <w:tcBorders>
                    <w:top w:val="single" w:color="auto" w:sz="4" w:space="0"/>
                    <w:left w:val="single" w:color="auto" w:sz="6" w:space="0"/>
                    <w:bottom w:val="single" w:color="auto" w:sz="6"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准入负面清单：（1）国家明令淘汰的落后生产能力、工艺和产品禁止进入园区；（2）国家淘汰、削减或限制的产品和生产工艺禁止进入园区；（3）国家禁止投资建设的工艺，产品禁止进入园区；（4）限制和禁止外商投资产业禁止进入园区；（5）国家明确禁止建设的“十五小”项目，“新五小”项目禁止进入园区；（6）存在严重污染，且不能达标排放的项目禁止进入园区；（7）其他国家和地方产业政策中禁止的项目禁止进入园区；（8）污染排放较大、区域环境容量不满足 的行业禁止进入园区；（9）采用落后的生产工艺或生产设备，不符合国家相关产业政策、达不到规模经济的项目禁止进入园区。（10）禁止新建、扩建燃煤发电、燃煤热电联产和燃煤集中供热项目，禁止新建、扩建和改建石油化工、煤化工、水泥、焦化项目、防水材料、陶瓷（不含以天然气为燃料）、保温材料等行业。</w:t>
                  </w:r>
                </w:p>
              </w:tc>
              <w:tc>
                <w:tcPr>
                  <w:tcW w:w="1539" w:type="pct"/>
                  <w:tcBorders>
                    <w:top w:val="single" w:color="auto" w:sz="4" w:space="0"/>
                    <w:left w:val="single" w:color="auto" w:sz="6" w:space="0"/>
                    <w:bottom w:val="single" w:color="auto" w:sz="6" w:space="0"/>
                    <w:right w:val="single" w:color="auto" w:sz="6" w:space="0"/>
                  </w:tcBorders>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本项目不在环境准入负面清单中，且符合国家产业政策的要求，已取得陕西省西咸新区秦汉新城行政审批和政务服务局备案文件。</w:t>
                  </w:r>
                </w:p>
              </w:tc>
              <w:tc>
                <w:tcPr>
                  <w:tcW w:w="475" w:type="pct"/>
                  <w:tcBorders>
                    <w:top w:val="single" w:color="auto" w:sz="4" w:space="0"/>
                    <w:left w:val="single" w:color="auto" w:sz="6" w:space="0"/>
                    <w:bottom w:val="single" w:color="auto" w:sz="6"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bl>
          <w:p>
            <w:pPr>
              <w:pStyle w:val="25"/>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3" w:type="dxa"/>
            <w:noWrap/>
            <w:vAlign w:val="center"/>
          </w:tcPr>
          <w:p>
            <w:pPr>
              <w:autoSpaceDE w:val="0"/>
              <w:autoSpaceDN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其他符合性分析</w:t>
            </w:r>
          </w:p>
        </w:tc>
        <w:tc>
          <w:tcPr>
            <w:tcW w:w="8077" w:type="dxa"/>
            <w:gridSpan w:val="4"/>
            <w:noWrap/>
            <w:vAlign w:val="center"/>
          </w:tcPr>
          <w:p>
            <w:pP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1、产业政策符合性分析</w:t>
            </w:r>
          </w:p>
          <w:p>
            <w:pPr>
              <w:widowControl/>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根据《产业结构调整指导目录（2019年本）》，本项目属于鼓励类中的“三十一、科技服务业 1、</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“工业设计、气象、生物、新材料、新能源、节能、环保、测绘、海洋等专业科技服务，标准化服务、计量测试、质量认证和检验检测服务、科技普及”类项目</w:t>
            </w:r>
            <w:r>
              <w:rPr>
                <w:rFonts w:hint="default" w:ascii="Times New Roman" w:hAnsi="Times New Roman" w:eastAsia="宋体" w:cs="Times New Roman"/>
                <w:color w:val="000000" w:themeColor="text1"/>
                <w:sz w:val="24"/>
                <w:szCs w:val="24"/>
                <w:lang w:eastAsia="zh-CN"/>
                <w14:textFill>
                  <w14:solidFill>
                    <w14:schemeClr w14:val="tx1"/>
                  </w14:solidFill>
                </w14:textFill>
              </w:rPr>
              <w:t>，且项目不在《市场准入负面清单（2022年）》之列。因此，本项目建设符合国家及地方现行的产业政策。</w:t>
            </w:r>
          </w:p>
          <w:p>
            <w:pPr>
              <w:numPr>
                <w:ilvl w:val="0"/>
                <w:numId w:val="0"/>
              </w:numP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与“三线一单”符合性分析</w:t>
            </w:r>
          </w:p>
          <w:p>
            <w:pPr>
              <w:widowControl/>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环保部《关于以改善环境质量为核心加强环境影响评价管理的通知》要求，切实加强环境管理，落实“生态保护红线、环境质量底线、资源利用上线和环境准入负面清单”(简称“三线一单”)约束，建立项目环评审批与规划环评、现有项目环境管理、区域环境质量联动机制，更好地发挥环评制度从源头防范环境污染和生态破坏的作用，加快推进改善环境质量。本项目与“三线一单”的符合性分析见表1-3。</w:t>
            </w:r>
          </w:p>
          <w:p>
            <w:pPr>
              <w:jc w:val="center"/>
              <w:rPr>
                <w:rFonts w:hint="default" w:ascii="Times New Roman" w:hAnsi="Times New Roman" w:cs="Times New Roman"/>
                <w:b/>
                <w:bCs/>
                <w:color w:val="000000" w:themeColor="text1"/>
                <w:sz w:val="24"/>
                <w:szCs w:val="24"/>
                <w:lang w:val="zh-CN"/>
                <w14:textFill>
                  <w14:solidFill>
                    <w14:schemeClr w14:val="tx1"/>
                  </w14:solidFill>
                </w14:textFill>
              </w:rPr>
            </w:pPr>
            <w:r>
              <w:rPr>
                <w:rFonts w:hint="default" w:ascii="Times New Roman" w:hAnsi="Times New Roman" w:cs="Times New Roman"/>
                <w:b/>
                <w:bCs/>
                <w:color w:val="000000" w:themeColor="text1"/>
                <w:sz w:val="24"/>
                <w:szCs w:val="24"/>
                <w:lang w:val="zh-CN"/>
                <w14:textFill>
                  <w14:solidFill>
                    <w14:schemeClr w14:val="tx1"/>
                  </w14:solidFill>
                </w14:textFill>
              </w:rPr>
              <w:t>表1-</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3  </w:t>
            </w:r>
            <w:r>
              <w:rPr>
                <w:rFonts w:hint="default" w:ascii="Times New Roman" w:hAnsi="Times New Roman" w:cs="Times New Roman"/>
                <w:b/>
                <w:bCs/>
                <w:color w:val="000000" w:themeColor="text1"/>
                <w:sz w:val="24"/>
                <w:szCs w:val="24"/>
                <w:lang w:val="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三线一单</w:t>
            </w:r>
            <w:r>
              <w:rPr>
                <w:rFonts w:hint="default" w:ascii="Times New Roman" w:hAnsi="Times New Roman" w:cs="Times New Roman"/>
                <w:b/>
                <w:bCs/>
                <w:color w:val="000000" w:themeColor="text1"/>
                <w:sz w:val="24"/>
                <w:szCs w:val="24"/>
                <w:lang w:val="zh-CN"/>
                <w14:textFill>
                  <w14:solidFill>
                    <w14:schemeClr w14:val="tx1"/>
                  </w14:solidFill>
                </w14:textFill>
              </w:rPr>
              <w:t>”符合性分析表</w:t>
            </w:r>
          </w:p>
          <w:tbl>
            <w:tblPr>
              <w:tblStyle w:val="21"/>
              <w:tblW w:w="7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5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vAlign w:val="center"/>
                </w:tcPr>
                <w:p>
                  <w:pPr>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内容</w:t>
                  </w:r>
                </w:p>
              </w:tc>
              <w:tc>
                <w:tcPr>
                  <w:tcW w:w="5907" w:type="dxa"/>
                  <w:vAlign w:val="center"/>
                </w:tcPr>
                <w:p>
                  <w:pPr>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vAlign w:val="center"/>
                </w:tcPr>
                <w:p>
                  <w:pPr>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生态保护红线</w:t>
                  </w:r>
                </w:p>
              </w:tc>
              <w:tc>
                <w:tcPr>
                  <w:tcW w:w="5907" w:type="dxa"/>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本项目位于陕西省西咸新区秦汉新城朝阳四路长庆井下工业园内，</w:t>
                  </w:r>
                  <w:r>
                    <w:rPr>
                      <w:rFonts w:hint="default" w:ascii="Times New Roman" w:hAnsi="Times New Roman" w:cs="Times New Roman"/>
                      <w:color w:val="000000" w:themeColor="text1"/>
                      <w:sz w:val="21"/>
                      <w:szCs w:val="21"/>
                      <w:lang w:eastAsia="zh-CN"/>
                      <w14:textFill>
                        <w14:solidFill>
                          <w14:schemeClr w14:val="tx1"/>
                        </w14:solidFill>
                      </w14:textFill>
                    </w:rPr>
                    <w:t>项目用地性质为工业用地。</w:t>
                  </w:r>
                  <w:r>
                    <w:rPr>
                      <w:rFonts w:hint="default" w:ascii="Times New Roman" w:hAnsi="Times New Roman" w:eastAsia="宋体" w:cs="Times New Roman"/>
                      <w:color w:val="000000" w:themeColor="text1"/>
                      <w:sz w:val="21"/>
                      <w:szCs w:val="21"/>
                      <w:lang w:eastAsia="zh-CN"/>
                      <w14:textFill>
                        <w14:solidFill>
                          <w14:schemeClr w14:val="tx1"/>
                        </w14:solidFill>
                      </w14:textFill>
                    </w:rPr>
                    <w:t>属于《陕西省人民政府关于加快实施“三线一单”生态环境分区管控的意见》中划定的重点管控单元，“重点管控单元以提升资源利用效率、加强污染物减排治理和环境风险防控为重点，解决突出生态环境问题。”本项目各项污染物采取可行技术许可的环境治理设施进行处理达标后排放，满足重点管控单元管控要求。项目地不涉及自然保护地、集中式饮用水水源保护区、生态敏感区等生态保护目标，符合生态保护红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vAlign w:val="center"/>
                </w:tcPr>
                <w:p>
                  <w:pPr>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环境质量低线</w:t>
                  </w:r>
                </w:p>
              </w:tc>
              <w:tc>
                <w:tcPr>
                  <w:tcW w:w="5907" w:type="dxa"/>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本项目位于陕西省西咸新区秦汉新城朝阳四路长庆井下工业园内，根据陕西省生态环境厅办公室2022年1月13日发布的《环保快报》（2022-2），项目所在区域SO</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、CO、O</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均满足《环境空气质量标准》（GB3095-2012）二类区标准要求，PM</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超过《环境空气质量标准》（GB3095-2012）二类区标准要求，超标原因主要为区域地形及气象条件影响（多风沙），本项目运营期实验中生产少量废气，因此项目运营期不会对区域大气环境造成影响；项目所在地声环境质量满足相应环境功能区划要求；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实验</w:t>
                  </w: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作为危废处理</w:t>
                  </w:r>
                  <w:r>
                    <w:rPr>
                      <w:rFonts w:hint="default" w:ascii="Times New Roman" w:hAnsi="Times New Roman" w:eastAsia="宋体" w:cs="Times New Roman"/>
                      <w:color w:val="000000" w:themeColor="text1"/>
                      <w:sz w:val="21"/>
                      <w:szCs w:val="21"/>
                      <w:lang w:eastAsia="zh-CN"/>
                      <w14:textFill>
                        <w14:solidFill>
                          <w14:schemeClr w14:val="tx1"/>
                        </w14:solidFill>
                      </w14:textFill>
                    </w:rPr>
                    <w:t>，亦不会对区域地表水环境造成影响。项目的建设不会造成环境空气、地表水体、地下水体、声环境、土壤环境及生态环境质量下降。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vAlign w:val="center"/>
                </w:tcPr>
                <w:p>
                  <w:pPr>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资源利用上线</w:t>
                  </w:r>
                </w:p>
              </w:tc>
              <w:tc>
                <w:tcPr>
                  <w:tcW w:w="5907" w:type="dxa"/>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本项目运营过程会消耗一定的水、电能等，均由园区供给，项目资源利用量相对区域资源利用总量占比较小，不会达到资源利用上线，项目建设不涉及新增用地，土地资源消耗符合要求。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vAlign w:val="center"/>
                </w:tcPr>
                <w:p>
                  <w:pPr>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生态环境准入清单</w:t>
                  </w:r>
                </w:p>
              </w:tc>
              <w:tc>
                <w:tcPr>
                  <w:tcW w:w="5907" w:type="dxa"/>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对照《陕西省限制投资类产业指导目录》（陕发改产业〔2007〕97号），</w:t>
                  </w:r>
                  <w:r>
                    <w:rPr>
                      <w:rFonts w:hint="default" w:ascii="Times New Roman" w:hAnsi="Times New Roman" w:eastAsia="宋体" w:cs="Times New Roman"/>
                      <w:color w:val="000000" w:themeColor="text1"/>
                      <w:lang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lang w:eastAsia="zh-CN"/>
                      <w14:textFill>
                        <w14:solidFill>
                          <w14:schemeClr w14:val="tx1"/>
                        </w14:solidFill>
                      </w14:textFill>
                    </w:rPr>
                    <w:t>限制类项目，不属于禁止准入类项目，满足要求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bl>
          <w:p>
            <w:pPr>
              <w:pStyle w:val="19"/>
              <w:spacing w:before="0" w:beforeAutospacing="0" w:line="360" w:lineRule="auto"/>
              <w:ind w:firstLine="48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w:t>
            </w:r>
            <w:r>
              <w:rPr>
                <w:rFonts w:hint="default" w:ascii="Times New Roman" w:hAnsi="Times New Roman" w:eastAsia="宋体" w:cs="Times New Roman"/>
                <w:color w:val="000000" w:themeColor="text1"/>
                <w:sz w:val="24"/>
                <w:szCs w:val="24"/>
                <w:lang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符合“三线一单”相关管控要求。</w:t>
            </w:r>
          </w:p>
          <w:p>
            <w:pPr>
              <w:widowControl w:val="0"/>
              <w:numPr>
                <w:ilvl w:val="0"/>
                <w:numId w:val="0"/>
              </w:num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3、选址合理性分析</w:t>
            </w:r>
          </w:p>
          <w:p>
            <w:pPr>
              <w:spacing w:before="105" w:line="360" w:lineRule="auto"/>
              <w:ind w:left="108" w:right="118" w:firstLine="480"/>
              <w:rPr>
                <w:rFonts w:hint="default" w:ascii="Times New Roman" w:hAnsi="Times New Roman" w:eastAsia="宋体" w:cs="Times New Roman"/>
                <w:color w:val="000000" w:themeColor="text1"/>
                <w:spacing w:val="1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本项目位于西咸新区秦</w:t>
            </w:r>
            <w:r>
              <w:rPr>
                <w:rFonts w:hint="default" w:ascii="Times New Roman" w:hAnsi="Times New Roman" w:eastAsia="宋体" w:cs="Times New Roman"/>
                <w:color w:val="000000" w:themeColor="text1"/>
                <w:sz w:val="24"/>
                <w:szCs w:val="24"/>
                <w14:textFill>
                  <w14:solidFill>
                    <w14:schemeClr w14:val="tx1"/>
                  </w14:solidFill>
                </w14:textFill>
              </w:rPr>
              <w:t>汉新城朝阳四路长庆井下工业园内压裂所101室，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本项目主要建设密度计量检定实验室，</w:t>
            </w:r>
            <w:r>
              <w:rPr>
                <w:rFonts w:hint="default" w:ascii="Times New Roman" w:hAnsi="Times New Roman" w:eastAsia="宋体" w:cs="Times New Roman"/>
                <w:color w:val="000000" w:themeColor="text1"/>
                <w:spacing w:val="-1"/>
                <w:sz w:val="24"/>
                <w:szCs w:val="24"/>
                <w14:textFill>
                  <w14:solidFill>
                    <w14:schemeClr w14:val="tx1"/>
                  </w14:solidFill>
                </w14:textFill>
              </w:rPr>
              <w:t>通过密度计检定装置安</w:t>
            </w:r>
            <w:r>
              <w:rPr>
                <w:rFonts w:hint="default" w:ascii="Times New Roman" w:hAnsi="Times New Roman" w:eastAsia="宋体" w:cs="Times New Roman"/>
                <w:color w:val="000000" w:themeColor="text1"/>
                <w:sz w:val="24"/>
                <w:szCs w:val="24"/>
                <w14:textFill>
                  <w14:solidFill>
                    <w14:schemeClr w14:val="tx1"/>
                  </w14:solidFill>
                </w14:textFill>
              </w:rPr>
              <w:t>装，实现压裂用密度计的周期性检定，提升压裂施</w:t>
            </w:r>
            <w:r>
              <w:rPr>
                <w:rFonts w:hint="default" w:ascii="Times New Roman" w:hAnsi="Times New Roman" w:eastAsia="宋体" w:cs="Times New Roman"/>
                <w:color w:val="000000" w:themeColor="text1"/>
                <w:spacing w:val="13"/>
                <w:sz w:val="24"/>
                <w:szCs w:val="24"/>
                <w14:textFill>
                  <w14:solidFill>
                    <w14:schemeClr w14:val="tx1"/>
                  </w14:solidFill>
                </w14:textFill>
              </w:rPr>
              <w:t>工</w:t>
            </w:r>
            <w:r>
              <w:rPr>
                <w:rFonts w:hint="default" w:ascii="Times New Roman" w:hAnsi="Times New Roman" w:eastAsia="宋体" w:cs="Times New Roman"/>
                <w:color w:val="000000" w:themeColor="text1"/>
                <w:spacing w:val="11"/>
                <w:sz w:val="24"/>
                <w:szCs w:val="24"/>
                <w14:textFill>
                  <w14:solidFill>
                    <w14:schemeClr w14:val="tx1"/>
                  </w14:solidFill>
                </w14:textFill>
              </w:rPr>
              <w:t>精细化程度。</w:t>
            </w:r>
            <w:r>
              <w:rPr>
                <w:rFonts w:hint="default" w:ascii="Times New Roman" w:hAnsi="Times New Roman" w:eastAsia="宋体" w:cs="Times New Roman"/>
                <w:color w:val="000000" w:themeColor="text1"/>
                <w:spacing w:val="11"/>
                <w:sz w:val="24"/>
                <w:szCs w:val="24"/>
                <w:lang w:val="en-US" w:eastAsia="zh-CN"/>
                <w14:textFill>
                  <w14:solidFill>
                    <w14:schemeClr w14:val="tx1"/>
                  </w14:solidFill>
                </w14:textFill>
              </w:rPr>
              <w:t>根据现场勘查，项目位于1F</w:t>
            </w:r>
            <w:r>
              <w:rPr>
                <w:rFonts w:hint="eastAsia" w:ascii="Times New Roman" w:hAnsi="Times New Roman" w:eastAsia="宋体" w:cs="Times New Roman"/>
                <w:color w:val="000000" w:themeColor="text1"/>
                <w:spacing w:val="1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1"/>
                <w:sz w:val="24"/>
                <w:szCs w:val="24"/>
                <w:lang w:val="en-US" w:eastAsia="zh-CN"/>
                <w14:textFill>
                  <w14:solidFill>
                    <w14:schemeClr w14:val="tx1"/>
                  </w14:solidFill>
                </w14:textFill>
              </w:rPr>
              <w:t>相邻办公室为仪器仪表检定实验室。</w:t>
            </w:r>
          </w:p>
          <w:p>
            <w:pPr>
              <w:spacing w:line="360" w:lineRule="auto"/>
              <w:ind w:left="107" w:right="282" w:firstLine="481"/>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pacing w:val="1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土地性质</w:t>
            </w:r>
            <w:r>
              <w:rPr>
                <w:rFonts w:hint="default" w:ascii="Times New Roman" w:hAnsi="Times New Roman" w:eastAsia="宋体" w:cs="Times New Roman"/>
                <w:color w:val="000000" w:themeColor="text1"/>
                <w:spacing w:val="-4"/>
                <w:sz w:val="24"/>
                <w:szCs w:val="24"/>
                <w14:textFill>
                  <w14:solidFill>
                    <w14:schemeClr w14:val="tx1"/>
                  </w14:solidFill>
                </w14:textFill>
              </w:rPr>
              <w:t>为工业用地，土地</w:t>
            </w:r>
            <w:r>
              <w:rPr>
                <w:rFonts w:hint="default" w:ascii="Times New Roman" w:hAnsi="Times New Roman" w:eastAsia="宋体" w:cs="Times New Roman"/>
                <w:color w:val="000000" w:themeColor="text1"/>
                <w:spacing w:val="-2"/>
                <w:sz w:val="24"/>
                <w:szCs w:val="24"/>
                <w14:textFill>
                  <w14:solidFill>
                    <w14:schemeClr w14:val="tx1"/>
                  </w14:solidFill>
                </w14:textFill>
              </w:rPr>
              <w:t>证详见附件</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14:textFill>
                  <w14:solidFill>
                    <w14:schemeClr w14:val="tx1"/>
                  </w14:solidFill>
                </w14:textFill>
              </w:rPr>
              <w:t>，项目</w:t>
            </w:r>
            <w:r>
              <w:rPr>
                <w:rFonts w:hint="default" w:ascii="Times New Roman" w:hAnsi="Times New Roman" w:eastAsia="Times New Roman" w:cs="Times New Roman"/>
                <w:color w:val="000000" w:themeColor="text1"/>
                <w:spacing w:val="-2"/>
                <w:sz w:val="24"/>
                <w:szCs w:val="24"/>
                <w14:textFill>
                  <w14:solidFill>
                    <w14:schemeClr w14:val="tx1"/>
                  </w14:solidFill>
                </w14:textFill>
              </w:rPr>
              <w:t>500</w:t>
            </w:r>
            <w:r>
              <w:rPr>
                <w:rFonts w:hint="default" w:ascii="Times New Roman" w:hAnsi="Times New Roman" w:eastAsia="Times New Roman" w:cs="Times New Roman"/>
                <w:color w:val="000000" w:themeColor="text1"/>
                <w:spacing w:val="-1"/>
                <w:sz w:val="24"/>
                <w:szCs w:val="24"/>
                <w14:textFill>
                  <w14:solidFill>
                    <w14:schemeClr w14:val="tx1"/>
                  </w14:solidFill>
                </w14:textFill>
              </w:rPr>
              <w:t>m</w:t>
            </w:r>
            <w:r>
              <w:rPr>
                <w:rFonts w:hint="default" w:ascii="Times New Roman" w:hAnsi="Times New Roman" w:eastAsia="宋体" w:cs="Times New Roman"/>
                <w:color w:val="000000" w:themeColor="text1"/>
                <w:spacing w:val="-2"/>
                <w:sz w:val="24"/>
                <w:szCs w:val="24"/>
                <w14:textFill>
                  <w14:solidFill>
                    <w14:schemeClr w14:val="tx1"/>
                  </w14:solidFill>
                </w14:textFill>
              </w:rPr>
              <w:t>范围内无集中式水源地、自然保护区、风景名胜区、文物保护单位、革命历史古迹及珍稀濒危野生</w:t>
            </w:r>
            <w:r>
              <w:rPr>
                <w:rFonts w:hint="default" w:ascii="Times New Roman" w:hAnsi="Times New Roman" w:eastAsia="宋体" w:cs="Times New Roman"/>
                <w:color w:val="000000" w:themeColor="text1"/>
                <w:spacing w:val="-1"/>
                <w:sz w:val="24"/>
                <w:szCs w:val="24"/>
                <w14:textFill>
                  <w14:solidFill>
                    <w14:schemeClr w14:val="tx1"/>
                  </w14:solidFill>
                </w14:textFill>
              </w:rPr>
              <w:t>动植物等特殊环境保护目标</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项目选址符合西咸新区总体规划要求</w:t>
            </w:r>
            <w:r>
              <w:rPr>
                <w:rFonts w:hint="default" w:ascii="Times New Roman" w:hAnsi="Times New Roman" w:eastAsia="宋体" w:cs="Times New Roman"/>
                <w:color w:val="000000" w:themeColor="text1"/>
                <w:spacing w:val="-1"/>
                <w:sz w:val="24"/>
                <w:szCs w:val="24"/>
                <w14:textFill>
                  <w14:solidFill>
                    <w14:schemeClr w14:val="tx1"/>
                  </w14:solidFill>
                </w14:textFill>
              </w:rPr>
              <w:t>。</w:t>
            </w:r>
          </w:p>
          <w:p>
            <w:pPr>
              <w:spacing w:line="360" w:lineRule="auto"/>
              <w:ind w:left="107" w:right="282" w:firstLine="481"/>
              <w:rPr>
                <w:rFonts w:hint="default" w:ascii="Times New Roman" w:hAnsi="Times New Roman" w:eastAsia="宋体" w:cs="Times New Roman"/>
                <w:color w:val="000000" w:themeColor="text1"/>
                <w:spacing w:val="-7"/>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本项目运营期实验中生</w:t>
            </w:r>
            <w:r>
              <w:rPr>
                <w:rFonts w:hint="default" w:ascii="Times New Roman" w:hAnsi="Times New Roman" w:eastAsia="宋体" w:cs="Times New Roman"/>
                <w:color w:val="000000" w:themeColor="text1"/>
                <w:sz w:val="24"/>
                <w:szCs w:val="24"/>
                <w14:textFill>
                  <w14:solidFill>
                    <w14:schemeClr w14:val="tx1"/>
                  </w14:solidFill>
                </w14:textFill>
              </w:rPr>
              <w:t>产少量废气；实验过程中的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实验废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液</w:t>
            </w:r>
            <w:r>
              <w:rPr>
                <w:rFonts w:hint="default" w:ascii="Times New Roman" w:hAnsi="Times New Roman" w:eastAsia="宋体" w:cs="Times New Roman"/>
                <w:color w:val="000000" w:themeColor="text1"/>
                <w:sz w:val="24"/>
                <w:szCs w:val="24"/>
                <w14:textFill>
                  <w14:solidFill>
                    <w14:schemeClr w14:val="tx1"/>
                  </w14:solidFill>
                </w14:textFill>
              </w:rPr>
              <w:t>暂存</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危废</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暂存间</w:t>
            </w:r>
            <w:r>
              <w:rPr>
                <w:rFonts w:hint="default" w:ascii="Times New Roman" w:hAnsi="Times New Roman" w:eastAsia="宋体" w:cs="Times New Roman"/>
                <w:color w:val="000000" w:themeColor="text1"/>
                <w:spacing w:val="-1"/>
                <w:sz w:val="24"/>
                <w:szCs w:val="24"/>
                <w14:textFill>
                  <w14:solidFill>
                    <w14:schemeClr w14:val="tx1"/>
                  </w14:solidFill>
                </w14:textFill>
              </w:rPr>
              <w:t>，定期交由</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14:textFill>
                  <w14:solidFill>
                    <w14:schemeClr w14:val="tx1"/>
                  </w14:solidFill>
                </w14:textFill>
              </w:rPr>
              <w:t>统一处理；项目选用低噪声实验仪器，且全部布置在室内；项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spacing w:val="-1"/>
                <w:sz w:val="24"/>
                <w:szCs w:val="24"/>
                <w14:textFill>
                  <w14:solidFill>
                    <w14:schemeClr w14:val="tx1"/>
                  </w14:solidFill>
                </w14:textFill>
              </w:rPr>
              <w:t>运营过程中产生的</w:t>
            </w:r>
            <w:r>
              <w:rPr>
                <w:rFonts w:hint="default" w:ascii="Times New Roman" w:hAnsi="Times New Roman" w:eastAsia="宋体" w:cs="Times New Roman"/>
                <w:color w:val="000000" w:themeColor="text1"/>
                <w:sz w:val="24"/>
                <w:szCs w:val="24"/>
                <w14:textFill>
                  <w14:solidFill>
                    <w14:schemeClr w14:val="tx1"/>
                  </w14:solidFill>
                </w14:textFill>
              </w:rPr>
              <w:t>固体废物分类收集，定点存放，合理处置。项目建成</w:t>
            </w:r>
            <w:r>
              <w:rPr>
                <w:rFonts w:hint="default" w:ascii="Times New Roman" w:hAnsi="Times New Roman" w:eastAsia="宋体" w:cs="Times New Roman"/>
                <w:color w:val="000000" w:themeColor="text1"/>
                <w:spacing w:val="-1"/>
                <w:sz w:val="24"/>
                <w:szCs w:val="24"/>
                <w14:textFill>
                  <w14:solidFill>
                    <w14:schemeClr w14:val="tx1"/>
                  </w14:solidFill>
                </w14:textFill>
              </w:rPr>
              <w:t>运行后各项污染物</w:t>
            </w:r>
            <w:r>
              <w:rPr>
                <w:rFonts w:hint="default" w:ascii="Times New Roman" w:hAnsi="Times New Roman" w:eastAsia="宋体" w:cs="Times New Roman"/>
                <w:color w:val="000000" w:themeColor="text1"/>
                <w:sz w:val="24"/>
                <w:szCs w:val="24"/>
                <w14:textFill>
                  <w14:solidFill>
                    <w14:schemeClr w14:val="tx1"/>
                  </w14:solidFill>
                </w14:textFill>
              </w:rPr>
              <w:t>在采取相应环保措施后符合环境标准，对周围环境保护</w:t>
            </w:r>
            <w:r>
              <w:rPr>
                <w:rFonts w:hint="default" w:ascii="Times New Roman" w:hAnsi="Times New Roman" w:eastAsia="宋体" w:cs="Times New Roman"/>
                <w:color w:val="000000" w:themeColor="text1"/>
                <w:spacing w:val="-1"/>
                <w:sz w:val="24"/>
                <w:szCs w:val="24"/>
                <w14:textFill>
                  <w14:solidFill>
                    <w14:schemeClr w14:val="tx1"/>
                  </w14:solidFill>
                </w14:textFill>
              </w:rPr>
              <w:t>目标影响较小。</w:t>
            </w:r>
            <w:r>
              <w:rPr>
                <w:rFonts w:hint="default" w:ascii="Times New Roman" w:hAnsi="Times New Roman" w:eastAsia="宋体" w:cs="Times New Roman"/>
                <w:color w:val="000000" w:themeColor="text1"/>
                <w:spacing w:val="-7"/>
                <w:sz w:val="24"/>
                <w:szCs w:val="24"/>
                <w:lang w:val="en-US" w:eastAsia="zh-CN"/>
                <w14:textFill>
                  <w14:solidFill>
                    <w14:schemeClr w14:val="tx1"/>
                  </w14:solidFill>
                </w14:textFill>
              </w:rPr>
              <w:t>以上环保设施及措施的布设，符合项目实际运营需求，同时也有利于环境管理。本项目对废水、废气治理后能做到达标排放，噪声对周边环境影响较小，固废可做到资源化、无害化处置。</w:t>
            </w:r>
          </w:p>
          <w:p>
            <w:pPr>
              <w:keepNext w:val="0"/>
              <w:keepLines w:val="0"/>
              <w:pageBreakBefore w:val="0"/>
              <w:widowControl w:val="0"/>
              <w:kinsoku/>
              <w:wordWrap/>
              <w:overflowPunct/>
              <w:topLinePunct w:val="0"/>
              <w:autoSpaceDE/>
              <w:autoSpaceDN/>
              <w:bidi w:val="0"/>
              <w:adjustRightInd/>
              <w:snapToGrid/>
              <w:spacing w:line="360" w:lineRule="auto"/>
              <w:ind w:left="107" w:right="282" w:firstLine="481"/>
              <w:textAlignment w:val="auto"/>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项目周边环境保护目标主要为居民区、学校及医院，</w:t>
            </w:r>
            <w:r>
              <w:rPr>
                <w:rFonts w:hint="eastAsia"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龚东村位于项目北部，距离项目468米，</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玻璃厂小区、华秦小学位于项目东南方向，距离分别为188米、414米，望贤城起小区位于项目西南方向，距离422米，咸阳市中心医院东郊分院、烤烟厂家属院位于项目南部，距离分别为186米、387米；项目运营过程中产生的各项污染物对环境影响很小，通过加强管理及采取环评提出的相应环境保护措施，可以有效地消除或减缓项目建设带来的不利影响，不会改变周围区域环境功能区划，对周边环境保护目标的影响较小，能为环境所接受。本项目运营期排放的污染物不会突破区域环境质量底线。</w:t>
            </w:r>
          </w:p>
          <w:p>
            <w:pPr>
              <w:keepNext w:val="0"/>
              <w:keepLines w:val="0"/>
              <w:pageBreakBefore w:val="0"/>
              <w:widowControl w:val="0"/>
              <w:kinsoku/>
              <w:wordWrap/>
              <w:overflowPunct/>
              <w:topLinePunct w:val="0"/>
              <w:autoSpaceDE/>
              <w:autoSpaceDN/>
              <w:bidi w:val="0"/>
              <w:adjustRightInd/>
              <w:snapToGrid/>
              <w:spacing w:line="360" w:lineRule="auto"/>
              <w:ind w:left="108" w:right="118"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因此，本项目选址合理，亦能与环境相容。</w:t>
            </w:r>
          </w:p>
          <w:p>
            <w:pPr>
              <w:pStyle w:val="25"/>
              <w:spacing w:line="360" w:lineRule="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4、与西安市“三线一单”生态环境分区管控实施方案的符合性分析</w:t>
            </w:r>
          </w:p>
          <w:p>
            <w:pPr>
              <w:spacing w:line="360" w:lineRule="auto"/>
              <w:ind w:firstLine="480" w:firstLineChars="200"/>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对照《西安市人民政府关于印发“三线一单”生态环境分区管控的通知》（市政发〔2021〕22号），全市共划定环境管控单元158个，其中优先保护单元93个，重点管控单元65个。本项目位于重点管控单元内管控要求详见表1-4。</w:t>
            </w:r>
          </w:p>
          <w:p>
            <w:pPr>
              <w:jc w:val="center"/>
              <w:rPr>
                <w:rFonts w:hint="default" w:ascii="Times New Roman" w:hAnsi="Times New Roman" w:cs="Times New Roman"/>
                <w:b/>
                <w:bCs/>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表</w:t>
            </w:r>
            <w:r>
              <w:rPr>
                <w:rFonts w:hint="default" w:ascii="Times New Roman" w:hAnsi="Times New Roman" w:cs="Times New Roman"/>
                <w:b/>
                <w:bCs/>
                <w:color w:val="000000" w:themeColor="text1"/>
                <w:sz w:val="24"/>
                <w:szCs w:val="24"/>
                <w:lang w:val="zh-CN" w:eastAsia="zh-CN"/>
                <w14:textFill>
                  <w14:solidFill>
                    <w14:schemeClr w14:val="tx1"/>
                  </w14:solidFill>
                </w14:textFill>
              </w:rPr>
              <w:t xml:space="preserve">1-4    </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西安市</w:t>
            </w:r>
            <w:r>
              <w:rPr>
                <w:rFonts w:hint="default" w:ascii="Times New Roman" w:hAnsi="Times New Roman" w:cs="Times New Roman"/>
                <w:b/>
                <w:bCs/>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三线一单</w:t>
            </w:r>
            <w:r>
              <w:rPr>
                <w:rFonts w:hint="default" w:ascii="Times New Roman" w:hAnsi="Times New Roman" w:cs="Times New Roman"/>
                <w:b/>
                <w:bCs/>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生态环境分区管控方案</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529"/>
              <w:gridCol w:w="4714"/>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适用范围</w:t>
                  </w:r>
                </w:p>
              </w:tc>
              <w:tc>
                <w:tcPr>
                  <w:tcW w:w="3004" w:type="pct"/>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管控要求</w:t>
                  </w:r>
                </w:p>
              </w:tc>
              <w:tc>
                <w:tcPr>
                  <w:tcW w:w="1398" w:type="pct"/>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w:t>
                  </w:r>
                  <w:r>
                    <w:rPr>
                      <w:rFonts w:hint="default" w:ascii="Times New Roman" w:hAnsi="Times New Roman" w:cs="Times New Roman"/>
                      <w:b/>
                      <w:color w:val="000000" w:themeColor="text1"/>
                      <w:sz w:val="21"/>
                      <w:szCs w:val="21"/>
                      <w:lang w:eastAsia="zh-CN"/>
                      <w14:textFill>
                        <w14:solidFill>
                          <w14:schemeClr w14:val="tx1"/>
                        </w14:solidFill>
                      </w14:textFill>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9" w:type="pct"/>
                  <w:vAlign w:val="center"/>
                </w:tcPr>
                <w:p>
                  <w:pPr>
                    <w:widowControl/>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总体要求</w:t>
                  </w:r>
                </w:p>
              </w:tc>
              <w:tc>
                <w:tcPr>
                  <w:tcW w:w="337" w:type="pct"/>
                  <w:vAlign w:val="center"/>
                </w:tcPr>
                <w:p>
                  <w:pPr>
                    <w:widowControl/>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空间布局约束</w:t>
                  </w:r>
                </w:p>
              </w:tc>
              <w:tc>
                <w:tcPr>
                  <w:tcW w:w="3004" w:type="pct"/>
                  <w:vAlign w:val="center"/>
                </w:tcPr>
                <w:p>
                  <w:pPr>
                    <w:autoSpaceDE w:val="0"/>
                    <w:autoSpaceDN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1．推进秦岭北麓生态环境保护和修复，坚决守护好秦岭生态安全屏障，大力发展高端绿色产业；加大渭河生态环境保护力度，提升渭河城市核心段两岸生态品质。</w:t>
                  </w:r>
                </w:p>
                <w:p>
                  <w:pPr>
                    <w:autoSpaceDE w:val="0"/>
                    <w:autoSpaceDN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2．推动传统产业向绿色转型升级，推进清洁生产，发展环保产业，加快循环经济产业园建设和工业园区绿色化改造。</w:t>
                  </w:r>
                </w:p>
                <w:p>
                  <w:pPr>
                    <w:autoSpaceDE w:val="0"/>
                    <w:autoSpaceDN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3．新建、扩建石化、化工、焦化、有色金属冶炼、平板玻璃项目应布设在依法合规设立并经规划环评的产业园区。</w:t>
                  </w:r>
                </w:p>
                <w:p>
                  <w:pPr>
                    <w:autoSpaceDE w:val="0"/>
                    <w:autoSpaceDN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4．严格落实能耗双控、产能置换、污染物区域削减、煤炭减量替代等要求，不符合要求的“两高”项目要坚决整改。</w:t>
                  </w:r>
                </w:p>
              </w:tc>
              <w:tc>
                <w:tcPr>
                  <w:tcW w:w="1398" w:type="pct"/>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本项目场址位</w:t>
                  </w:r>
                  <w:r>
                    <w:rPr>
                      <w:rFonts w:hint="default" w:ascii="Times New Roman" w:hAnsi="Times New Roman" w:eastAsia="宋体" w:cs="Times New Roman"/>
                      <w:color w:val="000000" w:themeColor="text1"/>
                      <w:sz w:val="21"/>
                      <w:szCs w:val="21"/>
                      <w:lang w:eastAsia="zh-CN"/>
                      <w14:textFill>
                        <w14:solidFill>
                          <w14:schemeClr w14:val="tx1"/>
                        </w14:solidFill>
                      </w14:textFill>
                    </w:rPr>
                    <w:t>于渭城区</w:t>
                  </w:r>
                  <w:r>
                    <w:rPr>
                      <w:rFonts w:hint="default" w:ascii="Times New Roman" w:hAnsi="Times New Roman" w:cs="Times New Roman"/>
                      <w:color w:val="000000" w:themeColor="text1"/>
                      <w:sz w:val="21"/>
                      <w:szCs w:val="21"/>
                      <w:lang w:eastAsia="zh-CN"/>
                      <w14:textFill>
                        <w14:solidFill>
                          <w14:schemeClr w14:val="tx1"/>
                        </w14:solidFill>
                      </w14:textFill>
                    </w:rPr>
                    <w:t>，项目不涉及生态保护红线。项目属于“科技服务业”</w:t>
                  </w:r>
                  <w:r>
                    <w:rPr>
                      <w:rFonts w:hint="default" w:ascii="Times New Roman" w:hAnsi="Times New Roman" w:cs="Times New Roman"/>
                      <w:color w:val="000000" w:themeColor="text1"/>
                      <w:sz w:val="21"/>
                      <w:szCs w:val="21"/>
                      <w:lang w:eastAsia="zh-CN" w:bidi="ar"/>
                      <w14:textFill>
                        <w14:solidFill>
                          <w14:schemeClr w14:val="tx1"/>
                        </w14:solidFill>
                      </w14:textFill>
                    </w:rPr>
                    <w:t>类项目</w:t>
                  </w:r>
                  <w:r>
                    <w:rPr>
                      <w:rFonts w:hint="default" w:ascii="Times New Roman" w:hAnsi="Times New Roman" w:cs="Times New Roman"/>
                      <w:color w:val="000000" w:themeColor="text1"/>
                      <w:sz w:val="21"/>
                      <w:szCs w:val="21"/>
                      <w:lang w:eastAsia="zh-CN"/>
                      <w14:textFill>
                        <w14:solidFill>
                          <w14:schemeClr w14:val="tx1"/>
                        </w14:solidFill>
                      </w14:textFill>
                    </w:rPr>
                    <w:t>，符合“重点发展新型显示、先进制造、数字经济、现代服务等产业”产业定位。项目不属于“两高”项目。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6" w:type="pct"/>
                  <w:gridSpan w:val="2"/>
                  <w:vMerge w:val="restart"/>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重点管控单元</w:t>
                  </w:r>
                </w:p>
              </w:tc>
              <w:tc>
                <w:tcPr>
                  <w:tcW w:w="3004" w:type="pct"/>
                  <w:vAlign w:val="center"/>
                </w:tcPr>
                <w:p>
                  <w:pPr>
                    <w:autoSpaceDE w:val="0"/>
                    <w:autoSpaceDN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7.1水环境城镇污染重点管控区</w:t>
                  </w:r>
                </w:p>
                <w:p>
                  <w:pPr>
                    <w:autoSpaceDE w:val="0"/>
                    <w:autoSpaceDN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到2025年，基本消除城市建成区生活污水直排口和收集处理设施空白区，城市和县城污水处理能力基本满足经济社会发展需要，县城污水处理率达到95%以上。</w:t>
                  </w:r>
                </w:p>
                <w:p>
                  <w:pPr>
                    <w:autoSpaceDE w:val="0"/>
                    <w:autoSpaceDN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保证城镇污水处理厂出水水质稳定达到《陕西省黄河流域污水综合排放标准》（DB61/224-2018）要求。完善城镇配套管网建设，实施雨污分流改造。</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本项目所在地为西咸新区秦汉新城朝阳四路长庆井下工业园内压裂所101室，</w:t>
                  </w:r>
                  <w:r>
                    <w:rPr>
                      <w:rFonts w:hint="default" w:ascii="Times New Roman" w:hAnsi="Times New Roman" w:cs="Times New Roman"/>
                      <w:color w:val="000000" w:themeColor="text1"/>
                      <w:sz w:val="21"/>
                      <w:szCs w:val="21"/>
                      <w:lang w:val="en-US" w:eastAsia="zh-CN"/>
                      <w14:textFill>
                        <w14:solidFill>
                          <w14:schemeClr w14:val="tx1"/>
                        </w14:solidFill>
                      </w14:textFill>
                    </w:rPr>
                    <w:t>室内建设，实验产生的废</w:t>
                  </w:r>
                  <w:r>
                    <w:rPr>
                      <w:rFonts w:hint="eastAsia" w:ascii="Times New Roman" w:hAnsi="Times New Roman" w:cs="Times New Roman"/>
                      <w:color w:val="000000" w:themeColor="text1"/>
                      <w:sz w:val="21"/>
                      <w:szCs w:val="21"/>
                      <w:lang w:val="en-US" w:eastAsia="zh-CN"/>
                      <w14:textFill>
                        <w14:solidFill>
                          <w14:schemeClr w14:val="tx1"/>
                        </w14:solidFill>
                      </w14:textFill>
                    </w:rPr>
                    <w:t>液</w:t>
                  </w:r>
                  <w:r>
                    <w:rPr>
                      <w:rFonts w:hint="default" w:ascii="Times New Roman" w:hAnsi="Times New Roman" w:cs="Times New Roman"/>
                      <w:color w:val="000000" w:themeColor="text1"/>
                      <w:sz w:val="21"/>
                      <w:szCs w:val="21"/>
                      <w:lang w:val="en-US" w:eastAsia="zh-CN"/>
                      <w14:textFill>
                        <w14:solidFill>
                          <w14:schemeClr w14:val="tx1"/>
                        </w14:solidFill>
                      </w14:textFill>
                    </w:rPr>
                    <w:t>全部作为危废妥善处理</w:t>
                  </w:r>
                  <w:r>
                    <w:rPr>
                      <w:rFonts w:hint="eastAsia" w:ascii="Times New Roman" w:hAnsi="Times New Roman" w:cs="Times New Roman"/>
                      <w:color w:val="000000" w:themeColor="text1"/>
                      <w:sz w:val="21"/>
                      <w:szCs w:val="21"/>
                      <w:lang w:val="en-US" w:eastAsia="zh-CN"/>
                      <w14:textFill>
                        <w14:solidFill>
                          <w14:schemeClr w14:val="tx1"/>
                        </w14:solidFill>
                      </w14:textFill>
                    </w:rPr>
                    <w:t>，制纯水产生的浓水作为清净下水排放至园区化粪池</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7.2水环境农业污染重点管控区</w:t>
                  </w:r>
                </w:p>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1.到2025年，持续开展化肥农药减量化行动，化肥、农药使用量实现零增长，主要农作物测土配方施肥技术覆盖率达到90%以上，病虫害绿色防控覆盖率达到35%以上，专业化统防统治覆盖率达到40%以上。</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2．到2025年，农村新型社区基本实现污水全收集全处理。</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本项目所在地为西咸新区秦汉新城朝阳四路长庆井下工业园内压裂所101室</w:t>
                  </w:r>
                  <w:r>
                    <w:rPr>
                      <w:rFonts w:hint="default" w:ascii="Times New Roman" w:hAnsi="Times New Roman" w:cs="Times New Roman"/>
                      <w:color w:val="000000" w:themeColor="text1"/>
                      <w:sz w:val="21"/>
                      <w:szCs w:val="21"/>
                      <w:lang w:val="en-US" w:eastAsia="zh-CN"/>
                      <w14:textFill>
                        <w14:solidFill>
                          <w14:schemeClr w14:val="tx1"/>
                        </w14:solidFill>
                      </w14:textFill>
                    </w:rPr>
                    <w:t>，不涉及化肥农药，产生的实验废</w:t>
                  </w:r>
                  <w:r>
                    <w:rPr>
                      <w:rFonts w:hint="eastAsia" w:ascii="Times New Roman" w:hAnsi="Times New Roman" w:cs="Times New Roman"/>
                      <w:color w:val="000000" w:themeColor="text1"/>
                      <w:sz w:val="21"/>
                      <w:szCs w:val="21"/>
                      <w:lang w:val="en-US" w:eastAsia="zh-CN"/>
                      <w14:textFill>
                        <w14:solidFill>
                          <w14:schemeClr w14:val="tx1"/>
                        </w14:solidFill>
                      </w14:textFill>
                    </w:rPr>
                    <w:t>液、废水</w:t>
                  </w:r>
                  <w:r>
                    <w:rPr>
                      <w:rFonts w:hint="default" w:ascii="Times New Roman" w:hAnsi="Times New Roman" w:cs="Times New Roman"/>
                      <w:color w:val="000000" w:themeColor="text1"/>
                      <w:sz w:val="21"/>
                      <w:szCs w:val="21"/>
                      <w:lang w:val="en-US" w:eastAsia="zh-CN"/>
                      <w14:textFill>
                        <w14:solidFill>
                          <w14:schemeClr w14:val="tx1"/>
                        </w14:solidFill>
                      </w14:textFill>
                    </w:rPr>
                    <w:t>全部妥善处理。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7.3大气环境受体敏感区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1．区域内保留企业采用先进生产工艺、严格落实污染治理设施，污染物执行超低排放或特别排放限值。</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2．鼓励将老旧车辆和非道路移动机械替换为清洁能源车辆；推进新能源或清洁能源汽车使用。</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3．加大餐饮油烟治理力度，排放油烟的饮食业单位全部安装油烟净化装置并实现达标排放。</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4．积极推进地热供暖技术。</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本项目在清洗过程中产生少量的非甲烷总烃，污染物能达标排放，</w:t>
                  </w:r>
                  <w:r>
                    <w:rPr>
                      <w:rFonts w:hint="default" w:ascii="Times New Roman" w:hAnsi="Times New Roman" w:eastAsia="宋体" w:cs="Times New Roman"/>
                      <w:color w:val="000000" w:themeColor="text1"/>
                      <w:sz w:val="21"/>
                      <w:szCs w:val="21"/>
                      <w:lang w:eastAsia="zh-CN"/>
                      <w14:textFill>
                        <w14:solidFill>
                          <w14:schemeClr w14:val="tx1"/>
                        </w14:solidFill>
                      </w14:textFill>
                    </w:rPr>
                    <w:t>不会对区域大气环境造成影响</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7.4大气环境高排放区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1．控制氮氧化物、颗粒物、挥发性有机物的排放，特别是挥发性有机物的排放。</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2．对高能耗高污染行业企业采用先进高效的污染控制措施。</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3．以建材、有色、石化、化工、包装印刷等行业为重点，开展全流程清洁化、循环化、低碳化改造，促进传统产业转型升级高质量发展。</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本项目不属于高耗能高污染行业。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7.5大气环境布局敏感区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1．区域内保留企业采用先进生产工艺、严格落实污染治理设施，污染物执行超低排放或特别排放限值。</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2．鼓励将老旧车辆和非道路移动机械替换为清洁能源车辆；推进新能源或清洁能源汽车使用。</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3．进行散煤替代，加快铺设天然气管网和集中供暖管网。</w:t>
                  </w:r>
                </w:p>
              </w:tc>
              <w:tc>
                <w:tcPr>
                  <w:tcW w:w="1398"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本项目在清洗过程中产生少量的非甲烷总烃，污染物能达标排放，</w:t>
                  </w:r>
                  <w:r>
                    <w:rPr>
                      <w:rFonts w:hint="default" w:ascii="Times New Roman" w:hAnsi="Times New Roman" w:eastAsia="宋体" w:cs="Times New Roman"/>
                      <w:color w:val="000000" w:themeColor="text1"/>
                      <w:sz w:val="21"/>
                      <w:szCs w:val="21"/>
                      <w:lang w:eastAsia="zh-CN"/>
                      <w14:textFill>
                        <w14:solidFill>
                          <w14:schemeClr w14:val="tx1"/>
                        </w14:solidFill>
                      </w14:textFill>
                    </w:rPr>
                    <w:t>不会对区域大气环境造成影响</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7.6大气环境弱扩散区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1．污染物执行超低排放或特别排放限值。</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2．进行散煤替代，加快铺设天然气管网和集中供暖管网。</w:t>
                  </w:r>
                </w:p>
              </w:tc>
              <w:tc>
                <w:tcPr>
                  <w:tcW w:w="1398"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本项目在清洗过程中产生少量的非甲烷总烃，污染物能达标排放。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7.7农用地重点管控区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对重点管控区内的安全利用类农用地，应当采取下列措施：①制定实施受污染耕地安全利用方案；②农艺调控、替代种植；③定期开展土壤和农产品协同监测与评价；④对农民、农民专业合作社等农业生产经营主体进行技术指导和培训。</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对重点管控区内的严格管控类农用地，应当采取下列措施：①鼓励对严格管控类农用地采取调整种植结构、轮作休耕、轮牧休牧等风险管控措施；②提出划定特定农产品禁止生产区域的建议，报本级人民政府批准后实施；③定期开展土壤和农产品协同监测与评价；④对农民、农民专业合作社等农业生产经营主体进行技术指导和培训。</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本项目所在地为西咸新区秦汉新城朝阳四路长庆井下工业园内压裂所101室</w:t>
                  </w:r>
                  <w:r>
                    <w:rPr>
                      <w:rFonts w:hint="default" w:ascii="Times New Roman" w:hAnsi="Times New Roman" w:cs="Times New Roman"/>
                      <w:color w:val="000000" w:themeColor="text1"/>
                      <w:sz w:val="21"/>
                      <w:szCs w:val="21"/>
                      <w:lang w:val="en-US" w:eastAsia="zh-CN"/>
                      <w14:textFill>
                        <w14:solidFill>
                          <w14:schemeClr w14:val="tx1"/>
                        </w14:solidFill>
                      </w14:textFill>
                    </w:rPr>
                    <w:t>，用地性质为工业用地。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7.8建设用地重点管控区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1．土壤污染重点监管企业在新、改、扩建项目过程中，应当在开展建设项目环境影响评价时，开展工矿用地土壤和地下水环境现状调查，编制调查报告。</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2．土壤污染重点监管企业新、改、扩建项目用地应当符合国家或者地方有关建设用地土壤污染风险管控标准。</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3．土壤污染重点监管企业建设涉及有毒有害物质的生产装置、储罐和管道，或者建设污水处理池、应急池等存在土壤污染风险的设施，应设计、建设和安装有关防腐蚀、防泄漏设施和泄漏监测装置。</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4．重点单位新、改、扩建项目地下储罐储存有毒有害物质的，应当在项目投入生产或者使用之前，将地下储罐的信息报所在地设区的市级生态环境主管部门备案。</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5．土壤污染重点监管企业应当建立土壤和地下水污染隐患排查治理制度，定期对重点区域、重点设施开展隐患排查。发现污染隐患的，应当制定整改方案，及时采取技术、管理措施消除隐患。</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6．土壤污染重点监管企业应当自行或者委托第三方定期开展土壤和地下水监测，重点监测存在污染隐患的区域和设施周边的土壤、地下水，并按照规定公开相关信息。</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土壤污染重点监管企业在隐患排查、监测等活动中发现工矿用地土壤和地下水存在污染迹象的，应当排查污染源，查明污染原因，采取措施防止新增污染，并及时开展土壤和地下水环境调查与风险评估，根据调查与风险评估结果采取风险管控或者治理与修复等措施。</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土壤污染重点监管企业拆除涉及有毒有害物质的生产设施设备、构筑物和污染治理设施的，应当按照有关规定，事先制定企业拆除活动污染防治方案，并在拆除活动前十五个工作日报所在地县级生态环境、工业和信息化主管部门备案。</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9．土壤污染重点监管企业终止生产经营活动前，应开展土壤和地下水环境初步调查，编制调查报告，及时上传全国污染地块土壤环境管理信息系统。</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土地使用权人应当在接到书面通知后，按照国家有关环境标准和技术规范，开展土壤环境详细调查，编制调查报告，及时上传污染地块信息系统，并将调查报告主要内容通过其网站等便于公众知晓的方式向社会公开。</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11．对暂不开发利用的污染地块，实施以防止污染扩散为目的的风险管控。对拟开发利用为居住用地和商业、学校、医疗、养老机构等公共设施用地的污染地块，实施以安全利用为目的的风险管控。</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对拟开发利用为居住用地和商业、学校、医疗、养老机构等公共设施用地的污染地块，经风险评估确认需要治理与修复的，土地使用权人应当开展治理与修复。污染地块经治理与修复，并符合相应规划用地土壤环境质量要求后，方可进入用地程序。</w:t>
                  </w:r>
                </w:p>
              </w:tc>
              <w:tc>
                <w:tcPr>
                  <w:tcW w:w="1398"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本项目所在地为西咸新区秦汉新城朝阳四路长庆井下工业园内压裂所101室，建筑已建成，项目建设期主要进行室内装修及设备安装，不存在污染土壤</w:t>
                  </w:r>
                  <w:r>
                    <w:rPr>
                      <w:rFonts w:hint="default" w:ascii="Times New Roman" w:hAnsi="Times New Roman" w:cs="Times New Roman"/>
                      <w:color w:val="000000" w:themeColor="text1"/>
                      <w:sz w:val="21"/>
                      <w:szCs w:val="21"/>
                      <w:lang w:val="en-US" w:eastAsia="zh-CN"/>
                      <w14:textFill>
                        <w14:solidFill>
                          <w14:schemeClr w14:val="tx1"/>
                        </w14:solidFill>
                      </w14:textFill>
                    </w:rPr>
                    <w:t>的</w:t>
                  </w:r>
                  <w:r>
                    <w:rPr>
                      <w:rFonts w:hint="default" w:ascii="Times New Roman" w:hAnsi="Times New Roman" w:cs="Times New Roman"/>
                      <w:color w:val="000000" w:themeColor="text1"/>
                      <w:sz w:val="21"/>
                      <w:szCs w:val="21"/>
                      <w:lang w:eastAsia="zh-CN"/>
                      <w14:textFill>
                        <w14:solidFill>
                          <w14:schemeClr w14:val="tx1"/>
                        </w14:solidFill>
                      </w14:textFill>
                    </w:rPr>
                    <w:t>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7.9地下水开采区重点管控区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根据地下水超采的不同程度，制定压缩地下水开采量计划，关闭城区自备井，积极开发利用地表水源，对严重超采区应当有计划地采取人工回灌等措施，增加地下水的有效补给。各地要严格取水许可审批，在地下水禁采区，禁止新建、改建、扩建建设项目取用地下水资源；已建成的地下取水工程要按照治理目标限期封闭和压缩开采量。在地下水限采区，要严格按照水利部《建设项目水资源论证管理办法》规定，进行水资源论证，对不符合我省水资源开发利用规划的取水项目，坚决不予审批。</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落实行政责任，强化考核管理。各级政府要加强领导、落实责任、强化措施，进一步加强地下水资源的开发管理和保护工作，对划定的地下水超采区，要勘定四至界限，设立界标和标识牌，落实管理和保护措施。对开采地下水的取水户，要制订年度开采指标，严格实行总量和定额控制管理，确保禁采和限采目标任务完成。制订超采区地下水水量、水位双控指标，并将其纳入各地经济社会发展综合评价与绩效考核指标体系。</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拓展地下水补给途径，有效涵养地下水。各区县要积极开展人工回灌等超采区治理研究，有效减缓、控制地面沉降，应结合当地条件，充分利用过境河流、再生水等资源，有效增加地下水补给，多途径涵养地下水源。</w:t>
                  </w:r>
                </w:p>
              </w:tc>
              <w:tc>
                <w:tcPr>
                  <w:tcW w:w="1398"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本项目所在地为西咸新区秦汉新城朝阳四路长庆井下工业园内压裂所101室，建筑已建成，项目建设期主要进行室内装修及设备安装，</w:t>
                  </w:r>
                  <w:r>
                    <w:rPr>
                      <w:rFonts w:hint="eastAsia" w:ascii="Times New Roman" w:hAnsi="Times New Roman" w:cs="Times New Roman"/>
                      <w:color w:val="000000" w:themeColor="text1"/>
                      <w:sz w:val="21"/>
                      <w:szCs w:val="21"/>
                      <w:lang w:val="en-US" w:eastAsia="zh-CN"/>
                      <w14:textFill>
                        <w14:solidFill>
                          <w14:schemeClr w14:val="tx1"/>
                        </w14:solidFill>
                      </w14:textFill>
                    </w:rPr>
                    <w:t>制纯水产生的浓水作为清净下水排放至园区化粪池，</w:t>
                  </w:r>
                  <w:r>
                    <w:rPr>
                      <w:rFonts w:hint="default" w:ascii="Times New Roman" w:hAnsi="Times New Roman" w:cs="Times New Roman"/>
                      <w:color w:val="000000" w:themeColor="text1"/>
                      <w:sz w:val="21"/>
                      <w:szCs w:val="21"/>
                      <w:lang w:eastAsia="zh-CN"/>
                      <w14:textFill>
                        <w14:solidFill>
                          <w14:schemeClr w14:val="tx1"/>
                        </w14:solidFill>
                      </w14:textFill>
                    </w:rPr>
                    <w:t>不存在污染</w:t>
                  </w:r>
                  <w:r>
                    <w:rPr>
                      <w:rFonts w:hint="default" w:ascii="Times New Roman" w:hAnsi="Times New Roman" w:cs="Times New Roman"/>
                      <w:color w:val="000000" w:themeColor="text1"/>
                      <w:sz w:val="21"/>
                      <w:szCs w:val="21"/>
                      <w:lang w:val="en-US" w:eastAsia="zh-CN"/>
                      <w14:textFill>
                        <w14:solidFill>
                          <w14:schemeClr w14:val="tx1"/>
                        </w14:solidFill>
                      </w14:textFill>
                    </w:rPr>
                    <w:t>地下水的</w:t>
                  </w:r>
                  <w:r>
                    <w:rPr>
                      <w:rFonts w:hint="default" w:ascii="Times New Roman" w:hAnsi="Times New Roman" w:cs="Times New Roman"/>
                      <w:color w:val="000000" w:themeColor="text1"/>
                      <w:sz w:val="21"/>
                      <w:szCs w:val="21"/>
                      <w:lang w:eastAsia="zh-CN"/>
                      <w14:textFill>
                        <w14:solidFill>
                          <w14:schemeClr w14:val="tx1"/>
                        </w14:solidFill>
                      </w14:textFill>
                    </w:rPr>
                    <w:t>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7.10高污染燃料禁燃区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推进重点行业污染治理升级改造。二氧化硫、氮氧化物、颗粒物全面执行大气污染物特别排放限值。采取以电代煤、以气代煤，以及地热能</w:t>
                  </w:r>
                </w:p>
              </w:tc>
              <w:tc>
                <w:tcPr>
                  <w:tcW w:w="1398"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eastAsia="zh-CN"/>
                      <w14:textFill>
                        <w14:solidFill>
                          <w14:schemeClr w14:val="tx1"/>
                        </w14:solidFill>
                      </w14:textFill>
                    </w:rPr>
                    <w:t>属于</w:t>
                  </w:r>
                  <w:r>
                    <w:rPr>
                      <w:rFonts w:hint="default" w:ascii="Times New Roman" w:hAnsi="Times New Roman" w:cs="Times New Roman"/>
                      <w:color w:val="000000" w:themeColor="text1"/>
                      <w:sz w:val="21"/>
                      <w:szCs w:val="21"/>
                      <w:lang w:eastAsia="zh-CN"/>
                      <w14:textFill>
                        <w14:solidFill>
                          <w14:schemeClr w14:val="tx1"/>
                        </w14:solidFill>
                      </w14:textFill>
                    </w:rPr>
                    <w:t>科技服务行业，</w:t>
                  </w:r>
                  <w:r>
                    <w:rPr>
                      <w:rFonts w:hint="default" w:ascii="Times New Roman" w:hAnsi="Times New Roman" w:eastAsia="宋体" w:cs="Times New Roman"/>
                      <w:color w:val="000000" w:themeColor="text1"/>
                      <w:sz w:val="21"/>
                      <w:szCs w:val="21"/>
                      <w:lang w:eastAsia="zh-CN"/>
                      <w14:textFill>
                        <w14:solidFill>
                          <w14:schemeClr w14:val="tx1"/>
                        </w14:solidFill>
                      </w14:textFill>
                    </w:rPr>
                    <w:t>运营期实验中生产少量废气，不会对区域大气环境造成影响。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7.11生态用水补给区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1．合理配置水资源，将生态用水纳入流域水资源配置和管理，实施水资源统一调度，推进闸坝生态调度，保障生态用水。</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2．协助省引汉济渭工程建设公司加快建设引汉济渭调水工程，逐步退减被挤占的河道生态用水。</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采取生态泄流、生态流量监控、加大环境执法等措施保障河湖生态用水，加强生态流量监测体系建设，在重要水利水电枢纽设置生态泄流设施，结合水文站点分布，在重要河流设置生态流量控制断面，实时监控生态流量保障情况。</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7.12水资源承载力重点管控区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一方面加大节水力度，另一方面争取调整管控区内用水总量控制指标，实现水资源承载能力支撑经济社会持续发展。</w:t>
                  </w:r>
                </w:p>
              </w:tc>
              <w:tc>
                <w:tcPr>
                  <w:tcW w:w="1398" w:type="pct"/>
                  <w:vAlign w:val="center"/>
                </w:tcPr>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本项目仅新增实验过程用水量，用水量极少。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pct"/>
                  <w:gridSpan w:val="2"/>
                  <w:vMerge w:val="continue"/>
                  <w:vAlign w:val="center"/>
                </w:tcPr>
                <w:p>
                  <w:pPr>
                    <w:widowControl/>
                    <w:rPr>
                      <w:rFonts w:hint="default" w:ascii="Times New Roman" w:hAnsi="Times New Roman" w:cs="Times New Roman"/>
                      <w:color w:val="000000" w:themeColor="text1"/>
                      <w:sz w:val="21"/>
                      <w:szCs w:val="21"/>
                      <w:lang w:eastAsia="zh-CN"/>
                      <w14:textFill>
                        <w14:solidFill>
                          <w14:schemeClr w14:val="tx1"/>
                        </w14:solidFill>
                      </w14:textFill>
                    </w:rPr>
                  </w:pPr>
                </w:p>
              </w:tc>
              <w:tc>
                <w:tcPr>
                  <w:tcW w:w="3004"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7.13土地资源重点管控区</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根据建设用地土壤污染状况调查结果，动态更新污染地块名录，合理确定土地用途。暂不开发利用或现阶段不具备治理修复条件的污染地块，由所在地区（县）人民政府组织划定管控区域，设立标识，发布公告，开展土壤、地表水、地下水、空气环境监测；存在潜在污染扩散风险的，责令相关责任方制定环境风险管控方案；发现污染扩散的，封闭污染区域，采取污染物隔离、阻断等工程和管理措施。</w:t>
                  </w:r>
                </w:p>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2．重点管控园区应推进园区土地集约、节约利用，项目入园要严格按照有关部门审核同意的项目建设内容使用土地，不得擅自改变土地用途、超越地界线占用土地。</w:t>
                  </w:r>
                </w:p>
              </w:tc>
              <w:tc>
                <w:tcPr>
                  <w:tcW w:w="1398" w:type="pct"/>
                  <w:vAlign w:val="center"/>
                </w:tcPr>
                <w:p>
                  <w:pP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本项目所在地为西咸新区秦汉新城朝阳四路长庆井下工业园内压裂所101室</w:t>
                  </w:r>
                  <w:r>
                    <w:rPr>
                      <w:rFonts w:hint="default" w:ascii="Times New Roman" w:hAnsi="Times New Roman" w:cs="Times New Roman"/>
                      <w:color w:val="000000" w:themeColor="text1"/>
                      <w:sz w:val="21"/>
                      <w:szCs w:val="21"/>
                      <w:lang w:val="en-US" w:eastAsia="zh-CN"/>
                      <w14:textFill>
                        <w14:solidFill>
                          <w14:schemeClr w14:val="tx1"/>
                        </w14:solidFill>
                      </w14:textFill>
                    </w:rPr>
                    <w:t>，用地性质为工业用地。</w:t>
                  </w:r>
                </w:p>
              </w:tc>
            </w:tr>
          </w:tbl>
          <w:p>
            <w:pPr>
              <w:pStyle w:val="25"/>
              <w:rPr>
                <w:rFonts w:hint="default" w:ascii="Times New Roman" w:hAnsi="Times New Roman"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351155</wp:posOffset>
                      </wp:positionV>
                      <wp:extent cx="912495" cy="490855"/>
                      <wp:effectExtent l="6350" t="6350" r="10795" b="127635"/>
                      <wp:wrapNone/>
                      <wp:docPr id="8" name="圆角矩形标注 8"/>
                      <wp:cNvGraphicFramePr/>
                      <a:graphic xmlns:a="http://schemas.openxmlformats.org/drawingml/2006/main">
                        <a:graphicData uri="http://schemas.microsoft.com/office/word/2010/wordprocessingShape">
                          <wps:wsp>
                            <wps:cNvSpPr/>
                            <wps:spPr>
                              <a:xfrm>
                                <a:off x="3545840" y="1709420"/>
                                <a:ext cx="912495" cy="490855"/>
                              </a:xfrm>
                              <a:prstGeom prst="wedgeRoundRectCallout">
                                <a:avLst>
                                  <a:gd name="adj1" fmla="val 43667"/>
                                  <a:gd name="adj2" fmla="val 7315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宋体"/>
                                      <w:b/>
                                      <w:bCs/>
                                      <w:color w:val="000000" w:themeColor="text1"/>
                                      <w:sz w:val="21"/>
                                      <w:szCs w:val="21"/>
                                      <w:lang w:eastAsia="zh-CN"/>
                                      <w14:textFill>
                                        <w14:solidFill>
                                          <w14:schemeClr w14:val="tx1"/>
                                        </w14:solidFill>
                                      </w14:textFill>
                                    </w:rPr>
                                  </w:pPr>
                                  <w:r>
                                    <w:rPr>
                                      <w:rFonts w:hint="eastAsia" w:eastAsia="宋体"/>
                                      <w:b/>
                                      <w:bCs/>
                                      <w:color w:val="000000" w:themeColor="text1"/>
                                      <w:sz w:val="21"/>
                                      <w:szCs w:val="21"/>
                                      <w:lang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0.55pt;margin-top:27.65pt;height:38.65pt;width:71.85pt;z-index:251660288;v-text-anchor:middle;mso-width-relative:page;mso-height-relative:page;" filled="f" stroked="t" coordsize="21600,21600" o:gfxdata="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MpuE9gAAAAK&#10;AQAADwAAAAAAAAABACAAAAAiAAAAZHJzL2Rvd25yZXYueG1sUEsBAhQAFAAAAAgAh07iQHByFB7H&#10;AgAAcwUAAA4AAAAAAAAAAQAgAAAAJwEAAGRycy9lMm9Eb2MueG1sUEsFBgAAAAAGAAYAWQEAAGAG&#10;AAAAAA==&#10;" adj="20232,26602,14400">
                      <v:fill on="f" focussize="0,0"/>
                      <v:stroke weight="1pt" color="#000000 [3213]" miterlimit="8" joinstyle="miter"/>
                      <v:imagedata o:title=""/>
                      <o:lock v:ext="edit" aspectratio="f"/>
                      <v:textbox>
                        <w:txbxContent>
                          <w:p>
                            <w:pPr>
                              <w:jc w:val="center"/>
                              <w:rPr>
                                <w:rFonts w:eastAsia="宋体"/>
                                <w:b/>
                                <w:bCs/>
                                <w:color w:val="000000" w:themeColor="text1"/>
                                <w:sz w:val="21"/>
                                <w:szCs w:val="21"/>
                                <w:lang w:eastAsia="zh-CN"/>
                                <w14:textFill>
                                  <w14:solidFill>
                                    <w14:schemeClr w14:val="tx1"/>
                                  </w14:solidFill>
                                </w14:textFill>
                              </w:rPr>
                            </w:pPr>
                            <w:r>
                              <w:rPr>
                                <w:rFonts w:hint="eastAsia" w:eastAsia="宋体"/>
                                <w:b/>
                                <w:bCs/>
                                <w:color w:val="000000" w:themeColor="text1"/>
                                <w:sz w:val="21"/>
                                <w:szCs w:val="21"/>
                                <w:lang w:eastAsia="zh-CN"/>
                                <w14:textFill>
                                  <w14:solidFill>
                                    <w14:schemeClr w14:val="tx1"/>
                                  </w14:solidFill>
                                </w14:textFill>
                              </w:rPr>
                              <w:t>项目所在地</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1989455</wp:posOffset>
                      </wp:positionH>
                      <wp:positionV relativeFrom="paragraph">
                        <wp:posOffset>938530</wp:posOffset>
                      </wp:positionV>
                      <wp:extent cx="76200" cy="76200"/>
                      <wp:effectExtent l="6350" t="6350" r="12700" b="12700"/>
                      <wp:wrapNone/>
                      <wp:docPr id="6" name="椭圆 6"/>
                      <wp:cNvGraphicFramePr/>
                      <a:graphic xmlns:a="http://schemas.openxmlformats.org/drawingml/2006/main">
                        <a:graphicData uri="http://schemas.microsoft.com/office/word/2010/wordprocessingShape">
                          <wps:wsp>
                            <wps:cNvSpPr/>
                            <wps:spPr>
                              <a:xfrm>
                                <a:off x="3543935" y="2219325"/>
                                <a:ext cx="76200" cy="76200"/>
                              </a:xfrm>
                              <a:prstGeom prst="ellipse">
                                <a:avLst/>
                              </a:prstGeom>
                              <a:solidFill>
                                <a:srgbClr val="FFFF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6.65pt;margin-top:73.9pt;height:6pt;width:6pt;z-index:251659264;v-text-anchor:middle;mso-width-relative:page;mso-height-relative:page;" fillcolor="#FFFF00" filled="t" stroked="t" coordsize="21600,21600" o:gfxdata="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8j+6+dcAAAALAQAA&#10;DwAAAAAAAAABACAAAAAiAAAAZHJzL2Rvd25yZXYueG1sUEsBAhQAFAAAAAgAh07iQMFed/iMAgAA&#10;IQUAAA4AAAAAAAAAAQAgAAAAJgEAAGRycy9lMm9Eb2MueG1sUEsFBgAAAAAGAAYAWQEAACQGAAAA&#10;AA==&#10;">
                      <v:fill on="t" focussize="0,0"/>
                      <v:stroke weight="1pt" color="#BC8C00 [3207]" miterlimit="8" joinstyle="miter"/>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4985385" cy="3291205"/>
                  <wp:effectExtent l="0" t="0" r="571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985385" cy="3291205"/>
                          </a:xfrm>
                          <a:prstGeom prst="rect">
                            <a:avLst/>
                          </a:prstGeom>
                          <a:noFill/>
                          <a:ln>
                            <a:noFill/>
                          </a:ln>
                        </pic:spPr>
                      </pic:pic>
                    </a:graphicData>
                  </a:graphic>
                </wp:inline>
              </w:drawing>
            </w:r>
          </w:p>
          <w:p>
            <w:pPr>
              <w:pStyle w:val="25"/>
              <w:numPr>
                <w:ilvl w:val="0"/>
                <w:numId w:val="3"/>
              </w:numPr>
              <w:rPr>
                <w:rFonts w:hint="default" w:ascii="Times New Roman" w:hAnsi="Times New Roman"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其他符合性分析</w:t>
            </w:r>
          </w:p>
          <w:p>
            <w:pPr>
              <w:jc w:val="center"/>
              <w:rPr>
                <w:rFonts w:hint="default" w:ascii="Times New Roman" w:hAnsi="Times New Roman" w:cs="Times New Roman"/>
                <w:b/>
                <w:bCs/>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表</w:t>
            </w:r>
            <w:r>
              <w:rPr>
                <w:rFonts w:hint="default" w:ascii="Times New Roman" w:hAnsi="Times New Roman" w:cs="Times New Roman"/>
                <w:b/>
                <w:bCs/>
                <w:color w:val="000000" w:themeColor="text1"/>
                <w:sz w:val="24"/>
                <w:szCs w:val="24"/>
                <w:lang w:val="zh-CN"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zh-CN" w:eastAsia="zh-CN"/>
                <w14:textFill>
                  <w14:solidFill>
                    <w14:schemeClr w14:val="tx1"/>
                  </w14:solidFill>
                </w14:textFill>
              </w:rPr>
              <w:t>5</w:t>
            </w:r>
            <w:r>
              <w:rPr>
                <w:rFonts w:hint="default" w:ascii="Times New Roman" w:hAnsi="Times New Roman" w:cs="Times New Roman"/>
                <w:b/>
                <w:bCs/>
                <w:color w:val="000000" w:themeColor="text1"/>
                <w:sz w:val="24"/>
                <w:szCs w:val="24"/>
                <w:lang w:val="zh-CN"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其他符合性分析一览表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774"/>
              <w:gridCol w:w="2100"/>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pct"/>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相关政策文件</w:t>
                  </w:r>
                </w:p>
              </w:tc>
              <w:tc>
                <w:tcPr>
                  <w:tcW w:w="1766" w:type="pct"/>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要求</w:t>
                  </w:r>
                </w:p>
              </w:tc>
              <w:tc>
                <w:tcPr>
                  <w:tcW w:w="1336" w:type="pct"/>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本项目符合情况</w:t>
                  </w:r>
                </w:p>
              </w:tc>
              <w:tc>
                <w:tcPr>
                  <w:tcW w:w="599" w:type="pct"/>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Align w:val="center"/>
                </w:tcPr>
                <w:p>
                  <w:pPr>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《产业结构调整指导目录（</w:t>
                  </w:r>
                  <w:r>
                    <w:rPr>
                      <w:rFonts w:hint="default" w:ascii="Times New Roman" w:hAnsi="Times New Roman" w:cs="Times New Roman"/>
                      <w:bCs/>
                      <w:color w:val="000000" w:themeColor="text1"/>
                      <w:sz w:val="21"/>
                      <w:szCs w:val="21"/>
                      <w:lang w:eastAsia="zh-CN"/>
                      <w14:textFill>
                        <w14:solidFill>
                          <w14:schemeClr w14:val="tx1"/>
                        </w14:solidFill>
                      </w14:textFill>
                    </w:rPr>
                    <w:t>2019</w:t>
                  </w:r>
                  <w:r>
                    <w:rPr>
                      <w:rFonts w:hint="default" w:ascii="Times New Roman" w:hAnsi="Times New Roman" w:eastAsia="宋体" w:cs="Times New Roman"/>
                      <w:bCs/>
                      <w:color w:val="000000" w:themeColor="text1"/>
                      <w:sz w:val="21"/>
                      <w:szCs w:val="21"/>
                      <w:lang w:eastAsia="zh-CN"/>
                      <w14:textFill>
                        <w14:solidFill>
                          <w14:schemeClr w14:val="tx1"/>
                        </w14:solidFill>
                      </w14:textFill>
                    </w:rPr>
                    <w:t>年本）》及国家发展改革委关于修订《产业结构调整指导目录（</w:t>
                  </w:r>
                  <w:r>
                    <w:rPr>
                      <w:rFonts w:hint="default" w:ascii="Times New Roman" w:hAnsi="Times New Roman" w:cs="Times New Roman"/>
                      <w:bCs/>
                      <w:color w:val="000000" w:themeColor="text1"/>
                      <w:sz w:val="21"/>
                      <w:szCs w:val="21"/>
                      <w:lang w:eastAsia="zh-CN"/>
                      <w14:textFill>
                        <w14:solidFill>
                          <w14:schemeClr w14:val="tx1"/>
                        </w14:solidFill>
                      </w14:textFill>
                    </w:rPr>
                    <w:t>2019</w:t>
                  </w:r>
                  <w:r>
                    <w:rPr>
                      <w:rFonts w:hint="default" w:ascii="Times New Roman" w:hAnsi="Times New Roman" w:eastAsia="宋体" w:cs="Times New Roman"/>
                      <w:bCs/>
                      <w:color w:val="000000" w:themeColor="text1"/>
                      <w:sz w:val="21"/>
                      <w:szCs w:val="21"/>
                      <w:lang w:eastAsia="zh-CN"/>
                      <w14:textFill>
                        <w14:solidFill>
                          <w14:schemeClr w14:val="tx1"/>
                        </w14:solidFill>
                      </w14:textFill>
                    </w:rPr>
                    <w:t>年本）》的决定</w:t>
                  </w:r>
                </w:p>
              </w:tc>
              <w:tc>
                <w:tcPr>
                  <w:tcW w:w="3103" w:type="pct"/>
                  <w:gridSpan w:val="2"/>
                  <w:vAlign w:val="center"/>
                </w:tcPr>
                <w:p>
                  <w:pPr>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本项目不属于《产业结构调整指导目录（</w:t>
                  </w:r>
                  <w:r>
                    <w:rPr>
                      <w:rFonts w:hint="default" w:ascii="Times New Roman" w:hAnsi="Times New Roman" w:cs="Times New Roman"/>
                      <w:bCs/>
                      <w:color w:val="000000" w:themeColor="text1"/>
                      <w:sz w:val="21"/>
                      <w:szCs w:val="21"/>
                      <w:lang w:eastAsia="zh-CN"/>
                      <w14:textFill>
                        <w14:solidFill>
                          <w14:schemeClr w14:val="tx1"/>
                        </w14:solidFill>
                      </w14:textFill>
                    </w:rPr>
                    <w:t>2019</w:t>
                  </w:r>
                  <w:r>
                    <w:rPr>
                      <w:rFonts w:hint="default" w:ascii="Times New Roman" w:hAnsi="Times New Roman" w:eastAsia="宋体" w:cs="Times New Roman"/>
                      <w:bCs/>
                      <w:color w:val="000000" w:themeColor="text1"/>
                      <w:sz w:val="21"/>
                      <w:szCs w:val="21"/>
                      <w:lang w:eastAsia="zh-CN"/>
                      <w14:textFill>
                        <w14:solidFill>
                          <w14:schemeClr w14:val="tx1"/>
                        </w14:solidFill>
                      </w14:textFill>
                    </w:rPr>
                    <w:t>年本）》及国家发展改革委关于修订《产业结构调整指导目录（</w:t>
                  </w:r>
                  <w:r>
                    <w:rPr>
                      <w:rFonts w:hint="default" w:ascii="Times New Roman" w:hAnsi="Times New Roman" w:cs="Times New Roman"/>
                      <w:bCs/>
                      <w:color w:val="000000" w:themeColor="text1"/>
                      <w:sz w:val="21"/>
                      <w:szCs w:val="21"/>
                      <w:lang w:eastAsia="zh-CN"/>
                      <w14:textFill>
                        <w14:solidFill>
                          <w14:schemeClr w14:val="tx1"/>
                        </w14:solidFill>
                      </w14:textFill>
                    </w:rPr>
                    <w:t>2019</w:t>
                  </w:r>
                  <w:r>
                    <w:rPr>
                      <w:rFonts w:hint="default" w:ascii="Times New Roman" w:hAnsi="Times New Roman" w:eastAsia="宋体" w:cs="Times New Roman"/>
                      <w:bCs/>
                      <w:color w:val="000000" w:themeColor="text1"/>
                      <w:sz w:val="21"/>
                      <w:szCs w:val="21"/>
                      <w:lang w:eastAsia="zh-CN"/>
                      <w14:textFill>
                        <w14:solidFill>
                          <w14:schemeClr w14:val="tx1"/>
                        </w14:solidFill>
                      </w14:textFill>
                    </w:rPr>
                    <w:t>年本）》的决定中</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鼓励类、限制类及淘汰类</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项目，亦不在《陕西省限制投资类产业指导目录》之列，为允许类项目。</w:t>
                  </w:r>
                </w:p>
              </w:tc>
              <w:tc>
                <w:tcPr>
                  <w:tcW w:w="599" w:type="pct"/>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Align w:val="center"/>
                </w:tcPr>
                <w:p>
                  <w:pPr>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《陕西省</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两高</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项目管理暂行目录（</w:t>
                  </w:r>
                  <w:r>
                    <w:rPr>
                      <w:rFonts w:hint="default" w:ascii="Times New Roman" w:hAnsi="Times New Roman" w:cs="Times New Roman"/>
                      <w:bCs/>
                      <w:color w:val="000000" w:themeColor="text1"/>
                      <w:sz w:val="21"/>
                      <w:szCs w:val="21"/>
                      <w:lang w:eastAsia="zh-CN"/>
                      <w14:textFill>
                        <w14:solidFill>
                          <w14:schemeClr w14:val="tx1"/>
                        </w14:solidFill>
                      </w14:textFill>
                    </w:rPr>
                    <w:t>2022</w:t>
                  </w:r>
                  <w:r>
                    <w:rPr>
                      <w:rFonts w:hint="default" w:ascii="Times New Roman" w:hAnsi="Times New Roman" w:eastAsia="宋体" w:cs="Times New Roman"/>
                      <w:bCs/>
                      <w:color w:val="000000" w:themeColor="text1"/>
                      <w:sz w:val="21"/>
                      <w:szCs w:val="21"/>
                      <w:lang w:eastAsia="zh-CN"/>
                      <w14:textFill>
                        <w14:solidFill>
                          <w14:schemeClr w14:val="tx1"/>
                        </w14:solidFill>
                      </w14:textFill>
                    </w:rPr>
                    <w:t>年版）》</w:t>
                  </w:r>
                </w:p>
              </w:tc>
              <w:tc>
                <w:tcPr>
                  <w:tcW w:w="3103" w:type="pct"/>
                  <w:gridSpan w:val="2"/>
                  <w:vAlign w:val="center"/>
                </w:tcPr>
                <w:p>
                  <w:pPr>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本项目国民经济行业类别为</w:t>
                  </w:r>
                  <w:r>
                    <w:rPr>
                      <w:rFonts w:hint="default" w:ascii="Times New Roman" w:hAnsi="Times New Roman" w:cs="Times New Roman"/>
                      <w:bCs/>
                      <w:color w:val="000000" w:themeColor="text1"/>
                      <w:sz w:val="21"/>
                      <w:szCs w:val="21"/>
                      <w:lang w:eastAsia="zh-CN"/>
                      <w14:textFill>
                        <w14:solidFill>
                          <w14:schemeClr w14:val="tx1"/>
                        </w14:solidFill>
                      </w14:textFill>
                    </w:rPr>
                    <w:t>M7452</w:t>
                  </w:r>
                  <w:r>
                    <w:rPr>
                      <w:rFonts w:hint="default" w:ascii="Times New Roman" w:hAnsi="Times New Roman" w:eastAsia="宋体" w:cs="Times New Roman"/>
                      <w:bCs/>
                      <w:color w:val="000000" w:themeColor="text1"/>
                      <w:sz w:val="21"/>
                      <w:szCs w:val="21"/>
                      <w:lang w:eastAsia="zh-CN"/>
                      <w14:textFill>
                        <w14:solidFill>
                          <w14:schemeClr w14:val="tx1"/>
                        </w14:solidFill>
                      </w14:textFill>
                    </w:rPr>
                    <w:t>检测服务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不属于陕西省</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两高</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项目。</w:t>
                  </w:r>
                </w:p>
              </w:tc>
              <w:tc>
                <w:tcPr>
                  <w:tcW w:w="599" w:type="pct"/>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Align w:val="center"/>
                </w:tcPr>
                <w:p>
                  <w:pPr>
                    <w:jc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《西安市</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十四五</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生态环境保护规划》</w:t>
                  </w:r>
                </w:p>
              </w:tc>
              <w:tc>
                <w:tcPr>
                  <w:tcW w:w="1766" w:type="pct"/>
                  <w:vAlign w:val="center"/>
                </w:tcPr>
                <w:p>
                  <w:pPr>
                    <w:pStyle w:val="3"/>
                    <w:spacing w:line="240" w:lineRule="auto"/>
                    <w:jc w:val="center"/>
                    <w:rPr>
                      <w:rFonts w:hint="default" w:ascii="Times New Roman" w:hAnsi="Times New Roman" w:eastAsia="宋体" w:cs="Times New Roman"/>
                      <w:b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lang w:eastAsia="zh-CN"/>
                      <w14:textFill>
                        <w14:solidFill>
                          <w14:schemeClr w14:val="tx1"/>
                        </w14:solidFill>
                      </w14:textFill>
                    </w:rPr>
                    <w:t>加强工业噪声环境监管力度，严厉查处工业企业噪声排放超标扰民行为。</w:t>
                  </w:r>
                </w:p>
              </w:tc>
              <w:tc>
                <w:tcPr>
                  <w:tcW w:w="1336" w:type="pct"/>
                  <w:vAlign w:val="center"/>
                </w:tcPr>
                <w:p>
                  <w:pPr>
                    <w:jc w:val="center"/>
                    <w:rPr>
                      <w:rFonts w:hint="default" w:ascii="Times New Roman" w:hAnsi="Times New Roman"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本项目设备采取建筑隔音、减振、合理布局等措施，对周围环境影响较小。</w:t>
                  </w:r>
                </w:p>
              </w:tc>
              <w:tc>
                <w:tcPr>
                  <w:tcW w:w="599" w:type="pct"/>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4"/>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Align w:val="center"/>
                </w:tcPr>
                <w:p>
                  <w:pPr>
                    <w:jc w:val="center"/>
                    <w:rPr>
                      <w:rFonts w:hint="default" w:ascii="Times New Roman" w:hAnsi="Times New Roman" w:cs="Times New Roman"/>
                      <w:bCs/>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《陕西省碧水保卫战2022年工作方案》</w:t>
                  </w:r>
                </w:p>
              </w:tc>
              <w:tc>
                <w:tcPr>
                  <w:tcW w:w="1766" w:type="pct"/>
                  <w:vAlign w:val="center"/>
                </w:tcPr>
                <w:p>
                  <w:pPr>
                    <w:pStyle w:val="3"/>
                    <w:spacing w:line="240" w:lineRule="auto"/>
                    <w:jc w:val="center"/>
                    <w:rPr>
                      <w:rFonts w:hint="default" w:ascii="Times New Roman" w:hAnsi="Times New Roman" w:eastAsia="宋体" w:cs="Times New Roman"/>
                      <w:b w:val="0"/>
                      <w:color w:val="000000" w:themeColor="text1"/>
                      <w:sz w:val="21"/>
                      <w:szCs w:val="21"/>
                      <w:highlight w:val="yellow"/>
                      <w:u w:color="000000"/>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u w:color="000000"/>
                      <w:lang w:eastAsia="zh-CN"/>
                      <w14:textFill>
                        <w14:solidFill>
                          <w14:schemeClr w14:val="tx1"/>
                        </w14:solidFill>
                      </w14:textFill>
                    </w:rPr>
                    <w:t>深入推进工业污染防治。加快产业结构调整，坚决遏制“两高”项目盲目发展，沿黄重点地区严控高污染、高耗水、高耗能项目，依法依规淘汰落后产能。</w:t>
                  </w:r>
                </w:p>
              </w:tc>
              <w:tc>
                <w:tcPr>
                  <w:tcW w:w="1336" w:type="pct"/>
                  <w:vAlign w:val="center"/>
                </w:tcPr>
                <w:p>
                  <w:pPr>
                    <w:jc w:val="center"/>
                    <w:rPr>
                      <w:rFonts w:hint="default" w:ascii="Times New Roman" w:hAnsi="Times New Roman" w:eastAsia="宋体" w:cs="Times New Roman"/>
                      <w:color w:val="000000" w:themeColor="text1"/>
                      <w:sz w:val="21"/>
                      <w:szCs w:val="21"/>
                      <w:u w:color="000000"/>
                      <w:lang w:eastAsia="zh-CN"/>
                      <w14:textFill>
                        <w14:solidFill>
                          <w14:schemeClr w14:val="tx1"/>
                        </w14:solidFill>
                      </w14:textFill>
                    </w:rPr>
                  </w:pPr>
                  <w:r>
                    <w:rPr>
                      <w:rFonts w:hint="default" w:ascii="Times New Roman" w:hAnsi="Times New Roman" w:eastAsia="宋体" w:cs="Times New Roman"/>
                      <w:color w:val="000000" w:themeColor="text1"/>
                      <w:sz w:val="21"/>
                      <w:szCs w:val="21"/>
                      <w:u w:color="000000"/>
                      <w:lang w:eastAsia="zh-CN"/>
                      <w14:textFill>
                        <w14:solidFill>
                          <w14:schemeClr w14:val="tx1"/>
                        </w14:solidFill>
                      </w14:textFill>
                    </w:rPr>
                    <w:t>本项目为科技服务</w:t>
                  </w:r>
                  <w:r>
                    <w:rPr>
                      <w:rFonts w:hint="default" w:ascii="Times New Roman" w:hAnsi="Times New Roman" w:eastAsia="宋体" w:cs="Times New Roman"/>
                      <w:color w:val="000000" w:themeColor="text1"/>
                      <w:sz w:val="21"/>
                      <w:szCs w:val="21"/>
                      <w:lang w:eastAsia="zh-CN"/>
                      <w14:textFill>
                        <w14:solidFill>
                          <w14:schemeClr w14:val="tx1"/>
                        </w14:solidFill>
                      </w14:textFill>
                    </w:rPr>
                    <w:t>类企业，不属于高污染、高耗水、高耗能项目。</w:t>
                  </w:r>
                </w:p>
              </w:tc>
              <w:tc>
                <w:tcPr>
                  <w:tcW w:w="599" w:type="pct"/>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pStyle w:val="25"/>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p>
        </w:tc>
      </w:tr>
    </w:tbl>
    <w:p>
      <w:pPr>
        <w:pStyle w:val="3"/>
        <w:rPr>
          <w:color w:val="000000" w:themeColor="text1"/>
          <w14:textFill>
            <w14:solidFill>
              <w14:schemeClr w14:val="tx1"/>
            </w14:solidFill>
          </w14:textFill>
        </w:rPr>
        <w:sectPr>
          <w:footerReference r:id="rId3" w:type="default"/>
          <w:pgSz w:w="11906" w:h="16838"/>
          <w:pgMar w:top="1984" w:right="1531" w:bottom="1701" w:left="1531" w:header="1701" w:footer="1417" w:gutter="0"/>
          <w:pgNumType w:fmt="decimal" w:start="1"/>
          <w:cols w:space="425" w:num="1"/>
          <w:docGrid w:type="lines" w:linePitch="312" w:charSpace="0"/>
        </w:sectPr>
      </w:pPr>
    </w:p>
    <w:p>
      <w:pPr>
        <w:pStyle w:val="18"/>
        <w:keepNext w:val="0"/>
        <w:keepLines w:val="0"/>
        <w:pageBreakBefore w:val="0"/>
        <w:widowControl/>
        <w:numPr>
          <w:ilvl w:val="0"/>
          <w:numId w:val="4"/>
        </w:numPr>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4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57" w:hRule="atLeast"/>
          <w:jc w:val="center"/>
        </w:trPr>
        <w:tc>
          <w:tcPr>
            <w:tcW w:w="454" w:type="dxa"/>
            <w:noWrap/>
            <w:vAlign w:val="center"/>
          </w:tcPr>
          <w:p>
            <w:pPr>
              <w:pStyle w:val="18"/>
              <w:adjustRightInd w:val="0"/>
              <w:snapToGrid w:val="0"/>
              <w:spacing w:before="0" w:beforeAutospacing="0" w:after="0" w:afterAutospacing="0" w:line="36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建设内容</w:t>
            </w:r>
          </w:p>
        </w:tc>
        <w:tc>
          <w:tcPr>
            <w:tcW w:w="8445" w:type="dxa"/>
            <w:noWra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中国石油集团川庆钻探工程公司长庆井下技术作业公司目前主要从事油气田试油试气、压裂酸化、测试试井、大修侧钻、工程测井等储层改造、综合完井业务以及天然气试采回收。具有从地质评价、储层分析、工程设计，到现场施工作业、施工监测、后评价一体化服务能力，是中国石油井下作业业务链最为齐全的单位之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因行业工作需求，质量密度计已取代放射性密度计、绞轮计数，对压裂施工砂浓度进行实时监测。为了提升对实际混砂液密度计量范围的精确检定，中国石油集团川庆钻探工程有限公司长庆井下技术作业公司拟新建一套密度计量标准装置，可同时开展3只在线式密度计检定，检定密度范围（900～1800）k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，相当于砂浓度（0～1907）kg/m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因此，中国石油集团川庆钻探工程有限公司长庆井下技术作业公司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新建独立的</w:t>
            </w:r>
            <w:r>
              <w:rPr>
                <w:rFonts w:hint="default" w:ascii="Times New Roman" w:hAnsi="Times New Roman" w:eastAsia="宋体" w:cs="Times New Roman"/>
                <w:color w:val="000000" w:themeColor="text1"/>
                <w:sz w:val="24"/>
                <w:szCs w:val="24"/>
                <w:lang w:eastAsia="zh-CN"/>
                <w14:textFill>
                  <w14:solidFill>
                    <w14:schemeClr w14:val="tx1"/>
                  </w14:solidFill>
                </w14:textFill>
              </w:rPr>
              <w:t>密度检定实验室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，拟建位置位于压裂所101室，对照《建设项目环境影响评价分类管理名录（2021年）》，需要编制环境影响报告表。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依据《中华人民共和国环境影响评价法》和《建设项目环境保护管理条例》等有关规定，2022年6月1日，中国石油集团川庆钻探工程有限公司长庆井下技术作业公司正式委托我单位承担密度计量检定实验室项目环境影响评价工作，并编制该项目环境影响报告表，委托书见附件2。</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项目建设内容及规模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项目概况</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（1）项目名称：密度计量检定实验室项目</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（2）建设单位：中国石油集团川庆钻探工程有限公司长庆井下技术作业公司</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（3）建设地点：陕西省西咸新区秦汉新城朝阳四路长庆井下工业园内</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（4）投资：</w:t>
            </w: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本项目总投资280万元，其中环保投资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lang w:eastAsia="zh-CN"/>
                <w14:textFill>
                  <w14:solidFill>
                    <w14:schemeClr w14:val="tx1"/>
                  </w14:solidFill>
                </w14:textFill>
              </w:rPr>
              <w:t>.00万元，占总投资的2.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8"/>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 xml:space="preserve">    （5）占地面积：90m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2</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lang w:eastAsia="zh-CN"/>
                <w14:textFill>
                  <w14:solidFill>
                    <w14:schemeClr w14:val="tx1"/>
                  </w14:solidFill>
                </w14:textFill>
              </w:rPr>
              <w:t>）项目周边环境：本项目位于陕西省西咸新区秦汉新城朝阳四路长庆井下工业园内</w:t>
            </w:r>
            <w:r>
              <w:rPr>
                <w:rFonts w:hint="eastAsia" w:ascii="Times New Roman" w:hAnsi="Times New Roman" w:eastAsia="宋体" w:cs="Times New Roman"/>
                <w:color w:val="000000" w:themeColor="text1"/>
                <w:sz w:val="24"/>
                <w:szCs w:val="24"/>
                <w:lang w:eastAsia="zh-CN"/>
                <w14:textFill>
                  <w14:solidFill>
                    <w14:schemeClr w14:val="tx1"/>
                  </w14:solidFill>
                </w14:textFill>
              </w:rPr>
              <w:t>压裂所1</w:t>
            </w:r>
            <w:r>
              <w:rPr>
                <w:rFonts w:ascii="Times New Roman" w:hAnsi="Times New Roman" w:eastAsia="宋体" w:cs="Times New Roman"/>
                <w:color w:val="000000" w:themeColor="text1"/>
                <w:sz w:val="24"/>
                <w:szCs w:val="24"/>
                <w:lang w:eastAsia="zh-CN"/>
                <w14:textFill>
                  <w14:solidFill>
                    <w14:schemeClr w14:val="tx1"/>
                  </w14:solidFill>
                </w14:textFill>
              </w:rPr>
              <w:t>01</w:t>
            </w:r>
            <w:r>
              <w:rPr>
                <w:rFonts w:hint="eastAsia" w:ascii="Times New Roman" w:hAnsi="Times New Roman" w:eastAsia="宋体" w:cs="Times New Roman"/>
                <w:color w:val="000000" w:themeColor="text1"/>
                <w:sz w:val="24"/>
                <w:szCs w:val="24"/>
                <w:lang w:eastAsia="zh-CN"/>
                <w14:textFill>
                  <w14:solidFill>
                    <w14:schemeClr w14:val="tx1"/>
                  </w14:solidFill>
                </w14:textFill>
              </w:rPr>
              <w:t>室</w:t>
            </w:r>
            <w:r>
              <w:rPr>
                <w:rFonts w:ascii="Times New Roman" w:hAnsi="Times New Roman" w:eastAsia="宋体" w:cs="Times New Roman"/>
                <w:color w:val="000000" w:themeColor="text1"/>
                <w:sz w:val="24"/>
                <w:szCs w:val="24"/>
                <w:lang w:eastAsia="zh-CN"/>
                <w14:textFill>
                  <w14:solidFill>
                    <w14:schemeClr w14:val="tx1"/>
                  </w14:solidFill>
                </w14:textFill>
              </w:rPr>
              <w:t>，地理坐标为</w:t>
            </w:r>
            <w:r>
              <w:rPr>
                <w:rFonts w:ascii="Times New Roman" w:hAnsi="Times New Roman" w:eastAsia="宋体" w:cs="Times New Roman"/>
                <w:color w:val="000000" w:themeColor="text1"/>
                <w:sz w:val="24"/>
                <w:szCs w:val="24"/>
                <w:lang w:eastAsia="zh-CN"/>
                <w14:textFill>
                  <w14:solidFill>
                    <w14:schemeClr w14:val="tx1"/>
                  </w14:solidFill>
                </w14:textFill>
              </w:rPr>
              <w:t>东经108°45′5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1.087</w:t>
            </w:r>
            <w:r>
              <w:rPr>
                <w:rFonts w:ascii="Times New Roman" w:hAnsi="Times New Roman" w:eastAsia="宋体" w:cs="Times New Roman"/>
                <w:color w:val="000000" w:themeColor="text1"/>
                <w:sz w:val="24"/>
                <w:szCs w:val="24"/>
                <w:lang w:eastAsia="zh-CN"/>
                <w14:textFill>
                  <w14:solidFill>
                    <w14:schemeClr w14:val="tx1"/>
                  </w14:solidFill>
                </w14:textFill>
              </w:rPr>
              <w:t>″，北纬34°22′2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6.71</w:t>
            </w:r>
            <w:r>
              <w:rPr>
                <w:rFonts w:ascii="Times New Roman" w:hAnsi="Times New Roman" w:eastAsia="宋体" w:cs="Times New Roman"/>
                <w:color w:val="000000" w:themeColor="text1"/>
                <w:sz w:val="24"/>
                <w:szCs w:val="24"/>
                <w:lang w:eastAsia="zh-CN"/>
                <w14:textFill>
                  <w14:solidFill>
                    <w14:schemeClr w14:val="tx1"/>
                  </w14:solidFill>
                </w14:textFill>
              </w:rPr>
              <w:t>7″。</w:t>
            </w:r>
            <w:r>
              <w:rPr>
                <w:rFonts w:ascii="Times New Roman" w:hAnsi="Times New Roman" w:eastAsia="宋体" w:cs="Times New Roman"/>
                <w:color w:val="000000" w:themeColor="text1"/>
                <w:sz w:val="24"/>
                <w:szCs w:val="24"/>
                <w:lang w:eastAsia="zh-CN"/>
                <w14:textFill>
                  <w14:solidFill>
                    <w14:schemeClr w14:val="tx1"/>
                  </w14:solidFill>
                </w14:textFill>
              </w:rPr>
              <w:t>项目</w:t>
            </w:r>
            <w:r>
              <w:rPr>
                <w:rFonts w:ascii="Times New Roman" w:hAnsi="Times New Roman" w:eastAsia="宋体" w:cs="Times New Roman"/>
                <w:color w:val="000000" w:themeColor="text1"/>
                <w:sz w:val="24"/>
                <w:szCs w:val="24"/>
                <w:lang w:eastAsia="zh-CN"/>
                <w14:textFill>
                  <w14:solidFill>
                    <w14:schemeClr w14:val="tx1"/>
                  </w14:solidFill>
                </w14:textFill>
              </w:rPr>
              <w:t>北侧为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园区培训中心</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东侧为长庆井下技术作业公司工具研发制造中心</w:t>
            </w:r>
            <w:r>
              <w:rPr>
                <w:rFonts w:ascii="Times New Roman" w:hAnsi="Times New Roman" w:eastAsia="宋体" w:cs="Times New Roman"/>
                <w:color w:val="000000" w:themeColor="text1"/>
                <w:sz w:val="24"/>
                <w:szCs w:val="24"/>
                <w:lang w:eastAsia="zh-CN"/>
                <w14:textFill>
                  <w14:solidFill>
                    <w14:schemeClr w14:val="tx1"/>
                  </w14:solidFill>
                </w14:textFill>
              </w:rPr>
              <w:t>，南侧为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长庆井下技术作业公司工具研发制造中心及特种设备维修中心</w:t>
            </w:r>
            <w:r>
              <w:rPr>
                <w:rFonts w:ascii="Times New Roman" w:hAnsi="Times New Roman" w:eastAsia="宋体" w:cs="Times New Roman"/>
                <w:color w:val="000000" w:themeColor="text1"/>
                <w:sz w:val="24"/>
                <w:szCs w:val="24"/>
                <w:lang w:eastAsia="zh-CN"/>
                <w14:textFill>
                  <w14:solidFill>
                    <w14:schemeClr w14:val="tx1"/>
                  </w14:solidFill>
                </w14:textFill>
              </w:rPr>
              <w:t>，西侧为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鑫源公司</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项目所在地交通十分便利。项目地理位置图详见附图1，四邻关系图详见附图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2、项目建设内容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本项目总投资280万元，其中环保投资8.00万元，占总投资的2.9%。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建设用地面积90m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，项目组成见下表。</w:t>
            </w:r>
          </w:p>
          <w:p>
            <w:pPr>
              <w:spacing w:line="360" w:lineRule="auto"/>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表2-1  本项目组成一览表</w:t>
            </w:r>
          </w:p>
          <w:tbl>
            <w:tblPr>
              <w:tblStyle w:val="20"/>
              <w:tblW w:w="4992"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19"/>
              <w:gridCol w:w="570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39" w:type="pct"/>
                  <w:noWrap/>
                  <w:vAlign w:val="center"/>
                </w:tcPr>
                <w:p>
                  <w:pPr>
                    <w:adjustRightInd w:val="0"/>
                    <w:snapToGrid w:val="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类别</w:t>
                  </w:r>
                </w:p>
              </w:tc>
              <w:tc>
                <w:tcPr>
                  <w:tcW w:w="681" w:type="pct"/>
                  <w:noWrap/>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装置</w:t>
                  </w: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3478" w:type="pct"/>
                  <w:noWrap/>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建设内容</w:t>
                  </w:r>
                </w:p>
              </w:tc>
              <w:tc>
                <w:tcPr>
                  <w:tcW w:w="399" w:type="pct"/>
                  <w:noWrap/>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noWrap/>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主体工程</w:t>
                  </w:r>
                </w:p>
              </w:tc>
              <w:tc>
                <w:tcPr>
                  <w:tcW w:w="681"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密度计计量标准装置</w:t>
                  </w: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在长庆井下工业园区内压裂所101室（90m</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2</w:t>
                  </w:r>
                  <w:r>
                    <w:rPr>
                      <w:rFonts w:ascii="Times New Roman" w:hAnsi="Times New Roman" w:eastAsia="宋体" w:cs="Times New Roman"/>
                      <w:color w:val="000000" w:themeColor="text1"/>
                      <w:sz w:val="21"/>
                      <w:szCs w:val="21"/>
                      <w:lang w:eastAsia="zh-CN"/>
                      <w14:textFill>
                        <w14:solidFill>
                          <w14:schemeClr w14:val="tx1"/>
                        </w14:solidFill>
                      </w14:textFill>
                    </w:rPr>
                    <w:t>）安装密度计计量标准装置一套，该装置主要包含高精度在线密度计、高精度台式密度计。</w:t>
                  </w:r>
                </w:p>
              </w:tc>
              <w:tc>
                <w:tcPr>
                  <w:tcW w:w="399" w:type="pct"/>
                  <w:noWrap/>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noWrap/>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储运工程</w:t>
                  </w:r>
                </w:p>
              </w:tc>
              <w:tc>
                <w:tcPr>
                  <w:tcW w:w="681"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标定试剂</w:t>
                  </w: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市场采购工业成品，储存于储藏室内。</w:t>
                  </w:r>
                </w:p>
              </w:tc>
              <w:tc>
                <w:tcPr>
                  <w:tcW w:w="399" w:type="pct"/>
                  <w:noWrap/>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noWrap/>
                  <w:vAlign w:val="center"/>
                </w:tcPr>
                <w:p>
                  <w:pPr>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公用工程</w:t>
                  </w:r>
                </w:p>
              </w:tc>
              <w:tc>
                <w:tcPr>
                  <w:tcW w:w="681" w:type="pct"/>
                  <w:vMerge w:val="restart"/>
                  <w:noWrap/>
                  <w:vAlign w:val="center"/>
                </w:tcPr>
                <w:p>
                  <w:pPr>
                    <w:pStyle w:val="26"/>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给水</w:t>
                  </w:r>
                </w:p>
              </w:tc>
              <w:tc>
                <w:tcPr>
                  <w:tcW w:w="3478" w:type="pct"/>
                  <w:noWrap/>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本项目用水由市政供水提供，供水管网依托工业园区自来水供水管网，新鲜用水量为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4.84</w:t>
                  </w:r>
                  <w:r>
                    <w:rPr>
                      <w:rFonts w:ascii="Times New Roman" w:hAnsi="Times New Roman" w:eastAsia="宋体" w:cs="Times New Roman"/>
                      <w:color w:val="000000" w:themeColor="text1"/>
                      <w:sz w:val="21"/>
                      <w:szCs w:val="21"/>
                      <w:lang w:eastAsia="zh-CN"/>
                      <w14:textFill>
                        <w14:solidFill>
                          <w14:schemeClr w14:val="tx1"/>
                        </w14:solidFill>
                      </w14:textFill>
                    </w:rPr>
                    <w:t>m³/a，主要为纯水制备用水、水浴用水等</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99" w:type="pct"/>
                  <w:noWrap/>
                  <w:vAlign w:val="center"/>
                </w:tcPr>
                <w:p>
                  <w:pPr>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依托</w:t>
                  </w:r>
                  <w:r>
                    <w:rPr>
                      <w:rFonts w:hint="eastAsia" w:ascii="Times New Roman" w:hAnsi="Times New Roman" w:eastAsia="宋体" w:cs="Times New Roman"/>
                      <w:color w:val="000000" w:themeColor="text1"/>
                      <w:sz w:val="21"/>
                      <w:szCs w:val="21"/>
                      <w:lang w:eastAsia="zh-CN"/>
                      <w14:textFill>
                        <w14:solidFill>
                          <w14:schemeClr w14:val="tx1"/>
                        </w14:solidFill>
                      </w14:textFill>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ign w:val="center"/>
                </w:tcPr>
                <w:p>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681" w:type="pct"/>
                  <w:vMerge w:val="continue"/>
                  <w:noWrap/>
                  <w:vAlign w:val="center"/>
                </w:tcPr>
                <w:p>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3478" w:type="pct"/>
                  <w:noWrap/>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本项目拟购置一套纯水制备装置（</w:t>
                  </w:r>
                  <w:r>
                    <w:rPr>
                      <w:rFonts w:hint="eastAsia" w:ascii="Times New Roman" w:hAnsi="Times New Roman" w:eastAsia="宋体" w:cs="Times New Roman"/>
                      <w:color w:val="000000" w:themeColor="text1"/>
                      <w:sz w:val="21"/>
                      <w:szCs w:val="21"/>
                      <w:lang w:eastAsia="zh-CN"/>
                      <w14:textFill>
                        <w14:solidFill>
                          <w14:schemeClr w14:val="tx1"/>
                        </w14:solidFill>
                      </w14:textFill>
                    </w:rPr>
                    <w:t>双显表</w:t>
                  </w:r>
                  <w:r>
                    <w:rPr>
                      <w:rFonts w:ascii="Times New Roman" w:hAnsi="Times New Roman" w:cs="Times New Roman"/>
                      <w:color w:val="000000" w:themeColor="text1"/>
                      <w:sz w:val="21"/>
                      <w:szCs w:val="21"/>
                      <w:lang w:eastAsia="zh-CN"/>
                      <w14:textFill>
                        <w14:solidFill>
                          <w14:schemeClr w14:val="tx1"/>
                        </w14:solidFill>
                      </w14:textFill>
                    </w:rPr>
                    <w:t>+RO+RO+UP</w:t>
                  </w:r>
                  <w:r>
                    <w:rPr>
                      <w:rFonts w:hint="eastAsia" w:ascii="Times New Roman" w:hAnsi="Times New Roman" w:eastAsia="宋体" w:cs="Times New Roman"/>
                      <w:color w:val="000000" w:themeColor="text1"/>
                      <w:sz w:val="21"/>
                      <w:szCs w:val="21"/>
                      <w:lang w:eastAsia="zh-CN"/>
                      <w14:textFill>
                        <w14:solidFill>
                          <w14:schemeClr w14:val="tx1"/>
                        </w14:solidFill>
                      </w14:textFill>
                    </w:rPr>
                    <w:t>超纯化系统</w:t>
                  </w:r>
                  <w:r>
                    <w:rPr>
                      <w:rFonts w:ascii="Times New Roman" w:hAnsi="Times New Roman" w:eastAsia="宋体" w:cs="Times New Roman"/>
                      <w:color w:val="000000" w:themeColor="text1"/>
                      <w:sz w:val="21"/>
                      <w:szCs w:val="21"/>
                      <w:lang w:eastAsia="zh-CN"/>
                      <w14:textFill>
                        <w14:solidFill>
                          <w14:schemeClr w14:val="tx1"/>
                        </w14:solidFill>
                      </w14:textFill>
                    </w:rPr>
                    <w:t>），纯水制备率70%，纯水制备量0.832m³/a。</w:t>
                  </w:r>
                </w:p>
              </w:tc>
              <w:tc>
                <w:tcPr>
                  <w:tcW w:w="399" w:type="pct"/>
                  <w:noWrap/>
                  <w:vAlign w:val="center"/>
                </w:tcPr>
                <w:p>
                  <w:pPr>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ign w:val="center"/>
                </w:tcPr>
                <w:p>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681" w:type="pct"/>
                  <w:noWrap/>
                  <w:vAlign w:val="center"/>
                </w:tcPr>
                <w:p>
                  <w:pPr>
                    <w:pStyle w:val="26"/>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排水</w:t>
                  </w:r>
                </w:p>
              </w:tc>
              <w:tc>
                <w:tcPr>
                  <w:tcW w:w="3478" w:type="pct"/>
                  <w:noWrap/>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实验室产生的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实验</w:t>
                  </w:r>
                  <w:r>
                    <w:rPr>
                      <w:rFonts w:ascii="Times New Roman" w:hAnsi="Times New Roman" w:eastAsia="宋体" w:cs="Times New Roman"/>
                      <w:color w:val="000000" w:themeColor="text1"/>
                      <w:sz w:val="21"/>
                      <w:szCs w:val="21"/>
                      <w:lang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液作为危废处理</w:t>
                  </w:r>
                  <w:r>
                    <w:rPr>
                      <w:rFonts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制纯水产生的浓水作为清净下水排放至园区化粪池，</w:t>
                  </w:r>
                  <w:r>
                    <w:rPr>
                      <w:rFonts w:ascii="Times New Roman" w:hAnsi="Times New Roman" w:eastAsia="宋体" w:cs="Times New Roman"/>
                      <w:color w:val="000000" w:themeColor="text1"/>
                      <w:sz w:val="21"/>
                      <w:szCs w:val="21"/>
                      <w:lang w:eastAsia="zh-CN"/>
                      <w14:textFill>
                        <w14:solidFill>
                          <w14:schemeClr w14:val="tx1"/>
                        </w14:solidFill>
                      </w14:textFill>
                    </w:rPr>
                    <w:t>雨水经雨水管网排放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99" w:type="pct"/>
                  <w:vMerge w:val="restart"/>
                  <w:noWrap/>
                  <w:vAlign w:val="center"/>
                </w:tcPr>
                <w:p>
                  <w:pPr>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依托</w:t>
                  </w:r>
                  <w:r>
                    <w:rPr>
                      <w:rFonts w:hint="eastAsia" w:ascii="Times New Roman" w:hAnsi="Times New Roman" w:eastAsia="宋体" w:cs="Times New Roman"/>
                      <w:color w:val="000000" w:themeColor="text1"/>
                      <w:sz w:val="21"/>
                      <w:szCs w:val="21"/>
                      <w:lang w:eastAsia="zh-CN"/>
                      <w14:textFill>
                        <w14:solidFill>
                          <w14:schemeClr w14:val="tx1"/>
                        </w14:solidFill>
                      </w14:textFill>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ign w:val="center"/>
                </w:tcPr>
                <w:p>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681" w:type="pct"/>
                  <w:noWrap/>
                  <w:vAlign w:val="center"/>
                </w:tcPr>
                <w:p>
                  <w:pPr>
                    <w:pStyle w:val="26"/>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供电</w:t>
                  </w:r>
                </w:p>
              </w:tc>
              <w:tc>
                <w:tcPr>
                  <w:tcW w:w="3478" w:type="pct"/>
                  <w:noWrap/>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本项目供电由工业园变电所供给。</w:t>
                  </w:r>
                </w:p>
              </w:tc>
              <w:tc>
                <w:tcPr>
                  <w:tcW w:w="399" w:type="pct"/>
                  <w:vMerge w:val="continue"/>
                  <w:noWrap/>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ign w:val="center"/>
                </w:tcPr>
                <w:p>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681" w:type="pct"/>
                  <w:noWrap/>
                  <w:vAlign w:val="center"/>
                </w:tcPr>
                <w:p>
                  <w:pPr>
                    <w:pStyle w:val="26"/>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供暖/供冷</w:t>
                  </w:r>
                </w:p>
              </w:tc>
              <w:tc>
                <w:tcPr>
                  <w:tcW w:w="3478" w:type="pct"/>
                  <w:noWrap/>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采用空调满足制冷与取暖需求。</w:t>
                  </w:r>
                </w:p>
              </w:tc>
              <w:tc>
                <w:tcPr>
                  <w:tcW w:w="399" w:type="pct"/>
                  <w:noWrap/>
                  <w:vAlign w:val="center"/>
                </w:tcPr>
                <w:p>
                  <w:pPr>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9" w:type="pct"/>
                  <w:vMerge w:val="restart"/>
                  <w:noWrap/>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环保工程</w:t>
                  </w:r>
                </w:p>
              </w:tc>
              <w:tc>
                <w:tcPr>
                  <w:tcW w:w="681" w:type="pct"/>
                  <w:noWrap/>
                  <w:vAlign w:val="center"/>
                </w:tcPr>
                <w:p>
                  <w:pPr>
                    <w:pStyle w:val="2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废气</w:t>
                  </w: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项目运营期实验中产生极少量非甲烷总烃，经实验室排气扇排放。</w:t>
                  </w:r>
                </w:p>
              </w:tc>
              <w:tc>
                <w:tcPr>
                  <w:tcW w:w="399" w:type="pct"/>
                  <w:noWrap/>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9" w:type="pct"/>
                  <w:vMerge w:val="continue"/>
                  <w:noWrap/>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81" w:type="pct"/>
                  <w:noWrap/>
                  <w:vAlign w:val="center"/>
                </w:tcPr>
                <w:p>
                  <w:pPr>
                    <w:pStyle w:val="2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废水</w:t>
                  </w: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实验产生的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实验废液全部</w:t>
                  </w:r>
                  <w:r>
                    <w:rPr>
                      <w:rFonts w:hint="eastAsia" w:ascii="Times New Roman" w:hAnsi="Times New Roman" w:eastAsia="宋体" w:cs="Times New Roman"/>
                      <w:color w:val="000000" w:themeColor="text1"/>
                      <w:sz w:val="21"/>
                      <w:szCs w:val="21"/>
                      <w:lang w:eastAsia="zh-CN"/>
                      <w14:textFill>
                        <w14:solidFill>
                          <w14:schemeClr w14:val="tx1"/>
                        </w14:solidFill>
                      </w14:textFill>
                    </w:rPr>
                    <w:t>收集于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危废桶后暂存于</w:t>
                  </w:r>
                  <w:r>
                    <w:rPr>
                      <w:rFonts w:hint="eastAsia" w:ascii="Times New Roman" w:hAnsi="Times New Roman" w:eastAsia="宋体" w:cs="Times New Roman"/>
                      <w:color w:val="000000" w:themeColor="text1"/>
                      <w:sz w:val="21"/>
                      <w:szCs w:val="21"/>
                      <w:lang w:eastAsia="zh-CN"/>
                      <w14:textFill>
                        <w14:solidFill>
                          <w14:schemeClr w14:val="tx1"/>
                        </w14:solidFill>
                      </w14:textFill>
                    </w:rPr>
                    <w:t>危废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ascii="Times New Roman" w:hAnsi="Times New Roman" w:eastAsia="宋体" w:cs="Times New Roman"/>
                      <w:color w:val="000000" w:themeColor="text1"/>
                      <w:sz w:val="21"/>
                      <w:szCs w:val="21"/>
                      <w:lang w:eastAsia="zh-CN"/>
                      <w14:textFill>
                        <w14:solidFill>
                          <w14:schemeClr w14:val="tx1"/>
                        </w14:solidFill>
                      </w14:textFill>
                    </w:rPr>
                    <w:t>定期交由</w:t>
                  </w:r>
                  <w:r>
                    <w:rPr>
                      <w:rFonts w:hint="eastAsia" w:ascii="Times New Roman" w:hAnsi="Times New Roman" w:eastAsia="宋体" w:cs="Times New Roman"/>
                      <w:color w:val="000000" w:themeColor="text1"/>
                      <w:sz w:val="21"/>
                      <w:szCs w:val="21"/>
                      <w:lang w:eastAsia="zh-CN"/>
                      <w14:textFill>
                        <w14:solidFill>
                          <w14:schemeClr w14:val="tx1"/>
                        </w14:solidFill>
                      </w14:textFill>
                    </w:rPr>
                    <w:t>第三方有资质单位</w:t>
                  </w:r>
                  <w:r>
                    <w:rPr>
                      <w:rFonts w:ascii="Times New Roman" w:hAnsi="Times New Roman" w:eastAsia="宋体" w:cs="Times New Roman"/>
                      <w:color w:val="000000" w:themeColor="text1"/>
                      <w:sz w:val="21"/>
                      <w:szCs w:val="21"/>
                      <w:lang w:eastAsia="zh-CN"/>
                      <w14:textFill>
                        <w14:solidFill>
                          <w14:schemeClr w14:val="tx1"/>
                        </w14:solidFill>
                      </w14:textFill>
                    </w:rPr>
                    <w:t>进行处置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制纯水产生的浓水作为清净下水排放至园区化粪池</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99" w:type="pct"/>
                  <w:noWrap/>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9" w:type="pct"/>
                  <w:vMerge w:val="continue"/>
                  <w:noWrap/>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81" w:type="pct"/>
                  <w:noWrap/>
                  <w:vAlign w:val="center"/>
                </w:tcPr>
                <w:p>
                  <w:pPr>
                    <w:pStyle w:val="2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噪声</w:t>
                  </w: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选用低噪声实验仪器，全部安装在室内。</w:t>
                  </w:r>
                </w:p>
              </w:tc>
              <w:tc>
                <w:tcPr>
                  <w:tcW w:w="399" w:type="pct"/>
                  <w:noWrap/>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9" w:type="pct"/>
                  <w:vMerge w:val="continue"/>
                  <w:noWrap/>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1" w:type="pct"/>
                  <w:vMerge w:val="restart"/>
                  <w:noWrap/>
                  <w:vAlign w:val="center"/>
                </w:tcPr>
                <w:p>
                  <w:pPr>
                    <w:pStyle w:val="2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固废</w:t>
                  </w: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生活垃圾分类收集到垃圾回收站，由园区定期交由环卫部门处置；一般固废集中收集，定期外售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99" w:type="pct"/>
                  <w:noWrap/>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9" w:type="pct"/>
                  <w:vMerge w:val="continue"/>
                  <w:noWrap/>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1" w:type="pct"/>
                  <w:vMerge w:val="continue"/>
                  <w:noWrap/>
                  <w:vAlign w:val="center"/>
                </w:tcPr>
                <w:p>
                  <w:pPr>
                    <w:pStyle w:val="26"/>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478" w:type="pct"/>
                  <w:noWrap/>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危险废物暂存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危废暂存间</w:t>
                  </w:r>
                  <w:r>
                    <w:rPr>
                      <w:rFonts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占地3㎡，位于实验室内西北角，</w:t>
                  </w:r>
                  <w:r>
                    <w:rPr>
                      <w:rFonts w:hint="eastAsia" w:ascii="Times New Roman" w:hAnsi="Times New Roman" w:eastAsia="宋体" w:cs="Times New Roman"/>
                      <w:color w:val="000000" w:themeColor="text1"/>
                      <w:sz w:val="21"/>
                      <w:szCs w:val="21"/>
                      <w:lang w:eastAsia="zh-CN"/>
                      <w14:textFill>
                        <w14:solidFill>
                          <w14:schemeClr w14:val="tx1"/>
                        </w14:solidFill>
                      </w14:textFill>
                    </w:rPr>
                    <w:t>分类存放，收集后</w:t>
                  </w:r>
                  <w:r>
                    <w:rPr>
                      <w:rFonts w:ascii="Times New Roman" w:hAnsi="Times New Roman" w:eastAsia="宋体" w:cs="Times New Roman"/>
                      <w:color w:val="000000" w:themeColor="text1"/>
                      <w:sz w:val="21"/>
                      <w:szCs w:val="21"/>
                      <w:lang w:eastAsia="zh-CN"/>
                      <w14:textFill>
                        <w14:solidFill>
                          <w14:schemeClr w14:val="tx1"/>
                        </w14:solidFill>
                      </w14:textFill>
                    </w:rPr>
                    <w:t>定期交由</w:t>
                  </w:r>
                  <w:r>
                    <w:rPr>
                      <w:rFonts w:hint="eastAsia" w:ascii="Times New Roman" w:hAnsi="Times New Roman" w:eastAsia="宋体" w:cs="Times New Roman"/>
                      <w:color w:val="000000" w:themeColor="text1"/>
                      <w:sz w:val="21"/>
                      <w:szCs w:val="21"/>
                      <w:lang w:eastAsia="zh-CN"/>
                      <w14:textFill>
                        <w14:solidFill>
                          <w14:schemeClr w14:val="tx1"/>
                        </w14:solidFill>
                      </w14:textFill>
                    </w:rPr>
                    <w:t>第三方有资质单位</w:t>
                  </w:r>
                  <w:r>
                    <w:rPr>
                      <w:rFonts w:ascii="Times New Roman" w:hAnsi="Times New Roman" w:eastAsia="宋体" w:cs="Times New Roman"/>
                      <w:color w:val="000000" w:themeColor="text1"/>
                      <w:sz w:val="21"/>
                      <w:szCs w:val="21"/>
                      <w:lang w:eastAsia="zh-CN"/>
                      <w14:textFill>
                        <w14:solidFill>
                          <w14:schemeClr w14:val="tx1"/>
                        </w14:solidFill>
                      </w14:textFill>
                    </w:rPr>
                    <w:t>进行处置</w:t>
                  </w:r>
                  <w:r>
                    <w:rPr>
                      <w:rFonts w:hint="eastAsia" w:ascii="Times New Roman" w:hAnsi="Times New Roman" w:eastAsia="宋体" w:cs="Times New Roman"/>
                      <w:color w:val="000000" w:themeColor="text1"/>
                      <w:sz w:val="21"/>
                      <w:szCs w:val="21"/>
                      <w:lang w:eastAsia="zh-CN"/>
                      <w14:textFill>
                        <w14:solidFill>
                          <w14:schemeClr w14:val="tx1"/>
                        </w14:solidFill>
                      </w14:textFill>
                    </w:rPr>
                    <w:t>。危废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暂存间</w:t>
                  </w:r>
                  <w:r>
                    <w:rPr>
                      <w:rFonts w:hint="eastAsia" w:ascii="Times New Roman" w:hAnsi="Times New Roman" w:eastAsia="宋体" w:cs="Times New Roman"/>
                      <w:color w:val="000000" w:themeColor="text1"/>
                      <w:sz w:val="21"/>
                      <w:szCs w:val="21"/>
                      <w:lang w:eastAsia="zh-CN"/>
                      <w14:textFill>
                        <w14:solidFill>
                          <w14:schemeClr w14:val="tx1"/>
                        </w14:solidFill>
                      </w14:textFill>
                    </w:rPr>
                    <w:t>属于重点防渗区，等效黏土防渗层</w:t>
                  </w:r>
                  <w:r>
                    <w:rPr>
                      <w:rFonts w:ascii="Times New Roman" w:hAnsi="Times New Roman" w:eastAsia="宋体" w:cs="Times New Roman"/>
                      <w:color w:val="000000" w:themeColor="text1"/>
                      <w:sz w:val="21"/>
                      <w:szCs w:val="21"/>
                      <w:lang w:eastAsia="zh-CN"/>
                      <w14:textFill>
                        <w14:solidFill>
                          <w14:schemeClr w14:val="tx1"/>
                        </w14:solidFill>
                      </w14:textFill>
                    </w:rPr>
                    <w:t xml:space="preserve"> Mb≥6.0m</w:t>
                  </w:r>
                  <w:r>
                    <w:rPr>
                      <w:rFonts w:hint="eastAsia" w:ascii="Times New Roman" w:hAnsi="Times New Roman" w:eastAsia="宋体" w:cs="Times New Roman"/>
                      <w:color w:val="000000" w:themeColor="text1"/>
                      <w:sz w:val="21"/>
                      <w:szCs w:val="21"/>
                      <w:lang w:eastAsia="zh-CN"/>
                      <w14:textFill>
                        <w14:solidFill>
                          <w14:schemeClr w14:val="tx1"/>
                        </w14:solidFill>
                      </w14:textFill>
                    </w:rPr>
                    <w:t>，渗透系数</w:t>
                  </w:r>
                  <w:r>
                    <w:rPr>
                      <w:rFonts w:ascii="Times New Roman" w:hAnsi="Times New Roman" w:eastAsia="宋体" w:cs="Times New Roman"/>
                      <w:color w:val="000000" w:themeColor="text1"/>
                      <w:sz w:val="21"/>
                      <w:szCs w:val="21"/>
                      <w:lang w:eastAsia="zh-CN"/>
                      <w14:textFill>
                        <w14:solidFill>
                          <w14:schemeClr w14:val="tx1"/>
                        </w14:solidFill>
                      </w14:textFill>
                    </w:rPr>
                    <w:t xml:space="preserve"> K≤1×10 </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-10</w:t>
                  </w:r>
                  <w:r>
                    <w:rPr>
                      <w:rFonts w:ascii="Times New Roman" w:hAnsi="Times New Roman" w:eastAsia="宋体" w:cs="Times New Roman"/>
                      <w:color w:val="000000" w:themeColor="text1"/>
                      <w:sz w:val="21"/>
                      <w:szCs w:val="21"/>
                      <w:lang w:eastAsia="zh-CN"/>
                      <w14:textFill>
                        <w14:solidFill>
                          <w14:schemeClr w14:val="tx1"/>
                        </w14:solidFill>
                      </w14:textFill>
                    </w:rPr>
                    <w:t>cm/s</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99" w:type="pct"/>
                  <w:noWrap/>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21" w:type="pct"/>
                  <w:gridSpan w:val="2"/>
                  <w:noWrap/>
                  <w:vAlign w:val="center"/>
                </w:tcPr>
                <w:p>
                  <w:pPr>
                    <w:pStyle w:val="2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风险防范</w:t>
                  </w:r>
                </w:p>
              </w:tc>
              <w:tc>
                <w:tcPr>
                  <w:tcW w:w="3478" w:type="pct"/>
                  <w:noWrap/>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化学试剂应分类分区存放，实验室设通风设施保持阴凉干燥，地面硬化防渗。危废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暂存间</w:t>
                  </w:r>
                  <w:r>
                    <w:rPr>
                      <w:rFonts w:hint="eastAsia" w:ascii="Times New Roman" w:hAnsi="Times New Roman" w:eastAsia="宋体" w:cs="Times New Roman"/>
                      <w:color w:val="000000" w:themeColor="text1"/>
                      <w:sz w:val="21"/>
                      <w:szCs w:val="21"/>
                      <w:lang w:eastAsia="zh-CN"/>
                      <w14:textFill>
                        <w14:solidFill>
                          <w14:schemeClr w14:val="tx1"/>
                        </w14:solidFill>
                      </w14:textFill>
                    </w:rPr>
                    <w:t>的危险废物应分类存放，加强通风，液体危险废物应设置托盘，防止废液泄露，地面需按要求进行防腐、防渗漏。</w:t>
                  </w:r>
                </w:p>
              </w:tc>
              <w:tc>
                <w:tcPr>
                  <w:tcW w:w="399" w:type="pct"/>
                  <w:noWrap/>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3、产品方案</w:t>
            </w:r>
          </w:p>
          <w:p>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通过密度计检定装置安装，实现压裂用密度计的周期性检定，提升压裂施工精细化程度。检定密度范围（900～1800）kg/m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，相当于砂浓度（0～1907）kg/m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4、主要原辅材料</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本项目所需的主要原辅材料见下表。</w:t>
            </w:r>
          </w:p>
          <w:p>
            <w:pPr>
              <w:spacing w:line="360" w:lineRule="auto"/>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表2-2  本项目原辅材料明细表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686"/>
              <w:gridCol w:w="2477"/>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634" w:type="pct"/>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507" w:type="pct"/>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年用量</w:t>
                  </w:r>
                </w:p>
              </w:tc>
              <w:tc>
                <w:tcPr>
                  <w:tcW w:w="1076" w:type="pct"/>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634"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钨酸盐溶液</w:t>
                  </w:r>
                </w:p>
              </w:tc>
              <w:tc>
                <w:tcPr>
                  <w:tcW w:w="1507"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80L</w:t>
                  </w:r>
                </w:p>
              </w:tc>
              <w:tc>
                <w:tcPr>
                  <w:tcW w:w="1076"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634"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氟油</w:t>
                  </w:r>
                </w:p>
              </w:tc>
              <w:tc>
                <w:tcPr>
                  <w:tcW w:w="1507"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80L</w:t>
                  </w:r>
                </w:p>
              </w:tc>
              <w:tc>
                <w:tcPr>
                  <w:tcW w:w="1076"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634"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60%乙醇</w:t>
                  </w:r>
                </w:p>
              </w:tc>
              <w:tc>
                <w:tcPr>
                  <w:tcW w:w="1507"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80L</w:t>
                  </w:r>
                </w:p>
              </w:tc>
              <w:tc>
                <w:tcPr>
                  <w:tcW w:w="1076" w:type="pct"/>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bl>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主要原辅料理化性质：</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（1）钨酸盐：</w:t>
            </w:r>
            <w:r>
              <w:rPr>
                <w:rFonts w:hint="eastAsia" w:ascii="Times New Roman" w:hAnsi="Times New Roman" w:eastAsia="宋体" w:cs="Times New Roman"/>
                <w:color w:val="000000" w:themeColor="text1"/>
                <w:sz w:val="24"/>
                <w:szCs w:val="24"/>
                <w:lang w:eastAsia="zh-CN"/>
                <w14:textFill>
                  <w14:solidFill>
                    <w14:schemeClr w14:val="tx1"/>
                  </w14:solidFill>
                </w14:textFill>
              </w:rPr>
              <w:t>钨酸盐是阴离子含钨酸根或聚钨酸根的盐。</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"https://baike.baidu.com/item/%E9%93%B5%E6%A0%B9%E7%A6%BB%E5%AD%90/6236777"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铵根离子</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"https://baike.baidu.com/item/%E7%A2%B1%E9%87%91%E5%B1%9E/1770405"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碱金属</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"https://baike.baidu.com/item/%E7%A2%B1%E5%9C%9F%E9%87%91%E5%B1%9E/1690271"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碱土金属</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及很多</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"https://baike.baidu.com/item/%E9%87%8D%E9%87%91%E5%B1%9E/22099"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重金属</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阳离子都能形成钨酸盐。</w:t>
            </w:r>
            <w:r>
              <w:rPr>
                <w:rFonts w:hint="eastAsia" w:ascii="Times New Roman" w:hAnsi="Times New Roman" w:eastAsia="宋体" w:cs="Times New Roman"/>
                <w:color w:val="000000" w:themeColor="text1"/>
                <w:sz w:val="24"/>
                <w:szCs w:val="24"/>
                <w:lang w:eastAsia="zh-CN"/>
                <w14:textFill>
                  <w14:solidFill>
                    <w14:schemeClr w14:val="tx1"/>
                  </w14:solidFill>
                </w14:textFill>
              </w:rPr>
              <w:t>钨酸盐中有些以</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"https://baike.baidu.com/item/%E6%B0%B4%E5%90%88%E7%89%A9"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水合物</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的形式存在，溶液呈强</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"https://baike.baidu.com/item/%E7%A2%B1%E6%80%A7"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碱性</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；有些为难溶性。钨酸盐中除碱金属、</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"https://baike.baidu.com/item/%E9%93%B5"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铵</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和</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HYPERLINK "https://baike.baidu.com/item/%E9%95%81" \t "https://baike.baidu.com/item/%E9%92%A8%E9%85%B8%E7%9B%90/_blank"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镁</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盐外，大部分不溶于水。钨酸盐的晶体中含有WO</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4</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四面体结构的离子，在水溶液中缓慢水解聚合，在微酸性溶液中则很快聚合成同多酸盐。</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（2）氟油：氟油是无色、无味、绝缘的液体，并且有异常稳定的特性，有异常稳定的物理和化学性质，且不能够点燃，在10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以下它们在与浓硝酸、浓硫酸、浓盐酸、王水、铬酸洗液、氢氧化钠的水溶液、氟化氢、氯化氢等接触时不发生化学反应。</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（3）乙醇：分子式C</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O，CAS号64-17-5，外观和性质是无色液体、有酒香，相对密度（空气=1）为1.59，相对密度（水=1）为0.79g/cm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，易溶于水、醚、氯仿、甘油等多数有机溶剂。属于易燃易挥发，燃烧分解产物为水、二氧化碳。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主要设备</w:t>
            </w:r>
          </w:p>
          <w:p>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项目主要实验仪器</w:t>
            </w:r>
            <w:r>
              <w:rPr>
                <w:rFonts w:hint="default" w:ascii="Times New Roman" w:hAnsi="Times New Roman" w:eastAsia="宋体" w:cs="Times New Roman"/>
                <w:color w:val="000000" w:themeColor="text1"/>
                <w:sz w:val="24"/>
                <w:szCs w:val="24"/>
                <w:lang w:eastAsia="zh-CN"/>
                <w14:textFill>
                  <w14:solidFill>
                    <w14:schemeClr w14:val="tx1"/>
                  </w14:solidFill>
                </w14:textFill>
              </w:rPr>
              <w:t>见下表所示。</w:t>
            </w:r>
          </w:p>
          <w:p>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3 </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实验仪器</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一览表</w:t>
            </w:r>
          </w:p>
          <w:tbl>
            <w:tblPr>
              <w:tblStyle w:val="20"/>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80"/>
              <w:gridCol w:w="1245"/>
              <w:gridCol w:w="4035"/>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40" w:type="dxa"/>
                  <w:shd w:val="clear" w:color="auto" w:fill="auto"/>
                  <w:noWrap/>
                  <w:vAlign w:val="center"/>
                </w:tcPr>
                <w:p>
                  <w:pPr>
                    <w:adjustRightInd w:val="0"/>
                    <w:snapToGrid w:val="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080" w:type="dxa"/>
                  <w:shd w:val="clear" w:color="auto" w:fill="auto"/>
                  <w:noWrap/>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装置</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245" w:type="dxa"/>
                  <w:shd w:val="clear" w:color="auto" w:fill="auto"/>
                  <w:noWrap/>
                  <w:vAlign w:val="center"/>
                </w:tcPr>
                <w:p>
                  <w:pPr>
                    <w:adjustRightInd w:val="0"/>
                    <w:snapToGrid w:val="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包含设备</w:t>
                  </w:r>
                </w:p>
              </w:tc>
              <w:tc>
                <w:tcPr>
                  <w:tcW w:w="4035" w:type="dxa"/>
                  <w:shd w:val="clear" w:color="auto" w:fill="auto"/>
                  <w:noWrap/>
                  <w:vAlign w:val="center"/>
                </w:tcPr>
                <w:p>
                  <w:pPr>
                    <w:adjustRightInd w:val="0"/>
                    <w:snapToGrid w:val="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技术参数</w:t>
                  </w:r>
                </w:p>
              </w:tc>
              <w:tc>
                <w:tcPr>
                  <w:tcW w:w="1240" w:type="dxa"/>
                  <w:shd w:val="clear" w:color="auto" w:fill="auto"/>
                  <w:noWrap/>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restart"/>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80" w:type="dxa"/>
                  <w:vMerge w:val="restart"/>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密度计计量标准装置</w:t>
                  </w: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1-1恒温水浴</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控温范围：10～70℃、控制精度：±0.01℃、分辨率：0.01℃、内部空间：80L、具有远程通信控制；带RS485通信、升温速度：不小于20℃/h；降温时间：（+100℃→+10℃），不小于10℃/h，更换水方便。</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定制产品，无型号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1-2恒温控温箱</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控温范围10～100℃，温度均匀度：≤2.0℃、温度波动度：±0.5℃、温度偏差：≤±2.0℃、温度分辨率：0.01℃、升温时间（空载）：（+10℃→+100℃），不小于20℃/h，降温时间（空载）：（+100℃→+10℃），不小于10℃/h。</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定制产品，无型号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1-3温度传感器</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测量范围：0-100℃；测量精度：±0.01℃，分辨精度：0.001℃。</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1-4压力传感器</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高精度传感器：测量范围0-7MPa，Kelle33X系列，精度等级0.01；RS485通信。</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1-5内窥镜</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四向转动，100万像素；6mm探头；线长1m</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定制产品，无型号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1-6精密恒压泵</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压力范围0-5Mpa；注入流量0.3-300mL/min；容积1L</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高压气泵活塞式空气压缩机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1-7工业泵</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工业泵4个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吹扫空气压缩机</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容积180L；无油空压机；最大输出压力1Mpa</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定制产品，无型号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vMerge w:val="continue"/>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电气连接系统、测控系统、采集电脑（工控机）</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32通道开关卡、通信卡、系统供电柜，测控系统机箱，电脑操作台，地沟电气桥架，通信以及供电电气接头和电缆</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8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高精度在线密度计</w:t>
                  </w: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高精度在线密度计</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管道安装式在线密度计CDM100-P，准确度±0.2kg/m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，测量范围0-3g/cm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；RS485通信；配套高精度电源模块</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CDM100P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8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高精度台式密度计</w:t>
                  </w:r>
                </w:p>
              </w:tc>
              <w:tc>
                <w:tcPr>
                  <w:tcW w:w="124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高精度台式密度计</w:t>
                  </w:r>
                </w:p>
              </w:tc>
              <w:tc>
                <w:tcPr>
                  <w:tcW w:w="4035" w:type="dxa"/>
                  <w:shd w:val="clear" w:color="auto" w:fill="auto"/>
                  <w:noWrap/>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测量范围：密度：0-3g/cm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、压力：0-10bar(0至145psi)</w:t>
                  </w:r>
                </w:p>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测量温度：温度：0-100℃（32℉-210℉）、温度分辨率：0.01℃</w:t>
                  </w:r>
                </w:p>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准确度（全量程范围内）：密度：0.000005g/cm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（全量程），温度：0.01℃/0.02°F</w:t>
                  </w:r>
                </w:p>
                <w:p>
                  <w:pPr>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重复性（全量程范围内）：密度：0.000001g/cm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、温度：0.001℃(0.02°F)。</w:t>
                  </w:r>
                </w:p>
              </w:tc>
              <w:tc>
                <w:tcPr>
                  <w:tcW w:w="1240" w:type="dxa"/>
                  <w:shd w:val="clear" w:color="auto" w:fill="auto"/>
                  <w:noWrap/>
                  <w:vAlign w:val="center"/>
                </w:tcPr>
                <w:p>
                  <w:pPr>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5001</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bookmarkStart w:id="2" w:name="_Toc25599519"/>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6、生产制度及劳动定员</w:t>
            </w:r>
            <w:bookmarkEnd w:id="2"/>
          </w:p>
          <w:p>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项目年运行260天，每天8小时，密度计量检定实验室劳动定员5人，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5人均从园区内原仪器仪表实验项目组调派，所以本次不新增劳动定员</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7、平面布置分析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本项目位于西咸新区秦汉新城朝阳四路长庆井下工业园内压裂所101室，总建筑面积90m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整个实验室长12m，宽7.5m。建设单位根据实验室功能分区进行了合理布局，在线密度检定系统位于实验室西侧，台式密度计检定系统位于实验室南侧，北侧为检定前清洗、内部检查区域，东侧为已检区。该布置方案功能分区明确，总平面布置合理。</w:t>
            </w:r>
            <w:r>
              <w:rPr>
                <w:rFonts w:hint="eastAsia" w:ascii="Times New Roman" w:hAnsi="Times New Roman" w:eastAsia="宋体" w:cs="Times New Roman"/>
                <w:color w:val="000000" w:themeColor="text1"/>
                <w:sz w:val="24"/>
                <w:lang w:eastAsia="zh-CN"/>
                <w14:textFill>
                  <w14:solidFill>
                    <w14:schemeClr w14:val="tx1"/>
                  </w14:solidFill>
                </w14:textFill>
              </w:rPr>
              <w:t>压裂所一楼平面布局示意图详见附图</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项目总平面布置图详见附图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8、公用工程</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（1）给水</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本项目用水主要为实验前清洗用水、纯水制备用水、水浴用水、实验器皿清洗用水、实验装置管路冲洗用水和生活用水。</w:t>
            </w:r>
          </w:p>
          <w:p>
            <w:pPr>
              <w:widowControl/>
              <w:spacing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①实验前清洗用水：实验前需对密度计进行清洁</w:t>
            </w:r>
            <w:r>
              <w:rPr>
                <w:rFonts w:ascii="Times New Roman" w:hAnsi="Times New Roman" w:eastAsia="宋体" w:cs="Times New Roman"/>
                <w:color w:val="000000" w:themeColor="text1"/>
                <w:sz w:val="24"/>
                <w:szCs w:val="24"/>
                <w:lang w:eastAsia="zh-CN"/>
                <w14:textFill>
                  <w14:solidFill>
                    <w14:schemeClr w14:val="tx1"/>
                  </w14:solidFill>
                </w14:textFill>
              </w:rPr>
              <w:t>，根据建设单位</w:t>
            </w:r>
            <w:r>
              <w:rPr>
                <w:rFonts w:hint="eastAsia" w:ascii="Times New Roman" w:hAnsi="Times New Roman" w:eastAsia="宋体" w:cs="Times New Roman"/>
                <w:color w:val="000000" w:themeColor="text1"/>
                <w:sz w:val="24"/>
                <w:szCs w:val="24"/>
                <w:lang w:eastAsia="zh-CN"/>
                <w14:textFill>
                  <w14:solidFill>
                    <w14:schemeClr w14:val="tx1"/>
                  </w14:solidFill>
                </w14:textFill>
              </w:rPr>
              <w:t>提供资料</w:t>
            </w:r>
            <w:r>
              <w:rPr>
                <w:rFonts w:ascii="Times New Roman" w:hAnsi="Times New Roman" w:eastAsia="宋体" w:cs="Times New Roman"/>
                <w:color w:val="000000" w:themeColor="text1"/>
                <w:sz w:val="24"/>
                <w:szCs w:val="24"/>
                <w:lang w:eastAsia="zh-CN"/>
                <w14:textFill>
                  <w14:solidFill>
                    <w14:schemeClr w14:val="tx1"/>
                  </w14:solidFill>
                </w14:textFill>
              </w:rPr>
              <w:t>，用水量为0.00</w:t>
            </w:r>
            <w:r>
              <w:rPr>
                <w:rFonts w:hint="eastAsia" w:ascii="Times New Roman" w:hAnsi="Times New Roman" w:eastAsia="宋体" w:cs="Times New Roman"/>
                <w:color w:val="000000" w:themeColor="text1"/>
                <w:sz w:val="24"/>
                <w:szCs w:val="24"/>
                <w:lang w:eastAsia="zh-CN"/>
                <w14:textFill>
                  <w14:solidFill>
                    <w14:schemeClr w14:val="tx1"/>
                  </w14:solidFill>
                </w14:textFill>
              </w:rPr>
              <w:t>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1.04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idowControl/>
              <w:spacing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②纯水制备用水：</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本项目配套有</w:t>
            </w:r>
            <w:r>
              <w:rPr>
                <w:rFonts w:ascii="Times New Roman" w:hAnsi="Times New Roman" w:eastAsia="宋体" w:cs="Times New Roman"/>
                <w:color w:val="000000" w:themeColor="text1"/>
                <w:sz w:val="24"/>
                <w:szCs w:val="24"/>
                <w:lang w:eastAsia="zh-CN" w:bidi="ar"/>
                <w14:textFill>
                  <w14:solidFill>
                    <w14:schemeClr w14:val="tx1"/>
                  </w14:solidFill>
                </w14:textFill>
              </w:rPr>
              <w:t>1</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套纯水制备装置，采用“双显表</w:t>
            </w:r>
            <w:r>
              <w:rPr>
                <w:rFonts w:ascii="Times New Roman" w:hAnsi="Times New Roman" w:eastAsia="宋体" w:cs="Times New Roman"/>
                <w:color w:val="000000" w:themeColor="text1"/>
                <w:sz w:val="24"/>
                <w:szCs w:val="24"/>
                <w:lang w:eastAsia="zh-CN" w:bidi="ar"/>
                <w14:textFill>
                  <w14:solidFill>
                    <w14:schemeClr w14:val="tx1"/>
                  </w14:solidFill>
                </w14:textFill>
              </w:rPr>
              <w:t>+RO+RO+UP超纯化系统</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”工艺，制纯水效率为</w:t>
            </w:r>
            <w:r>
              <w:rPr>
                <w:rFonts w:hint="eastAsia" w:ascii="Times New Roman" w:hAnsi="Times New Roman" w:eastAsia="宋体" w:cs="Times New Roman"/>
                <w:color w:val="000000" w:themeColor="text1"/>
                <w:sz w:val="24"/>
                <w:szCs w:val="24"/>
                <w:lang w:eastAsia="zh-CN"/>
                <w14:textFill>
                  <w14:solidFill>
                    <w14:schemeClr w14:val="tx1"/>
                  </w14:solidFill>
                </w14:textFill>
              </w:rPr>
              <w:t>70%。</w:t>
            </w:r>
          </w:p>
          <w:p>
            <w:pPr>
              <w:widowControl/>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bidi="ar"/>
                <w14:textFill>
                  <w14:solidFill>
                    <w14:schemeClr w14:val="tx1"/>
                  </w14:solidFill>
                </w14:textFill>
              </w:rPr>
              <w:t>制备的纯水主要用于实</w:t>
            </w:r>
            <w:r>
              <w:rPr>
                <w:rFonts w:hint="eastAsia" w:ascii="Times New Roman" w:hAnsi="Times New Roman" w:cs="Times New Roman"/>
                <w:color w:val="000000" w:themeColor="text1"/>
                <w:sz w:val="24"/>
                <w:szCs w:val="24"/>
                <w:lang w:eastAsia="zh-CN"/>
                <w14:textFill>
                  <w14:solidFill>
                    <w14:schemeClr w14:val="tx1"/>
                  </w14:solidFill>
                </w14:textFill>
              </w:rPr>
              <w:t>验前被</w:t>
            </w:r>
            <w:r>
              <w:rPr>
                <w:rFonts w:hint="eastAsia" w:ascii="Times New Roman" w:hAnsi="Times New Roman" w:eastAsia="宋体" w:cs="Times New Roman"/>
                <w:color w:val="000000" w:themeColor="text1"/>
                <w:sz w:val="24"/>
                <w:szCs w:val="24"/>
                <w:lang w:eastAsia="zh-CN"/>
                <w14:textFill>
                  <w14:solidFill>
                    <w14:schemeClr w14:val="tx1"/>
                  </w14:solidFill>
                </w14:textFill>
              </w:rPr>
              <w:t>检</w:t>
            </w:r>
            <w:r>
              <w:rPr>
                <w:rFonts w:hint="eastAsia" w:ascii="Times New Roman" w:hAnsi="Times New Roman" w:cs="Times New Roman"/>
                <w:color w:val="000000" w:themeColor="text1"/>
                <w:sz w:val="24"/>
                <w:szCs w:val="24"/>
                <w:lang w:eastAsia="zh-CN"/>
                <w14:textFill>
                  <w14:solidFill>
                    <w14:schemeClr w14:val="tx1"/>
                  </w14:solidFill>
                </w14:textFill>
              </w:rPr>
              <w:t>定密度计润洗用水</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、实验过程中需要使用密度标定液的配制、实验前器皿润洗用水以及实验前实验设备润洗用水，</w:t>
            </w:r>
            <w:r>
              <w:rPr>
                <w:rFonts w:ascii="Times New Roman" w:hAnsi="Times New Roman" w:eastAsia="宋体" w:cs="Times New Roman"/>
                <w:color w:val="000000" w:themeColor="text1"/>
                <w:sz w:val="24"/>
                <w:szCs w:val="24"/>
                <w:lang w:eastAsia="zh-CN"/>
                <w14:textFill>
                  <w14:solidFill>
                    <w14:schemeClr w14:val="tx1"/>
                  </w14:solidFill>
                </w14:textFill>
              </w:rPr>
              <w:t>根据建设单位</w:t>
            </w:r>
            <w:r>
              <w:rPr>
                <w:rFonts w:hint="eastAsia" w:ascii="Times New Roman" w:hAnsi="Times New Roman" w:eastAsia="宋体" w:cs="Times New Roman"/>
                <w:color w:val="000000" w:themeColor="text1"/>
                <w:sz w:val="24"/>
                <w:szCs w:val="24"/>
                <w:lang w:eastAsia="zh-CN"/>
                <w14:textFill>
                  <w14:solidFill>
                    <w14:schemeClr w14:val="tx1"/>
                  </w14:solidFill>
                </w14:textFill>
              </w:rPr>
              <w:t>提供资料</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详情如下：</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实</w:t>
            </w:r>
            <w:r>
              <w:rPr>
                <w:rFonts w:hint="eastAsia" w:ascii="Times New Roman" w:hAnsi="Times New Roman" w:cs="Times New Roman"/>
                <w:color w:val="000000" w:themeColor="text1"/>
                <w:sz w:val="24"/>
                <w:szCs w:val="24"/>
                <w:lang w:eastAsia="zh-CN"/>
                <w14:textFill>
                  <w14:solidFill>
                    <w14:schemeClr w14:val="tx1"/>
                  </w14:solidFill>
                </w14:textFill>
              </w:rPr>
              <w:t>验前</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需要对</w:t>
            </w:r>
            <w:r>
              <w:rPr>
                <w:rFonts w:hint="eastAsia" w:ascii="Times New Roman" w:hAnsi="Times New Roman" w:cs="Times New Roman"/>
                <w:color w:val="000000" w:themeColor="text1"/>
                <w:sz w:val="24"/>
                <w:szCs w:val="24"/>
                <w:lang w:eastAsia="zh-CN"/>
                <w14:textFill>
                  <w14:solidFill>
                    <w14:schemeClr w14:val="tx1"/>
                  </w14:solidFill>
                </w14:textFill>
              </w:rPr>
              <w:t>被</w:t>
            </w:r>
            <w:r>
              <w:rPr>
                <w:rFonts w:hint="eastAsia" w:ascii="Times New Roman" w:hAnsi="Times New Roman" w:eastAsia="宋体" w:cs="Times New Roman"/>
                <w:color w:val="000000" w:themeColor="text1"/>
                <w:sz w:val="24"/>
                <w:szCs w:val="24"/>
                <w:lang w:eastAsia="zh-CN"/>
                <w14:textFill>
                  <w14:solidFill>
                    <w14:schemeClr w14:val="tx1"/>
                  </w14:solidFill>
                </w14:textFill>
              </w:rPr>
              <w:t>检</w:t>
            </w:r>
            <w:r>
              <w:rPr>
                <w:rFonts w:hint="eastAsia" w:ascii="Times New Roman" w:hAnsi="Times New Roman" w:cs="Times New Roman"/>
                <w:color w:val="000000" w:themeColor="text1"/>
                <w:sz w:val="24"/>
                <w:szCs w:val="24"/>
                <w:lang w:eastAsia="zh-CN"/>
                <w14:textFill>
                  <w14:solidFill>
                    <w14:schemeClr w14:val="tx1"/>
                  </w14:solidFill>
                </w14:textFill>
              </w:rPr>
              <w:t>定</w:t>
            </w:r>
            <w:r>
              <w:rPr>
                <w:rFonts w:hint="eastAsia" w:ascii="Times New Roman" w:hAnsi="Times New Roman" w:eastAsia="宋体" w:cs="Times New Roman"/>
                <w:color w:val="000000" w:themeColor="text1"/>
                <w:sz w:val="24"/>
                <w:szCs w:val="24"/>
                <w:lang w:eastAsia="zh-CN"/>
                <w14:textFill>
                  <w14:solidFill>
                    <w14:schemeClr w14:val="tx1"/>
                  </w14:solidFill>
                </w14:textFill>
              </w:rPr>
              <w:t>的</w:t>
            </w:r>
            <w:r>
              <w:rPr>
                <w:rFonts w:hint="eastAsia" w:ascii="Times New Roman" w:hAnsi="Times New Roman" w:cs="Times New Roman"/>
                <w:color w:val="000000" w:themeColor="text1"/>
                <w:sz w:val="24"/>
                <w:szCs w:val="24"/>
                <w:lang w:eastAsia="zh-CN"/>
                <w14:textFill>
                  <w14:solidFill>
                    <w14:schemeClr w14:val="tx1"/>
                  </w14:solidFill>
                </w14:textFill>
              </w:rPr>
              <w:t>密度计</w:t>
            </w:r>
            <w:r>
              <w:rPr>
                <w:rFonts w:hint="eastAsia" w:ascii="Times New Roman" w:hAnsi="Times New Roman" w:eastAsia="宋体" w:cs="Times New Roman"/>
                <w:color w:val="000000" w:themeColor="text1"/>
                <w:sz w:val="24"/>
                <w:szCs w:val="24"/>
                <w:lang w:eastAsia="zh-CN"/>
                <w14:textFill>
                  <w14:solidFill>
                    <w14:schemeClr w14:val="tx1"/>
                  </w14:solidFill>
                </w14:textFill>
              </w:rPr>
              <w:t>进行</w:t>
            </w:r>
            <w:r>
              <w:rPr>
                <w:rFonts w:hint="eastAsia" w:ascii="Times New Roman" w:hAnsi="Times New Roman" w:cs="Times New Roman"/>
                <w:color w:val="000000" w:themeColor="text1"/>
                <w:sz w:val="24"/>
                <w:szCs w:val="24"/>
                <w:lang w:eastAsia="zh-CN"/>
                <w14:textFill>
                  <w14:solidFill>
                    <w14:schemeClr w14:val="tx1"/>
                  </w14:solidFill>
                </w14:textFill>
              </w:rPr>
              <w:t>润洗</w:t>
            </w:r>
            <w:r>
              <w:rPr>
                <w:rFonts w:ascii="Times New Roman" w:hAnsi="Times New Roman" w:eastAsia="宋体" w:cs="Times New Roman"/>
                <w:color w:val="000000" w:themeColor="text1"/>
                <w:sz w:val="24"/>
                <w:szCs w:val="24"/>
                <w:lang w:eastAsia="zh-CN"/>
                <w14:textFill>
                  <w14:solidFill>
                    <w14:schemeClr w14:val="tx1"/>
                  </w14:solidFill>
                </w14:textFill>
              </w:rPr>
              <w:t>，用水量</w:t>
            </w:r>
            <w:r>
              <w:rPr>
                <w:rFonts w:hint="eastAsia" w:ascii="Times New Roman" w:hAnsi="Times New Roman" w:eastAsia="宋体" w:cs="Times New Roman"/>
                <w:color w:val="000000" w:themeColor="text1"/>
                <w:sz w:val="24"/>
                <w:szCs w:val="24"/>
                <w:lang w:eastAsia="zh-CN"/>
                <w14:textFill>
                  <w14:solidFill>
                    <w14:schemeClr w14:val="tx1"/>
                  </w14:solidFill>
                </w14:textFill>
              </w:rPr>
              <w:t>约</w:t>
            </w:r>
            <w:r>
              <w:rPr>
                <w:rFonts w:ascii="Times New Roman" w:hAnsi="Times New Roman" w:eastAsia="宋体" w:cs="Times New Roman"/>
                <w:color w:val="000000" w:themeColor="text1"/>
                <w:sz w:val="24"/>
                <w:szCs w:val="24"/>
                <w:lang w:eastAsia="zh-CN"/>
                <w14:textFill>
                  <w14:solidFill>
                    <w14:schemeClr w14:val="tx1"/>
                  </w14:solidFill>
                </w14:textFill>
              </w:rPr>
              <w:t>为0.0005m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/d（0.13m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b.实验过程中需要使用密度标定液用量约为</w:t>
            </w:r>
            <w:r>
              <w:rPr>
                <w:rFonts w:ascii="Times New Roman" w:hAnsi="Times New Roman" w:eastAsia="宋体" w:cs="Times New Roman"/>
                <w:color w:val="000000" w:themeColor="text1"/>
                <w:sz w:val="24"/>
                <w:szCs w:val="24"/>
                <w:lang w:eastAsia="zh-CN"/>
                <w14:textFill>
                  <w14:solidFill>
                    <w14:schemeClr w14:val="tx1"/>
                  </w14:solidFill>
                </w14:textFill>
              </w:rPr>
              <w:t>0.00</w:t>
            </w:r>
            <w:r>
              <w:rPr>
                <w:rFonts w:hint="eastAsia" w:ascii="Times New Roman" w:hAnsi="Times New Roman" w:eastAsia="宋体" w:cs="Times New Roman"/>
                <w:color w:val="000000" w:themeColor="text1"/>
                <w:sz w:val="24"/>
                <w:szCs w:val="24"/>
                <w:lang w:eastAsia="zh-CN"/>
                <w14:textFill>
                  <w14:solidFill>
                    <w14:schemeClr w14:val="tx1"/>
                  </w14:solidFill>
                </w14:textFill>
              </w:rPr>
              <w:t>09</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0.24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c</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实验前需要对需要用到的器皿进行润洗，用水量约为</w:t>
            </w:r>
            <w:r>
              <w:rPr>
                <w:rFonts w:ascii="Times New Roman" w:hAnsi="Times New Roman" w:eastAsia="宋体" w:cs="Times New Roman"/>
                <w:color w:val="000000" w:themeColor="text1"/>
                <w:sz w:val="24"/>
                <w:szCs w:val="24"/>
                <w:lang w:eastAsia="zh-CN"/>
                <w14:textFill>
                  <w14:solidFill>
                    <w14:schemeClr w14:val="tx1"/>
                  </w14:solidFill>
                </w14:textFill>
              </w:rPr>
              <w:t>0.001m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w:t>
            </w:r>
            <w:r>
              <w:rPr>
                <w:rFonts w:ascii="Times New Roman" w:hAnsi="Times New Roman" w:eastAsia="宋体" w:cs="Times New Roman"/>
                <w:color w:val="000000" w:themeColor="text1"/>
                <w:sz w:val="24"/>
                <w:szCs w:val="24"/>
                <w:lang w:eastAsia="zh-CN"/>
                <w14:textFill>
                  <w14:solidFill>
                    <w14:schemeClr w14:val="tx1"/>
                  </w14:solidFill>
                </w14:textFill>
              </w:rPr>
              <w:t>.26m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d</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实验前需要对实验设备进行润洗，润洗用水量约为</w:t>
            </w:r>
            <w:r>
              <w:rPr>
                <w:rFonts w:ascii="Times New Roman" w:hAnsi="Times New Roman" w:eastAsia="宋体" w:cs="Times New Roman"/>
                <w:color w:val="000000" w:themeColor="text1"/>
                <w:sz w:val="24"/>
                <w:szCs w:val="24"/>
                <w:lang w:eastAsia="zh-CN"/>
                <w14:textFill>
                  <w14:solidFill>
                    <w14:schemeClr w14:val="tx1"/>
                  </w14:solidFill>
                </w14:textFill>
              </w:rPr>
              <w:t>0.0008m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w:t>
            </w:r>
            <w:r>
              <w:rPr>
                <w:rFonts w:ascii="Times New Roman" w:hAnsi="Times New Roman" w:eastAsia="宋体" w:cs="Times New Roman"/>
                <w:color w:val="000000" w:themeColor="text1"/>
                <w:sz w:val="24"/>
                <w:szCs w:val="24"/>
                <w:lang w:eastAsia="zh-CN"/>
                <w14:textFill>
                  <w14:solidFill>
                    <w14:schemeClr w14:val="tx1"/>
                  </w14:solidFill>
                </w14:textFill>
              </w:rPr>
              <w:t>.21m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综上，本项目纯水用量为0.00</w:t>
            </w:r>
            <w:r>
              <w:rPr>
                <w:rFonts w:ascii="Times New Roman" w:hAnsi="Times New Roman" w:eastAsia="宋体" w:cs="Times New Roman"/>
                <w:color w:val="000000" w:themeColor="text1"/>
                <w:sz w:val="24"/>
                <w:szCs w:val="24"/>
                <w:lang w:eastAsia="zh-CN"/>
                <w14:textFill>
                  <w14:solidFill>
                    <w14:schemeClr w14:val="tx1"/>
                  </w14:solidFill>
                </w14:textFill>
              </w:rPr>
              <w:t>32m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/d（0.84m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bidi="ar"/>
                <w14:textFill>
                  <w14:solidFill>
                    <w14:schemeClr w14:val="tx1"/>
                  </w14:solidFill>
                </w14:textFill>
              </w:rPr>
              <w:t>则自来水用量为</w:t>
            </w:r>
            <w:r>
              <w:rPr>
                <w:rFonts w:hint="eastAsia" w:ascii="Times New Roman" w:hAnsi="Times New Roman" w:eastAsia="宋体" w:cs="Times New Roman"/>
                <w:color w:val="000000" w:themeColor="text1"/>
                <w:sz w:val="24"/>
                <w:szCs w:val="24"/>
                <w:lang w:eastAsia="zh-CN"/>
                <w14:textFill>
                  <w14:solidFill>
                    <w14:schemeClr w14:val="tx1"/>
                  </w14:solidFill>
                </w14:textFill>
              </w:rPr>
              <w:t>0.0046m³/d(1.2</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)，纯水制备产生的浓水为0.00</w:t>
            </w:r>
            <w:r>
              <w:rPr>
                <w:rFonts w:ascii="Times New Roman" w:hAnsi="Times New Roman" w:eastAsia="宋体" w:cs="Times New Roman"/>
                <w:color w:val="000000" w:themeColor="text1"/>
                <w:sz w:val="24"/>
                <w:szCs w:val="24"/>
                <w:lang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4m³/d（0.</w:t>
            </w:r>
            <w:r>
              <w:rPr>
                <w:rFonts w:ascii="Times New Roman" w:hAnsi="Times New Roman" w:eastAsia="宋体" w:cs="Times New Roman"/>
                <w:color w:val="000000" w:themeColor="text1"/>
                <w:sz w:val="24"/>
                <w:szCs w:val="24"/>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6m³/a）。</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③水浴用水：实验中为达到所需温度，需用恒温水浴锅加热，水浴用水可重复使用，定期补充自来水，根据建设单位提供资料及类比同类型项目，水浴用自来水量为0.03m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/d（7.8m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/a），其中回用水量为0.024m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/d（6.24m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/a），补充水量为0.006m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/d（1.56m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/a）。</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④实验器皿清洗用水：实验结束后，需要用清水对实验中用到的器皿进行清水，此处用水量约为</w:t>
            </w:r>
            <w:r>
              <w:rPr>
                <w:rFonts w:ascii="Times New Roman" w:hAnsi="Times New Roman" w:eastAsia="宋体" w:cs="Times New Roman"/>
                <w:color w:val="000000" w:themeColor="text1"/>
                <w:sz w:val="24"/>
                <w:szCs w:val="24"/>
                <w:lang w:eastAsia="zh-CN"/>
                <w14:textFill>
                  <w14:solidFill>
                    <w14:schemeClr w14:val="tx1"/>
                  </w14:solidFill>
                </w14:textFill>
              </w:rPr>
              <w:t>0.003m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/d（0.78m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⑤实验装置管路冲洗用水：实验结束后，需对实验装置及水槽管路进行冲洗，</w:t>
            </w:r>
            <w:r>
              <w:rPr>
                <w:rFonts w:ascii="Times New Roman" w:hAnsi="Times New Roman" w:eastAsia="宋体" w:cs="Times New Roman"/>
                <w:color w:val="000000" w:themeColor="text1"/>
                <w:sz w:val="24"/>
                <w:szCs w:val="24"/>
                <w:lang w:eastAsia="zh-CN"/>
                <w14:textFill>
                  <w14:solidFill>
                    <w14:schemeClr w14:val="tx1"/>
                  </w14:solidFill>
                </w14:textFill>
              </w:rPr>
              <w:t>根据建设单位</w:t>
            </w:r>
            <w:r>
              <w:rPr>
                <w:rFonts w:hint="eastAsia" w:ascii="Times New Roman" w:hAnsi="Times New Roman" w:eastAsia="宋体" w:cs="Times New Roman"/>
                <w:color w:val="000000" w:themeColor="text1"/>
                <w:sz w:val="24"/>
                <w:szCs w:val="24"/>
                <w:lang w:eastAsia="zh-CN"/>
                <w14:textFill>
                  <w14:solidFill>
                    <w14:schemeClr w14:val="tx1"/>
                  </w14:solidFill>
                </w14:textFill>
              </w:rPr>
              <w:t>提供资料</w:t>
            </w:r>
            <w:r>
              <w:rPr>
                <w:rFonts w:ascii="Times New Roman" w:hAnsi="Times New Roman" w:eastAsia="宋体" w:cs="Times New Roman"/>
                <w:color w:val="000000" w:themeColor="text1"/>
                <w:sz w:val="24"/>
                <w:szCs w:val="24"/>
                <w:lang w:eastAsia="zh-CN"/>
                <w14:textFill>
                  <w14:solidFill>
                    <w14:schemeClr w14:val="tx1"/>
                  </w14:solidFill>
                </w14:textFill>
              </w:rPr>
              <w:t>及类比同类型项目，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此处用水量约</w:t>
            </w:r>
            <w:r>
              <w:rPr>
                <w:rFonts w:ascii="Times New Roman" w:hAnsi="Times New Roman" w:eastAsia="宋体" w:cs="Times New Roman"/>
                <w:color w:val="000000" w:themeColor="text1"/>
                <w:sz w:val="24"/>
                <w:szCs w:val="24"/>
                <w:lang w:eastAsia="zh-CN"/>
                <w14:textFill>
                  <w14:solidFill>
                    <w14:schemeClr w14:val="tx1"/>
                  </w14:solidFill>
                </w14:textFill>
              </w:rPr>
              <w:t>0.001m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0.2</w:t>
            </w:r>
            <w:r>
              <w:rPr>
                <w:rFonts w:ascii="Times New Roman" w:hAnsi="Times New Roman" w:eastAsia="宋体" w:cs="Times New Roman"/>
                <w:color w:val="000000" w:themeColor="text1"/>
                <w:sz w:val="24"/>
                <w:szCs w:val="24"/>
                <w:lang w:eastAsia="zh-CN"/>
                <w14:textFill>
                  <w14:solidFill>
                    <w14:schemeClr w14:val="tx1"/>
                  </w14:solidFill>
                </w14:textFill>
              </w:rPr>
              <w:t>6m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⑥生活用水：</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项目定员5人，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均从园区内原仪器仪表实验项目组调派，不新增生活用水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（2）排水</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本项目排水主要为实验前密度计清洗废水、纯水制备产生的浓水、</w:t>
            </w:r>
            <w:r>
              <w:rPr>
                <w:rFonts w:ascii="Times New Roman" w:hAnsi="Times New Roman" w:cs="Times New Roman"/>
                <w:color w:val="000000" w:themeColor="text1"/>
                <w:sz w:val="24"/>
                <w:szCs w:val="24"/>
                <w:lang w:eastAsia="zh-CN"/>
                <w14:textFill>
                  <w14:solidFill>
                    <w14:schemeClr w14:val="tx1"/>
                  </w14:solidFill>
                </w14:textFill>
              </w:rPr>
              <w:t>被</w:t>
            </w:r>
            <w:r>
              <w:rPr>
                <w:rFonts w:ascii="Times New Roman" w:hAnsi="Times New Roman" w:eastAsia="宋体" w:cs="Times New Roman"/>
                <w:color w:val="000000" w:themeColor="text1"/>
                <w:sz w:val="24"/>
                <w:szCs w:val="24"/>
                <w:lang w:eastAsia="zh-CN"/>
                <w14:textFill>
                  <w14:solidFill>
                    <w14:schemeClr w14:val="tx1"/>
                  </w14:solidFill>
                </w14:textFill>
              </w:rPr>
              <w:t>检</w:t>
            </w:r>
            <w:r>
              <w:rPr>
                <w:rFonts w:ascii="Times New Roman" w:hAnsi="Times New Roman" w:cs="Times New Roman"/>
                <w:color w:val="000000" w:themeColor="text1"/>
                <w:sz w:val="24"/>
                <w:szCs w:val="24"/>
                <w:lang w:eastAsia="zh-CN"/>
                <w14:textFill>
                  <w14:solidFill>
                    <w14:schemeClr w14:val="tx1"/>
                  </w14:solidFill>
                </w14:textFill>
              </w:rPr>
              <w:t>定密度计润洗</w:t>
            </w:r>
            <w:r>
              <w:rPr>
                <w:rFonts w:ascii="Times New Roman" w:hAnsi="Times New Roman" w:eastAsia="宋体" w:cs="Times New Roman"/>
                <w:color w:val="000000" w:themeColor="text1"/>
                <w:sz w:val="24"/>
                <w:szCs w:val="24"/>
                <w:lang w:eastAsia="zh-CN"/>
                <w14:textFill>
                  <w14:solidFill>
                    <w14:schemeClr w14:val="tx1"/>
                  </w14:solidFill>
                </w14:textFill>
              </w:rPr>
              <w:t>废</w:t>
            </w:r>
            <w:r>
              <w:rPr>
                <w:rFonts w:ascii="Times New Roman" w:hAnsi="Times New Roman" w:cs="Times New Roman"/>
                <w:color w:val="000000" w:themeColor="text1"/>
                <w:sz w:val="24"/>
                <w:szCs w:val="24"/>
                <w:lang w:eastAsia="zh-CN"/>
                <w14:textFill>
                  <w14:solidFill>
                    <w14:schemeClr w14:val="tx1"/>
                  </w14:solidFill>
                </w14:textFill>
              </w:rPr>
              <w:t>水</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、实验前器皿润洗废水、实验前实验设备润洗废水、实验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剩余的</w:t>
            </w:r>
            <w:r>
              <w:rPr>
                <w:rFonts w:hint="eastAsia" w:ascii="Times New Roman" w:hAnsi="Times New Roman" w:eastAsia="宋体" w:cs="Times New Roman"/>
                <w:color w:val="000000" w:themeColor="text1"/>
                <w:sz w:val="24"/>
                <w:szCs w:val="24"/>
                <w:lang w:eastAsia="zh-CN"/>
                <w14:textFill>
                  <w14:solidFill>
                    <w14:schemeClr w14:val="tx1"/>
                  </w14:solidFill>
                </w14:textFill>
              </w:rPr>
              <w:t>废液、实验器皿清洗废水、实验装置管路冲洗废水，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其中，纯水制备产生的浓水作为清净下水排入园区化粪池，其余统称为实验废液，</w:t>
            </w:r>
            <w:r>
              <w:rPr>
                <w:rFonts w:hint="eastAsia" w:ascii="宋体" w:hAnsi="宋体" w:eastAsia="宋体" w:cs="宋体"/>
                <w:color w:val="000000" w:themeColor="text1"/>
                <w:spacing w:val="-1"/>
                <w:sz w:val="24"/>
                <w:szCs w:val="24"/>
                <w:lang w:val="en-US" w:eastAsia="zh-CN"/>
                <w14:textFill>
                  <w14:solidFill>
                    <w14:schemeClr w14:val="tx1"/>
                  </w14:solidFill>
                </w14:textFill>
              </w:rPr>
              <w:t>全部作为危废收集于废液桶，暂存于危废暂存间，定期交资质单位处置。</w:t>
            </w:r>
          </w:p>
          <w:p>
            <w:pPr>
              <w:wordWrap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①实验前清洗废水：密度计清洗用水量为</w:t>
            </w:r>
            <w:r>
              <w:rPr>
                <w:rFonts w:ascii="Times New Roman" w:hAnsi="Times New Roman" w:eastAsia="宋体" w:cs="Times New Roman"/>
                <w:color w:val="000000" w:themeColor="text1"/>
                <w:sz w:val="24"/>
                <w:szCs w:val="24"/>
                <w:lang w:eastAsia="zh-CN"/>
                <w14:textFill>
                  <w14:solidFill>
                    <w14:schemeClr w14:val="tx1"/>
                  </w14:solidFill>
                </w14:textFill>
              </w:rPr>
              <w:t>0.00</w:t>
            </w:r>
            <w:r>
              <w:rPr>
                <w:rFonts w:hint="eastAsia" w:ascii="Times New Roman" w:hAnsi="Times New Roman" w:eastAsia="宋体" w:cs="Times New Roman"/>
                <w:color w:val="000000" w:themeColor="text1"/>
                <w:sz w:val="24"/>
                <w:szCs w:val="24"/>
                <w:lang w:eastAsia="zh-CN"/>
                <w14:textFill>
                  <w14:solidFill>
                    <w14:schemeClr w14:val="tx1"/>
                  </w14:solidFill>
                </w14:textFill>
              </w:rPr>
              <w:t>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1.04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，清洗废水产生量按用水量的80%计，则实验器具清洗废水量为0.0032m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/d（0.832m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/a）。</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②纯水制备产生的浓水：本项目</w:t>
            </w:r>
            <w:r>
              <w:rPr>
                <w:rFonts w:ascii="Times New Roman" w:hAnsi="Times New Roman" w:eastAsia="宋体" w:cs="Times New Roman"/>
                <w:color w:val="000000" w:themeColor="text1"/>
                <w:sz w:val="24"/>
                <w:szCs w:val="24"/>
                <w:lang w:eastAsia="zh-CN" w:bidi="ar"/>
                <w14:textFill>
                  <w14:solidFill>
                    <w14:schemeClr w14:val="tx1"/>
                  </w14:solidFill>
                </w14:textFill>
              </w:rPr>
              <w:t>纯水制备装置制纯水效率为</w:t>
            </w:r>
            <w:r>
              <w:rPr>
                <w:rFonts w:hint="eastAsia" w:ascii="Times New Roman" w:hAnsi="Times New Roman" w:eastAsia="宋体" w:cs="Times New Roman"/>
                <w:color w:val="000000" w:themeColor="text1"/>
                <w:sz w:val="24"/>
                <w:szCs w:val="24"/>
                <w:lang w:eastAsia="zh-CN"/>
                <w14:textFill>
                  <w14:solidFill>
                    <w14:schemeClr w14:val="tx1"/>
                  </w14:solidFill>
                </w14:textFill>
              </w:rPr>
              <w:t>70%，</w:t>
            </w:r>
            <w:r>
              <w:rPr>
                <w:rFonts w:ascii="Times New Roman" w:hAnsi="Times New Roman" w:eastAsia="宋体" w:cs="Times New Roman"/>
                <w:color w:val="000000" w:themeColor="text1"/>
                <w:sz w:val="24"/>
                <w:szCs w:val="24"/>
                <w:lang w:eastAsia="zh-CN" w:bidi="ar"/>
                <w14:textFill>
                  <w14:solidFill>
                    <w14:schemeClr w14:val="tx1"/>
                  </w14:solidFill>
                </w14:textFill>
              </w:rPr>
              <w:t>自来水用量为</w:t>
            </w:r>
            <w:r>
              <w:rPr>
                <w:rFonts w:hint="eastAsia" w:ascii="Times New Roman" w:hAnsi="Times New Roman" w:eastAsia="宋体" w:cs="Times New Roman"/>
                <w:color w:val="000000" w:themeColor="text1"/>
                <w:sz w:val="24"/>
                <w:szCs w:val="24"/>
                <w:lang w:eastAsia="zh-CN"/>
                <w14:textFill>
                  <w14:solidFill>
                    <w14:schemeClr w14:val="tx1"/>
                  </w14:solidFill>
                </w14:textFill>
              </w:rPr>
              <w:t>0.00</w:t>
            </w:r>
            <w:r>
              <w:rPr>
                <w:rFonts w:ascii="Times New Roman" w:hAnsi="Times New Roman" w:eastAsia="宋体" w:cs="Times New Roman"/>
                <w:color w:val="000000" w:themeColor="text1"/>
                <w:sz w:val="24"/>
                <w:szCs w:val="24"/>
                <w:lang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eastAsia="zh-CN"/>
                <w14:textFill>
                  <w14:solidFill>
                    <w14:schemeClr w14:val="tx1"/>
                  </w14:solidFill>
                </w14:textFill>
              </w:rPr>
              <w:t>m³/d(1.</w:t>
            </w:r>
            <w:r>
              <w:rPr>
                <w:rFonts w:ascii="Times New Roman" w:hAnsi="Times New Roman" w:eastAsia="宋体" w:cs="Times New Roman"/>
                <w:color w:val="000000" w:themeColor="text1"/>
                <w:sz w:val="24"/>
                <w:szCs w:val="24"/>
                <w:lang w:eastAsia="zh-CN"/>
                <w14:textFill>
                  <w14:solidFill>
                    <w14:schemeClr w14:val="tx1"/>
                  </w14:solidFill>
                </w14:textFill>
              </w:rPr>
              <w:t>2m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)，则纯水制备产生的浓水为0.00</w:t>
            </w:r>
            <w:r>
              <w:rPr>
                <w:rFonts w:ascii="Times New Roman" w:hAnsi="Times New Roman" w:eastAsia="宋体" w:cs="Times New Roman"/>
                <w:color w:val="000000" w:themeColor="text1"/>
                <w:sz w:val="24"/>
                <w:szCs w:val="24"/>
                <w:lang w:eastAsia="zh-CN"/>
                <w14:textFill>
                  <w14:solidFill>
                    <w14:schemeClr w14:val="tx1"/>
                  </w14:solidFill>
                </w14:textFill>
              </w:rPr>
              <w:t>14</w:t>
            </w:r>
            <w:r>
              <w:rPr>
                <w:rFonts w:hint="eastAsia" w:ascii="Times New Roman" w:hAnsi="Times New Roman" w:eastAsia="宋体" w:cs="Times New Roman"/>
                <w:color w:val="000000" w:themeColor="text1"/>
                <w:sz w:val="24"/>
                <w:szCs w:val="24"/>
                <w:lang w:eastAsia="zh-CN"/>
                <w14:textFill>
                  <w14:solidFill>
                    <w14:schemeClr w14:val="tx1"/>
                  </w14:solidFill>
                </w14:textFill>
              </w:rPr>
              <w:t>m³/d（0.</w:t>
            </w:r>
            <w:r>
              <w:rPr>
                <w:rFonts w:ascii="Times New Roman" w:hAnsi="Times New Roman" w:eastAsia="宋体" w:cs="Times New Roman"/>
                <w:color w:val="000000" w:themeColor="text1"/>
                <w:sz w:val="24"/>
                <w:szCs w:val="24"/>
                <w:lang w:eastAsia="zh-CN"/>
                <w14:textFill>
                  <w14:solidFill>
                    <w14:schemeClr w14:val="tx1"/>
                  </w14:solidFill>
                </w14:textFill>
              </w:rPr>
              <w:t>36</w:t>
            </w:r>
            <w:r>
              <w:rPr>
                <w:rFonts w:hint="eastAsia" w:ascii="Times New Roman" w:hAnsi="Times New Roman" w:eastAsia="宋体" w:cs="Times New Roman"/>
                <w:color w:val="000000" w:themeColor="text1"/>
                <w:sz w:val="24"/>
                <w:szCs w:val="24"/>
                <w:lang w:eastAsia="zh-CN"/>
                <w14:textFill>
                  <w14:solidFill>
                    <w14:schemeClr w14:val="tx1"/>
                  </w14:solidFill>
                </w14:textFill>
              </w:rPr>
              <w:t>m³/a）。</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③润洗废水：</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a</w:t>
            </w:r>
            <w:r>
              <w:rPr>
                <w:rFonts w:ascii="Times New Roman" w:hAnsi="Times New Roman" w:eastAsia="宋体" w:cs="Times New Roman"/>
                <w:color w:val="000000" w:themeColor="text1"/>
                <w:sz w:val="24"/>
                <w:szCs w:val="24"/>
                <w:lang w:eastAsia="zh-CN"/>
                <w14:textFill>
                  <w14:solidFill>
                    <w14:schemeClr w14:val="tx1"/>
                  </w14:solidFill>
                </w14:textFill>
              </w:rPr>
              <w:t>.被检定密度计润洗废水：润洗过程排污系数</w:t>
            </w:r>
            <w:r>
              <w:rPr>
                <w:rFonts w:hint="eastAsia" w:ascii="Times New Roman" w:hAnsi="Times New Roman" w:eastAsia="宋体" w:cs="Times New Roman"/>
                <w:color w:val="000000" w:themeColor="text1"/>
                <w:sz w:val="24"/>
                <w:szCs w:val="24"/>
                <w:lang w:eastAsia="zh-CN"/>
                <w14:textFill>
                  <w14:solidFill>
                    <w14:schemeClr w14:val="tx1"/>
                  </w14:solidFill>
                </w14:textFill>
              </w:rPr>
              <w:t>按0</w:t>
            </w:r>
            <w:r>
              <w:rPr>
                <w:rFonts w:ascii="Times New Roman" w:hAnsi="Times New Roman" w:eastAsia="宋体" w:cs="Times New Roman"/>
                <w:color w:val="000000" w:themeColor="text1"/>
                <w:sz w:val="24"/>
                <w:szCs w:val="24"/>
                <w:lang w:eastAsia="zh-CN"/>
                <w14:textFill>
                  <w14:solidFill>
                    <w14:schemeClr w14:val="tx1"/>
                  </w14:solidFill>
                </w14:textFill>
              </w:rPr>
              <w:t>.9算，此处产生润洗废水为0.00045m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/d（0.12m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b.</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实验前器皿润洗废水：</w:t>
            </w:r>
            <w:r>
              <w:rPr>
                <w:rFonts w:ascii="Times New Roman" w:hAnsi="Times New Roman" w:eastAsia="宋体" w:cs="Times New Roman"/>
                <w:color w:val="000000" w:themeColor="text1"/>
                <w:sz w:val="24"/>
                <w:szCs w:val="24"/>
                <w:lang w:eastAsia="zh-CN"/>
                <w14:textFill>
                  <w14:solidFill>
                    <w14:schemeClr w14:val="tx1"/>
                  </w14:solidFill>
                </w14:textFill>
              </w:rPr>
              <w:t>润洗过程排污系数</w:t>
            </w:r>
            <w:r>
              <w:rPr>
                <w:rFonts w:hint="eastAsia" w:ascii="Times New Roman" w:hAnsi="Times New Roman" w:eastAsia="宋体" w:cs="Times New Roman"/>
                <w:color w:val="000000" w:themeColor="text1"/>
                <w:sz w:val="24"/>
                <w:szCs w:val="24"/>
                <w:lang w:eastAsia="zh-CN"/>
                <w14:textFill>
                  <w14:solidFill>
                    <w14:schemeClr w14:val="tx1"/>
                  </w14:solidFill>
                </w14:textFill>
              </w:rPr>
              <w:t>按0</w:t>
            </w:r>
            <w:r>
              <w:rPr>
                <w:rFonts w:ascii="Times New Roman" w:hAnsi="Times New Roman" w:eastAsia="宋体" w:cs="Times New Roman"/>
                <w:color w:val="000000" w:themeColor="text1"/>
                <w:sz w:val="24"/>
                <w:szCs w:val="24"/>
                <w:lang w:eastAsia="zh-CN"/>
                <w14:textFill>
                  <w14:solidFill>
                    <w14:schemeClr w14:val="tx1"/>
                  </w14:solidFill>
                </w14:textFill>
              </w:rPr>
              <w:t>.9算，此处产生润洗废水为0.00</w:t>
            </w:r>
            <w:r>
              <w:rPr>
                <w:rFonts w:hint="eastAsia" w:ascii="Times New Roman" w:hAnsi="Times New Roman" w:eastAsia="宋体" w:cs="Times New Roman"/>
                <w:color w:val="000000" w:themeColor="text1"/>
                <w:sz w:val="24"/>
                <w:szCs w:val="24"/>
                <w:lang w:eastAsia="zh-CN"/>
                <w14:textFill>
                  <w14:solidFill>
                    <w14:schemeClr w14:val="tx1"/>
                  </w14:solidFill>
                </w14:textFill>
              </w:rPr>
              <w:t>09</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0.24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c</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实验前实验设备润洗废水：</w:t>
            </w:r>
            <w:r>
              <w:rPr>
                <w:rFonts w:ascii="Times New Roman" w:hAnsi="Times New Roman" w:eastAsia="宋体" w:cs="Times New Roman"/>
                <w:color w:val="000000" w:themeColor="text1"/>
                <w:sz w:val="24"/>
                <w:szCs w:val="24"/>
                <w:lang w:eastAsia="zh-CN"/>
                <w14:textFill>
                  <w14:solidFill>
                    <w14:schemeClr w14:val="tx1"/>
                  </w14:solidFill>
                </w14:textFill>
              </w:rPr>
              <w:t>润洗过程排污系数</w:t>
            </w:r>
            <w:r>
              <w:rPr>
                <w:rFonts w:hint="eastAsia" w:ascii="Times New Roman" w:hAnsi="Times New Roman" w:eastAsia="宋体" w:cs="Times New Roman"/>
                <w:color w:val="000000" w:themeColor="text1"/>
                <w:sz w:val="24"/>
                <w:szCs w:val="24"/>
                <w:lang w:eastAsia="zh-CN"/>
                <w14:textFill>
                  <w14:solidFill>
                    <w14:schemeClr w14:val="tx1"/>
                  </w14:solidFill>
                </w14:textFill>
              </w:rPr>
              <w:t>按0</w:t>
            </w:r>
            <w:r>
              <w:rPr>
                <w:rFonts w:ascii="Times New Roman" w:hAnsi="Times New Roman" w:eastAsia="宋体" w:cs="Times New Roman"/>
                <w:color w:val="000000" w:themeColor="text1"/>
                <w:sz w:val="24"/>
                <w:szCs w:val="24"/>
                <w:lang w:eastAsia="zh-CN"/>
                <w14:textFill>
                  <w14:solidFill>
                    <w14:schemeClr w14:val="tx1"/>
                  </w14:solidFill>
                </w14:textFill>
              </w:rPr>
              <w:t>.9算，此处产生润洗废水为0.00072m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/d（0.19m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④实验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标定</w:t>
            </w:r>
            <w:r>
              <w:rPr>
                <w:rFonts w:hint="eastAsia" w:ascii="Times New Roman" w:hAnsi="Times New Roman" w:eastAsia="宋体" w:cs="Times New Roman"/>
                <w:color w:val="000000" w:themeColor="text1"/>
                <w:sz w:val="24"/>
                <w:szCs w:val="24"/>
                <w:lang w:eastAsia="zh-CN"/>
                <w14:textFill>
                  <w14:solidFill>
                    <w14:schemeClr w14:val="tx1"/>
                  </w14:solidFill>
                </w14:textFill>
              </w:rPr>
              <w:t>废液：</w:t>
            </w:r>
            <w:r>
              <w:rPr>
                <w:rFonts w:ascii="Times New Roman" w:hAnsi="Times New Roman" w:eastAsia="宋体" w:cs="Times New Roman"/>
                <w:color w:val="000000" w:themeColor="text1"/>
                <w:sz w:val="24"/>
                <w:szCs w:val="24"/>
                <w:lang w:eastAsia="zh-CN"/>
                <w14:textFill>
                  <w14:solidFill>
                    <w14:schemeClr w14:val="tx1"/>
                  </w14:solidFill>
                </w14:textFill>
              </w:rPr>
              <w:t>实验</w:t>
            </w:r>
            <w:r>
              <w:rPr>
                <w:rFonts w:hint="eastAsia" w:ascii="Times New Roman" w:hAnsi="Times New Roman" w:eastAsia="宋体" w:cs="Times New Roman"/>
                <w:color w:val="000000" w:themeColor="text1"/>
                <w:sz w:val="24"/>
                <w:szCs w:val="24"/>
                <w:lang w:eastAsia="zh-CN"/>
                <w14:textFill>
                  <w14:solidFill>
                    <w14:schemeClr w14:val="tx1"/>
                  </w14:solidFill>
                </w14:textFill>
              </w:rPr>
              <w:t>标定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使用纯</w:t>
            </w:r>
            <w:r>
              <w:rPr>
                <w:rFonts w:ascii="Times New Roman" w:hAnsi="Times New Roman" w:eastAsia="宋体" w:cs="Times New Roman"/>
                <w:color w:val="000000" w:themeColor="text1"/>
                <w:sz w:val="24"/>
                <w:szCs w:val="24"/>
                <w:lang w:eastAsia="zh-CN"/>
                <w14:textFill>
                  <w14:solidFill>
                    <w14:schemeClr w14:val="tx1"/>
                  </w14:solidFill>
                </w14:textFill>
              </w:rPr>
              <w:t>水0.00</w:t>
            </w:r>
            <w:r>
              <w:rPr>
                <w:rFonts w:hint="eastAsia" w:ascii="Times New Roman" w:hAnsi="Times New Roman" w:eastAsia="宋体" w:cs="Times New Roman"/>
                <w:color w:val="000000" w:themeColor="text1"/>
                <w:sz w:val="24"/>
                <w:szCs w:val="24"/>
                <w:lang w:eastAsia="zh-CN"/>
                <w14:textFill>
                  <w14:solidFill>
                    <w14:schemeClr w14:val="tx1"/>
                  </w14:solidFill>
                </w14:textFill>
              </w:rPr>
              <w:t>09</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0.24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，最终</w:t>
            </w:r>
            <w:r>
              <w:rPr>
                <w:rFonts w:hint="eastAsia" w:ascii="Times New Roman" w:hAnsi="Times New Roman" w:eastAsia="宋体" w:cs="Times New Roman"/>
                <w:color w:val="000000" w:themeColor="text1"/>
                <w:sz w:val="24"/>
                <w:szCs w:val="24"/>
                <w:lang w:eastAsia="zh-CN"/>
                <w14:textFill>
                  <w14:solidFill>
                    <w14:schemeClr w14:val="tx1"/>
                  </w14:solidFill>
                </w14:textFill>
              </w:rPr>
              <w:t>全部</w:t>
            </w:r>
            <w:r>
              <w:rPr>
                <w:rFonts w:ascii="Times New Roman" w:hAnsi="Times New Roman" w:eastAsia="宋体" w:cs="Times New Roman"/>
                <w:color w:val="000000" w:themeColor="text1"/>
                <w:sz w:val="24"/>
                <w:szCs w:val="24"/>
                <w:lang w:eastAsia="zh-CN"/>
                <w14:textFill>
                  <w14:solidFill>
                    <w14:schemeClr w14:val="tx1"/>
                  </w14:solidFill>
                </w14:textFill>
              </w:rPr>
              <w:t>进入实验废液，则实验中实验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标定</w:t>
            </w:r>
            <w:r>
              <w:rPr>
                <w:rFonts w:ascii="Times New Roman" w:hAnsi="Times New Roman" w:eastAsia="宋体" w:cs="Times New Roman"/>
                <w:color w:val="000000" w:themeColor="text1"/>
                <w:sz w:val="24"/>
                <w:szCs w:val="24"/>
                <w:lang w:eastAsia="zh-CN"/>
                <w14:textFill>
                  <w14:solidFill>
                    <w14:schemeClr w14:val="tx1"/>
                  </w14:solidFill>
                </w14:textFill>
              </w:rPr>
              <w:t>废液产生量为0.0009m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/d（0.24m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⑤实验器皿清洗废水：实验结束后，需要用清水对实验中用到的器皿进行清水，此处用水量约为</w:t>
            </w:r>
            <w:r>
              <w:rPr>
                <w:rFonts w:ascii="Times New Roman" w:hAnsi="Times New Roman" w:eastAsia="宋体" w:cs="Times New Roman"/>
                <w:color w:val="000000" w:themeColor="text1"/>
                <w:sz w:val="24"/>
                <w:szCs w:val="24"/>
                <w:lang w:eastAsia="zh-CN"/>
                <w14:textFill>
                  <w14:solidFill>
                    <w14:schemeClr w14:val="tx1"/>
                  </w14:solidFill>
                </w14:textFill>
              </w:rPr>
              <w:t>0.003m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/d（0.78m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，清洗废水产生量按用水量的80%计，则实验器皿清洗废水产生量为</w:t>
            </w:r>
            <w:r>
              <w:rPr>
                <w:rFonts w:ascii="Times New Roman" w:hAnsi="Times New Roman" w:eastAsia="宋体" w:cs="Times New Roman"/>
                <w:color w:val="000000" w:themeColor="text1"/>
                <w:sz w:val="24"/>
                <w:szCs w:val="24"/>
                <w:lang w:eastAsia="zh-CN"/>
                <w14:textFill>
                  <w14:solidFill>
                    <w14:schemeClr w14:val="tx1"/>
                  </w14:solidFill>
                </w14:textFill>
              </w:rPr>
              <w:t>0.0024m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/d（0.624m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p>
          <w:p>
            <w:pPr>
              <w:wordWrap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⑥实验装置管路冲洗废水：实验装置管路冲洗用水量约</w:t>
            </w:r>
            <w:r>
              <w:rPr>
                <w:rFonts w:ascii="Times New Roman" w:hAnsi="Times New Roman" w:eastAsia="宋体" w:cs="Times New Roman"/>
                <w:color w:val="000000" w:themeColor="text1"/>
                <w:sz w:val="24"/>
                <w:szCs w:val="24"/>
                <w:lang w:eastAsia="zh-CN"/>
                <w14:textFill>
                  <w14:solidFill>
                    <w14:schemeClr w14:val="tx1"/>
                  </w14:solidFill>
                </w14:textFill>
              </w:rPr>
              <w:t>0.001m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0.2</w:t>
            </w:r>
            <w:r>
              <w:rPr>
                <w:rFonts w:ascii="Times New Roman" w:hAnsi="Times New Roman" w:eastAsia="宋体" w:cs="Times New Roman"/>
                <w:color w:val="000000" w:themeColor="text1"/>
                <w:sz w:val="24"/>
                <w:szCs w:val="24"/>
                <w:lang w:eastAsia="zh-CN"/>
                <w14:textFill>
                  <w14:solidFill>
                    <w14:schemeClr w14:val="tx1"/>
                  </w14:solidFill>
                </w14:textFill>
              </w:rPr>
              <w:t>6m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产污系数按0.8计，则</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实验装置管路冲洗废水</w:t>
            </w:r>
            <w:r>
              <w:rPr>
                <w:rFonts w:ascii="Times New Roman" w:hAnsi="Times New Roman" w:eastAsia="宋体" w:cs="Times New Roman"/>
                <w:color w:val="000000" w:themeColor="text1"/>
                <w:sz w:val="24"/>
                <w:szCs w:val="24"/>
                <w:lang w:eastAsia="zh-CN"/>
                <w14:textFill>
                  <w14:solidFill>
                    <w14:schemeClr w14:val="tx1"/>
                  </w14:solidFill>
                </w14:textFill>
              </w:rPr>
              <w:t>产生量为0.0008m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/d（0.21m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/a）。</w:t>
            </w:r>
          </w:p>
          <w:p>
            <w:pPr>
              <w:spacing w:line="360" w:lineRule="auto"/>
              <w:ind w:firstLine="480" w:firstLineChars="200"/>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综上，本项目用水情况见表2-4，水平衡图见图2-1。</w:t>
            </w:r>
          </w:p>
          <w:p>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4 </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项目用水情况</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p>
          <w:tbl>
            <w:tblPr>
              <w:tblStyle w:val="20"/>
              <w:tblpPr w:leftFromText="180" w:rightFromText="180" w:vertAnchor="text" w:horzAnchor="page" w:tblpX="112" w:tblpY="281"/>
              <w:tblOverlap w:val="never"/>
              <w:tblW w:w="8085" w:type="dxa"/>
              <w:tblInd w:w="0" w:type="dxa"/>
              <w:tblLayout w:type="fixed"/>
              <w:tblCellMar>
                <w:top w:w="0" w:type="dxa"/>
                <w:left w:w="108" w:type="dxa"/>
                <w:bottom w:w="0" w:type="dxa"/>
                <w:right w:w="108" w:type="dxa"/>
              </w:tblCellMar>
            </w:tblPr>
            <w:tblGrid>
              <w:gridCol w:w="678"/>
              <w:gridCol w:w="1096"/>
              <w:gridCol w:w="1119"/>
              <w:gridCol w:w="1062"/>
              <w:gridCol w:w="1119"/>
              <w:gridCol w:w="1015"/>
              <w:gridCol w:w="1143"/>
              <w:gridCol w:w="853"/>
            </w:tblGrid>
            <w:tr>
              <w:tblPrEx>
                <w:tblCellMar>
                  <w:top w:w="0" w:type="dxa"/>
                  <w:left w:w="108" w:type="dxa"/>
                  <w:bottom w:w="0" w:type="dxa"/>
                  <w:right w:w="108" w:type="dxa"/>
                </w:tblCellMar>
              </w:tblPrEx>
              <w:trPr>
                <w:trHeight w:val="490" w:hRule="atLeast"/>
              </w:trPr>
              <w:tc>
                <w:tcPr>
                  <w:tcW w:w="6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序号</w:t>
                  </w:r>
                </w:p>
              </w:tc>
              <w:tc>
                <w:tcPr>
                  <w:tcW w:w="10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用水类型</w:t>
                  </w:r>
                </w:p>
              </w:tc>
              <w:tc>
                <w:tcPr>
                  <w:tcW w:w="33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用水量</w:t>
                  </w:r>
                </w:p>
              </w:tc>
              <w:tc>
                <w:tcPr>
                  <w:tcW w:w="10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损耗量（</w:t>
                  </w:r>
                  <w:r>
                    <w:rPr>
                      <w:rFonts w:ascii="Times New Roman" w:hAnsi="Times New Roman" w:eastAsia="宋体" w:cs="Times New Roman"/>
                      <w:color w:val="000000" w:themeColor="text1"/>
                      <w:sz w:val="21"/>
                      <w:szCs w:val="21"/>
                      <w:lang w:eastAsia="zh-CN"/>
                      <w14:textFill>
                        <w14:solidFill>
                          <w14:schemeClr w14:val="tx1"/>
                        </w14:solidFill>
                      </w14:textFill>
                    </w:rPr>
                    <w:t>m</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sz w:val="21"/>
                      <w:szCs w:val="21"/>
                      <w:lang w:eastAsia="zh-CN"/>
                      <w14:textFill>
                        <w14:solidFill>
                          <w14:schemeClr w14:val="tx1"/>
                        </w14:solidFill>
                      </w14:textFill>
                    </w:rPr>
                    <w:t>/d</w:t>
                  </w:r>
                  <w:r>
                    <w:rPr>
                      <w:rFonts w:hint="eastAsia" w:ascii="宋体" w:hAnsi="宋体" w:eastAsia="宋体" w:cs="宋体"/>
                      <w:b/>
                      <w:bCs/>
                      <w:color w:val="000000" w:themeColor="text1"/>
                      <w:sz w:val="21"/>
                      <w:szCs w:val="21"/>
                      <w:lang w:eastAsia="zh-CN"/>
                      <w14:textFill>
                        <w14:solidFill>
                          <w14:schemeClr w14:val="tx1"/>
                        </w14:solidFill>
                      </w14:textFill>
                    </w:rPr>
                    <w:t>）</w:t>
                  </w:r>
                </w:p>
              </w:tc>
              <w:tc>
                <w:tcPr>
                  <w:tcW w:w="11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排水量（</w:t>
                  </w:r>
                  <w:r>
                    <w:rPr>
                      <w:rFonts w:ascii="Times New Roman" w:hAnsi="Times New Roman" w:eastAsia="宋体" w:cs="Times New Roman"/>
                      <w:color w:val="000000" w:themeColor="text1"/>
                      <w:sz w:val="21"/>
                      <w:szCs w:val="21"/>
                      <w:lang w:eastAsia="zh-CN"/>
                      <w14:textFill>
                        <w14:solidFill>
                          <w14:schemeClr w14:val="tx1"/>
                        </w14:solidFill>
                      </w14:textFill>
                    </w:rPr>
                    <w:t>m</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sz w:val="21"/>
                      <w:szCs w:val="21"/>
                      <w:lang w:eastAsia="zh-CN"/>
                      <w14:textFill>
                        <w14:solidFill>
                          <w14:schemeClr w14:val="tx1"/>
                        </w14:solidFill>
                      </w14:textFill>
                    </w:rPr>
                    <w:t>/d</w:t>
                  </w:r>
                  <w:r>
                    <w:rPr>
                      <w:rFonts w:hint="eastAsia" w:ascii="宋体" w:hAnsi="宋体" w:eastAsia="宋体" w:cs="宋体"/>
                      <w:b/>
                      <w:bCs/>
                      <w:color w:val="000000" w:themeColor="text1"/>
                      <w:sz w:val="21"/>
                      <w:szCs w:val="21"/>
                      <w:lang w:eastAsia="zh-CN"/>
                      <w14:textFill>
                        <w14:solidFill>
                          <w14:schemeClr w14:val="tx1"/>
                        </w14:solidFill>
                      </w14:textFill>
                    </w:rPr>
                    <w:t>）</w:t>
                  </w:r>
                </w:p>
              </w:tc>
              <w:tc>
                <w:tcPr>
                  <w:tcW w:w="85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90" w:hRule="atLeast"/>
              </w:trPr>
              <w:tc>
                <w:tcPr>
                  <w:tcW w:w="6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color w:val="000000" w:themeColor="text1"/>
                      <w:sz w:val="21"/>
                      <w:szCs w:val="21"/>
                      <w:lang w:eastAsia="zh-CN"/>
                      <w14:textFill>
                        <w14:solidFill>
                          <w14:schemeClr w14:val="tx1"/>
                        </w14:solidFill>
                      </w14:textFill>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color w:val="000000" w:themeColor="text1"/>
                      <w:sz w:val="21"/>
                      <w:szCs w:val="21"/>
                      <w:lang w:eastAsia="zh-CN"/>
                      <w14:textFill>
                        <w14:solidFill>
                          <w14:schemeClr w14:val="tx1"/>
                        </w14:solidFill>
                      </w14:textFill>
                    </w:rPr>
                  </w:pPr>
                </w:p>
              </w:tc>
              <w:tc>
                <w:tcPr>
                  <w:tcW w:w="1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总用水量（</w:t>
                  </w:r>
                  <w:r>
                    <w:rPr>
                      <w:rFonts w:ascii="Times New Roman" w:hAnsi="Times New Roman" w:eastAsia="宋体" w:cs="Times New Roman"/>
                      <w:color w:val="000000" w:themeColor="text1"/>
                      <w:sz w:val="21"/>
                      <w:szCs w:val="21"/>
                      <w:lang w:eastAsia="zh-CN"/>
                      <w14:textFill>
                        <w14:solidFill>
                          <w14:schemeClr w14:val="tx1"/>
                        </w14:solidFill>
                      </w14:textFill>
                    </w:rPr>
                    <w:t>m</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sz w:val="21"/>
                      <w:szCs w:val="21"/>
                      <w:lang w:eastAsia="zh-CN"/>
                      <w14:textFill>
                        <w14:solidFill>
                          <w14:schemeClr w14:val="tx1"/>
                        </w14:solidFill>
                      </w14:textFill>
                    </w:rPr>
                    <w:t>/d</w:t>
                  </w:r>
                  <w:r>
                    <w:rPr>
                      <w:rFonts w:hint="eastAsia" w:ascii="宋体" w:hAnsi="宋体" w:eastAsia="宋体" w:cs="宋体"/>
                      <w:b/>
                      <w:bCs/>
                      <w:color w:val="000000" w:themeColor="text1"/>
                      <w:sz w:val="21"/>
                      <w:szCs w:val="21"/>
                      <w:lang w:eastAsia="zh-CN"/>
                      <w14:textFill>
                        <w14:solidFill>
                          <w14:schemeClr w14:val="tx1"/>
                        </w14:solidFill>
                      </w14:textFill>
                    </w:rPr>
                    <w:t>）</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循环用水量（</w:t>
                  </w:r>
                  <w:r>
                    <w:rPr>
                      <w:rFonts w:ascii="Times New Roman" w:hAnsi="Times New Roman" w:eastAsia="宋体" w:cs="Times New Roman"/>
                      <w:color w:val="000000" w:themeColor="text1"/>
                      <w:sz w:val="21"/>
                      <w:szCs w:val="21"/>
                      <w:lang w:eastAsia="zh-CN"/>
                      <w14:textFill>
                        <w14:solidFill>
                          <w14:schemeClr w14:val="tx1"/>
                        </w14:solidFill>
                      </w14:textFill>
                    </w:rPr>
                    <w:t>m</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sz w:val="21"/>
                      <w:szCs w:val="21"/>
                      <w:lang w:eastAsia="zh-CN"/>
                      <w14:textFill>
                        <w14:solidFill>
                          <w14:schemeClr w14:val="tx1"/>
                        </w14:solidFill>
                      </w14:textFill>
                    </w:rPr>
                    <w:t>/d</w:t>
                  </w:r>
                  <w:r>
                    <w:rPr>
                      <w:rFonts w:hint="eastAsia" w:ascii="宋体" w:hAnsi="宋体" w:eastAsia="宋体" w:cs="宋体"/>
                      <w:b/>
                      <w:bCs/>
                      <w:color w:val="000000" w:themeColor="text1"/>
                      <w:sz w:val="21"/>
                      <w:szCs w:val="21"/>
                      <w:lang w:eastAsia="zh-CN"/>
                      <w14:textFill>
                        <w14:solidFill>
                          <w14:schemeClr w14:val="tx1"/>
                        </w14:solidFill>
                      </w14:textFill>
                    </w:rPr>
                    <w:t>）</w:t>
                  </w:r>
                </w:p>
              </w:tc>
              <w:tc>
                <w:tcPr>
                  <w:tcW w:w="1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新鲜水量（</w:t>
                  </w:r>
                  <w:r>
                    <w:rPr>
                      <w:rFonts w:ascii="Times New Roman" w:hAnsi="Times New Roman" w:eastAsia="宋体" w:cs="Times New Roman"/>
                      <w:color w:val="000000" w:themeColor="text1"/>
                      <w:sz w:val="21"/>
                      <w:szCs w:val="21"/>
                      <w:lang w:eastAsia="zh-CN"/>
                      <w14:textFill>
                        <w14:solidFill>
                          <w14:schemeClr w14:val="tx1"/>
                        </w14:solidFill>
                      </w14:textFill>
                    </w:rPr>
                    <w:t>m</w:t>
                  </w:r>
                  <w:r>
                    <w:rPr>
                      <w:rFonts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sz w:val="21"/>
                      <w:szCs w:val="21"/>
                      <w:lang w:eastAsia="zh-CN"/>
                      <w14:textFill>
                        <w14:solidFill>
                          <w14:schemeClr w14:val="tx1"/>
                        </w14:solidFill>
                      </w14:textFill>
                    </w:rPr>
                    <w:t>/d</w:t>
                  </w:r>
                  <w:r>
                    <w:rPr>
                      <w:rFonts w:hint="eastAsia" w:ascii="宋体" w:hAnsi="宋体" w:eastAsia="宋体" w:cs="宋体"/>
                      <w:b/>
                      <w:bCs/>
                      <w:color w:val="000000" w:themeColor="text1"/>
                      <w:sz w:val="21"/>
                      <w:szCs w:val="21"/>
                      <w:lang w:eastAsia="zh-CN"/>
                      <w14:textFill>
                        <w14:solidFill>
                          <w14:schemeClr w14:val="tx1"/>
                        </w14:solidFill>
                      </w14:textFill>
                    </w:rPr>
                    <w:t>）</w:t>
                  </w:r>
                </w:p>
              </w:tc>
              <w:tc>
                <w:tcPr>
                  <w:tcW w:w="1015"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color w:val="000000" w:themeColor="text1"/>
                      <w:sz w:val="21"/>
                      <w:szCs w:val="21"/>
                      <w:lang w:eastAsia="zh-CN"/>
                      <w14:textFill>
                        <w14:solidFill>
                          <w14:schemeClr w14:val="tx1"/>
                        </w14:solidFill>
                      </w14:textFill>
                    </w:rPr>
                  </w:pPr>
                </w:p>
              </w:tc>
              <w:tc>
                <w:tcPr>
                  <w:tcW w:w="1143"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color w:val="000000" w:themeColor="text1"/>
                      <w:sz w:val="21"/>
                      <w:szCs w:val="21"/>
                      <w:lang w:eastAsia="zh-CN"/>
                      <w14:textFill>
                        <w14:solidFill>
                          <w14:schemeClr w14:val="tx1"/>
                        </w14:solidFill>
                      </w14:textFill>
                    </w:rPr>
                  </w:pPr>
                </w:p>
              </w:tc>
              <w:tc>
                <w:tcPr>
                  <w:tcW w:w="853" w:type="dxa"/>
                  <w:vMerge w:val="continue"/>
                  <w:tcBorders>
                    <w:left w:val="single" w:color="auto" w:sz="4" w:space="0"/>
                    <w:bottom w:val="single" w:color="auto" w:sz="4" w:space="0"/>
                    <w:right w:val="single" w:color="auto" w:sz="4" w:space="0"/>
                  </w:tcBorders>
                  <w:vAlign w:val="center"/>
                </w:tcPr>
                <w:p>
                  <w:pPr>
                    <w:widowControl/>
                    <w:rPr>
                      <w:rFonts w:ascii="宋体" w:hAnsi="宋体" w:eastAsia="宋体" w:cs="宋体"/>
                      <w:b/>
                      <w:bCs/>
                      <w:color w:val="000000" w:themeColor="text1"/>
                      <w:sz w:val="21"/>
                      <w:szCs w:val="21"/>
                      <w:lang w:eastAsia="zh-CN"/>
                      <w14:textFill>
                        <w14:solidFill>
                          <w14:schemeClr w14:val="tx1"/>
                        </w14:solidFill>
                      </w14:textFill>
                    </w:rPr>
                  </w:pPr>
                </w:p>
              </w:tc>
            </w:tr>
            <w:tr>
              <w:tblPrEx>
                <w:tblCellMar>
                  <w:top w:w="0" w:type="dxa"/>
                  <w:left w:w="108" w:type="dxa"/>
                  <w:bottom w:w="0" w:type="dxa"/>
                  <w:right w:w="108" w:type="dxa"/>
                </w:tblCellMar>
              </w:tblPrEx>
              <w:trPr>
                <w:trHeight w:val="567" w:hRule="atLeast"/>
              </w:trPr>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1</w:t>
                  </w: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实验前清洗用水</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0.004</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0.004</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0.0008</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0.0032</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95" w:hRule="atLeast"/>
              </w:trPr>
              <w:tc>
                <w:tcPr>
                  <w:tcW w:w="6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2</w:t>
                  </w:r>
                </w:p>
              </w:tc>
              <w:tc>
                <w:tcPr>
                  <w:tcW w:w="10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纯水制备用水</w:t>
                  </w:r>
                </w:p>
              </w:tc>
              <w:tc>
                <w:tcPr>
                  <w:tcW w:w="11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0.004</w:t>
                  </w:r>
                  <w:r>
                    <w:rPr>
                      <w:rFonts w:hint="eastAsia" w:ascii="Times New Roman" w:hAnsi="Times New Roman" w:eastAsia="等线" w:cs="Times New Roman"/>
                      <w:color w:val="000000" w:themeColor="text1"/>
                      <w:sz w:val="21"/>
                      <w:szCs w:val="21"/>
                      <w:lang w:val="en-US" w:eastAsia="zh-CN"/>
                      <w14:textFill>
                        <w14:solidFill>
                          <w14:schemeClr w14:val="tx1"/>
                        </w14:solidFill>
                      </w14:textFill>
                    </w:rPr>
                    <w:t>6</w:t>
                  </w:r>
                </w:p>
              </w:tc>
              <w:tc>
                <w:tcPr>
                  <w:tcW w:w="10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w:t>
                  </w:r>
                </w:p>
              </w:tc>
              <w:tc>
                <w:tcPr>
                  <w:tcW w:w="11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0.0046</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w:t>
                  </w:r>
                  <w:r>
                    <w:rPr>
                      <w:rFonts w:hint="eastAsia" w:ascii="Times New Roman" w:hAnsi="Times New Roman" w:eastAsia="等线" w:cs="Times New Roman"/>
                      <w:color w:val="000000" w:themeColor="text1"/>
                      <w:sz w:val="21"/>
                      <w:szCs w:val="21"/>
                      <w:lang w:val="en-US" w:eastAsia="zh-CN"/>
                      <w14:textFill>
                        <w14:solidFill>
                          <w14:schemeClr w14:val="tx1"/>
                        </w14:solidFill>
                      </w14:textFill>
                    </w:rPr>
                    <w:t>14</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浓水</w:t>
                  </w:r>
                </w:p>
              </w:tc>
            </w:tr>
            <w:tr>
              <w:tblPrEx>
                <w:tblCellMar>
                  <w:top w:w="0" w:type="dxa"/>
                  <w:left w:w="108" w:type="dxa"/>
                  <w:bottom w:w="0" w:type="dxa"/>
                  <w:right w:w="108" w:type="dxa"/>
                </w:tblCellMar>
              </w:tblPrEx>
              <w:trPr>
                <w:trHeight w:val="312" w:hRule="atLeast"/>
              </w:trPr>
              <w:tc>
                <w:tcPr>
                  <w:tcW w:w="6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0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1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0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1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themeColor="text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0.00023</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0.00207</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润洗</w:t>
                  </w:r>
                </w:p>
              </w:tc>
            </w:tr>
            <w:tr>
              <w:tblPrEx>
                <w:tblCellMar>
                  <w:top w:w="0" w:type="dxa"/>
                  <w:left w:w="108" w:type="dxa"/>
                  <w:bottom w:w="0" w:type="dxa"/>
                  <w:right w:w="108" w:type="dxa"/>
                </w:tblCellMar>
              </w:tblPrEx>
              <w:trPr>
                <w:trHeight w:val="312" w:hRule="atLeast"/>
              </w:trPr>
              <w:tc>
                <w:tcPr>
                  <w:tcW w:w="6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0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1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0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1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14:textFill>
                        <w14:solidFill>
                          <w14:schemeClr w14:val="tx1"/>
                        </w14:solidFill>
                      </w14:textFill>
                    </w:rPr>
                  </w:pP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themeColor="text1"/>
                      <w:lang w:val="en-US" w:eastAsia="zh-CN"/>
                      <w14:textFill>
                        <w14:solidFill>
                          <w14:schemeClr w14:val="tx1"/>
                        </w14:solidFill>
                      </w14:textFill>
                    </w:rPr>
                  </w:pPr>
                  <w:r>
                    <w:rPr>
                      <w:rFonts w:hint="eastAsia" w:eastAsia="宋体"/>
                      <w:b w:val="0"/>
                      <w:bCs w:val="0"/>
                      <w:color w:val="000000" w:themeColor="text1"/>
                      <w:lang w:val="en-US" w:eastAsia="zh-CN"/>
                      <w14:textFill>
                        <w14:solidFill>
                          <w14:schemeClr w14:val="tx1"/>
                        </w14:solidFill>
                      </w14:textFill>
                    </w:rPr>
                    <w:t>/</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0.0009</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标定</w:t>
                  </w:r>
                </w:p>
              </w:tc>
            </w:tr>
            <w:tr>
              <w:tblPrEx>
                <w:tblCellMar>
                  <w:top w:w="0" w:type="dxa"/>
                  <w:left w:w="108" w:type="dxa"/>
                  <w:bottom w:w="0" w:type="dxa"/>
                  <w:right w:w="108" w:type="dxa"/>
                </w:tblCellMar>
              </w:tblPrEx>
              <w:trPr>
                <w:trHeight w:val="283" w:hRule="atLeast"/>
              </w:trPr>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3</w:t>
                  </w: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水浴用水</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0.03</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0.024</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0.006</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0.006</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567" w:hRule="atLeast"/>
              </w:trPr>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4</w:t>
                  </w: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实验器皿清洗用水</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0.003</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0.003</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0.0006</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0.0024</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851" w:hRule="atLeast"/>
              </w:trPr>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5</w:t>
                  </w: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实验装置管路冲洗用水</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0.001</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0.0002</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themeColor="text1"/>
                      <w:sz w:val="21"/>
                      <w:szCs w:val="21"/>
                      <w:lang w:eastAsia="zh-CN"/>
                      <w14:textFill>
                        <w14:solidFill>
                          <w14:schemeClr w14:val="tx1"/>
                        </w14:solidFill>
                      </w14:textFill>
                    </w:rPr>
                  </w:pPr>
                  <w:r>
                    <w:rPr>
                      <w:rFonts w:ascii="Times New Roman" w:hAnsi="Times New Roman" w:eastAsia="等线" w:cs="Times New Roman"/>
                      <w:color w:val="000000" w:themeColor="text1"/>
                      <w:sz w:val="21"/>
                      <w:szCs w:val="21"/>
                      <w:lang w:eastAsia="zh-CN"/>
                      <w14:textFill>
                        <w14:solidFill>
                          <w14:schemeClr w14:val="tx1"/>
                        </w14:solidFill>
                      </w14:textFill>
                    </w:rPr>
                    <w:t>0.0008</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ascii="Times New Roman" w:hAnsi="Times New Roman" w:eastAsia="等线"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3" w:hRule="atLeast"/>
              </w:trPr>
              <w:tc>
                <w:tcPr>
                  <w:tcW w:w="17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合计</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ascii="Times New Roman" w:hAnsi="Times New Roman" w:eastAsia="等线"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0.0426</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ascii="Times New Roman" w:hAnsi="Times New Roman" w:eastAsia="等线"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0.024</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ascii="Times New Roman" w:hAnsi="Times New Roman" w:eastAsia="等线"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0.0186</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0.0078</w:t>
                  </w: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0.010</w:t>
                  </w: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77</w:t>
                  </w:r>
                </w:p>
              </w:tc>
              <w:tc>
                <w:tcPr>
                  <w:tcW w:w="853"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w:t>
                  </w:r>
                </w:p>
              </w:tc>
            </w:tr>
          </w:tbl>
          <w:p>
            <w:pPr>
              <w:pStyle w:val="3"/>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224145" cy="4926965"/>
                  <wp:effectExtent l="0" t="0" r="14605" b="698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5224145" cy="4926965"/>
                          </a:xfrm>
                          <a:prstGeom prst="rect">
                            <a:avLst/>
                          </a:prstGeom>
                        </pic:spPr>
                      </pic:pic>
                    </a:graphicData>
                  </a:graphic>
                </wp:inline>
              </w:drawing>
            </w:r>
          </w:p>
          <w:p>
            <w:pPr>
              <w:jc w:val="center"/>
              <w:rPr>
                <w:rFonts w:hint="default"/>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图2-1  项目水平衡图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（单位：m</w:t>
            </w:r>
            <w:r>
              <w:rPr>
                <w:rFonts w:hint="eastAsia" w:ascii="Times New Roman" w:hAnsi="Times New Roman" w:eastAsia="宋体" w:cs="Times New Roman"/>
                <w:b/>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/d）</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供电</w:t>
            </w:r>
          </w:p>
          <w:p>
            <w:pPr>
              <w:spacing w:line="360" w:lineRule="auto"/>
              <w:ind w:firstLine="480" w:firstLineChars="20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本项目供电依托长庆井下工业园用电，厂区用电由市政管网供电。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ign w:val="center"/>
          </w:tcPr>
          <w:p>
            <w:pPr>
              <w:pStyle w:val="18"/>
              <w:adjustRightInd w:val="0"/>
              <w:snapToGrid w:val="0"/>
              <w:spacing w:before="0" w:beforeAutospacing="0" w:after="0" w:afterAutospacing="0" w:line="36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工艺流程和产排污环节</w:t>
            </w:r>
          </w:p>
        </w:tc>
        <w:tc>
          <w:tcPr>
            <w:tcW w:w="8445" w:type="dxa"/>
            <w:noWra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1、施工期</w:t>
            </w:r>
          </w:p>
          <w:p>
            <w:pPr>
              <w:spacing w:line="360" w:lineRule="auto"/>
              <w:ind w:firstLine="480" w:firstLineChars="200"/>
              <w:rPr>
                <w:rFonts w:hint="eastAsia" w:ascii="Times New Roman" w:hAnsi="Times New Roman"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本项目施工期主要包括实验室基础地面改造及试验设备安装工程，</w:t>
            </w:r>
            <w:r>
              <w:rPr>
                <w:rFonts w:hint="eastAsia" w:ascii="Times New Roman" w:hAnsi="Times New Roman" w:cs="Times New Roman"/>
                <w:color w:val="000000" w:themeColor="text1"/>
                <w:sz w:val="24"/>
                <w:szCs w:val="32"/>
                <w:lang w:eastAsia="zh-CN"/>
                <w14:textFill>
                  <w14:solidFill>
                    <w14:schemeClr w14:val="tx1"/>
                  </w14:solidFill>
                </w14:textFill>
              </w:rPr>
              <w:t>项目施工期工艺流程及产污位置示意图如下图</w:t>
            </w:r>
            <w:r>
              <w:rPr>
                <w:rFonts w:ascii="Times New Roman" w:hAnsi="Times New Roman" w:eastAsia="宋体" w:cs="Times New Roman"/>
                <w:color w:val="000000" w:themeColor="text1"/>
                <w:sz w:val="24"/>
                <w:szCs w:val="32"/>
                <w:lang w:eastAsia="zh-CN"/>
                <w14:textFill>
                  <w14:solidFill>
                    <w14:schemeClr w14:val="tx1"/>
                  </w14:solidFill>
                </w14:textFill>
              </w:rPr>
              <w:t>2-2</w:t>
            </w:r>
            <w:r>
              <w:rPr>
                <w:rFonts w:hint="eastAsia" w:ascii="Times New Roman" w:hAnsi="Times New Roman" w:cs="Times New Roman"/>
                <w:color w:val="000000" w:themeColor="text1"/>
                <w:sz w:val="24"/>
                <w:szCs w:val="32"/>
                <w:lang w:eastAsia="zh-CN"/>
                <w14:textFill>
                  <w14:solidFill>
                    <w14:schemeClr w14:val="tx1"/>
                  </w14:solidFill>
                </w14:textFill>
              </w:rPr>
              <w:t>所示。</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（1）实验室基础地面改造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技术交底→准备机具设备→拆除原有地砖→将原有地面进行沉降处理→浇筑C15混凝土垫层→铺设Φ8@150mm的螺纹钢（预埋线管）→实验室中部设置排水明沟及集水篦子→拟定浇筑150mm-180mm厚C25混凝土</w:t>
            </w:r>
          </w:p>
          <w:p>
            <w:pPr>
              <w:pStyle w:val="8"/>
              <w:jc w:val="center"/>
              <w:rPr>
                <w:rFonts w:ascii="Times New Roman" w:hAnsi="Times New Roman" w:cs="Times New Roman"/>
                <w:b/>
                <w:color w:val="000000" w:themeColor="text1"/>
                <w:szCs w:val="28"/>
                <w14:textFill>
                  <w14:solidFill>
                    <w14:schemeClr w14:val="tx1"/>
                  </w14:solidFill>
                </w14:textFill>
              </w:rPr>
            </w:pPr>
            <w:r>
              <w:rPr>
                <w:rFonts w:ascii="Times New Roman" w:hAnsi="Times New Roman" w:cs="Times New Roman"/>
                <w:b/>
                <w:color w:val="000000" w:themeColor="text1"/>
                <w:szCs w:val="28"/>
                <w14:textFill>
                  <w14:solidFill>
                    <w14:schemeClr w14:val="tx1"/>
                  </w14:solidFill>
                </w14:textFill>
              </w:rPr>
              <w:drawing>
                <wp:inline distT="0" distB="0" distL="114300" distR="114300">
                  <wp:extent cx="4742815" cy="1962785"/>
                  <wp:effectExtent l="0" t="0" r="12065" b="3175"/>
                  <wp:docPr id="5" name="图片 2" descr="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施工"/>
                          <pic:cNvPicPr>
                            <a:picLocks noChangeAspect="1"/>
                          </pic:cNvPicPr>
                        </pic:nvPicPr>
                        <pic:blipFill>
                          <a:blip r:embed="rId7"/>
                          <a:stretch>
                            <a:fillRect/>
                          </a:stretch>
                        </pic:blipFill>
                        <pic:spPr>
                          <a:xfrm>
                            <a:off x="0" y="0"/>
                            <a:ext cx="4742815" cy="1962785"/>
                          </a:xfrm>
                          <a:prstGeom prst="rect">
                            <a:avLst/>
                          </a:prstGeom>
                          <a:noFill/>
                          <a:ln>
                            <a:noFill/>
                          </a:ln>
                        </pic:spPr>
                      </pic:pic>
                    </a:graphicData>
                  </a:graphic>
                </wp:inline>
              </w:drawing>
            </w:r>
          </w:p>
          <w:p>
            <w:pPr>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宋体" w:cs="Times New Roman"/>
                <w:b/>
                <w:bCs/>
                <w:color w:val="000000" w:themeColor="text1"/>
                <w:sz w:val="24"/>
                <w:szCs w:val="24"/>
                <w:lang w:eastAsia="zh-CN"/>
                <w14:textFill>
                  <w14:solidFill>
                    <w14:schemeClr w14:val="tx1"/>
                  </w14:solidFill>
                </w14:textFill>
              </w:rPr>
              <w:t>图2-</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2</w:t>
            </w:r>
            <w:r>
              <w:rPr>
                <w:rFonts w:ascii="Times New Roman" w:hAnsi="Times New Roman" w:eastAsia="宋体" w:cs="Times New Roman"/>
                <w:b/>
                <w:bCs/>
                <w:color w:val="000000" w:themeColor="text1"/>
                <w:sz w:val="24"/>
                <w:szCs w:val="24"/>
                <w:lang w:eastAsia="zh-CN"/>
                <w14:textFill>
                  <w14:solidFill>
                    <w14:schemeClr w14:val="tx1"/>
                  </w14:solidFill>
                </w14:textFill>
              </w:rPr>
              <w:t xml:space="preserve">  项目</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施工期工艺流程及产污位置示意图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1）原有地面地砖拆除；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2）对拆除完地砖进行地面沉降处理，保证重新浇筑完的钢筋混凝土与原地面整平；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3）基层处理：把沾在基层上的浮浆,落地灰等用钢丝刷清理掉，在用扫帚将浮土清扫干净，基层表面平整，光洁，不起灰，平整度误差太大就应当用水泥沙浆找平；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4）实验室中部设置排水明沟及集水篦子尺寸为500mm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500mm地沟内部设置电气托架线槽固定在托架上，强弱电分开分布，明沟底部排水；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5）铺设单层双向Φ8@150mm的螺纹钢防止因设备过重导致地面下沉（预埋线管）实验室用电经生命周期井场进入实验室内新设供电柜，再由供电柜进入地下预埋线管接入各个设备；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6）拟定浇筑150mm-180mm厚C25混凝土，坡度为1%；（恒温箱底部地面预留300mm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200mm排污槽，排污桶处地面预留100深，具体尺寸以排污桶大小决定）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7）钢筋混凝土浇筑养护7d后刷两遍环氧树脂涂料（目的为防腐，电绝缘）。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8）明沟篦子底部加设两道Q235方管承重，型号为40mm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对实验室地面改造过程中会产生少量粉尘及非甲烷总烃，施工期间对地面洒水，降低粉尘浓度，非甲烷总烃无组织挥发，对环境空气影响较小。</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（2）安装实验设备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试验设备安装过程中不涉及土建工程，只需要安装试验台及试验设备，此过程会产生噪声及固体废物，由于安装过程较短，对环境影响较小。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2、运营期</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（1）工艺流程及产污环节图</w:t>
            </w:r>
          </w:p>
          <w:p>
            <w:pPr>
              <w:pStyle w:val="8"/>
              <w:spacing w:line="360" w:lineRule="auto"/>
              <w:rPr>
                <w:rFonts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工艺流程及产污环节图见图2-</w:t>
            </w:r>
            <w:r>
              <w:rPr>
                <w:rFonts w:ascii="Times New Roman" w:hAnsi="Times New Roman" w:eastAsia="宋体" w:cs="Times New Roman"/>
                <w:color w:val="000000" w:themeColor="text1"/>
                <w:sz w:val="24"/>
                <w:szCs w:val="24"/>
                <w:lang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（2）工艺流程说明</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在线检定流程：根据检定规程要求，分别用低、中、高3种密度介质对被检密度计进行标定：</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检测介质1密度：①满足20±0.2℃后，循环装置将液体泵出，通过排气系统将液体中的存留气体排出装置，测定密度与电流信号值→②在（10～60）℃选取3个温度点，测定不同温度下密度与电流信号值→③在选定温度下，使介质1充满密度计后在密度计两端加压，在（0～3）MPa选取5个点，测定密度与电流信号值。</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结束后，使用清洗吹干系统将装置内所有密度计和管路中残存的液体排出并清洗吹干。</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更换介质2、3，重复上述步骤（为避免介质之间相互污染，3种介质的管路及水浴槽独立）。</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（3）产污环节说明</w:t>
            </w:r>
          </w:p>
          <w:p>
            <w:pPr>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1）废气：实验过程中使用钨酸盐溶液、氟油、60%乙醇作为密度标定液，由于乙醇易挥发，会产生有机废气，以非甲烷总烃计。</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本项目仅在纯水制备过程中产生少量的浓水。</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3）噪声：实验仪器运行产生的噪声。</w:t>
            </w:r>
          </w:p>
          <w:p>
            <w:pPr>
              <w:pStyle w:val="8"/>
              <w:keepNext w:val="0"/>
              <w:keepLines w:val="0"/>
              <w:pageBreakBefore w:val="0"/>
              <w:kinsoku/>
              <w:wordWrap/>
              <w:overflowPunct/>
              <w:topLinePunct w:val="0"/>
              <w:autoSpaceDE/>
              <w:autoSpaceDN/>
              <w:bidi w:val="0"/>
              <w:snapToGrid/>
              <w:spacing w:line="360" w:lineRule="auto"/>
              <w:ind w:firstLine="480" w:firstLineChars="200"/>
              <w:textAlignment w:val="auto"/>
              <w:rPr>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4）固废：①员工生活垃圾；②未沾染化学品的废包装材料（废包装盒、废包装袋、废纸箱等）；③实验室废液（实验中产生的废溶液、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清洗废水</w:t>
            </w:r>
            <w:r>
              <w:rPr>
                <w:rFonts w:hint="eastAsia" w:ascii="Times New Roman" w:hAnsi="Times New Roman" w:eastAsia="宋体" w:cs="Times New Roman"/>
                <w:color w:val="000000" w:themeColor="text1"/>
                <w:sz w:val="24"/>
                <w:szCs w:val="24"/>
                <w:lang w:eastAsia="zh-CN"/>
                <w14:textFill>
                  <w14:solidFill>
                    <w14:schemeClr w14:val="tx1"/>
                  </w14:solidFill>
                </w14:textFill>
              </w:rPr>
              <w:t>等）；④沾染化学品的废包装材料和废试剂瓶。</w:t>
            </w:r>
          </w:p>
          <w:p>
            <w:pPr>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drawing>
                <wp:inline distT="0" distB="0" distL="114300" distR="114300">
                  <wp:extent cx="3042285" cy="5189855"/>
                  <wp:effectExtent l="0" t="0" r="0" b="0"/>
                  <wp:docPr id="3" name="ECB019B1-382A-4266-B25C-5B523AA43C14-1" descr="C:/Users/Lenovo/AppData/Local/Temp/wps.BsQeP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Lenovo/AppData/Local/Temp/wps.BsQePPwps"/>
                          <pic:cNvPicPr>
                            <a:picLocks noChangeAspect="1"/>
                          </pic:cNvPicPr>
                        </pic:nvPicPr>
                        <pic:blipFill>
                          <a:blip r:embed="rId8"/>
                          <a:stretch>
                            <a:fillRect/>
                          </a:stretch>
                        </pic:blipFill>
                        <pic:spPr>
                          <a:xfrm>
                            <a:off x="0" y="0"/>
                            <a:ext cx="3042285" cy="5189855"/>
                          </a:xfrm>
                          <a:prstGeom prst="rect">
                            <a:avLst/>
                          </a:prstGeom>
                        </pic:spPr>
                      </pic:pic>
                    </a:graphicData>
                  </a:graphic>
                </wp:inline>
              </w:drawing>
            </w:r>
          </w:p>
          <w:p>
            <w:pPr>
              <w:jc w:val="cente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图2-2  检定工艺流程及产污环节图</w:t>
            </w:r>
          </w:p>
          <w:p>
            <w:pPr>
              <w:pStyle w:val="2"/>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themeColor="text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4" w:type="dxa"/>
            <w:noWrap/>
            <w:vAlign w:val="center"/>
          </w:tcPr>
          <w:p>
            <w:pPr>
              <w:pStyle w:val="18"/>
              <w:adjustRightInd w:val="0"/>
              <w:snapToGrid w:val="0"/>
              <w:spacing w:before="0" w:beforeAutospacing="0" w:after="0" w:afterAutospacing="0" w:line="36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8445" w:type="dxa"/>
            <w:noWra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本项目为新建，位于西咸新区秦汉新城朝阳四路长庆井下工业园内压裂所101室进行建设。根据现场勘察，项目所在厂房目前为空置，无环境污染问题。</w:t>
            </w:r>
          </w:p>
          <w:p>
            <w:pPr>
              <w:pStyle w:val="3"/>
              <w:rPr>
                <w:color w:val="000000" w:themeColor="text1"/>
                <w:lang w:eastAsia="zh-CN"/>
                <w14:textFill>
                  <w14:solidFill>
                    <w14:schemeClr w14:val="tx1"/>
                  </w14:solidFill>
                </w14:textFill>
              </w:rPr>
            </w:pPr>
          </w:p>
          <w:p>
            <w:pPr>
              <w:spacing w:line="360" w:lineRule="auto"/>
              <w:rPr>
                <w:color w:val="000000" w:themeColor="text1"/>
                <w:lang w:eastAsia="zh-CN"/>
                <w14:textFill>
                  <w14:solidFill>
                    <w14:schemeClr w14:val="tx1"/>
                  </w14:solidFill>
                </w14:textFill>
              </w:rPr>
            </w:pPr>
          </w:p>
          <w:p>
            <w:pPr>
              <w:pStyle w:val="11"/>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11"/>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11"/>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11"/>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11"/>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2"/>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2"/>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tc>
      </w:tr>
    </w:tbl>
    <w:p>
      <w:pPr>
        <w:rPr>
          <w:color w:val="000000" w:themeColor="text1"/>
          <w14:textFill>
            <w14:solidFill>
              <w14:schemeClr w14:val="tx1"/>
            </w14:solidFill>
          </w14:textFill>
        </w:rPr>
        <w:sectPr>
          <w:pgSz w:w="11906" w:h="16838"/>
          <w:pgMar w:top="1984" w:right="1531" w:bottom="1701" w:left="1531" w:header="1701" w:footer="1417" w:gutter="0"/>
          <w:pgNumType w:fmt="decimal"/>
          <w:cols w:space="425" w:num="1"/>
          <w:docGrid w:type="lines" w:linePitch="312" w:charSpace="0"/>
        </w:sectPr>
      </w:pPr>
    </w:p>
    <w:p>
      <w:pPr>
        <w:pStyle w:val="18"/>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noWrap/>
            <w:vAlign w:val="center"/>
          </w:tcPr>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区域</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环境</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质量</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现状</w:t>
            </w:r>
          </w:p>
        </w:tc>
        <w:tc>
          <w:tcPr>
            <w:tcW w:w="8334" w:type="dxa"/>
            <w:noWrap/>
            <w:vAlign w:val="center"/>
          </w:tcPr>
          <w:p>
            <w:pPr>
              <w:adjustRightInd w:val="0"/>
              <w:snapToGrid w:val="0"/>
              <w:spacing w:line="360" w:lineRule="auto"/>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1、大气环境</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质量状况</w:t>
            </w:r>
          </w:p>
          <w:p>
            <w:pPr>
              <w:adjustRightInd w:val="0"/>
              <w:snapToGrid w:val="0"/>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本项目环境空气质量现状</w:t>
            </w:r>
            <w:r>
              <w:rPr>
                <w:rFonts w:ascii="Times New Roman" w:hAnsi="Times New Roman" w:eastAsia="宋体" w:cs="Times New Roman"/>
                <w:color w:val="000000" w:themeColor="text1"/>
                <w:sz w:val="24"/>
                <w:szCs w:val="24"/>
                <w14:textFill>
                  <w14:solidFill>
                    <w14:schemeClr w14:val="tx1"/>
                  </w14:solidFill>
                </w14:textFill>
              </w:rPr>
              <w:t>引用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陕西省生态环境厅</w:t>
            </w:r>
            <w:r>
              <w:rPr>
                <w:rFonts w:ascii="Times New Roman" w:hAnsi="Times New Roman" w:eastAsia="宋体" w:cs="Times New Roman"/>
                <w:color w:val="000000" w:themeColor="text1"/>
                <w:sz w:val="24"/>
                <w:szCs w:val="24"/>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ascii="Times New Roman" w:hAnsi="Times New Roman" w:eastAsia="宋体" w:cs="Times New Roman"/>
                <w:color w:val="000000" w:themeColor="text1"/>
                <w:sz w:val="24"/>
                <w:szCs w:val="24"/>
                <w14:textFill>
                  <w14:solidFill>
                    <w14:schemeClr w14:val="tx1"/>
                  </w14:solidFill>
                </w14:textFill>
              </w:rPr>
              <w:t>日发布的《202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年1</w:t>
            </w:r>
            <w:r>
              <w:rPr>
                <w:rFonts w:ascii="Times New Roman" w:hAnsi="Times New Roman" w:eastAsia="宋体" w:cs="Times New Roman"/>
                <w:color w:val="000000" w:themeColor="text1"/>
                <w:sz w:val="24"/>
                <w:szCs w:val="24"/>
                <w:lang w:eastAsia="zh-CN"/>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月及1~12月全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省</w:t>
            </w:r>
            <w:r>
              <w:rPr>
                <w:rFonts w:ascii="Times New Roman" w:hAnsi="Times New Roman" w:eastAsia="宋体" w:cs="Times New Roman"/>
                <w:color w:val="000000" w:themeColor="text1"/>
                <w:sz w:val="24"/>
                <w:szCs w:val="24"/>
                <w14:textFill>
                  <w14:solidFill>
                    <w14:schemeClr w14:val="tx1"/>
                  </w14:solidFill>
                </w14:textFill>
              </w:rPr>
              <w:t>环境空气质量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状况</w:t>
            </w:r>
            <w:r>
              <w:rPr>
                <w:rFonts w:ascii="Times New Roman" w:hAnsi="Times New Roman" w:eastAsia="宋体" w:cs="Times New Roman"/>
                <w:color w:val="000000" w:themeColor="text1"/>
                <w:sz w:val="24"/>
                <w:szCs w:val="24"/>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西咸新区</w:t>
            </w:r>
            <w:r>
              <w:rPr>
                <w:rFonts w:ascii="Times New Roman" w:hAnsi="Times New Roman" w:eastAsia="宋体" w:cs="Times New Roman"/>
                <w:color w:val="000000" w:themeColor="text1"/>
                <w:sz w:val="24"/>
                <w:szCs w:val="24"/>
                <w14:textFill>
                  <w14:solidFill>
                    <w14:schemeClr w14:val="tx1"/>
                  </w14:solidFill>
                </w14:textFill>
              </w:rPr>
              <w:t>的空气常规六项污染物监测结果，区域空气质量现状评价结果见表3-1。</w:t>
            </w:r>
          </w:p>
          <w:p>
            <w:pPr>
              <w:pStyle w:val="19"/>
              <w:spacing w:before="0" w:beforeAutospacing="0" w:line="360" w:lineRule="auto"/>
              <w:ind w:firstLine="0" w:firstLineChars="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表3-1 环境空气质量统计表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837"/>
              <w:gridCol w:w="1329"/>
              <w:gridCol w:w="1256"/>
              <w:gridCol w:w="968"/>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8" w:type="pct"/>
                  <w:tcBorders>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tc>
              <w:tc>
                <w:tcPr>
                  <w:tcW w:w="1749"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年评价指标</w:t>
                  </w:r>
                </w:p>
              </w:tc>
              <w:tc>
                <w:tcPr>
                  <w:tcW w:w="819"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现状浓度/（µg/m</w:t>
                  </w:r>
                  <w:r>
                    <w:rPr>
                      <w:rFonts w:ascii="Times New Roman" w:hAnsi="Times New Roman" w:eastAsia="宋体" w:cs="Times New Roman"/>
                      <w:b/>
                      <w:color w:val="000000" w:themeColor="text1"/>
                      <w:sz w:val="21"/>
                      <w:szCs w:val="21"/>
                      <w:vertAlign w:val="superscript"/>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w:t>
                  </w:r>
                </w:p>
              </w:tc>
              <w:tc>
                <w:tcPr>
                  <w:tcW w:w="774"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标准值/（µg/m</w:t>
                  </w:r>
                  <w:r>
                    <w:rPr>
                      <w:rFonts w:ascii="Times New Roman" w:hAnsi="Times New Roman" w:eastAsia="宋体" w:cs="Times New Roman"/>
                      <w:b/>
                      <w:color w:val="000000" w:themeColor="text1"/>
                      <w:sz w:val="21"/>
                      <w:szCs w:val="21"/>
                      <w:vertAlign w:val="superscript"/>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w:t>
                  </w:r>
                </w:p>
              </w:tc>
              <w:tc>
                <w:tcPr>
                  <w:tcW w:w="597" w:type="pct"/>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占标率/%</w:t>
                  </w:r>
                </w:p>
              </w:tc>
              <w:tc>
                <w:tcPr>
                  <w:tcW w:w="541" w:type="pct"/>
                  <w:tcBorders>
                    <w:left w:val="single" w:color="auto" w:sz="4" w:space="0"/>
                    <w:bottom w:val="single" w:color="auto" w:sz="4" w:space="0"/>
                  </w:tcBorders>
                  <w:vAlign w:val="center"/>
                </w:tcPr>
                <w:p>
                  <w:pPr>
                    <w:adjustRightInd w:val="0"/>
                    <w:snapToGrid w:val="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PM</w:t>
                  </w:r>
                  <w:r>
                    <w:rPr>
                      <w:rFonts w:ascii="Times New Roman" w:hAnsi="Times New Roman" w:eastAsia="宋体" w:cs="Times New Roman"/>
                      <w:bCs/>
                      <w:color w:val="000000" w:themeColor="text1"/>
                      <w:sz w:val="21"/>
                      <w:szCs w:val="21"/>
                      <w:vertAlign w:val="subscript"/>
                      <w14:textFill>
                        <w14:solidFill>
                          <w14:schemeClr w14:val="tx1"/>
                        </w14:solidFill>
                      </w14:textFill>
                    </w:rPr>
                    <w:t>2.5</w:t>
                  </w:r>
                </w:p>
              </w:tc>
              <w:tc>
                <w:tcPr>
                  <w:tcW w:w="174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年平均质量浓度</w:t>
                  </w:r>
                </w:p>
              </w:tc>
              <w:tc>
                <w:tcPr>
                  <w:tcW w:w="8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42</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35</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120</w:t>
                  </w:r>
                </w:p>
              </w:tc>
              <w:tc>
                <w:tcPr>
                  <w:tcW w:w="5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PM</w:t>
                  </w:r>
                  <w:r>
                    <w:rPr>
                      <w:rFonts w:ascii="Times New Roman" w:hAnsi="Times New Roman" w:eastAsia="宋体" w:cs="Times New Roman"/>
                      <w:bCs/>
                      <w:color w:val="000000" w:themeColor="text1"/>
                      <w:sz w:val="21"/>
                      <w:szCs w:val="21"/>
                      <w:vertAlign w:val="subscript"/>
                      <w14:textFill>
                        <w14:solidFill>
                          <w14:schemeClr w14:val="tx1"/>
                        </w14:solidFill>
                      </w14:textFill>
                    </w:rPr>
                    <w:t>10</w:t>
                  </w:r>
                </w:p>
              </w:tc>
              <w:tc>
                <w:tcPr>
                  <w:tcW w:w="174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年平均质量浓度</w:t>
                  </w:r>
                </w:p>
              </w:tc>
              <w:tc>
                <w:tcPr>
                  <w:tcW w:w="8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81</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70</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115.71</w:t>
                  </w:r>
                </w:p>
              </w:tc>
              <w:tc>
                <w:tcPr>
                  <w:tcW w:w="5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1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SO</w:t>
                  </w:r>
                  <w:r>
                    <w:rPr>
                      <w:rFonts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74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年平均质量浓度</w:t>
                  </w:r>
                </w:p>
              </w:tc>
              <w:tc>
                <w:tcPr>
                  <w:tcW w:w="8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60</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13.33</w:t>
                  </w:r>
                </w:p>
              </w:tc>
              <w:tc>
                <w:tcPr>
                  <w:tcW w:w="5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NO</w:t>
                  </w:r>
                  <w:r>
                    <w:rPr>
                      <w:rFonts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74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年平均质量浓度</w:t>
                  </w:r>
                </w:p>
              </w:tc>
              <w:tc>
                <w:tcPr>
                  <w:tcW w:w="8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38</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40</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95</w:t>
                  </w:r>
                </w:p>
              </w:tc>
              <w:tc>
                <w:tcPr>
                  <w:tcW w:w="5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CO</w:t>
                  </w:r>
                </w:p>
              </w:tc>
              <w:tc>
                <w:tcPr>
                  <w:tcW w:w="174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24小时平均第95百分位数浓度</w:t>
                  </w:r>
                </w:p>
              </w:tc>
              <w:tc>
                <w:tcPr>
                  <w:tcW w:w="8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1200</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4000</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30</w:t>
                  </w:r>
                </w:p>
              </w:tc>
              <w:tc>
                <w:tcPr>
                  <w:tcW w:w="5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18" w:type="pct"/>
                  <w:tcBorders>
                    <w:top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O</w:t>
                  </w:r>
                  <w:r>
                    <w:rPr>
                      <w:rFonts w:ascii="Times New Roman" w:hAnsi="Times New Roman" w:eastAsia="宋体" w:cs="Times New Roman"/>
                      <w:bCs/>
                      <w:color w:val="000000" w:themeColor="text1"/>
                      <w:sz w:val="21"/>
                      <w:szCs w:val="21"/>
                      <w:vertAlign w:val="subscript"/>
                      <w14:textFill>
                        <w14:solidFill>
                          <w14:schemeClr w14:val="tx1"/>
                        </w14:solidFill>
                      </w14:textFill>
                    </w:rPr>
                    <w:t>3</w:t>
                  </w:r>
                </w:p>
              </w:tc>
              <w:tc>
                <w:tcPr>
                  <w:tcW w:w="174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8小时平均第90百分位数浓度</w:t>
                  </w:r>
                </w:p>
              </w:tc>
              <w:tc>
                <w:tcPr>
                  <w:tcW w:w="819" w:type="pc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38</w:t>
                  </w:r>
                </w:p>
              </w:tc>
              <w:tc>
                <w:tcPr>
                  <w:tcW w:w="77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160</w:t>
                  </w:r>
                </w:p>
              </w:tc>
              <w:tc>
                <w:tcPr>
                  <w:tcW w:w="597" w:type="pc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86.25</w:t>
                  </w:r>
                </w:p>
              </w:tc>
              <w:tc>
                <w:tcPr>
                  <w:tcW w:w="541" w:type="pct"/>
                  <w:tcBorders>
                    <w:top w:val="single" w:color="auto" w:sz="4" w:space="0"/>
                    <w:left w:val="single" w:color="auto" w:sz="4" w:space="0"/>
                  </w:tcBorders>
                  <w:vAlign w:val="center"/>
                </w:tcPr>
                <w:p>
                  <w:pPr>
                    <w:adjustRightInd w:val="0"/>
                    <w:snapToGrid w:val="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达标</w:t>
                  </w:r>
                </w:p>
              </w:tc>
            </w:tr>
          </w:tbl>
          <w:p>
            <w:pPr>
              <w:adjustRightInd w:val="0"/>
              <w:snapToGrid w:val="0"/>
              <w:spacing w:line="360" w:lineRule="auto"/>
              <w:ind w:firstLine="480" w:firstLineChars="200"/>
              <w:jc w:val="both"/>
              <w:rPr>
                <w:rFonts w:hint="default"/>
                <w:color w:val="000000" w:themeColor="text1"/>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根据表3-1，项目区域SO</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、NO</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年平均质量浓度、CO24小时平均第95百分位数和O</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8小时平均第90百分位数的浓度均满足《环境空气质量标准》（GB3095-2012）二级标准，PM</w:t>
            </w:r>
            <w:r>
              <w:rPr>
                <w:rFonts w:ascii="Times New Roman" w:hAnsi="Times New Roman" w:eastAsia="宋体" w:cs="Times New Roman"/>
                <w:color w:val="000000" w:themeColor="text1"/>
                <w:sz w:val="24"/>
                <w:szCs w:val="24"/>
                <w:vertAlign w:val="subscript"/>
                <w14:textFill>
                  <w14:solidFill>
                    <w14:schemeClr w14:val="tx1"/>
                  </w14:solidFill>
                </w14:textFill>
              </w:rPr>
              <w:t>2.5</w:t>
            </w:r>
            <w:r>
              <w:rPr>
                <w:rFonts w:ascii="Times New Roman" w:hAnsi="Times New Roman" w:eastAsia="宋体" w:cs="Times New Roman"/>
                <w:color w:val="000000" w:themeColor="text1"/>
                <w:sz w:val="24"/>
                <w:szCs w:val="24"/>
                <w14:textFill>
                  <w14:solidFill>
                    <w14:schemeClr w14:val="tx1"/>
                  </w14:solidFill>
                </w14:textFill>
              </w:rPr>
              <w:t>、PM</w:t>
            </w:r>
            <w:r>
              <w:rPr>
                <w:rFonts w:ascii="Times New Roman" w:hAnsi="Times New Roman" w:eastAsia="宋体" w:cs="Times New Roman"/>
                <w:color w:val="000000" w:themeColor="text1"/>
                <w:sz w:val="24"/>
                <w:szCs w:val="24"/>
                <w:vertAlign w:val="subscript"/>
                <w14:textFill>
                  <w14:solidFill>
                    <w14:schemeClr w14:val="tx1"/>
                  </w14:solidFill>
                </w14:textFill>
              </w:rPr>
              <w:t>10</w:t>
            </w:r>
            <w:r>
              <w:rPr>
                <w:rFonts w:ascii="Times New Roman" w:hAnsi="Times New Roman" w:eastAsia="宋体" w:cs="Times New Roman"/>
                <w:color w:val="000000" w:themeColor="text1"/>
                <w:sz w:val="24"/>
                <w:szCs w:val="24"/>
                <w14:textFill>
                  <w14:solidFill>
                    <w14:schemeClr w14:val="tx1"/>
                  </w14:solidFill>
                </w14:textFill>
              </w:rPr>
              <w:t>年平均质量浓度超标，本项目所在评价区域为不达标区。</w:t>
            </w:r>
          </w:p>
          <w:p>
            <w:pPr>
              <w:spacing w:line="360" w:lineRule="auto"/>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eastAsia="zh-CN"/>
                <w14:textFill>
                  <w14:solidFill>
                    <w14:schemeClr w14:val="tx1"/>
                  </w14:solidFill>
                </w14:textFill>
              </w:rPr>
              <w:t>2、</w:t>
            </w:r>
            <w:r>
              <w:rPr>
                <w:rFonts w:ascii="Times New Roman" w:hAnsi="Times New Roman" w:eastAsia="宋体" w:cs="Times New Roman"/>
                <w:b/>
                <w:bCs/>
                <w:color w:val="000000" w:themeColor="text1"/>
                <w:sz w:val="24"/>
                <w:szCs w:val="24"/>
                <w:lang w:eastAsia="zh-CN"/>
                <w14:textFill>
                  <w14:solidFill>
                    <w14:schemeClr w14:val="tx1"/>
                  </w14:solidFill>
                </w14:textFill>
              </w:rPr>
              <w:t>声环境质量状况</w:t>
            </w: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3" w:name="_Toc16014"/>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为了解拟建项目所在地声环境质量现状，本次评价委托陕西君携环境检测有限公司对项目地声环境质量状况进行监测。</w:t>
            </w:r>
            <w:r>
              <w:rPr>
                <w:rFonts w:ascii="Times New Roman" w:hAnsi="Times New Roman" w:eastAsia="宋体" w:cs="Times New Roman"/>
                <w:color w:val="000000" w:themeColor="text1"/>
                <w:sz w:val="24"/>
                <w:szCs w:val="24"/>
                <w14:textFill>
                  <w14:solidFill>
                    <w14:schemeClr w14:val="tx1"/>
                  </w14:solidFill>
                </w14:textFill>
              </w:rPr>
              <w:t>根据202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~8日</w:t>
            </w:r>
            <w:r>
              <w:rPr>
                <w:rFonts w:ascii="Times New Roman" w:hAnsi="Times New Roman" w:eastAsia="宋体" w:cs="Times New Roman"/>
                <w:color w:val="000000" w:themeColor="text1"/>
                <w:sz w:val="24"/>
                <w:szCs w:val="24"/>
                <w14:textFill>
                  <w14:solidFill>
                    <w14:schemeClr w14:val="tx1"/>
                  </w14:solidFill>
                </w14:textFill>
              </w:rPr>
              <w:t>陕西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君携环境检测有限公司</w:t>
            </w:r>
            <w:r>
              <w:rPr>
                <w:rFonts w:ascii="Times New Roman" w:hAnsi="Times New Roman" w:eastAsia="宋体" w:cs="Times New Roman"/>
                <w:color w:val="000000" w:themeColor="text1"/>
                <w:sz w:val="24"/>
                <w:szCs w:val="24"/>
                <w14:textFill>
                  <w14:solidFill>
                    <w14:schemeClr w14:val="tx1"/>
                  </w14:solidFill>
                </w14:textFill>
              </w:rPr>
              <w:t>对项目厂界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四周</w:t>
            </w:r>
            <w:r>
              <w:rPr>
                <w:rFonts w:ascii="Times New Roman" w:hAnsi="Times New Roman" w:eastAsia="宋体" w:cs="Times New Roman"/>
                <w:color w:val="000000" w:themeColor="text1"/>
                <w:sz w:val="24"/>
                <w:szCs w:val="24"/>
                <w14:textFill>
                  <w14:solidFill>
                    <w14:schemeClr w14:val="tx1"/>
                  </w14:solidFill>
                </w14:textFill>
              </w:rPr>
              <w:t>噪声现状监测，共布设4个厂界噪声监测点，昼间、夜间分别监测一次。噪声现状监测值见表3-2。</w:t>
            </w:r>
          </w:p>
          <w:p>
            <w:pPr>
              <w:spacing w:line="360" w:lineRule="auto"/>
              <w:jc w:val="center"/>
              <w:rPr>
                <w:color w:val="000000" w:themeColor="text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 xml:space="preserve">  环境噪声监测结果</w:t>
            </w:r>
            <w:bookmarkEnd w:id="3"/>
            <w:r>
              <w:rPr>
                <w:rFonts w:ascii="Times New Roman" w:hAnsi="Times New Roman" w:eastAsia="宋体" w:cs="Times New Roman"/>
                <w:b/>
                <w:bCs/>
                <w:color w:val="000000" w:themeColor="text1"/>
                <w:sz w:val="24"/>
                <w:szCs w:val="24"/>
                <w14:textFill>
                  <w14:solidFill>
                    <w14:schemeClr w14:val="tx1"/>
                  </w14:solidFill>
                </w14:textFill>
              </w:rPr>
              <w:t xml:space="preserve">      单位：dB(A)</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228"/>
              <w:gridCol w:w="1227"/>
              <w:gridCol w:w="1227"/>
              <w:gridCol w:w="1309"/>
              <w:gridCol w:w="999"/>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restar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监测点位</w:t>
                  </w:r>
                </w:p>
              </w:tc>
              <w:tc>
                <w:tcPr>
                  <w:tcW w:w="3077" w:type="pct"/>
                  <w:gridSpan w:val="4"/>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监测时间</w:t>
                  </w:r>
                </w:p>
              </w:tc>
              <w:tc>
                <w:tcPr>
                  <w:tcW w:w="1143" w:type="pct"/>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标准评价（GB3096-2008）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78" w:type="pct"/>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513" w:type="pct"/>
                  <w:gridSpan w:val="2"/>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年</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月</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日</w:t>
                  </w:r>
                </w:p>
              </w:tc>
              <w:tc>
                <w:tcPr>
                  <w:tcW w:w="1563" w:type="pct"/>
                  <w:gridSpan w:val="2"/>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年</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月</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日</w:t>
                  </w:r>
                </w:p>
              </w:tc>
              <w:tc>
                <w:tcPr>
                  <w:tcW w:w="1143" w:type="pct"/>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5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昼间</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夜间</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昼间</w:t>
                  </w:r>
                </w:p>
              </w:tc>
              <w:tc>
                <w:tcPr>
                  <w:tcW w:w="80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夜间</w:t>
                  </w:r>
                </w:p>
              </w:tc>
              <w:tc>
                <w:tcPr>
                  <w:tcW w:w="61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昼间</w:t>
                  </w:r>
                </w:p>
              </w:tc>
              <w:tc>
                <w:tcPr>
                  <w:tcW w:w="52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1#东厂界</w:t>
                  </w:r>
                </w:p>
              </w:tc>
              <w:tc>
                <w:tcPr>
                  <w:tcW w:w="75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44</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40</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43</w:t>
                  </w:r>
                </w:p>
              </w:tc>
              <w:tc>
                <w:tcPr>
                  <w:tcW w:w="80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41</w:t>
                  </w:r>
                </w:p>
              </w:tc>
              <w:tc>
                <w:tcPr>
                  <w:tcW w:w="61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65</w:t>
                  </w:r>
                </w:p>
              </w:tc>
              <w:tc>
                <w:tcPr>
                  <w:tcW w:w="52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2#南厂界</w:t>
                  </w:r>
                </w:p>
              </w:tc>
              <w:tc>
                <w:tcPr>
                  <w:tcW w:w="757" w:type="pct"/>
                  <w:vAlign w:val="center"/>
                </w:tcPr>
                <w:p>
                  <w:pPr>
                    <w:keepNext w:val="0"/>
                    <w:keepLines w:val="0"/>
                    <w:pageBreakBefore w:val="0"/>
                    <w:widowControl w:val="0"/>
                    <w:tabs>
                      <w:tab w:val="left" w:pos="417"/>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44</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80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46</w:t>
                  </w:r>
                </w:p>
              </w:tc>
              <w:tc>
                <w:tcPr>
                  <w:tcW w:w="61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65</w:t>
                  </w:r>
                </w:p>
              </w:tc>
              <w:tc>
                <w:tcPr>
                  <w:tcW w:w="52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3#西厂界</w:t>
                  </w:r>
                </w:p>
              </w:tc>
              <w:tc>
                <w:tcPr>
                  <w:tcW w:w="75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46</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41</w:t>
                  </w:r>
                </w:p>
              </w:tc>
              <w:tc>
                <w:tcPr>
                  <w:tcW w:w="756" w:type="pct"/>
                  <w:vAlign w:val="center"/>
                </w:tcPr>
                <w:p>
                  <w:pPr>
                    <w:keepNext w:val="0"/>
                    <w:keepLines w:val="0"/>
                    <w:pageBreakBefore w:val="0"/>
                    <w:widowControl w:val="0"/>
                    <w:tabs>
                      <w:tab w:val="center" w:pos="409"/>
                      <w:tab w:val="left" w:pos="583"/>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46</w:t>
                  </w:r>
                </w:p>
              </w:tc>
              <w:tc>
                <w:tcPr>
                  <w:tcW w:w="80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40</w:t>
                  </w:r>
                </w:p>
              </w:tc>
              <w:tc>
                <w:tcPr>
                  <w:tcW w:w="61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65</w:t>
                  </w:r>
                </w:p>
              </w:tc>
              <w:tc>
                <w:tcPr>
                  <w:tcW w:w="52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4#北厂界</w:t>
                  </w:r>
                </w:p>
              </w:tc>
              <w:tc>
                <w:tcPr>
                  <w:tcW w:w="75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44</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40</w:t>
                  </w:r>
                </w:p>
              </w:tc>
              <w:tc>
                <w:tcPr>
                  <w:tcW w:w="75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43</w:t>
                  </w:r>
                </w:p>
              </w:tc>
              <w:tc>
                <w:tcPr>
                  <w:tcW w:w="80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40</w:t>
                  </w:r>
                </w:p>
              </w:tc>
              <w:tc>
                <w:tcPr>
                  <w:tcW w:w="616"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65</w:t>
                  </w:r>
                </w:p>
              </w:tc>
              <w:tc>
                <w:tcPr>
                  <w:tcW w:w="52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监测结果表明，</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项目厂界昼、夜间噪声值均符合《声环境质量标准》（GB3096-2008）中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类标准；项目区域声环境质量现状良好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726" w:type="dxa"/>
            <w:noWrap/>
            <w:vAlign w:val="center"/>
          </w:tcPr>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环境</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保护</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目标</w:t>
            </w:r>
          </w:p>
        </w:tc>
        <w:tc>
          <w:tcPr>
            <w:tcW w:w="8334" w:type="dxa"/>
            <w:noWrap/>
            <w:vAlign w:val="center"/>
          </w:tcPr>
          <w:p>
            <w:pPr>
              <w:pStyle w:val="31"/>
              <w:spacing w:line="360" w:lineRule="auto"/>
              <w:ind w:firstLine="480"/>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Cs w:val="24"/>
                <w:lang w:val="en-US" w:eastAsia="zh-CN"/>
                <w14:textFill>
                  <w14:solidFill>
                    <w14:schemeClr w14:val="tx1"/>
                  </w14:solidFill>
                </w14:textFill>
              </w:rPr>
              <w:t>根据敏感因素的界定原则，经实地调查了解，评价区内也无重点保护文物、古迹、植物、动物及人文景观等。根据环办环评【2020】33号文，大气环境保护目标以厂界外500m范围的居民，根据现场调查，项目周边500m</w:t>
            </w:r>
            <w:r>
              <w:rPr>
                <w:rFonts w:hint="eastAsia" w:ascii="Times New Roman" w:hAnsi="Times New Roman" w:eastAsia="宋体" w:cs="Times New Roman"/>
                <w:color w:val="000000" w:themeColor="text1"/>
                <w:szCs w:val="24"/>
                <w:lang w:val="en-US" w:eastAsia="zh-CN"/>
                <w14:textFill>
                  <w14:solidFill>
                    <w14:schemeClr w14:val="tx1"/>
                  </w14:solidFill>
                </w14:textFill>
              </w:rPr>
              <w:t>有</w:t>
            </w:r>
            <w:r>
              <w:rPr>
                <w:rFonts w:ascii="Times New Roman" w:hAnsi="Times New Roman" w:eastAsia="宋体" w:cs="Times New Roman"/>
                <w:color w:val="000000" w:themeColor="text1"/>
                <w:szCs w:val="24"/>
                <w:lang w:val="en-US" w:eastAsia="zh-CN"/>
                <w14:textFill>
                  <w14:solidFill>
                    <w14:schemeClr w14:val="tx1"/>
                  </w14:solidFill>
                </w14:textFill>
              </w:rPr>
              <w:t>居民点，</w:t>
            </w:r>
            <w:r>
              <w:rPr>
                <w:rFonts w:hint="eastAsia" w:ascii="Times New Roman" w:hAnsi="Times New Roman" w:eastAsia="宋体" w:cs="Times New Roman"/>
                <w:color w:val="000000" w:themeColor="text1"/>
                <w:szCs w:val="24"/>
                <w:lang w:val="en-US" w:eastAsia="zh-CN"/>
                <w14:textFill>
                  <w14:solidFill>
                    <w14:schemeClr w14:val="tx1"/>
                  </w14:solidFill>
                </w14:textFill>
              </w:rPr>
              <w:t>存在大气环境保护目标，大气环境保护目标分布图见附图5，</w:t>
            </w:r>
            <w:r>
              <w:rPr>
                <w:rFonts w:hint="eastAsia" w:ascii="宋体" w:hAnsi="宋体" w:eastAsia="宋体" w:cs="宋体"/>
                <w:color w:val="000000" w:themeColor="text1"/>
                <w:spacing w:val="-7"/>
                <w:sz w:val="24"/>
                <w:szCs w:val="24"/>
                <w:highlight w:val="none"/>
                <w:lang w:val="en-US" w:eastAsia="zh-CN"/>
                <w14:textFill>
                  <w14:solidFill>
                    <w14:schemeClr w14:val="tx1"/>
                  </w14:solidFill>
                </w14:textFill>
              </w:rPr>
              <w:t>玻璃厂小区和咸阳市中心医院东郊分院距离该项目较近，分别为188米、186米，但其均处于项目上风向位置，项目建成后，对该敏感点影响较小；</w:t>
            </w:r>
            <w:r>
              <w:rPr>
                <w:rFonts w:ascii="Times New Roman" w:hAnsi="Times New Roman" w:eastAsia="宋体" w:cs="Times New Roman"/>
                <w:color w:val="000000" w:themeColor="text1"/>
                <w:szCs w:val="24"/>
                <w:lang w:val="en-US" w:eastAsia="zh-CN"/>
                <w14:textFill>
                  <w14:solidFill>
                    <w14:schemeClr w14:val="tx1"/>
                  </w14:solidFill>
                </w14:textFill>
              </w:rPr>
              <w:t>周边50m范围内</w:t>
            </w:r>
            <w:r>
              <w:rPr>
                <w:rFonts w:hint="eastAsia" w:ascii="Times New Roman" w:hAnsi="Times New Roman" w:eastAsia="宋体" w:cs="Times New Roman"/>
                <w:color w:val="000000" w:themeColor="text1"/>
                <w:szCs w:val="24"/>
                <w:lang w:val="en-US" w:eastAsia="zh-CN"/>
                <w14:textFill>
                  <w14:solidFill>
                    <w14:schemeClr w14:val="tx1"/>
                  </w14:solidFill>
                </w14:textFill>
              </w:rPr>
              <w:t>无</w:t>
            </w:r>
            <w:r>
              <w:rPr>
                <w:rFonts w:ascii="Times New Roman" w:hAnsi="Times New Roman" w:eastAsia="宋体" w:cs="Times New Roman"/>
                <w:color w:val="000000" w:themeColor="text1"/>
                <w:szCs w:val="24"/>
                <w:lang w:val="en-US" w:eastAsia="zh-CN"/>
                <w14:textFill>
                  <w14:solidFill>
                    <w14:schemeClr w14:val="tx1"/>
                  </w14:solidFill>
                </w14:textFill>
              </w:rPr>
              <w:t>声环境保护目标；</w:t>
            </w:r>
            <w:r>
              <w:rPr>
                <w:rFonts w:ascii="Times New Roman" w:hAnsi="Times New Roman" w:eastAsia="宋体" w:cs="Times New Roman"/>
                <w:color w:val="000000" w:themeColor="text1"/>
                <w:szCs w:val="24"/>
                <w:lang w:val="en-US" w:eastAsia="zh-CN"/>
                <w14:textFill>
                  <w14:solidFill>
                    <w14:schemeClr w14:val="tx1"/>
                  </w14:solidFill>
                </w14:textFill>
              </w:rPr>
              <w:t>项目周边500m无地下水集中式饮用水水源和热水、矿泉水、温泉等特殊地下水资源，无地下水环境保护目标。</w:t>
            </w:r>
          </w:p>
          <w:p>
            <w:pPr>
              <w:spacing w:line="360" w:lineRule="auto"/>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b/>
                <w:bCs/>
                <w:color w:val="000000" w:themeColor="text1"/>
                <w:sz w:val="24"/>
                <w:szCs w:val="24"/>
                <w14:textFill>
                  <w14:solidFill>
                    <w14:schemeClr w14:val="tx1"/>
                  </w14:solidFill>
                </w14:textFill>
              </w:rPr>
              <w:t>环境敏感目标一览表</w:t>
            </w:r>
          </w:p>
          <w:tbl>
            <w:tblPr>
              <w:tblStyle w:val="21"/>
              <w:tblpPr w:leftFromText="180" w:rightFromText="180" w:vertAnchor="text" w:horzAnchor="page" w:tblpX="317" w:tblpY="145"/>
              <w:tblOverlap w:val="never"/>
              <w:tblW w:w="8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986"/>
              <w:gridCol w:w="1571"/>
              <w:gridCol w:w="1519"/>
              <w:gridCol w:w="683"/>
              <w:gridCol w:w="707"/>
              <w:gridCol w:w="698"/>
              <w:gridCol w:w="725"/>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5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宋体" w:hAnsi="宋体" w:eastAsia="宋体" w:cs="宋体"/>
                      <w:b/>
                      <w:bCs/>
                      <w:color w:val="000000" w:themeColor="text1"/>
                      <w:spacing w:val="-2"/>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pacing w:val="-2"/>
                      <w:sz w:val="21"/>
                      <w:szCs w:val="21"/>
                      <w:highlight w:val="none"/>
                      <w:lang w:val="en-US" w:eastAsia="zh-CN"/>
                      <w14:textFill>
                        <w14:solidFill>
                          <w14:schemeClr w14:val="tx1"/>
                        </w14:solidFill>
                      </w14:textFill>
                    </w:rPr>
                    <w:t>环境要素</w:t>
                  </w:r>
                </w:p>
              </w:tc>
              <w:tc>
                <w:tcPr>
                  <w:tcW w:w="986" w:type="dxa"/>
                  <w:vMerge w:val="restart"/>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名称</w:t>
                  </w:r>
                </w:p>
              </w:tc>
              <w:tc>
                <w:tcPr>
                  <w:tcW w:w="3090" w:type="dxa"/>
                  <w:gridSpan w:val="2"/>
                  <w:vAlign w:val="center"/>
                </w:tcPr>
                <w:p>
                  <w:pPr>
                    <w:widowControl w:val="0"/>
                    <w:spacing w:before="103" w:line="214" w:lineRule="auto"/>
                    <w:jc w:val="cente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经纬度</w:t>
                  </w:r>
                </w:p>
              </w:tc>
              <w:tc>
                <w:tcPr>
                  <w:tcW w:w="683" w:type="dxa"/>
                  <w:vMerge w:val="restart"/>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保护对象</w:t>
                  </w:r>
                </w:p>
              </w:tc>
              <w:tc>
                <w:tcPr>
                  <w:tcW w:w="707" w:type="dxa"/>
                  <w:vMerge w:val="restart"/>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保护内容</w:t>
                  </w:r>
                </w:p>
              </w:tc>
              <w:tc>
                <w:tcPr>
                  <w:tcW w:w="698" w:type="dxa"/>
                  <w:vMerge w:val="restart"/>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环境功能区</w:t>
                  </w:r>
                </w:p>
              </w:tc>
              <w:tc>
                <w:tcPr>
                  <w:tcW w:w="725" w:type="dxa"/>
                  <w:vMerge w:val="restart"/>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相对厂址方位</w:t>
                  </w:r>
                </w:p>
              </w:tc>
              <w:tc>
                <w:tcPr>
                  <w:tcW w:w="719" w:type="dxa"/>
                  <w:vMerge w:val="restart"/>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5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ascii="宋体" w:hAnsi="宋体" w:eastAsia="宋体" w:cs="宋体"/>
                      <w:b w:val="0"/>
                      <w:bCs w:val="0"/>
                      <w:color w:val="000000" w:themeColor="text1"/>
                      <w:spacing w:val="-2"/>
                      <w:sz w:val="21"/>
                      <w:szCs w:val="21"/>
                      <w:highlight w:val="none"/>
                      <w14:textFill>
                        <w14:solidFill>
                          <w14:schemeClr w14:val="tx1"/>
                        </w14:solidFill>
                      </w14:textFill>
                    </w:rPr>
                  </w:pPr>
                </w:p>
              </w:tc>
              <w:tc>
                <w:tcPr>
                  <w:tcW w:w="986"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1571" w:type="dxa"/>
                  <w:vAlign w:val="center"/>
                </w:tcPr>
                <w:p>
                  <w:pPr>
                    <w:widowControl w:val="0"/>
                    <w:spacing w:before="103" w:line="214" w:lineRule="auto"/>
                    <w:jc w:val="cente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经度</w:t>
                  </w:r>
                </w:p>
              </w:tc>
              <w:tc>
                <w:tcPr>
                  <w:tcW w:w="1519" w:type="dxa"/>
                  <w:vAlign w:val="center"/>
                </w:tcPr>
                <w:p>
                  <w:pPr>
                    <w:widowControl w:val="0"/>
                    <w:spacing w:before="103" w:line="214" w:lineRule="auto"/>
                    <w:jc w:val="center"/>
                    <w:rPr>
                      <w:rFonts w:hint="default"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2"/>
                      <w:sz w:val="21"/>
                      <w:szCs w:val="21"/>
                      <w:highlight w:val="none"/>
                      <w:lang w:val="en-US" w:eastAsia="zh-CN"/>
                      <w14:textFill>
                        <w14:solidFill>
                          <w14:schemeClr w14:val="tx1"/>
                        </w14:solidFill>
                      </w14:textFill>
                    </w:rPr>
                    <w:t>纬度</w:t>
                  </w:r>
                </w:p>
              </w:tc>
              <w:tc>
                <w:tcPr>
                  <w:tcW w:w="683"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707"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698"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725"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719"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宋体" w:hAnsi="宋体" w:eastAsia="宋体" w:cs="宋体"/>
                      <w:b w:val="0"/>
                      <w:bCs w:val="0"/>
                      <w:color w:val="000000" w:themeColor="text1"/>
                      <w:spacing w:val="-2"/>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sz w:val="21"/>
                      <w:szCs w:val="21"/>
                      <w:highlight w:val="none"/>
                      <w:lang w:val="en-US" w:eastAsia="zh-CN"/>
                      <w14:textFill>
                        <w14:solidFill>
                          <w14:schemeClr w14:val="tx1"/>
                        </w14:solidFill>
                      </w14:textFill>
                    </w:rPr>
                    <w:t>环境空气</w:t>
                  </w:r>
                </w:p>
              </w:tc>
              <w:tc>
                <w:tcPr>
                  <w:tcW w:w="986"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玻璃厂小区</w:t>
                  </w:r>
                </w:p>
              </w:tc>
              <w:tc>
                <w:tcPr>
                  <w:tcW w:w="1571"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108°46′1.988″</w:t>
                  </w:r>
                </w:p>
              </w:tc>
              <w:tc>
                <w:tcPr>
                  <w:tcW w:w="15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34°22′22.147″</w:t>
                  </w:r>
                </w:p>
              </w:tc>
              <w:tc>
                <w:tcPr>
                  <w:tcW w:w="683"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居民</w:t>
                  </w:r>
                </w:p>
              </w:tc>
              <w:tc>
                <w:tcPr>
                  <w:tcW w:w="707" w:type="dxa"/>
                  <w:vMerge w:val="restart"/>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环境空气</w:t>
                  </w:r>
                </w:p>
              </w:tc>
              <w:tc>
                <w:tcPr>
                  <w:tcW w:w="698" w:type="dxa"/>
                  <w:vMerge w:val="restart"/>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二类</w:t>
                  </w: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SE</w:t>
                  </w:r>
                </w:p>
              </w:tc>
              <w:tc>
                <w:tcPr>
                  <w:tcW w:w="719"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ascii="宋体" w:hAnsi="宋体" w:eastAsia="宋体" w:cs="宋体"/>
                      <w:b w:val="0"/>
                      <w:bCs w:val="0"/>
                      <w:color w:val="000000" w:themeColor="text1"/>
                      <w:spacing w:val="-1"/>
                      <w:sz w:val="21"/>
                      <w:szCs w:val="21"/>
                      <w:highlight w:val="none"/>
                      <w14:textFill>
                        <w14:solidFill>
                          <w14:schemeClr w14:val="tx1"/>
                        </w14:solidFill>
                      </w14:textFill>
                    </w:rPr>
                    <w:t>咸阳市中心医</w:t>
                  </w:r>
                  <w:r>
                    <w:rPr>
                      <w:rFonts w:ascii="宋体" w:hAnsi="宋体" w:eastAsia="宋体" w:cs="宋体"/>
                      <w:b w:val="0"/>
                      <w:bCs w:val="0"/>
                      <w:color w:val="000000" w:themeColor="text1"/>
                      <w:spacing w:val="-6"/>
                      <w:sz w:val="21"/>
                      <w:szCs w:val="21"/>
                      <w:highlight w:val="none"/>
                      <w14:textFill>
                        <w14:solidFill>
                          <w14:schemeClr w14:val="tx1"/>
                        </w14:solidFill>
                      </w14:textFill>
                    </w:rPr>
                    <w:t>院</w:t>
                  </w:r>
                  <w:r>
                    <w:rPr>
                      <w:rFonts w:ascii="宋体" w:hAnsi="宋体" w:eastAsia="宋体" w:cs="宋体"/>
                      <w:b w:val="0"/>
                      <w:bCs w:val="0"/>
                      <w:color w:val="000000" w:themeColor="text1"/>
                      <w:spacing w:val="-4"/>
                      <w:sz w:val="21"/>
                      <w:szCs w:val="21"/>
                      <w:highlight w:val="none"/>
                      <w14:textFill>
                        <w14:solidFill>
                          <w14:schemeClr w14:val="tx1"/>
                        </w14:solidFill>
                      </w14:textFill>
                    </w:rPr>
                    <w:t>东</w:t>
                  </w:r>
                  <w:r>
                    <w:rPr>
                      <w:rFonts w:ascii="宋体" w:hAnsi="宋体" w:eastAsia="宋体" w:cs="宋体"/>
                      <w:b w:val="0"/>
                      <w:bCs w:val="0"/>
                      <w:color w:val="000000" w:themeColor="text1"/>
                      <w:spacing w:val="-3"/>
                      <w:sz w:val="21"/>
                      <w:szCs w:val="21"/>
                      <w:highlight w:val="none"/>
                      <w14:textFill>
                        <w14:solidFill>
                          <w14:schemeClr w14:val="tx1"/>
                        </w14:solidFill>
                      </w14:textFill>
                    </w:rPr>
                    <w:t>郊分院</w:t>
                  </w:r>
                </w:p>
              </w:tc>
              <w:tc>
                <w:tcPr>
                  <w:tcW w:w="1571"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108°45′56.208″</w:t>
                  </w:r>
                </w:p>
              </w:tc>
              <w:tc>
                <w:tcPr>
                  <w:tcW w:w="15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34°22′18.748″</w:t>
                  </w:r>
                </w:p>
              </w:tc>
              <w:tc>
                <w:tcPr>
                  <w:tcW w:w="683"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人群</w:t>
                  </w:r>
                </w:p>
              </w:tc>
              <w:tc>
                <w:tcPr>
                  <w:tcW w:w="707"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698"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S</w:t>
                  </w:r>
                </w:p>
              </w:tc>
              <w:tc>
                <w:tcPr>
                  <w:tcW w:w="719"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ascii="宋体" w:hAnsi="宋体" w:eastAsia="宋体" w:cs="宋体"/>
                      <w:b w:val="0"/>
                      <w:bCs w:val="0"/>
                      <w:color w:val="000000" w:themeColor="text1"/>
                      <w:spacing w:val="-2"/>
                      <w:sz w:val="21"/>
                      <w:szCs w:val="21"/>
                      <w:highlight w:val="none"/>
                      <w14:textFill>
                        <w14:solidFill>
                          <w14:schemeClr w14:val="tx1"/>
                        </w14:solidFill>
                      </w14:textFill>
                    </w:rPr>
                    <w:t>华秦</w:t>
                  </w:r>
                  <w:r>
                    <w:rPr>
                      <w:rFonts w:ascii="宋体" w:hAnsi="宋体" w:eastAsia="宋体" w:cs="宋体"/>
                      <w:b w:val="0"/>
                      <w:bCs w:val="0"/>
                      <w:color w:val="000000" w:themeColor="text1"/>
                      <w:spacing w:val="-1"/>
                      <w:sz w:val="21"/>
                      <w:szCs w:val="21"/>
                      <w:highlight w:val="none"/>
                      <w14:textFill>
                        <w14:solidFill>
                          <w14:schemeClr w14:val="tx1"/>
                        </w14:solidFill>
                      </w14:textFill>
                    </w:rPr>
                    <w:t>小学</w:t>
                  </w:r>
                </w:p>
              </w:tc>
              <w:tc>
                <w:tcPr>
                  <w:tcW w:w="1571"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108°46′10.031″</w:t>
                  </w:r>
                </w:p>
              </w:tc>
              <w:tc>
                <w:tcPr>
                  <w:tcW w:w="15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34°22′24.560″</w:t>
                  </w:r>
                </w:p>
              </w:tc>
              <w:tc>
                <w:tcPr>
                  <w:tcW w:w="683"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人群</w:t>
                  </w:r>
                </w:p>
              </w:tc>
              <w:tc>
                <w:tcPr>
                  <w:tcW w:w="707"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698" w:type="dxa"/>
                  <w:vMerge w:val="continue"/>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SE</w:t>
                  </w:r>
                </w:p>
              </w:tc>
              <w:tc>
                <w:tcPr>
                  <w:tcW w:w="7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ascii="宋体" w:hAnsi="宋体" w:eastAsia="宋体" w:cs="宋体"/>
                      <w:b w:val="0"/>
                      <w:bCs w:val="0"/>
                      <w:color w:val="000000" w:themeColor="text1"/>
                      <w:spacing w:val="-2"/>
                      <w:sz w:val="21"/>
                      <w:szCs w:val="21"/>
                      <w:highlight w:val="none"/>
                      <w14:textFill>
                        <w14:solidFill>
                          <w14:schemeClr w14:val="tx1"/>
                        </w14:solidFill>
                      </w14:textFill>
                    </w:rPr>
                    <w:t>望贤</w:t>
                  </w:r>
                  <w:r>
                    <w:rPr>
                      <w:rFonts w:ascii="宋体" w:hAnsi="宋体" w:eastAsia="宋体" w:cs="宋体"/>
                      <w:b w:val="0"/>
                      <w:bCs w:val="0"/>
                      <w:color w:val="000000" w:themeColor="text1"/>
                      <w:spacing w:val="-1"/>
                      <w:sz w:val="21"/>
                      <w:szCs w:val="21"/>
                      <w:highlight w:val="none"/>
                      <w14:textFill>
                        <w14:solidFill>
                          <w14:schemeClr w14:val="tx1"/>
                        </w14:solidFill>
                      </w14:textFill>
                    </w:rPr>
                    <w:t>城起小区</w:t>
                  </w:r>
                </w:p>
              </w:tc>
              <w:tc>
                <w:tcPr>
                  <w:tcW w:w="1571"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108°45′36.153″</w:t>
                  </w:r>
                </w:p>
              </w:tc>
              <w:tc>
                <w:tcPr>
                  <w:tcW w:w="15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34°22′18.904″</w:t>
                  </w:r>
                </w:p>
              </w:tc>
              <w:tc>
                <w:tcPr>
                  <w:tcW w:w="683" w:type="dxa"/>
                  <w:vAlign w:val="center"/>
                </w:tcPr>
                <w:p>
                  <w:pPr>
                    <w:widowControl w:val="0"/>
                    <w:spacing w:before="168" w:line="221" w:lineRule="auto"/>
                    <w:jc w:val="center"/>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ascii="宋体" w:hAnsi="宋体" w:eastAsia="宋体" w:cs="宋体"/>
                      <w:b w:val="0"/>
                      <w:bCs w:val="0"/>
                      <w:color w:val="000000" w:themeColor="text1"/>
                      <w:spacing w:val="-2"/>
                      <w:sz w:val="21"/>
                      <w:szCs w:val="21"/>
                      <w:highlight w:val="none"/>
                      <w14:textFill>
                        <w14:solidFill>
                          <w14:schemeClr w14:val="tx1"/>
                        </w14:solidFill>
                      </w14:textFill>
                    </w:rPr>
                    <w:t>居民</w:t>
                  </w:r>
                </w:p>
              </w:tc>
              <w:tc>
                <w:tcPr>
                  <w:tcW w:w="707"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698"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SW</w:t>
                  </w:r>
                </w:p>
              </w:tc>
              <w:tc>
                <w:tcPr>
                  <w:tcW w:w="7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ascii="宋体" w:hAnsi="宋体" w:eastAsia="宋体" w:cs="宋体"/>
                      <w:b w:val="0"/>
                      <w:bCs w:val="0"/>
                      <w:color w:val="000000" w:themeColor="text1"/>
                      <w:spacing w:val="-1"/>
                      <w:sz w:val="21"/>
                      <w:szCs w:val="21"/>
                      <w:highlight w:val="none"/>
                      <w14:textFill>
                        <w14:solidFill>
                          <w14:schemeClr w14:val="tx1"/>
                        </w14:solidFill>
                      </w14:textFill>
                    </w:rPr>
                    <w:t>烤烟厂家</w:t>
                  </w:r>
                  <w:r>
                    <w:rPr>
                      <w:rFonts w:ascii="宋体" w:hAnsi="宋体" w:eastAsia="宋体" w:cs="宋体"/>
                      <w:b w:val="0"/>
                      <w:bCs w:val="0"/>
                      <w:color w:val="000000" w:themeColor="text1"/>
                      <w:sz w:val="21"/>
                      <w:szCs w:val="21"/>
                      <w:highlight w:val="none"/>
                      <w14:textFill>
                        <w14:solidFill>
                          <w14:schemeClr w14:val="tx1"/>
                        </w14:solidFill>
                      </w14:textFill>
                    </w:rPr>
                    <w:t>属院</w:t>
                  </w:r>
                </w:p>
              </w:tc>
              <w:tc>
                <w:tcPr>
                  <w:tcW w:w="1571"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108°45′58.367″</w:t>
                  </w:r>
                </w:p>
              </w:tc>
              <w:tc>
                <w:tcPr>
                  <w:tcW w:w="15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34°22′15.174″</w:t>
                  </w:r>
                </w:p>
              </w:tc>
              <w:tc>
                <w:tcPr>
                  <w:tcW w:w="683" w:type="dxa"/>
                  <w:vAlign w:val="center"/>
                </w:tcPr>
                <w:p>
                  <w:pPr>
                    <w:widowControl w:val="0"/>
                    <w:spacing w:before="210" w:line="221" w:lineRule="auto"/>
                    <w:jc w:val="center"/>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ascii="宋体" w:hAnsi="宋体" w:eastAsia="宋体" w:cs="宋体"/>
                      <w:b w:val="0"/>
                      <w:bCs w:val="0"/>
                      <w:color w:val="000000" w:themeColor="text1"/>
                      <w:spacing w:val="-2"/>
                      <w:sz w:val="21"/>
                      <w:szCs w:val="21"/>
                      <w:highlight w:val="none"/>
                      <w14:textFill>
                        <w14:solidFill>
                          <w14:schemeClr w14:val="tx1"/>
                        </w14:solidFill>
                      </w14:textFill>
                    </w:rPr>
                    <w:t>居民</w:t>
                  </w:r>
                </w:p>
              </w:tc>
              <w:tc>
                <w:tcPr>
                  <w:tcW w:w="707"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698"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S</w:t>
                  </w:r>
                </w:p>
              </w:tc>
              <w:tc>
                <w:tcPr>
                  <w:tcW w:w="7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widowControl w:val="0"/>
                    <w:spacing w:before="103" w:line="214" w:lineRule="auto"/>
                    <w:jc w:val="center"/>
                    <w:rPr>
                      <w:rFonts w:hint="eastAsia" w:ascii="宋体" w:hAnsi="宋体" w:eastAsia="宋体" w:cs="宋体"/>
                      <w:b w:val="0"/>
                      <w:bCs w:val="0"/>
                      <w:color w:val="000000" w:themeColor="text1"/>
                      <w:spacing w:val="-2"/>
                      <w:sz w:val="21"/>
                      <w:szCs w:val="21"/>
                      <w:highlight w:val="none"/>
                      <w:vertAlign w:val="baseline"/>
                      <w:lang w:eastAsia="zh-CN"/>
                      <w14:textOutline w14:w="4354" w14:cap="flat" w14:cmpd="sng">
                        <w14:solidFill>
                          <w14:srgbClr w14:val="000000"/>
                        </w14:solidFill>
                        <w14:prstDash w14:val="solid"/>
                        <w14:miter w14:val="0"/>
                      </w14:textOutline>
                      <w14:textFill>
                        <w14:solidFill>
                          <w14:schemeClr w14:val="tx1"/>
                        </w14:solidFill>
                      </w14:textFill>
                    </w:rPr>
                  </w:pPr>
                </w:p>
              </w:tc>
              <w:tc>
                <w:tcPr>
                  <w:tcW w:w="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color w:val="000000" w:themeColor="text1"/>
                      <w:spacing w:val="-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1"/>
                      <w:sz w:val="21"/>
                      <w:szCs w:val="21"/>
                      <w:highlight w:val="none"/>
                      <w:lang w:val="en-US" w:eastAsia="zh-CN"/>
                      <w14:textFill>
                        <w14:solidFill>
                          <w14:schemeClr w14:val="tx1"/>
                        </w14:solidFill>
                      </w14:textFill>
                    </w:rPr>
                    <w:t>龚东村</w:t>
                  </w:r>
                </w:p>
              </w:tc>
              <w:tc>
                <w:tcPr>
                  <w:tcW w:w="1571"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108°45'44.056″</w:t>
                  </w:r>
                </w:p>
              </w:tc>
              <w:tc>
                <w:tcPr>
                  <w:tcW w:w="15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34°22'43.016"</w:t>
                  </w:r>
                </w:p>
              </w:tc>
              <w:tc>
                <w:tcPr>
                  <w:tcW w:w="6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color w:val="000000" w:themeColor="text1"/>
                      <w:spacing w:val="-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1"/>
                      <w:sz w:val="21"/>
                      <w:szCs w:val="21"/>
                      <w:highlight w:val="none"/>
                      <w:lang w:val="en-US" w:eastAsia="zh-CN"/>
                      <w14:textFill>
                        <w14:solidFill>
                          <w14:schemeClr w14:val="tx1"/>
                        </w14:solidFill>
                      </w14:textFill>
                    </w:rPr>
                    <w:t>居民</w:t>
                  </w:r>
                </w:p>
              </w:tc>
              <w:tc>
                <w:tcPr>
                  <w:tcW w:w="70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color w:val="000000" w:themeColor="text1"/>
                      <w:spacing w:val="-1"/>
                      <w:sz w:val="21"/>
                      <w:szCs w:val="21"/>
                      <w:highlight w:val="none"/>
                      <w:lang w:eastAsia="zh-CN"/>
                      <w14:textFill>
                        <w14:solidFill>
                          <w14:schemeClr w14:val="tx1"/>
                        </w14:solidFill>
                      </w14:textFill>
                    </w:rPr>
                  </w:pPr>
                </w:p>
              </w:tc>
              <w:tc>
                <w:tcPr>
                  <w:tcW w:w="698"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val="0"/>
                      <w:bCs w:val="0"/>
                      <w:color w:val="000000" w:themeColor="text1"/>
                      <w:spacing w:val="-1"/>
                      <w:sz w:val="21"/>
                      <w:szCs w:val="21"/>
                      <w:highlight w:val="none"/>
                      <w:lang w:eastAsia="zh-CN"/>
                      <w14:textFill>
                        <w14:solidFill>
                          <w14:schemeClr w14:val="tx1"/>
                        </w14:solidFill>
                      </w14:textFill>
                    </w:rPr>
                  </w:pP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N</w:t>
                  </w:r>
                </w:p>
              </w:tc>
              <w:tc>
                <w:tcPr>
                  <w:tcW w:w="719"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地表水</w:t>
                  </w:r>
                </w:p>
              </w:tc>
              <w:tc>
                <w:tcPr>
                  <w:tcW w:w="4759" w:type="dxa"/>
                  <w:gridSpan w:val="4"/>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渭河</w:t>
                  </w:r>
                </w:p>
              </w:tc>
              <w:tc>
                <w:tcPr>
                  <w:tcW w:w="707"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地表水</w:t>
                  </w:r>
                </w:p>
              </w:tc>
              <w:tc>
                <w:tcPr>
                  <w:tcW w:w="698"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Ⅳ类</w:t>
                  </w:r>
                </w:p>
              </w:tc>
              <w:tc>
                <w:tcPr>
                  <w:tcW w:w="725"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S</w:t>
                  </w:r>
                </w:p>
              </w:tc>
              <w:tc>
                <w:tcPr>
                  <w:tcW w:w="719"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地下水</w:t>
                  </w:r>
                </w:p>
              </w:tc>
              <w:tc>
                <w:tcPr>
                  <w:tcW w:w="4759" w:type="dxa"/>
                  <w:gridSpan w:val="4"/>
                  <w:vAlign w:val="center"/>
                </w:tcPr>
                <w:p>
                  <w:pPr>
                    <w:widowControl w:val="0"/>
                    <w:spacing w:before="55" w:line="221" w:lineRule="auto"/>
                    <w:ind w:left="189"/>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项目所在厂区</w:t>
                  </w:r>
                  <w:r>
                    <w:rPr>
                      <w:rFonts w:ascii="宋体" w:hAnsi="宋体" w:eastAsia="宋体" w:cs="宋体"/>
                      <w:color w:val="000000" w:themeColor="text1"/>
                      <w:sz w:val="21"/>
                      <w:szCs w:val="21"/>
                      <w14:textFill>
                        <w14:solidFill>
                          <w14:schemeClr w14:val="tx1"/>
                        </w14:solidFill>
                      </w14:textFill>
                    </w:rPr>
                    <w:t>厂界外</w:t>
                  </w:r>
                  <w:r>
                    <w:rPr>
                      <w:rFonts w:ascii="Times New Roman" w:hAnsi="Times New Roman" w:eastAsia="Times New Roman" w:cs="Times New Roman"/>
                      <w:color w:val="000000" w:themeColor="text1"/>
                      <w:sz w:val="21"/>
                      <w:szCs w:val="21"/>
                      <w14:textFill>
                        <w14:solidFill>
                          <w14:schemeClr w14:val="tx1"/>
                        </w14:solidFill>
                      </w14:textFill>
                    </w:rPr>
                    <w:t>500m</w:t>
                  </w:r>
                  <w:r>
                    <w:rPr>
                      <w:rFonts w:ascii="宋体" w:hAnsi="宋体" w:eastAsia="宋体" w:cs="宋体"/>
                      <w:color w:val="000000" w:themeColor="text1"/>
                      <w:sz w:val="21"/>
                      <w:szCs w:val="21"/>
                      <w14:textFill>
                        <w14:solidFill>
                          <w14:schemeClr w14:val="tx1"/>
                        </w14:solidFill>
                      </w14:textFill>
                    </w:rPr>
                    <w:t>范围内无地下水集中式引用水水</w:t>
                  </w:r>
                  <w:r>
                    <w:rPr>
                      <w:rFonts w:ascii="宋体" w:hAnsi="宋体" w:eastAsia="宋体" w:cs="宋体"/>
                      <w:color w:val="000000" w:themeColor="text1"/>
                      <w:spacing w:val="-4"/>
                      <w:sz w:val="21"/>
                      <w:szCs w:val="21"/>
                      <w14:textFill>
                        <w14:solidFill>
                          <w14:schemeClr w14:val="tx1"/>
                        </w14:solidFill>
                      </w14:textFill>
                    </w:rPr>
                    <w:t>源和热水、矿泉水、温泉等特殊地下水资源，无地下水环</w:t>
                  </w:r>
                  <w:r>
                    <w:rPr>
                      <w:rFonts w:ascii="宋体" w:hAnsi="宋体" w:eastAsia="宋体" w:cs="宋体"/>
                      <w:color w:val="000000" w:themeColor="text1"/>
                      <w:spacing w:val="-3"/>
                      <w:sz w:val="21"/>
                      <w:szCs w:val="21"/>
                      <w14:textFill>
                        <w14:solidFill>
                          <w14:schemeClr w14:val="tx1"/>
                        </w14:solidFill>
                      </w14:textFill>
                    </w:rPr>
                    <w:t>境</w:t>
                  </w:r>
                  <w:r>
                    <w:rPr>
                      <w:rFonts w:ascii="宋体" w:hAnsi="宋体" w:eastAsia="宋体" w:cs="宋体"/>
                      <w:color w:val="000000" w:themeColor="text1"/>
                      <w:spacing w:val="-6"/>
                      <w:sz w:val="21"/>
                      <w:szCs w:val="21"/>
                      <w14:textFill>
                        <w14:solidFill>
                          <w14:schemeClr w14:val="tx1"/>
                        </w14:solidFill>
                      </w14:textFill>
                    </w:rPr>
                    <w:t>保</w:t>
                  </w:r>
                  <w:r>
                    <w:rPr>
                      <w:rFonts w:ascii="宋体" w:hAnsi="宋体" w:eastAsia="宋体" w:cs="宋体"/>
                      <w:color w:val="000000" w:themeColor="text1"/>
                      <w:spacing w:val="-4"/>
                      <w:sz w:val="21"/>
                      <w:szCs w:val="21"/>
                      <w14:textFill>
                        <w14:solidFill>
                          <w14:schemeClr w14:val="tx1"/>
                        </w14:solidFill>
                      </w14:textFill>
                    </w:rPr>
                    <w:t>护目标。</w:t>
                  </w:r>
                </w:p>
              </w:tc>
              <w:tc>
                <w:tcPr>
                  <w:tcW w:w="707"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地下水</w:t>
                  </w:r>
                </w:p>
              </w:tc>
              <w:tc>
                <w:tcPr>
                  <w:tcW w:w="2142" w:type="dxa"/>
                  <w:gridSpan w:val="3"/>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生态环境</w:t>
                  </w:r>
                </w:p>
              </w:tc>
              <w:tc>
                <w:tcPr>
                  <w:tcW w:w="4759" w:type="dxa"/>
                  <w:gridSpan w:val="4"/>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项目用地位于</w:t>
                  </w:r>
                  <w:r>
                    <w:rPr>
                      <w:rFonts w:ascii="宋体" w:hAnsi="宋体" w:eastAsia="宋体" w:cs="宋体"/>
                      <w:color w:val="000000" w:themeColor="text1"/>
                      <w:sz w:val="21"/>
                      <w:szCs w:val="21"/>
                      <w14:textFill>
                        <w14:solidFill>
                          <w14:schemeClr w14:val="tx1"/>
                        </w14:solidFill>
                      </w14:textFill>
                    </w:rPr>
                    <w:t>原有厂区内，不属于产业园区外建设项目新增</w:t>
                  </w:r>
                  <w:r>
                    <w:rPr>
                      <w:rFonts w:ascii="宋体" w:hAnsi="宋体" w:eastAsia="宋体" w:cs="宋体"/>
                      <w:color w:val="000000" w:themeColor="text1"/>
                      <w:spacing w:val="-10"/>
                      <w:sz w:val="21"/>
                      <w:szCs w:val="21"/>
                      <w14:textFill>
                        <w14:solidFill>
                          <w14:schemeClr w14:val="tx1"/>
                        </w14:solidFill>
                      </w14:textFill>
                    </w:rPr>
                    <w:t>用</w:t>
                  </w:r>
                  <w:r>
                    <w:rPr>
                      <w:rFonts w:ascii="宋体" w:hAnsi="宋体" w:eastAsia="宋体" w:cs="宋体"/>
                      <w:color w:val="000000" w:themeColor="text1"/>
                      <w:spacing w:val="-9"/>
                      <w:sz w:val="21"/>
                      <w:szCs w:val="21"/>
                      <w14:textFill>
                        <w14:solidFill>
                          <w14:schemeClr w14:val="tx1"/>
                        </w14:solidFill>
                      </w14:textFill>
                    </w:rPr>
                    <w:t>地，无生态环境保护目标。</w:t>
                  </w:r>
                </w:p>
              </w:tc>
              <w:tc>
                <w:tcPr>
                  <w:tcW w:w="707" w:type="dxa"/>
                  <w:vAlign w:val="center"/>
                </w:tcPr>
                <w:p>
                  <w:pPr>
                    <w:widowControl w:val="0"/>
                    <w:spacing w:before="103" w:line="214" w:lineRule="auto"/>
                    <w:jc w:val="cente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生态环境</w:t>
                  </w:r>
                </w:p>
              </w:tc>
              <w:tc>
                <w:tcPr>
                  <w:tcW w:w="2142" w:type="dxa"/>
                  <w:gridSpan w:val="3"/>
                  <w:vAlign w:val="center"/>
                </w:tcPr>
                <w:p>
                  <w:pPr>
                    <w:widowControl w:val="0"/>
                    <w:spacing w:before="103" w:line="214" w:lineRule="auto"/>
                    <w:jc w:val="center"/>
                    <w:rPr>
                      <w:rFonts w:hint="default"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pacing w:val="-2"/>
                      <w:sz w:val="21"/>
                      <w:szCs w:val="21"/>
                      <w:highlight w:val="none"/>
                      <w:lang w:val="en-US" w:eastAsia="zh-CN"/>
                      <w14:textFill>
                        <w14:solidFill>
                          <w14:schemeClr w14:val="tx1"/>
                        </w14:solidFill>
                      </w14:textFill>
                    </w:rPr>
                    <w:t>/</w:t>
                  </w:r>
                </w:p>
              </w:tc>
            </w:tr>
          </w:tbl>
          <w:p>
            <w:pPr>
              <w:spacing w:line="360" w:lineRule="auto"/>
              <w:rPr>
                <w:rFonts w:ascii="Times New Roman" w:hAnsi="Times New Roman" w:eastAsia="宋体"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726" w:type="dxa"/>
            <w:noWrap/>
            <w:tcMar>
              <w:left w:w="28" w:type="dxa"/>
              <w:right w:w="28" w:type="dxa"/>
            </w:tcMar>
            <w:vAlign w:val="center"/>
          </w:tcPr>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污染</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物排</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放控</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制标</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准</w:t>
            </w:r>
          </w:p>
        </w:tc>
        <w:tc>
          <w:tcPr>
            <w:tcW w:w="8334" w:type="dxa"/>
            <w:noWrap/>
            <w:vAlign w:val="center"/>
          </w:tcPr>
          <w:p>
            <w:pPr>
              <w:adjustRightInd w:val="0"/>
              <w:snapToGrid w:val="0"/>
              <w:spacing w:line="360" w:lineRule="auto"/>
              <w:jc w:val="both"/>
              <w:rPr>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（1）</w:t>
            </w:r>
            <w:r>
              <w:rPr>
                <w:rFonts w:ascii="Times New Roman" w:hAnsi="Times New Roman" w:eastAsia="宋体" w:cs="Times New Roman"/>
                <w:color w:val="000000" w:themeColor="text1"/>
                <w:sz w:val="24"/>
                <w:szCs w:val="24"/>
                <w:lang w:eastAsia="zh-CN"/>
                <w14:textFill>
                  <w14:solidFill>
                    <w14:schemeClr w14:val="tx1"/>
                  </w14:solidFill>
                </w14:textFill>
              </w:rPr>
              <w:t>废气：运营期废气</w:t>
            </w:r>
            <w:r>
              <w:rPr>
                <w:rFonts w:hint="eastAsia" w:ascii="Times New Roman" w:hAnsi="Times New Roman" w:eastAsia="宋体" w:cs="Times New Roman"/>
                <w:color w:val="000000" w:themeColor="text1"/>
                <w:sz w:val="24"/>
                <w:szCs w:val="24"/>
                <w:lang w:eastAsia="zh-CN"/>
                <w14:textFill>
                  <w14:solidFill>
                    <w14:schemeClr w14:val="tx1"/>
                  </w14:solidFill>
                </w14:textFill>
              </w:rPr>
              <w:t>非甲烷总烃</w:t>
            </w:r>
            <w:r>
              <w:rPr>
                <w:rFonts w:ascii="Times New Roman" w:hAnsi="Times New Roman" w:eastAsia="宋体" w:cs="Times New Roman"/>
                <w:color w:val="000000" w:themeColor="text1"/>
                <w:sz w:val="24"/>
                <w:szCs w:val="24"/>
                <w:lang w:eastAsia="zh-CN"/>
                <w14:textFill>
                  <w14:solidFill>
                    <w14:schemeClr w14:val="tx1"/>
                  </w14:solidFill>
                </w14:textFill>
              </w:rPr>
              <w:t>执行执行《大气污染物综合排放标准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 xml:space="preserve"> 详解</w:t>
            </w:r>
            <w:r>
              <w:rPr>
                <w:rFonts w:ascii="Times New Roman" w:hAnsi="Times New Roman" w:eastAsia="宋体" w:cs="Times New Roman"/>
                <w:color w:val="000000" w:themeColor="text1"/>
                <w:sz w:val="24"/>
                <w:szCs w:val="24"/>
                <w:lang w:eastAsia="zh-CN"/>
                <w14:textFill>
                  <w14:solidFill>
                    <w14:schemeClr w14:val="tx1"/>
                  </w14:solidFill>
                </w14:textFill>
              </w:rPr>
              <w:t>》中的标准限值。</w:t>
            </w:r>
          </w:p>
          <w:p>
            <w:pPr>
              <w:adjustRightInd w:val="0"/>
              <w:snapToGrid w:val="0"/>
              <w:spacing w:line="360" w:lineRule="auto"/>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（2）废水：</w:t>
            </w:r>
            <w:bookmarkStart w:id="4" w:name="OLE_LINK6"/>
            <w:r>
              <w:rPr>
                <w:rFonts w:ascii="Times New Roman" w:hAnsi="Times New Roman" w:eastAsia="宋体" w:cs="Times New Roman"/>
                <w:color w:val="000000" w:themeColor="text1"/>
                <w:sz w:val="24"/>
                <w:szCs w:val="24"/>
                <w14:textFill>
                  <w14:solidFill>
                    <w14:schemeClr w14:val="tx1"/>
                  </w14:solidFill>
                </w14:textFill>
              </w:rPr>
              <w:t>本项目废水中SS、COD、BOD</w:t>
            </w:r>
            <w:r>
              <w:rPr>
                <w:rFonts w:ascii="Times New Roman" w:hAnsi="Times New Roman" w:eastAsia="宋体" w:cs="Times New Roman"/>
                <w:color w:val="000000" w:themeColor="text1"/>
                <w:sz w:val="24"/>
                <w:szCs w:val="24"/>
                <w:vertAlign w:val="subscript"/>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执行《污水综合排放标准》（GB8978-1996）中三级标准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，氨氮执行《污水排入城镇下水道水质标准》（GB/T31962-2015）中B级标准。</w:t>
            </w:r>
            <w:bookmarkEnd w:id="4"/>
          </w:p>
          <w:p>
            <w:pPr>
              <w:adjustRightInd w:val="0"/>
              <w:snapToGrid w:val="0"/>
              <w:spacing w:line="360" w:lineRule="auto"/>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3）噪声：施工噪声执行《建筑施工场界环境噪声排放标准》（GB12523-2011）限值；运营期厂界噪声执行《工业企业厂界环境噪声排放标准》（GB12348-2008）中的3类标准；</w:t>
            </w:r>
          </w:p>
          <w:p>
            <w:pPr>
              <w:adjustRightInd w:val="0"/>
              <w:snapToGrid w:val="0"/>
              <w:spacing w:line="360" w:lineRule="auto"/>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（4）固体废物：一般固体废物排放执行《一般工业固体废物贮存</w:t>
            </w:r>
            <w:r>
              <w:rPr>
                <w:rFonts w:hint="eastAsia" w:ascii="Times New Roman" w:hAnsi="Times New Roman" w:eastAsia="宋体" w:cs="Times New Roman"/>
                <w:color w:val="000000" w:themeColor="text1"/>
                <w:sz w:val="24"/>
                <w:szCs w:val="24"/>
                <w:lang w:eastAsia="zh-CN"/>
                <w14:textFill>
                  <w14:solidFill>
                    <w14:schemeClr w14:val="tx1"/>
                  </w14:solidFill>
                </w14:textFill>
              </w:rPr>
              <w:t>和填埋污染控制标准</w:t>
            </w:r>
            <w:r>
              <w:rPr>
                <w:rFonts w:ascii="Times New Roman" w:hAnsi="Times New Roman" w:eastAsia="宋体" w:cs="Times New Roman"/>
                <w:color w:val="000000" w:themeColor="text1"/>
                <w:sz w:val="24"/>
                <w:szCs w:val="24"/>
                <w:lang w:eastAsia="zh-CN"/>
                <w14:textFill>
                  <w14:solidFill>
                    <w14:schemeClr w14:val="tx1"/>
                  </w14:solidFill>
                </w14:textFill>
              </w:rPr>
              <w:t>》（GB18599-20</w:t>
            </w:r>
            <w:r>
              <w:rPr>
                <w:rFonts w:hint="eastAsia" w:ascii="Times New Roman" w:hAnsi="Times New Roman" w:eastAsia="宋体" w:cs="Times New Roman"/>
                <w:color w:val="000000" w:themeColor="text1"/>
                <w:sz w:val="24"/>
                <w:szCs w:val="24"/>
                <w:lang w:eastAsia="zh-CN"/>
                <w14:textFill>
                  <w14:solidFill>
                    <w14:schemeClr w14:val="tx1"/>
                  </w14:solidFill>
                </w14:textFill>
              </w:rPr>
              <w:t>20</w:t>
            </w:r>
            <w:r>
              <w:rPr>
                <w:rFonts w:ascii="Times New Roman" w:hAnsi="Times New Roman" w:eastAsia="宋体" w:cs="Times New Roman"/>
                <w:color w:val="000000" w:themeColor="text1"/>
                <w:sz w:val="24"/>
                <w:szCs w:val="24"/>
                <w:lang w:eastAsia="zh-CN"/>
                <w14:textFill>
                  <w14:solidFill>
                    <w14:schemeClr w14:val="tx1"/>
                  </w14:solidFill>
                </w14:textFill>
              </w:rPr>
              <w:t>）中的相关规定；危险废物执行《危险废物贮存污染控制标准》（GB18597-2001）及</w:t>
            </w:r>
            <w:r>
              <w:rPr>
                <w:rFonts w:hint="eastAsia" w:ascii="Times New Roman" w:hAnsi="Times New Roman" w:eastAsia="宋体" w:cs="Times New Roman"/>
                <w:color w:val="000000" w:themeColor="text1"/>
                <w:sz w:val="24"/>
                <w:szCs w:val="24"/>
                <w:lang w:eastAsia="zh-CN"/>
                <w14:textFill>
                  <w14:solidFill>
                    <w14:schemeClr w14:val="tx1"/>
                  </w14:solidFill>
                </w14:textFill>
              </w:rPr>
              <w:t>2013年</w:t>
            </w:r>
            <w:r>
              <w:rPr>
                <w:rFonts w:ascii="Times New Roman" w:hAnsi="Times New Roman" w:eastAsia="宋体" w:cs="Times New Roman"/>
                <w:color w:val="000000" w:themeColor="text1"/>
                <w:sz w:val="24"/>
                <w:szCs w:val="24"/>
                <w:lang w:eastAsia="zh-CN"/>
                <w14:textFill>
                  <w14:solidFill>
                    <w14:schemeClr w14:val="tx1"/>
                  </w14:solidFill>
                </w14:textFill>
              </w:rPr>
              <w:t>修改单中的相关规定。</w:t>
            </w:r>
          </w:p>
          <w:p>
            <w:pPr>
              <w:adjustRightInd w:val="0"/>
              <w:snapToGrid w:val="0"/>
              <w:spacing w:line="360" w:lineRule="auto"/>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（5）其它标准按国家有关标准执行。</w:t>
            </w:r>
          </w:p>
          <w:p>
            <w:pPr>
              <w:spacing w:line="360" w:lineRule="auto"/>
              <w:jc w:val="center"/>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3-4  </w:t>
            </w:r>
            <w:r>
              <w:rPr>
                <w:rFonts w:ascii="Times New Roman" w:hAnsi="Times New Roman" w:eastAsia="宋体" w:cs="Times New Roman"/>
                <w:b/>
                <w:bCs/>
                <w:color w:val="000000" w:themeColor="text1"/>
                <w:sz w:val="24"/>
                <w:szCs w:val="24"/>
                <w:lang w:eastAsia="zh-CN"/>
                <w14:textFill>
                  <w14:solidFill>
                    <w14:schemeClr w14:val="tx1"/>
                  </w14:solidFill>
                </w14:textFill>
              </w:rPr>
              <w:t>项目污染物排放标准表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3436"/>
              <w:gridCol w:w="1797"/>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75" w:type="pct"/>
                  <w:vMerge w:val="restart"/>
                  <w:tcBorders>
                    <w:bottom w:val="single" w:color="auto" w:sz="4" w:space="0"/>
                    <w:right w:val="single" w:color="auto" w:sz="4" w:space="0"/>
                  </w:tcBorders>
                  <w:vAlign w:val="center"/>
                </w:tcPr>
                <w:p>
                  <w:pPr>
                    <w:snapToGrid w:val="0"/>
                    <w:ind w:left="-110" w:leftChars="-50" w:right="-110" w:rightChar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要素</w:t>
                  </w:r>
                </w:p>
                <w:p>
                  <w:pPr>
                    <w:snapToGrid w:val="0"/>
                    <w:ind w:left="-110" w:leftChars="-50" w:right="-110" w:rightChars="-50"/>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分类</w:t>
                  </w:r>
                </w:p>
              </w:tc>
              <w:tc>
                <w:tcPr>
                  <w:tcW w:w="2119" w:type="pct"/>
                  <w:vMerge w:val="restart"/>
                  <w:tcBorders>
                    <w:left w:val="single" w:color="auto" w:sz="4" w:space="0"/>
                    <w:bottom w:val="single" w:color="auto" w:sz="4" w:space="0"/>
                    <w:right w:val="single" w:color="auto" w:sz="4" w:space="0"/>
                  </w:tcBorders>
                  <w:vAlign w:val="center"/>
                </w:tcPr>
                <w:p>
                  <w:pPr>
                    <w:snapToGrid w:val="0"/>
                    <w:ind w:left="-50" w:right="-50"/>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标准名称</w:t>
                  </w:r>
                </w:p>
              </w:tc>
              <w:tc>
                <w:tcPr>
                  <w:tcW w:w="2304" w:type="pct"/>
                  <w:gridSpan w:val="2"/>
                  <w:tcBorders>
                    <w:left w:val="single" w:color="auto" w:sz="4" w:space="0"/>
                    <w:bottom w:val="single" w:color="auto" w:sz="4" w:space="0"/>
                    <w:right w:val="single" w:color="auto" w:sz="4" w:space="0"/>
                  </w:tcBorders>
                  <w:vAlign w:val="center"/>
                </w:tcPr>
                <w:p>
                  <w:pPr>
                    <w:snapToGrid w:val="0"/>
                    <w:ind w:left="-50" w:right="-50"/>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75" w:type="pct"/>
                  <w:vMerge w:val="continue"/>
                  <w:tcBorders>
                    <w:top w:val="single" w:color="auto" w:sz="12" w:space="0"/>
                    <w:bottom w:val="single" w:color="auto" w:sz="4" w:space="0"/>
                    <w:right w:val="single" w:color="auto" w:sz="4" w:space="0"/>
                  </w:tcBorders>
                  <w:vAlign w:val="center"/>
                </w:tcPr>
                <w:p>
                  <w:pPr>
                    <w:widowControl/>
                    <w:jc w:val="center"/>
                    <w:rPr>
                      <w:rFonts w:ascii="Times New Roman" w:hAnsi="Times New Roman" w:cs="Times New Roman"/>
                      <w:b/>
                      <w:color w:val="000000" w:themeColor="text1"/>
                      <w:sz w:val="21"/>
                      <w:szCs w:val="21"/>
                      <w14:textFill>
                        <w14:solidFill>
                          <w14:schemeClr w14:val="tx1"/>
                        </w14:solidFill>
                      </w14:textFill>
                    </w:rPr>
                  </w:pPr>
                </w:p>
              </w:tc>
              <w:tc>
                <w:tcPr>
                  <w:tcW w:w="2119" w:type="pct"/>
                  <w:vMerge w:val="continue"/>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000000" w:themeColor="text1"/>
                      <w:sz w:val="21"/>
                      <w:szCs w:val="21"/>
                      <w14:textFill>
                        <w14:solidFill>
                          <w14:schemeClr w14:val="tx1"/>
                        </w14:solidFill>
                      </w14:textFill>
                    </w:rPr>
                  </w:pPr>
                </w:p>
              </w:tc>
              <w:tc>
                <w:tcPr>
                  <w:tcW w:w="1108" w:type="pct"/>
                  <w:tcBorders>
                    <w:top w:val="single" w:color="auto" w:sz="4" w:space="0"/>
                    <w:left w:val="single" w:color="auto" w:sz="4" w:space="0"/>
                    <w:bottom w:val="single" w:color="auto" w:sz="4" w:space="0"/>
                    <w:right w:val="single" w:color="auto" w:sz="4" w:space="0"/>
                  </w:tcBorders>
                  <w:vAlign w:val="center"/>
                </w:tcPr>
                <w:p>
                  <w:pPr>
                    <w:snapToGrid w:val="0"/>
                    <w:ind w:left="-110" w:leftChars="-50" w:right="-110" w:rightChars="-50"/>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参数名称</w:t>
                  </w:r>
                </w:p>
              </w:tc>
              <w:tc>
                <w:tcPr>
                  <w:tcW w:w="1196" w:type="pct"/>
                  <w:tcBorders>
                    <w:top w:val="single" w:color="auto" w:sz="4" w:space="0"/>
                    <w:left w:val="single" w:color="auto" w:sz="4" w:space="0"/>
                    <w:bottom w:val="single" w:color="auto" w:sz="4" w:space="0"/>
                    <w:right w:val="single" w:color="auto" w:sz="4" w:space="0"/>
                  </w:tcBorders>
                  <w:vAlign w:val="center"/>
                </w:tcPr>
                <w:p>
                  <w:pPr>
                    <w:snapToGrid w:val="0"/>
                    <w:ind w:left="-50" w:right="-50"/>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575" w:type="pct"/>
                  <w:tcBorders>
                    <w:top w:val="single" w:color="auto" w:sz="4" w:space="0"/>
                    <w:bottom w:val="single" w:color="auto" w:sz="4" w:space="0"/>
                    <w:right w:val="single" w:color="auto" w:sz="4" w:space="0"/>
                  </w:tcBorders>
                  <w:vAlign w:val="center"/>
                </w:tcPr>
                <w:p>
                  <w:pPr>
                    <w:snapToGrid w:val="0"/>
                    <w:ind w:left="-110" w:leftChars="-50" w:right="-110" w:rightChars="-50"/>
                    <w:jc w:val="center"/>
                    <w:rPr>
                      <w:rFonts w:ascii="Times New Roman" w:hAns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废气</w:t>
                  </w:r>
                </w:p>
              </w:tc>
              <w:tc>
                <w:tcPr>
                  <w:tcW w:w="2119" w:type="pct"/>
                  <w:tcBorders>
                    <w:top w:val="single" w:color="auto" w:sz="4" w:space="0"/>
                    <w:left w:val="single" w:color="auto" w:sz="4" w:space="0"/>
                    <w:bottom w:val="single" w:color="auto" w:sz="4" w:space="0"/>
                    <w:right w:val="single" w:color="auto" w:sz="4" w:space="0"/>
                  </w:tcBorders>
                  <w:vAlign w:val="center"/>
                </w:tcPr>
                <w:p>
                  <w:pPr>
                    <w:bidi w:val="0"/>
                    <w:jc w:val="center"/>
                    <w:rPr>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w:t>
                  </w:r>
                </w:p>
              </w:tc>
              <w:tc>
                <w:tcPr>
                  <w:tcW w:w="1108" w:type="pct"/>
                  <w:tcBorders>
                    <w:top w:val="single" w:color="auto" w:sz="4" w:space="0"/>
                    <w:left w:val="single" w:color="auto" w:sz="4" w:space="0"/>
                    <w:bottom w:val="single" w:color="auto" w:sz="4" w:space="0"/>
                    <w:right w:val="single" w:color="auto" w:sz="4" w:space="0"/>
                  </w:tcBorders>
                  <w:vAlign w:val="center"/>
                </w:tcPr>
                <w:p>
                  <w:pPr>
                    <w:pStyle w:val="12"/>
                    <w:snapToGrid w:val="0"/>
                    <w:ind w:left="-110" w:leftChars="-50" w:right="-110" w:rightChars="-50"/>
                    <w:jc w:val="center"/>
                    <w:rPr>
                      <w:rFonts w:ascii="Times New Roman" w:hAns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非甲烷总烃</w:t>
                  </w:r>
                </w:p>
              </w:tc>
              <w:tc>
                <w:tcPr>
                  <w:tcW w:w="1196" w:type="pct"/>
                  <w:tcBorders>
                    <w:top w:val="single" w:color="auto" w:sz="4" w:space="0"/>
                    <w:left w:val="single" w:color="auto" w:sz="4" w:space="0"/>
                    <w:bottom w:val="single" w:color="auto" w:sz="4" w:space="0"/>
                    <w:right w:val="single" w:color="auto" w:sz="4" w:space="0"/>
                  </w:tcBorders>
                  <w:vAlign w:val="center"/>
                </w:tcPr>
                <w:p>
                  <w:pPr>
                    <w:pStyle w:val="32"/>
                    <w:snapToGrid w:val="0"/>
                    <w:ind w:left="-110" w:leftChars="-50" w:right="-110" w:rightChars="-50" w:firstLine="403"/>
                    <w:jc w:val="both"/>
                    <w:rPr>
                      <w:rFonts w:ascii="Times New Roman" w:hAnsi="Times New Roman" w:cs="Times New Roman"/>
                      <w:bCs/>
                      <w:color w:val="000000" w:themeColor="text1"/>
                      <w:kern w:val="2"/>
                      <w:sz w:val="21"/>
                      <w:szCs w:val="21"/>
                      <w14:textFill>
                        <w14:solidFill>
                          <w14:schemeClr w14:val="tx1"/>
                        </w14:solidFill>
                      </w14:textFill>
                    </w:rPr>
                  </w:pPr>
                  <w:r>
                    <w:rPr>
                      <w:rFonts w:hint="eastAsia" w:ascii="Times New Roman" w:hAnsi="Times New Roman" w:cs="Times New Roman"/>
                      <w:bCs/>
                      <w:color w:val="000000" w:themeColor="text1"/>
                      <w:kern w:val="2"/>
                      <w:sz w:val="21"/>
                      <w:szCs w:val="21"/>
                      <w:lang w:eastAsia="zh-CN"/>
                      <w14:textFill>
                        <w14:solidFill>
                          <w14:schemeClr w14:val="tx1"/>
                        </w14:solidFill>
                      </w14:textFill>
                    </w:rPr>
                    <w:t>4.0</w:t>
                  </w:r>
                  <w:r>
                    <w:rPr>
                      <w:rFonts w:ascii="Times New Roman" w:hAnsi="Times New Roman" w:cs="Times New Roman"/>
                      <w:bCs/>
                      <w:color w:val="000000" w:themeColor="text1"/>
                      <w:kern w:val="2"/>
                      <w:sz w:val="21"/>
                      <w:szCs w:val="21"/>
                      <w14:textFill>
                        <w14:solidFill>
                          <w14:schemeClr w14:val="tx1"/>
                        </w14:solidFill>
                      </w14:textFill>
                    </w:rPr>
                    <w:t>mg/m</w:t>
                  </w:r>
                  <w:r>
                    <w:rPr>
                      <w:rFonts w:ascii="Times New Roman" w:hAnsi="Times New Roman" w:cs="Times New Roman"/>
                      <w:bCs/>
                      <w:color w:val="000000" w:themeColor="text1"/>
                      <w:kern w:val="2"/>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75" w:type="pct"/>
                  <w:vMerge w:val="restart"/>
                  <w:tcBorders>
                    <w:top w:val="single" w:color="auto" w:sz="4" w:space="0"/>
                    <w:right w:val="single" w:color="auto" w:sz="4" w:space="0"/>
                  </w:tcBorders>
                  <w:vAlign w:val="center"/>
                </w:tcPr>
                <w:p>
                  <w:pPr>
                    <w:ind w:left="-110" w:leftChars="-50" w:right="-110" w:rightChars="-5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废水</w:t>
                  </w:r>
                </w:p>
              </w:tc>
              <w:tc>
                <w:tcPr>
                  <w:tcW w:w="2119" w:type="pct"/>
                  <w:vMerge w:val="restart"/>
                  <w:tcBorders>
                    <w:top w:val="single" w:color="auto" w:sz="4" w:space="0"/>
                    <w:left w:val="single" w:color="auto" w:sz="4" w:space="0"/>
                    <w:right w:val="single" w:color="auto" w:sz="4" w:space="0"/>
                  </w:tcBorders>
                  <w:vAlign w:val="center"/>
                </w:tcPr>
                <w:p>
                  <w:pPr>
                    <w:ind w:left="-44" w:leftChars="-20" w:right="-44" w:rightChars="-2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《污水综合排放标准》（GB8978-1996），</w:t>
                  </w:r>
                </w:p>
                <w:p>
                  <w:pPr>
                    <w:ind w:left="-44" w:leftChars="-20" w:right="-44" w:rightChars="-2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《污水排入城镇下水道水质标准（GB/T31962-2015）</w:t>
                  </w:r>
                </w:p>
              </w:tc>
              <w:tc>
                <w:tcPr>
                  <w:tcW w:w="1828"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1975"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575" w:type="pct"/>
                  <w:vMerge w:val="continue"/>
                  <w:tcBorders>
                    <w:bottom w:val="single" w:color="auto" w:sz="4" w:space="0"/>
                    <w:right w:val="single" w:color="auto" w:sz="4" w:space="0"/>
                  </w:tcBorders>
                  <w:vAlign w:val="center"/>
                </w:tcPr>
                <w:p>
                  <w:pPr>
                    <w:ind w:left="-110" w:leftChars="-50" w:right="-110" w:rightChars="-5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119" w:type="pct"/>
                  <w:vMerge w:val="continue"/>
                  <w:tcBorders>
                    <w:left w:val="single" w:color="auto" w:sz="4" w:space="0"/>
                    <w:bottom w:val="single" w:color="auto" w:sz="4" w:space="0"/>
                    <w:right w:val="single" w:color="auto" w:sz="4" w:space="0"/>
                  </w:tcBorders>
                  <w:vAlign w:val="center"/>
                </w:tcPr>
                <w:p>
                  <w:pPr>
                    <w:ind w:left="-44" w:leftChars="-20" w:right="-44" w:rightChars="-2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1975"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75" w:type="pct"/>
                  <w:vMerge w:val="continue"/>
                  <w:tcBorders>
                    <w:bottom w:val="single" w:color="auto" w:sz="4" w:space="0"/>
                    <w:right w:val="single" w:color="auto" w:sz="4" w:space="0"/>
                  </w:tcBorders>
                  <w:vAlign w:val="center"/>
                </w:tcPr>
                <w:p>
                  <w:pPr>
                    <w:ind w:left="-110" w:leftChars="-50" w:right="-110" w:rightChars="-5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119" w:type="pct"/>
                  <w:vMerge w:val="continue"/>
                  <w:tcBorders>
                    <w:left w:val="single" w:color="auto" w:sz="4" w:space="0"/>
                    <w:bottom w:val="single" w:color="auto" w:sz="4" w:space="0"/>
                    <w:right w:val="single" w:color="auto" w:sz="4" w:space="0"/>
                  </w:tcBorders>
                  <w:vAlign w:val="center"/>
                </w:tcPr>
                <w:p>
                  <w:pPr>
                    <w:ind w:left="-44" w:leftChars="-20" w:right="-44" w:rightChars="-2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1975"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575" w:type="pct"/>
                  <w:vMerge w:val="continue"/>
                  <w:tcBorders>
                    <w:bottom w:val="single" w:color="auto" w:sz="4" w:space="0"/>
                    <w:right w:val="single" w:color="auto" w:sz="4" w:space="0"/>
                  </w:tcBorders>
                  <w:vAlign w:val="center"/>
                </w:tcPr>
                <w:p>
                  <w:pPr>
                    <w:ind w:left="-110" w:leftChars="-50" w:right="-110" w:rightChars="-5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119" w:type="pct"/>
                  <w:vMerge w:val="continue"/>
                  <w:tcBorders>
                    <w:left w:val="single" w:color="auto" w:sz="4" w:space="0"/>
                    <w:bottom w:val="single" w:color="auto" w:sz="4" w:space="0"/>
                    <w:right w:val="single" w:color="auto" w:sz="4" w:space="0"/>
                  </w:tcBorders>
                  <w:vAlign w:val="center"/>
                </w:tcPr>
                <w:p>
                  <w:pPr>
                    <w:ind w:left="-44" w:leftChars="-20" w:right="-44" w:rightChars="-2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c>
                <w:tcPr>
                  <w:tcW w:w="1975"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575" w:type="pct"/>
                  <w:vMerge w:val="continue"/>
                  <w:tcBorders>
                    <w:bottom w:val="single" w:color="auto" w:sz="4" w:space="0"/>
                    <w:right w:val="single" w:color="auto" w:sz="4" w:space="0"/>
                  </w:tcBorders>
                  <w:vAlign w:val="center"/>
                </w:tcPr>
                <w:p>
                  <w:pPr>
                    <w:ind w:left="-110" w:leftChars="-50" w:right="-110" w:rightChars="-5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119" w:type="pct"/>
                  <w:vMerge w:val="continue"/>
                  <w:tcBorders>
                    <w:left w:val="single" w:color="auto" w:sz="4" w:space="0"/>
                    <w:bottom w:val="single" w:color="auto" w:sz="4" w:space="0"/>
                    <w:right w:val="single" w:color="auto" w:sz="4" w:space="0"/>
                  </w:tcBorders>
                  <w:vAlign w:val="center"/>
                </w:tcPr>
                <w:p>
                  <w:pPr>
                    <w:ind w:left="-44" w:leftChars="-20" w:right="-44" w:rightChars="-2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1975"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575" w:type="pct"/>
                  <w:vMerge w:val="continue"/>
                  <w:tcBorders>
                    <w:bottom w:val="single" w:color="auto" w:sz="4" w:space="0"/>
                    <w:right w:val="single" w:color="auto" w:sz="4" w:space="0"/>
                  </w:tcBorders>
                  <w:vAlign w:val="center"/>
                </w:tcPr>
                <w:p>
                  <w:pPr>
                    <w:ind w:left="-110" w:leftChars="-50" w:right="-110" w:rightChars="-5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119" w:type="pct"/>
                  <w:vMerge w:val="continue"/>
                  <w:tcBorders>
                    <w:left w:val="single" w:color="auto" w:sz="4" w:space="0"/>
                    <w:bottom w:val="single" w:color="auto" w:sz="4" w:space="0"/>
                    <w:right w:val="single" w:color="auto" w:sz="4" w:space="0"/>
                  </w:tcBorders>
                  <w:vAlign w:val="center"/>
                </w:tcPr>
                <w:p>
                  <w:pPr>
                    <w:ind w:left="-44" w:leftChars="-20" w:right="-44" w:rightChars="-2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石油类</w:t>
                  </w:r>
                </w:p>
              </w:tc>
              <w:tc>
                <w:tcPr>
                  <w:tcW w:w="1975" w:type="dxa"/>
                  <w:tcBorders>
                    <w:top w:val="single" w:color="auto" w:sz="4" w:space="0"/>
                    <w:left w:val="single" w:color="auto" w:sz="4" w:space="0"/>
                    <w:bottom w:val="single" w:color="auto" w:sz="4" w:space="0"/>
                    <w:right w:val="single" w:color="auto" w:sz="4" w:space="0"/>
                  </w:tcBorders>
                  <w:vAlign w:val="center"/>
                </w:tcPr>
                <w:p>
                  <w:pPr>
                    <w:pStyle w:val="26"/>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7" w:hRule="atLeast"/>
                <w:jc w:val="center"/>
              </w:trPr>
              <w:tc>
                <w:tcPr>
                  <w:tcW w:w="949" w:type="dxa"/>
                  <w:tcBorders>
                    <w:top w:val="single" w:color="auto" w:sz="4" w:space="0"/>
                    <w:bottom w:val="single" w:color="auto" w:sz="4" w:space="0"/>
                    <w:right w:val="single" w:color="auto" w:sz="4" w:space="0"/>
                  </w:tcBorders>
                  <w:vAlign w:val="center"/>
                </w:tcPr>
                <w:p>
                  <w:pPr>
                    <w:ind w:left="-110" w:leftChars="-50" w:right="-110" w:rightChars="-50"/>
                    <w:jc w:val="center"/>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噪声</w:t>
                  </w:r>
                </w:p>
              </w:tc>
              <w:tc>
                <w:tcPr>
                  <w:tcW w:w="3496" w:type="dxa"/>
                  <w:tcBorders>
                    <w:top w:val="single" w:color="auto" w:sz="4" w:space="0"/>
                    <w:left w:val="single" w:color="auto" w:sz="4" w:space="0"/>
                    <w:bottom w:val="single" w:color="auto" w:sz="4" w:space="0"/>
                    <w:right w:val="single" w:color="auto" w:sz="4" w:space="0"/>
                  </w:tcBorders>
                  <w:vAlign w:val="center"/>
                </w:tcPr>
                <w:p>
                  <w:pPr>
                    <w:ind w:left="-44" w:leftChars="-20" w:right="-44" w:rightChars="-20"/>
                    <w:jc w:val="center"/>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《工业企业厂界环境噪声排放标准》（</w:t>
                  </w:r>
                  <w:r>
                    <w:rPr>
                      <w:rFonts w:ascii="Times New Roman" w:hAnsi="Times New Roman" w:cs="Times New Roman"/>
                      <w:bCs/>
                      <w:color w:val="000000" w:themeColor="text1"/>
                      <w:sz w:val="21"/>
                      <w:szCs w:val="21"/>
                      <w14:textFill>
                        <w14:solidFill>
                          <w14:schemeClr w14:val="tx1"/>
                        </w14:solidFill>
                      </w14:textFill>
                    </w:rPr>
                    <w:t>GB12348-2008</w:t>
                  </w:r>
                  <w:r>
                    <w:rPr>
                      <w:rFonts w:ascii="Times New Roman" w:cs="Times New Roman"/>
                      <w:bCs/>
                      <w:color w:val="000000" w:themeColor="text1"/>
                      <w:sz w:val="21"/>
                      <w:szCs w:val="21"/>
                      <w14:textFill>
                        <w14:solidFill>
                          <w14:schemeClr w14:val="tx1"/>
                        </w14:solidFill>
                      </w14:textFill>
                    </w:rPr>
                    <w:t>）</w:t>
                  </w:r>
                </w:p>
              </w:tc>
              <w:tc>
                <w:tcPr>
                  <w:tcW w:w="1828" w:type="dxa"/>
                  <w:tcBorders>
                    <w:top w:val="single" w:color="auto" w:sz="4" w:space="0"/>
                    <w:left w:val="single" w:color="auto" w:sz="4" w:space="0"/>
                    <w:bottom w:val="single" w:color="auto" w:sz="4" w:space="0"/>
                    <w:right w:val="single" w:color="auto" w:sz="4" w:space="0"/>
                  </w:tcBorders>
                  <w:vAlign w:val="center"/>
                </w:tcPr>
                <w:p>
                  <w:pPr>
                    <w:ind w:right="-110" w:rightChars="-50"/>
                    <w:jc w:val="center"/>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等效连续</w:t>
                  </w:r>
                  <w:r>
                    <w:rPr>
                      <w:rFonts w:ascii="Times New Roman" w:hAnsi="Times New Roman" w:cs="Times New Roman"/>
                      <w:bCs/>
                      <w:color w:val="000000" w:themeColor="text1"/>
                      <w:sz w:val="21"/>
                      <w:szCs w:val="21"/>
                      <w14:textFill>
                        <w14:solidFill>
                          <w14:schemeClr w14:val="tx1"/>
                        </w14:solidFill>
                      </w14:textFill>
                    </w:rPr>
                    <w:t>A</w:t>
                  </w:r>
                  <w:r>
                    <w:rPr>
                      <w:rFonts w:ascii="Times New Roman" w:cs="Times New Roman"/>
                      <w:bCs/>
                      <w:color w:val="000000" w:themeColor="text1"/>
                      <w:sz w:val="21"/>
                      <w:szCs w:val="21"/>
                      <w14:textFill>
                        <w14:solidFill>
                          <w14:schemeClr w14:val="tx1"/>
                        </w14:solidFill>
                      </w14:textFill>
                    </w:rPr>
                    <w:t>声级</w:t>
                  </w:r>
                </w:p>
              </w:tc>
              <w:tc>
                <w:tcPr>
                  <w:tcW w:w="1975" w:type="dxa"/>
                  <w:tcBorders>
                    <w:top w:val="single" w:color="auto" w:sz="4" w:space="0"/>
                    <w:left w:val="single" w:color="auto" w:sz="4" w:space="0"/>
                    <w:bottom w:val="single" w:color="auto" w:sz="4" w:space="0"/>
                    <w:right w:val="single" w:color="auto" w:sz="4" w:space="0"/>
                  </w:tcBorders>
                  <w:vAlign w:val="center"/>
                </w:tcPr>
                <w:p>
                  <w:pPr>
                    <w:ind w:left="-88" w:leftChars="-40" w:right="-90" w:rightChars="-41"/>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昼间</w:t>
                  </w:r>
                  <w:r>
                    <w:rPr>
                      <w:rFonts w:ascii="Times New Roman" w:hAnsi="Times New Roman" w:cs="Times New Roman"/>
                      <w:bCs/>
                      <w:color w:val="000000" w:themeColor="text1"/>
                      <w:sz w:val="21"/>
                      <w:szCs w:val="21"/>
                      <w14:textFill>
                        <w14:solidFill>
                          <w14:schemeClr w14:val="tx1"/>
                        </w14:solidFill>
                      </w14:textFill>
                    </w:rPr>
                    <w:t>6</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w:t>
                  </w:r>
                  <w:r>
                    <w:rPr>
                      <w:rFonts w:ascii="Times New Roman" w:hAnsi="Times New Roman" w:cs="Times New Roman"/>
                      <w:bCs/>
                      <w:color w:val="000000" w:themeColor="text1"/>
                      <w:sz w:val="21"/>
                      <w:szCs w:val="21"/>
                      <w14:textFill>
                        <w14:solidFill>
                          <w14:schemeClr w14:val="tx1"/>
                        </w14:solidFill>
                      </w14:textFill>
                    </w:rPr>
                    <w:t>dB(A)</w:t>
                  </w:r>
                </w:p>
                <w:p>
                  <w:pPr>
                    <w:ind w:left="-112" w:leftChars="-51" w:right="-92" w:rightChars="-42"/>
                    <w:jc w:val="center"/>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夜间</w:t>
                  </w:r>
                  <w:r>
                    <w:rPr>
                      <w:rFonts w:ascii="Times New Roman" w:hAnsi="Times New Roman" w:cs="Times New Roman"/>
                      <w:bCs/>
                      <w:color w:val="000000" w:themeColor="text1"/>
                      <w:sz w:val="21"/>
                      <w:szCs w:val="21"/>
                      <w14:textFill>
                        <w14:solidFill>
                          <w14:schemeClr w14:val="tx1"/>
                        </w14:solidFill>
                      </w14:textFill>
                    </w:rPr>
                    <w:t>5</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w:t>
                  </w:r>
                  <w:r>
                    <w:rPr>
                      <w:rFonts w:ascii="Times New Roman" w:hAnsi="Times New Roman" w:cs="Times New Roman"/>
                      <w:bCs/>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575" w:type="pct"/>
                  <w:tcBorders>
                    <w:top w:val="single" w:color="auto" w:sz="4" w:space="0"/>
                    <w:bottom w:val="single" w:color="auto" w:sz="4" w:space="0"/>
                    <w:right w:val="single" w:color="auto" w:sz="4" w:space="0"/>
                  </w:tcBorders>
                  <w:vAlign w:val="center"/>
                </w:tcPr>
                <w:p>
                  <w:pPr>
                    <w:ind w:left="-110" w:leftChars="-50" w:right="-110" w:rightChars="-50"/>
                    <w:jc w:val="center"/>
                    <w:rPr>
                      <w:rFonts w:ascii="Times New Roman" w:eastAsia="宋体" w:cs="Times New Roman"/>
                      <w:bCs/>
                      <w:color w:val="000000" w:themeColor="text1"/>
                      <w:sz w:val="21"/>
                      <w:szCs w:val="21"/>
                      <w:lang w:eastAsia="zh-CN"/>
                      <w14:textFill>
                        <w14:solidFill>
                          <w14:schemeClr w14:val="tx1"/>
                        </w14:solidFill>
                      </w14:textFill>
                    </w:rPr>
                  </w:pPr>
                  <w:r>
                    <w:rPr>
                      <w:rFonts w:hint="eastAsia" w:ascii="Times New Roman" w:eastAsia="宋体" w:cs="Times New Roman"/>
                      <w:bCs/>
                      <w:color w:val="000000" w:themeColor="text1"/>
                      <w:sz w:val="21"/>
                      <w:szCs w:val="21"/>
                      <w:lang w:eastAsia="zh-CN"/>
                      <w14:textFill>
                        <w14:solidFill>
                          <w14:schemeClr w14:val="tx1"/>
                        </w14:solidFill>
                      </w14:textFill>
                    </w:rPr>
                    <w:t>固废</w:t>
                  </w:r>
                </w:p>
              </w:tc>
              <w:tc>
                <w:tcPr>
                  <w:tcW w:w="4424" w:type="pct"/>
                  <w:gridSpan w:val="3"/>
                  <w:tcBorders>
                    <w:top w:val="single" w:color="auto" w:sz="4" w:space="0"/>
                    <w:left w:val="single" w:color="auto" w:sz="4" w:space="0"/>
                    <w:bottom w:val="single" w:color="auto" w:sz="4" w:space="0"/>
                    <w:right w:val="single" w:color="auto" w:sz="4" w:space="0"/>
                  </w:tcBorders>
                  <w:vAlign w:val="center"/>
                </w:tcPr>
                <w:p>
                  <w:pPr>
                    <w:ind w:left="-112" w:leftChars="-51" w:right="-92" w:rightChars="-42"/>
                    <w:jc w:val="center"/>
                    <w:rPr>
                      <w:rFonts w:ascii="Times New Roman" w:eastAsia="宋体" w:cs="Times New Roman"/>
                      <w:bCs/>
                      <w:color w:val="000000" w:themeColor="text1"/>
                      <w:sz w:val="21"/>
                      <w:szCs w:val="21"/>
                      <w:lang w:eastAsia="zh-CN"/>
                      <w14:textFill>
                        <w14:solidFill>
                          <w14:schemeClr w14:val="tx1"/>
                        </w14:solidFill>
                      </w14:textFill>
                    </w:rPr>
                  </w:pPr>
                  <w:r>
                    <w:rPr>
                      <w:rFonts w:hint="eastAsia" w:ascii="Times New Roman" w:eastAsia="宋体" w:cs="Times New Roman"/>
                      <w:color w:val="000000" w:themeColor="text1"/>
                      <w:spacing w:val="6"/>
                      <w:sz w:val="21"/>
                      <w:szCs w:val="21"/>
                      <w:lang w:eastAsia="zh-CN"/>
                      <w14:textFill>
                        <w14:solidFill>
                          <w14:schemeClr w14:val="tx1"/>
                        </w14:solidFill>
                      </w14:textFill>
                    </w:rPr>
                    <w:t>《一般工业固体废物贮存和填埋污染控制标准》（GB18599-2020）</w:t>
                  </w:r>
                  <w:r>
                    <w:rPr>
                      <w:rFonts w:ascii="Times New Roman" w:cs="Times New Roman"/>
                      <w:color w:val="000000" w:themeColor="text1"/>
                      <w:spacing w:val="6"/>
                      <w:sz w:val="21"/>
                      <w:szCs w:val="21"/>
                      <w14:textFill>
                        <w14:solidFill>
                          <w14:schemeClr w14:val="tx1"/>
                        </w14:solidFill>
                      </w14:textFill>
                    </w:rPr>
                    <w:t>、《危险废物贮存污染控制标准》（</w:t>
                  </w:r>
                  <w:r>
                    <w:rPr>
                      <w:rFonts w:ascii="Times New Roman" w:hAnsi="Times New Roman" w:cs="Times New Roman"/>
                      <w:color w:val="000000" w:themeColor="text1"/>
                      <w:spacing w:val="6"/>
                      <w:sz w:val="21"/>
                      <w:szCs w:val="21"/>
                      <w14:textFill>
                        <w14:solidFill>
                          <w14:schemeClr w14:val="tx1"/>
                        </w14:solidFill>
                      </w14:textFill>
                    </w:rPr>
                    <w:t>GB18597-2001</w:t>
                  </w:r>
                  <w:r>
                    <w:rPr>
                      <w:rFonts w:ascii="Times New Roman" w:cs="Times New Roman"/>
                      <w:color w:val="000000" w:themeColor="text1"/>
                      <w:spacing w:val="6"/>
                      <w:sz w:val="21"/>
                      <w:szCs w:val="21"/>
                      <w14:textFill>
                        <w14:solidFill>
                          <w14:schemeClr w14:val="tx1"/>
                        </w14:solidFill>
                      </w14:textFill>
                    </w:rPr>
                    <w:t>）</w:t>
                  </w:r>
                  <w:r>
                    <w:rPr>
                      <w:rFonts w:hint="eastAsia" w:ascii="Times New Roman" w:eastAsia="宋体" w:cs="Times New Roman"/>
                      <w:color w:val="000000" w:themeColor="text1"/>
                      <w:spacing w:val="6"/>
                      <w:sz w:val="21"/>
                      <w:szCs w:val="21"/>
                      <w:lang w:eastAsia="zh-CN"/>
                      <w14:textFill>
                        <w14:solidFill>
                          <w14:schemeClr w14:val="tx1"/>
                        </w14:solidFill>
                      </w14:textFill>
                    </w:rPr>
                    <w:t>及2013年修改单</w:t>
                  </w:r>
                </w:p>
              </w:tc>
            </w:tr>
          </w:tbl>
          <w:p>
            <w:pPr>
              <w:pStyle w:val="3"/>
              <w:rPr>
                <w:rFonts w:ascii="Times New Roman" w:hAnsi="Times New Roman" w:eastAsia="宋体" w:cs="Times New Roman"/>
                <w:color w:val="000000" w:themeColor="text1"/>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6" w:hRule="atLeast"/>
          <w:jc w:val="center"/>
        </w:trPr>
        <w:tc>
          <w:tcPr>
            <w:tcW w:w="726" w:type="dxa"/>
            <w:noWrap/>
            <w:vAlign w:val="center"/>
          </w:tcPr>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总量</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控制</w:t>
            </w:r>
          </w:p>
          <w:p>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指标</w:t>
            </w:r>
          </w:p>
        </w:tc>
        <w:tc>
          <w:tcPr>
            <w:tcW w:w="8334" w:type="dxa"/>
            <w:noWrap/>
            <w:vAlign w:val="center"/>
          </w:tcPr>
          <w:p>
            <w:pPr>
              <w:widowControl/>
              <w:spacing w:line="360" w:lineRule="auto"/>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eastAsia="zh-CN" w:bidi="ar"/>
                <w14:textFill>
                  <w14:solidFill>
                    <w14:schemeClr w14:val="tx1"/>
                  </w14:solidFill>
                </w14:textFill>
              </w:rPr>
              <w:t>根据项目产污特点，</w:t>
            </w:r>
            <w:r>
              <w:rPr>
                <w:rFonts w:hint="eastAsia" w:ascii="宋体" w:hAnsi="宋体" w:eastAsia="宋体" w:cs="宋体"/>
                <w:color w:val="000000" w:themeColor="text1"/>
                <w:sz w:val="24"/>
                <w:szCs w:val="24"/>
                <w:lang w:val="en-US" w:eastAsia="zh-CN" w:bidi="ar"/>
                <w14:textFill>
                  <w14:solidFill>
                    <w14:schemeClr w14:val="tx1"/>
                  </w14:solidFill>
                </w14:textFill>
              </w:rPr>
              <w:t>本项目无总量控制指标。</w:t>
            </w:r>
          </w:p>
        </w:tc>
      </w:tr>
    </w:tbl>
    <w:p>
      <w:pPr>
        <w:pStyle w:val="11"/>
        <w:rPr>
          <w:color w:val="000000" w:themeColor="text1"/>
          <w14:textFill>
            <w14:solidFill>
              <w14:schemeClr w14:val="tx1"/>
            </w14:solidFill>
          </w14:textFill>
        </w:rPr>
        <w:sectPr>
          <w:pgSz w:w="11906" w:h="16838"/>
          <w:pgMar w:top="1984" w:right="1531" w:bottom="1701" w:left="1531" w:header="1701" w:footer="1417" w:gutter="0"/>
          <w:pgNumType w:fmt="decimal"/>
          <w:cols w:space="425" w:num="1"/>
          <w:docGrid w:type="lines" w:linePitch="312" w:charSpace="0"/>
        </w:sectPr>
      </w:pPr>
    </w:p>
    <w:p>
      <w:pPr>
        <w:pStyle w:val="18"/>
        <w:numPr>
          <w:ilvl w:val="0"/>
          <w:numId w:val="0"/>
        </w:numPr>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lang w:val="en-US" w:eastAsia="zh-CN"/>
          <w14:textFill>
            <w14:solidFill>
              <w14:schemeClr w14:val="tx1"/>
            </w14:solidFill>
          </w14:textFill>
        </w:rPr>
        <w:t>四、</w:t>
      </w:r>
      <w:r>
        <w:rPr>
          <w:rFonts w:hint="eastAsia" w:ascii="黑体" w:hAnsi="黑体" w:eastAsia="黑体"/>
          <w:snapToGrid w:val="0"/>
          <w:color w:val="000000" w:themeColor="text1"/>
          <w:sz w:val="30"/>
          <w:szCs w:val="30"/>
          <w14:textFill>
            <w14:solidFill>
              <w14:schemeClr w14:val="tx1"/>
            </w14:solidFill>
          </w14:textFill>
        </w:rPr>
        <w:t>主要环境影响和保护措施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bidi w:val="0"/>
              <w:jc w:val="center"/>
              <w:rPr>
                <w:rFonts w:hint="default" w:eastAsia="宋体"/>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施工期环境保护措施</w:t>
            </w:r>
          </w:p>
        </w:tc>
        <w:tc>
          <w:tcPr>
            <w:tcW w:w="834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1、施工期大气环境的影响分析及防治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位于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西咸新区秦汉新城朝阳四路长庆井下工业园内</w:t>
            </w:r>
            <w:r>
              <w:rPr>
                <w:rFonts w:hint="default" w:ascii="Times New Roman" w:hAnsi="Times New Roman" w:eastAsia="宋体" w:cs="Times New Roman"/>
                <w:color w:val="000000" w:themeColor="text1"/>
                <w:sz w:val="24"/>
                <w:szCs w:val="24"/>
                <w14:textFill>
                  <w14:solidFill>
                    <w14:schemeClr w14:val="tx1"/>
                  </w14:solidFill>
                </w14:textFill>
              </w:rPr>
              <w:t>进行建设，施工期仅进行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实验室基础地面改造及试验设备安装工程</w:t>
            </w:r>
            <w:r>
              <w:rPr>
                <w:rFonts w:hint="default" w:ascii="Times New Roman" w:hAnsi="Times New Roman" w:eastAsia="宋体" w:cs="Times New Roman"/>
                <w:color w:val="000000" w:themeColor="text1"/>
                <w:sz w:val="24"/>
                <w:szCs w:val="24"/>
                <w14:textFill>
                  <w14:solidFill>
                    <w14:schemeClr w14:val="tx1"/>
                  </w14:solidFill>
                </w14:textFill>
              </w:rPr>
              <w:t>。施工期施工人员约5人，主要污染包括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地面改造</w:t>
            </w:r>
            <w:r>
              <w:rPr>
                <w:rFonts w:hint="default" w:ascii="Times New Roman" w:hAnsi="Times New Roman" w:eastAsia="宋体" w:cs="Times New Roman"/>
                <w:color w:val="000000" w:themeColor="text1"/>
                <w:sz w:val="24"/>
                <w:szCs w:val="24"/>
                <w14:textFill>
                  <w14:solidFill>
                    <w14:schemeClr w14:val="tx1"/>
                  </w14:solidFill>
                </w14:textFill>
              </w:rPr>
              <w:t>废气、工人产生的生活污水和实验仪器安装调试的噪声、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地面改造</w:t>
            </w:r>
            <w:r>
              <w:rPr>
                <w:rFonts w:hint="default" w:ascii="Times New Roman" w:hAnsi="Times New Roman" w:eastAsia="宋体" w:cs="Times New Roman"/>
                <w:color w:val="000000" w:themeColor="text1"/>
                <w:sz w:val="24"/>
                <w:szCs w:val="24"/>
                <w14:textFill>
                  <w14:solidFill>
                    <w14:schemeClr w14:val="tx1"/>
                  </w14:solidFill>
                </w14:textFill>
              </w:rPr>
              <w:t>产生的废建材、实验仪器的废包装、工人产生的生活垃圾。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60" w:leftChars="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根据建设单位提供资料，施工期进行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实验室基础地面改造</w:t>
            </w:r>
            <w:r>
              <w:rPr>
                <w:rFonts w:hint="default" w:ascii="Times New Roman" w:hAnsi="Times New Roman" w:eastAsia="宋体" w:cs="Times New Roman"/>
                <w:color w:val="000000" w:themeColor="text1"/>
                <w:sz w:val="24"/>
                <w:szCs w:val="24"/>
                <w14:textFill>
                  <w14:solidFill>
                    <w14:schemeClr w14:val="tx1"/>
                  </w14:solidFill>
                </w14:textFill>
              </w:rPr>
              <w:t>，废气为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粉尘及少量</w:t>
            </w:r>
            <w:r>
              <w:rPr>
                <w:rFonts w:hint="default" w:ascii="Times New Roman" w:hAnsi="Times New Roman" w:eastAsia="宋体" w:cs="Times New Roman"/>
                <w:color w:val="000000" w:themeColor="text1"/>
                <w:sz w:val="24"/>
                <w:szCs w:val="24"/>
                <w14:textFill>
                  <w14:solidFill>
                    <w14:schemeClr w14:val="tx1"/>
                  </w14:solidFill>
                </w14:textFill>
              </w:rPr>
              <w:t>的有机废气，该部分废气较难定量预测分析，本次评价着重提出原则性的要求及措施：建议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对原有地面拆除过程中多洒水，保持地面湿度，以减少空气中粉尘浓度，</w:t>
            </w:r>
            <w:r>
              <w:rPr>
                <w:rFonts w:hint="default" w:ascii="Times New Roman" w:hAnsi="Times New Roman" w:eastAsia="宋体" w:cs="Times New Roman"/>
                <w:color w:val="000000" w:themeColor="text1"/>
                <w:sz w:val="24"/>
                <w:szCs w:val="24"/>
                <w14:textFill>
                  <w14:solidFill>
                    <w14:schemeClr w14:val="tx1"/>
                  </w14:solidFill>
                </w14:textFill>
              </w:rPr>
              <w:t>做好室内的通风换气工作，防止区域废气过度集中，保证室内环境的安全。采取上述措施，本项目施工期对大气环境影响较小。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60" w:leftChars="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施工期废水来自施工人员的生活污水，根据建设单位提供资料，现场施工人员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为园区仪器仪表实验室项目的调派人员</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不新增生活污水</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60" w:leftChars="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本项目施工期噪声主要来自</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地面改造及</w:t>
            </w:r>
            <w:r>
              <w:rPr>
                <w:rFonts w:hint="default" w:ascii="Times New Roman" w:hAnsi="Times New Roman" w:eastAsia="宋体" w:cs="Times New Roman"/>
                <w:color w:val="000000" w:themeColor="text1"/>
                <w:sz w:val="24"/>
                <w:szCs w:val="24"/>
                <w:lang w:eastAsia="zh-CN"/>
                <w14:textFill>
                  <w14:solidFill>
                    <w14:schemeClr w14:val="tx1"/>
                  </w14:solidFill>
                </w14:textFill>
              </w:rPr>
              <w:t>实验仪器安装及调试过程，噪声源为切割机、电钻等施工机械的钻、切等工序。项目位于园区内，周边200m内无声环境保护目标，不会对周围声环境产生影响。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60" w:leftChars="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固体废弃物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施工阶段产生的固体废物主要是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地面改造</w:t>
            </w:r>
            <w:r>
              <w:rPr>
                <w:rFonts w:hint="default" w:ascii="Times New Roman" w:hAnsi="Times New Roman" w:eastAsia="宋体" w:cs="Times New Roman"/>
                <w:color w:val="000000" w:themeColor="text1"/>
                <w:sz w:val="24"/>
                <w:szCs w:val="24"/>
                <w:lang w:eastAsia="zh-CN"/>
                <w14:textFill>
                  <w14:solidFill>
                    <w14:schemeClr w14:val="tx1"/>
                  </w14:solidFill>
                </w14:textFill>
              </w:rPr>
              <w:t>产生的废建材</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实验仪器的废包装、工人产生的生活垃圾。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①员工生活垃圾和废包装可直接交由环卫部门处理；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②施工产生的废建材首先应考虑回收利用，对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地砖</w:t>
            </w:r>
            <w:r>
              <w:rPr>
                <w:rFonts w:hint="default" w:ascii="Times New Roman" w:hAnsi="Times New Roman" w:eastAsia="宋体" w:cs="Times New Roman"/>
                <w:color w:val="000000" w:themeColor="text1"/>
                <w:sz w:val="24"/>
                <w:szCs w:val="24"/>
                <w:lang w:eastAsia="zh-CN"/>
                <w14:textFill>
                  <w14:solidFill>
                    <w14:schemeClr w14:val="tx1"/>
                  </w14:solidFill>
                </w14:textFill>
              </w:rPr>
              <w:t>分类回收，交由废品收购站处理；对不能回收的建筑垃圾，如混凝土废料、碎砖、砂石等材料交由专业的运渣公司清运至指定的建筑垃圾堆放点进行处置，严禁倾弃置于城建、规划部门非指定堆放点；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综上所述，本项目施工期短，施工结束后，所有污染随之消失，对外环境无明显影响。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bidi w:val="0"/>
              <w:jc w:val="center"/>
              <w:rPr>
                <w:rFonts w:hint="default" w:eastAsia="宋体"/>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运营期环境影响和保护措施</w:t>
            </w:r>
          </w:p>
        </w:tc>
        <w:tc>
          <w:tcPr>
            <w:tcW w:w="834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1、废气</w:t>
            </w:r>
          </w:p>
          <w:p>
            <w:pPr>
              <w:spacing w:line="360" w:lineRule="auto"/>
              <w:ind w:firstLine="480" w:firstLineChars="200"/>
              <w:jc w:val="both"/>
              <w:rPr>
                <w:rFonts w:ascii="宋体" w:hAnsi="宋体" w:eastAsia="宋体" w:cs="宋体"/>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（1）</w:t>
            </w:r>
            <w:r>
              <w:rPr>
                <w:rFonts w:ascii="宋体" w:hAnsi="宋体" w:eastAsia="宋体" w:cs="宋体"/>
                <w:color w:val="000000" w:themeColor="text1"/>
                <w:sz w:val="24"/>
                <w:szCs w:val="24"/>
                <w:lang w:eastAsia="zh-CN"/>
                <w14:textFill>
                  <w14:solidFill>
                    <w14:schemeClr w14:val="tx1"/>
                  </w14:solidFill>
                </w14:textFill>
              </w:rPr>
              <w:t>污染源分析</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本项目运营期</w:t>
            </w:r>
            <w:r>
              <w:rPr>
                <w:rFonts w:hint="eastAsia" w:ascii="Times New Roman" w:hAnsi="Times New Roman" w:eastAsia="宋体" w:cs="Times New Roman"/>
                <w:color w:val="000000" w:themeColor="text1"/>
                <w:sz w:val="24"/>
                <w:szCs w:val="24"/>
                <w:lang w:eastAsia="zh-CN"/>
                <w14:textFill>
                  <w14:solidFill>
                    <w14:schemeClr w14:val="tx1"/>
                  </w14:solidFill>
                </w14:textFill>
              </w:rPr>
              <w:t>内，</w:t>
            </w:r>
            <w:r>
              <w:rPr>
                <w:rFonts w:ascii="Times New Roman" w:hAnsi="Times New Roman" w:eastAsia="宋体" w:cs="Times New Roman"/>
                <w:color w:val="000000" w:themeColor="text1"/>
                <w:sz w:val="24"/>
                <w:szCs w:val="24"/>
                <w:lang w:eastAsia="zh-CN"/>
                <w14:textFill>
                  <w14:solidFill>
                    <w14:schemeClr w14:val="tx1"/>
                  </w14:solidFill>
                </w14:textFill>
              </w:rPr>
              <w:t>在实验过程中会使用</w:t>
            </w:r>
            <w:r>
              <w:rPr>
                <w:rFonts w:hint="eastAsia" w:ascii="Times New Roman" w:hAnsi="Times New Roman" w:eastAsia="宋体" w:cs="Times New Roman"/>
                <w:color w:val="000000" w:themeColor="text1"/>
                <w:sz w:val="24"/>
                <w:szCs w:val="24"/>
                <w:lang w:eastAsia="zh-CN"/>
                <w14:textFill>
                  <w14:solidFill>
                    <w14:schemeClr w14:val="tx1"/>
                  </w14:solidFill>
                </w14:textFill>
              </w:rPr>
              <w:t>60%</w:t>
            </w:r>
            <w:r>
              <w:rPr>
                <w:rFonts w:ascii="Times New Roman" w:hAnsi="Times New Roman" w:eastAsia="宋体" w:cs="Times New Roman"/>
                <w:color w:val="000000" w:themeColor="text1"/>
                <w:sz w:val="24"/>
                <w:szCs w:val="24"/>
                <w:lang w:eastAsia="zh-CN"/>
                <w14:textFill>
                  <w14:solidFill>
                    <w14:schemeClr w14:val="tx1"/>
                  </w14:solidFill>
                </w14:textFill>
              </w:rPr>
              <w:t>乙醇，由于乙醇易挥发，产生有机废气，以非甲烷总烃计。本项目乙醇使用量为</w:t>
            </w:r>
            <w:r>
              <w:rPr>
                <w:rFonts w:hint="eastAsia" w:ascii="Times New Roman" w:hAnsi="Times New Roman" w:eastAsia="宋体" w:cs="Times New Roman"/>
                <w:color w:val="000000" w:themeColor="text1"/>
                <w:sz w:val="24"/>
                <w:szCs w:val="24"/>
                <w:lang w:eastAsia="zh-CN"/>
                <w14:textFill>
                  <w14:solidFill>
                    <w14:schemeClr w14:val="tx1"/>
                  </w14:solidFill>
                </w14:textFill>
              </w:rPr>
              <w:t>80L/a</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即70.32kg，</w:t>
            </w:r>
            <w:r>
              <w:rPr>
                <w:rFonts w:ascii="Times New Roman" w:hAnsi="Times New Roman" w:eastAsia="宋体" w:cs="Times New Roman"/>
                <w:color w:val="000000" w:themeColor="text1"/>
                <w:sz w:val="24"/>
                <w:szCs w:val="24"/>
                <w:lang w:eastAsia="zh-CN"/>
                <w14:textFill>
                  <w14:solidFill>
                    <w14:schemeClr w14:val="tx1"/>
                  </w14:solidFill>
                </w14:textFill>
              </w:rPr>
              <w:t>考虑最不利情况，以乙醇全部挥发计，则非甲烷总烃产生量为</w:t>
            </w:r>
            <w:r>
              <w:rPr>
                <w:rFonts w:hint="eastAsia" w:ascii="Times New Roman" w:hAnsi="Times New Roman" w:eastAsia="宋体" w:cs="Times New Roman"/>
                <w:color w:val="000000" w:themeColor="text1"/>
                <w:sz w:val="24"/>
                <w:szCs w:val="24"/>
                <w:lang w:eastAsia="zh-CN"/>
                <w14:textFill>
                  <w14:solidFill>
                    <w14:schemeClr w14:val="tx1"/>
                  </w14:solidFill>
                </w14:textFill>
              </w:rPr>
              <w:t>0.07</w:t>
            </w:r>
            <w:r>
              <w:rPr>
                <w:rFonts w:ascii="Times New Roman" w:hAnsi="Times New Roman" w:eastAsia="宋体" w:cs="Times New Roman"/>
                <w:color w:val="000000" w:themeColor="text1"/>
                <w:sz w:val="24"/>
                <w:szCs w:val="24"/>
                <w:lang w:eastAsia="zh-CN"/>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，产生速率为0.0337kg/h，通过排气扇无组织排放。</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本项目污染源源强核算结果及相关参数列如下表所示。</w:t>
            </w:r>
          </w:p>
          <w:p>
            <w:pPr>
              <w:jc w:val="center"/>
              <w:rPr>
                <w:rFonts w:hint="eastAsia" w:ascii="Times New Roman" w:cs="Times New Roman"/>
                <w:b/>
                <w:bCs/>
                <w:color w:val="000000" w:themeColor="text1"/>
                <w:sz w:val="24"/>
                <w:szCs w:val="24"/>
                <w14:textFill>
                  <w14:solidFill>
                    <w14:schemeClr w14:val="tx1"/>
                  </w14:solidFill>
                </w14:textFill>
              </w:rPr>
            </w:pPr>
            <w:r>
              <w:rPr>
                <w:rFonts w:ascii="Times New Roman" w:cs="Times New Roman"/>
                <w:b/>
                <w:bCs/>
                <w:color w:val="000000" w:themeColor="text1"/>
                <w:sz w:val="24"/>
                <w:szCs w:val="24"/>
                <w14:textFill>
                  <w14:solidFill>
                    <w14:schemeClr w14:val="tx1"/>
                  </w14:solidFill>
                </w14:textFill>
              </w:rPr>
              <w:t>表</w:t>
            </w:r>
            <w:r>
              <w:rPr>
                <w:rFonts w:hint="eastAsia" w:ascii="Times New Roman" w:cs="Times New Roman"/>
                <w:b/>
                <w:bCs/>
                <w:color w:val="000000" w:themeColor="text1"/>
                <w:sz w:val="24"/>
                <w:szCs w:val="24"/>
                <w:lang w:val="en-US" w:eastAsia="zh-CN"/>
                <w14:textFill>
                  <w14:solidFill>
                    <w14:schemeClr w14:val="tx1"/>
                  </w14:solidFill>
                </w14:textFill>
              </w:rPr>
              <w:t>4-1</w:t>
            </w:r>
            <w:r>
              <w:rPr>
                <w:rFonts w:ascii="Times New Roman" w:cs="Times New Roman"/>
                <w:b/>
                <w:bCs/>
                <w:color w:val="000000" w:themeColor="text1"/>
                <w:sz w:val="24"/>
                <w:szCs w:val="24"/>
                <w14:textFill>
                  <w14:solidFill>
                    <w14:schemeClr w14:val="tx1"/>
                  </w14:solidFill>
                </w14:textFill>
              </w:rPr>
              <w:t xml:space="preserve"> 废气污染物产排情况一览表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58"/>
              <w:gridCol w:w="1014"/>
              <w:gridCol w:w="1061"/>
              <w:gridCol w:w="1008"/>
              <w:gridCol w:w="1008"/>
              <w:gridCol w:w="1010"/>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5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污染源</w:t>
                  </w:r>
                </w:p>
              </w:tc>
              <w:tc>
                <w:tcPr>
                  <w:tcW w:w="115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w:t>
                  </w:r>
                </w:p>
              </w:tc>
              <w:tc>
                <w:tcPr>
                  <w:tcW w:w="207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产生情况</w:t>
                  </w:r>
                </w:p>
              </w:tc>
              <w:tc>
                <w:tcPr>
                  <w:tcW w:w="100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防治措施</w:t>
                  </w:r>
                </w:p>
              </w:tc>
              <w:tc>
                <w:tcPr>
                  <w:tcW w:w="302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5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15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01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产生量（t/a）</w:t>
                  </w:r>
                </w:p>
              </w:tc>
              <w:tc>
                <w:tcPr>
                  <w:tcW w:w="106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产生速率（kg/h）</w:t>
                  </w:r>
                </w:p>
              </w:tc>
              <w:tc>
                <w:tcPr>
                  <w:tcW w:w="100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排放量（t/a）</w:t>
                  </w:r>
                </w:p>
              </w:tc>
              <w:tc>
                <w:tcPr>
                  <w:tcW w:w="10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排放速率（kg/h）</w:t>
                  </w:r>
                </w:p>
              </w:tc>
              <w:tc>
                <w:tcPr>
                  <w:tcW w:w="1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实验过程</w:t>
                  </w:r>
                </w:p>
              </w:tc>
              <w:tc>
                <w:tcPr>
                  <w:tcW w:w="115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101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0.07</w:t>
                  </w:r>
                </w:p>
              </w:tc>
              <w:tc>
                <w:tcPr>
                  <w:tcW w:w="106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0.0338</w:t>
                  </w:r>
                </w:p>
              </w:tc>
              <w:tc>
                <w:tcPr>
                  <w:tcW w:w="1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加强管理</w:t>
                  </w:r>
                </w:p>
              </w:tc>
              <w:tc>
                <w:tcPr>
                  <w:tcW w:w="1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0.07</w:t>
                  </w:r>
                </w:p>
              </w:tc>
              <w:tc>
                <w:tcPr>
                  <w:tcW w:w="10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0.0338</w:t>
                  </w:r>
                </w:p>
              </w:tc>
              <w:tc>
                <w:tcPr>
                  <w:tcW w:w="1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无组织</w:t>
                  </w:r>
                </w:p>
              </w:tc>
            </w:tr>
          </w:tbl>
          <w:p>
            <w:pPr>
              <w:ind w:firstLine="480" w:firstLineChars="200"/>
              <w:jc w:val="both"/>
              <w:rPr>
                <w:color w:val="000000" w:themeColor="text1"/>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2</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环境影响评价</w:t>
            </w:r>
            <w:r>
              <w:rPr>
                <w:rFonts w:ascii="宋体" w:hAnsi="宋体" w:eastAsia="宋体" w:cs="宋体"/>
                <w:color w:val="000000" w:themeColor="text1"/>
                <w:sz w:val="24"/>
                <w:szCs w:val="24"/>
                <w:lang w:eastAsia="zh-CN"/>
                <w14:textFill>
                  <w14:solidFill>
                    <w14:schemeClr w14:val="tx1"/>
                  </w14:solidFill>
                </w14:textFill>
              </w:rPr>
              <w:t>分析</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根据《挥发性有机物无组织排放控制标准》（GB37822-2019）中</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收集的废气中NMHC初始排放速率≥3kg/h时，应配置VOCs处理设施……；对于重点地区，收集的废气中NMHC初始排放速率≥2kg/h时，应配置VOCs处理设施</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，本项目废气中NMHC初始排放速率为0.0</w:t>
            </w:r>
            <w:r>
              <w:rPr>
                <w:rFonts w:hint="eastAsia" w:ascii="Times New Roman" w:hAnsi="Times New Roman" w:eastAsia="宋体" w:cs="Times New Roman"/>
                <w:color w:val="000000" w:themeColor="text1"/>
                <w:sz w:val="24"/>
                <w:szCs w:val="24"/>
                <w:lang w:eastAsia="zh-CN"/>
                <w14:textFill>
                  <w14:solidFill>
                    <w14:schemeClr w14:val="tx1"/>
                  </w14:solidFill>
                </w14:textFill>
              </w:rPr>
              <w:t>337</w:t>
            </w:r>
            <w:r>
              <w:rPr>
                <w:rFonts w:ascii="Times New Roman" w:hAnsi="Times New Roman" w:eastAsia="宋体" w:cs="Times New Roman"/>
                <w:color w:val="000000" w:themeColor="text1"/>
                <w:sz w:val="24"/>
                <w:szCs w:val="24"/>
                <w:lang w:eastAsia="zh-CN"/>
                <w14:textFill>
                  <w14:solidFill>
                    <w14:schemeClr w14:val="tx1"/>
                  </w14:solidFill>
                </w14:textFill>
              </w:rPr>
              <w:t>kg/h＜2kg/h，故项目可不进行末端处理。</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本次环评要求建设单位运营期严格落实乙醇等实验试剂的使用，非取用状态时应加盖、封口、瓶内密闭保存，规范操作，同时加强实验室内通风，防止</w:t>
            </w:r>
            <w:r>
              <w:rPr>
                <w:rFonts w:hint="eastAsia" w:ascii="Times New Roman" w:hAnsi="Times New Roman" w:eastAsia="宋体" w:cs="Times New Roman"/>
                <w:color w:val="000000" w:themeColor="text1"/>
                <w:sz w:val="24"/>
                <w:szCs w:val="24"/>
                <w:lang w:eastAsia="zh-CN"/>
                <w14:textFill>
                  <w14:solidFill>
                    <w14:schemeClr w14:val="tx1"/>
                  </w14:solidFill>
                </w14:textFill>
              </w:rPr>
              <w:t>室内</w:t>
            </w:r>
            <w:r>
              <w:rPr>
                <w:rFonts w:ascii="Times New Roman" w:hAnsi="Times New Roman" w:eastAsia="宋体" w:cs="Times New Roman"/>
                <w:color w:val="000000" w:themeColor="text1"/>
                <w:sz w:val="24"/>
                <w:szCs w:val="24"/>
                <w:lang w:eastAsia="zh-CN"/>
                <w14:textFill>
                  <w14:solidFill>
                    <w14:schemeClr w14:val="tx1"/>
                  </w14:solidFill>
                </w14:textFill>
              </w:rPr>
              <w:t>废气过度集中，保证室内环境的安全，降低有机废气对环境和人身健康的不利影响。运营期本项目实验过程中产生的少量非甲烷总烃废气经加强管理后无组织排放，对外环境影响较小</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同时，经调查，项目相邻实验室（压力检定实验室）仅进行物理实验，不产生废气，与本项目不存在废气不相容性，因此，本项目运营期产生的废气在采取相应措施处理后可达标排放，故本项目选用的废气处理措施基本可行</w:t>
            </w:r>
            <w:r>
              <w:rPr>
                <w:rFonts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废水污染源强</w:t>
            </w:r>
          </w:p>
          <w:p>
            <w:p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本项目运营期废水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仅增加纯水制备过程中产生的浓水（0.36m³/a），浓水产生量极少，是自来水处理为纯水过程中产生的高盐废水，属清净下水，基本不会对化粪池原有水质造成较大影响，经化粪池处理后通过污水管网排入朝阳污水处理厂处理达标后排入渭河，运营期污水对周边水环境不会产生直接不利的影响；同时，经调查，项目相邻实验室（压力检定实验室）仅进行物理实验，不产生废水，与本项目不存在废水不相容性，因此，本项目运营期产生的废水处理措施基本可行</w:t>
            </w:r>
            <w:r>
              <w:rPr>
                <w:rFonts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（2）污水处理厂依托可行性分析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秦汉新城朝阳污水处理厂位于秦汉新城福银高速公路西侧、河堤路北侧，污水收纳范围为秦汉西区，包括周陵新兴产业园区、渭北文教组团、上林滨水居住组团及渭城小镇的生活污水，设计处理规模为5×10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/d，设计处理工艺为“格栅+旋流沉砂池+A</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/O生物池+二沉池+高密度沉淀池+V型滤池+臭氧接触池+紫外线消毒工艺”，设计出水水质标准为《陕西省黄河流域污水综合排放标准》（DB61/224-2018），处理达标后排入渭河。该污水处理厂已于2017年9月建成运行。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本项目位于西咸新区秦汉新城朝阳四路长庆井下工业园内，位于污水处理厂收水范围内。本项目废水产生量为0.0014m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/d，根据调查，目前朝阳污水处理厂处理规模为3.2万m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/d，可以接纳本项目的废水。加之本项目污水污染负荷较低，对污水厂的处理负荷冲击较小，不会对污水处理厂正常运行造成影响。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综上所述，项目位于朝阳污水处理厂服务范围内，污水处理厂可接纳本项目废水，项目外排污水符合污水处理厂进水水质要求。因此，污水排入朝阳污水处理厂处理是可行的。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废水监测计划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根据《排污单位自行监测技术指南 总则》（HJ 819-2017），本项目废水监测依托园区，经调查，园区废水监测计划如表4-2所示：</w:t>
            </w:r>
          </w:p>
          <w:p>
            <w:pPr>
              <w:jc w:val="center"/>
              <w:rPr>
                <w:rFonts w:hint="eastAsia"/>
                <w:color w:val="000000" w:themeColor="text1"/>
                <w:lang w:val="en-US" w:eastAsia="zh-CN"/>
                <w14:textFill>
                  <w14:solidFill>
                    <w14:schemeClr w14:val="tx1"/>
                  </w14:solidFill>
                </w14:textFill>
              </w:rPr>
            </w:pPr>
            <w:r>
              <w:rPr>
                <w:rFonts w:ascii="Times New Roman" w:cs="Times New Roman"/>
                <w:b/>
                <w:bCs/>
                <w:color w:val="000000" w:themeColor="text1"/>
                <w:sz w:val="24"/>
                <w:szCs w:val="24"/>
                <w14:textFill>
                  <w14:solidFill>
                    <w14:schemeClr w14:val="tx1"/>
                  </w14:solidFill>
                </w14:textFill>
              </w:rPr>
              <w:t>表</w:t>
            </w:r>
            <w:r>
              <w:rPr>
                <w:rFonts w:hint="eastAsia" w:ascii="Times New Roman" w:cs="Times New Roman"/>
                <w:b/>
                <w:bCs/>
                <w:color w:val="000000" w:themeColor="text1"/>
                <w:sz w:val="24"/>
                <w:szCs w:val="24"/>
                <w:lang w:val="en-US" w:eastAsia="zh-CN"/>
                <w14:textFill>
                  <w14:solidFill>
                    <w14:schemeClr w14:val="tx1"/>
                  </w14:solidFill>
                </w14:textFill>
              </w:rPr>
              <w:t>4-2</w:t>
            </w:r>
            <w:r>
              <w:rPr>
                <w:rFonts w:ascii="Times New Roman" w:cs="Times New Roman"/>
                <w:b/>
                <w:bCs/>
                <w:color w:val="000000" w:themeColor="text1"/>
                <w:sz w:val="24"/>
                <w:szCs w:val="24"/>
                <w14:textFill>
                  <w14:solidFill>
                    <w14:schemeClr w14:val="tx1"/>
                  </w14:solidFill>
                </w14:textFill>
              </w:rPr>
              <w:t xml:space="preserve"> </w:t>
            </w:r>
            <w:r>
              <w:rPr>
                <w:rFonts w:hint="eastAsia" w:ascii="Times New Roman" w:eastAsia="宋体" w:cs="Times New Roman"/>
                <w:b/>
                <w:bCs/>
                <w:color w:val="000000" w:themeColor="text1"/>
                <w:sz w:val="24"/>
                <w:szCs w:val="24"/>
                <w:lang w:val="en-US" w:eastAsia="zh-CN"/>
                <w14:textFill>
                  <w14:solidFill>
                    <w14:schemeClr w14:val="tx1"/>
                  </w14:solidFill>
                </w14:textFill>
              </w:rPr>
              <w:t>园区废水监测计划一</w:t>
            </w:r>
            <w:r>
              <w:rPr>
                <w:rFonts w:ascii="Times New Roman" w:cs="Times New Roman"/>
                <w:b/>
                <w:bCs/>
                <w:color w:val="000000" w:themeColor="text1"/>
                <w:sz w:val="24"/>
                <w:szCs w:val="24"/>
                <w14:textFill>
                  <w14:solidFill>
                    <w14:schemeClr w14:val="tx1"/>
                  </w14:solidFill>
                </w14:textFill>
              </w:rPr>
              <w:t>览表</w:t>
            </w:r>
          </w:p>
          <w:tbl>
            <w:tblPr>
              <w:tblStyle w:val="21"/>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484"/>
              <w:gridCol w:w="1650"/>
              <w:gridCol w:w="966"/>
              <w:gridCol w:w="2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污染物类别</w:t>
                  </w:r>
                </w:p>
              </w:tc>
              <w:tc>
                <w:tcPr>
                  <w:tcW w:w="1484"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监测点位置</w:t>
                  </w:r>
                </w:p>
              </w:tc>
              <w:tc>
                <w:tcPr>
                  <w:tcW w:w="1650"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监测因子</w:t>
                  </w:r>
                </w:p>
              </w:tc>
              <w:tc>
                <w:tcPr>
                  <w:tcW w:w="966"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监测频率</w:t>
                  </w:r>
                </w:p>
              </w:tc>
              <w:tc>
                <w:tcPr>
                  <w:tcW w:w="2927"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w:t>
                  </w:r>
                </w:p>
              </w:tc>
              <w:tc>
                <w:tcPr>
                  <w:tcW w:w="1484"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化粪池总排口</w:t>
                  </w:r>
                </w:p>
              </w:tc>
              <w:tc>
                <w:tcPr>
                  <w:tcW w:w="165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r>
                    <w:rPr>
                      <w:rFonts w:ascii="Times New Roman" w:hAnsi="Times New Roman" w:eastAsia="宋体" w:cs="Times New Roman"/>
                      <w:color w:val="000000" w:themeColor="text1"/>
                      <w:sz w:val="21"/>
                      <w:szCs w:val="21"/>
                      <w14:textFill>
                        <w14:solidFill>
                          <w14:schemeClr w14:val="tx1"/>
                        </w14:solidFill>
                      </w14:textFill>
                    </w:rPr>
                    <w:t>SS、COD、BOD</w:t>
                  </w:r>
                  <w:r>
                    <w:rPr>
                      <w:rFonts w:ascii="Times New Roman" w:hAnsi="Times New Roman" w:eastAsia="宋体" w:cs="Times New Roman"/>
                      <w:color w:val="000000" w:themeColor="text1"/>
                      <w:sz w:val="21"/>
                      <w:szCs w:val="21"/>
                      <w:vertAlign w:val="subscript"/>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总磷、总氮、氨氮、石油类</w:t>
                  </w:r>
                </w:p>
              </w:tc>
              <w:tc>
                <w:tcPr>
                  <w:tcW w:w="966"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1次/季</w:t>
                  </w:r>
                </w:p>
              </w:tc>
              <w:tc>
                <w:tcPr>
                  <w:tcW w:w="2927"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r>
                    <w:rPr>
                      <w:rFonts w:ascii="Times New Roman" w:hAnsi="Times New Roman" w:eastAsia="宋体" w:cs="Times New Roman"/>
                      <w:color w:val="000000" w:themeColor="text1"/>
                      <w:sz w:val="21"/>
                      <w:szCs w:val="21"/>
                      <w14:textFill>
                        <w14:solidFill>
                          <w14:schemeClr w14:val="tx1"/>
                        </w14:solidFill>
                      </w14:textFill>
                    </w:rPr>
                    <w:t>SS、COD、BOD</w:t>
                  </w:r>
                  <w:r>
                    <w:rPr>
                      <w:rFonts w:ascii="Times New Roman" w:hAnsi="Times New Roman" w:eastAsia="宋体" w:cs="Times New Roman"/>
                      <w:color w:val="000000" w:themeColor="text1"/>
                      <w:sz w:val="21"/>
                      <w:szCs w:val="21"/>
                      <w:vertAlign w:val="subscript"/>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执行《</w:t>
                  </w:r>
                  <w:r>
                    <w:rPr>
                      <w:rFonts w:hint="eastAsia" w:ascii="Times New Roman" w:hAnsi="Times New Roman" w:eastAsia="宋体" w:cs="Times New Roman"/>
                      <w:color w:val="000000" w:themeColor="text1"/>
                      <w:sz w:val="21"/>
                      <w:szCs w:val="21"/>
                      <w:lang w:eastAsia="zh-CN"/>
                      <w14:textFill>
                        <w14:solidFill>
                          <w14:schemeClr w14:val="tx1"/>
                        </w14:solidFill>
                      </w14:textFill>
                    </w:rPr>
                    <w:t>污水综合排放标准》（GB8978-1996）中三级标准，</w:t>
                  </w:r>
                </w:p>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总氮、总磷、氨氮、石油类执行</w:t>
                  </w:r>
                  <w:r>
                    <w:rPr>
                      <w:rFonts w:hint="eastAsia" w:ascii="Times New Roman" w:hAnsi="Times New Roman" w:eastAsia="宋体" w:cs="Times New Roman"/>
                      <w:color w:val="000000" w:themeColor="text1"/>
                      <w:sz w:val="21"/>
                      <w:szCs w:val="21"/>
                      <w:lang w:eastAsia="zh-CN"/>
                      <w14:textFill>
                        <w14:solidFill>
                          <w14:schemeClr w14:val="tx1"/>
                        </w14:solidFill>
                      </w14:textFill>
                    </w:rPr>
                    <w:t>《污水排入城镇下水道水质标准（GB/T31962-2015）中B级标准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噪声源强分析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本项目运营期噪声主要为试验设备运行噪声。主要噪声源及治理措施见下表。</w:t>
            </w:r>
          </w:p>
          <w:p>
            <w:pPr>
              <w:jc w:val="center"/>
              <w:rPr>
                <w:rFonts w:hint="eastAsia" w:ascii="Times New Roman" w:cs="Times New Roman"/>
                <w:b/>
                <w:bCs/>
                <w:color w:val="000000" w:themeColor="text1"/>
                <w:sz w:val="24"/>
                <w:szCs w:val="24"/>
                <w14:textFill>
                  <w14:solidFill>
                    <w14:schemeClr w14:val="tx1"/>
                  </w14:solidFill>
                </w14:textFill>
              </w:rPr>
            </w:pPr>
            <w:r>
              <w:rPr>
                <w:rFonts w:ascii="Times New Roman" w:cs="Times New Roman"/>
                <w:b/>
                <w:bCs/>
                <w:color w:val="000000" w:themeColor="text1"/>
                <w:sz w:val="24"/>
                <w:szCs w:val="24"/>
                <w14:textFill>
                  <w14:solidFill>
                    <w14:schemeClr w14:val="tx1"/>
                  </w14:solidFill>
                </w14:textFill>
              </w:rPr>
              <w:t>表</w:t>
            </w:r>
            <w:r>
              <w:rPr>
                <w:rFonts w:hint="eastAsia" w:ascii="Times New Roman" w:cs="Times New Roman"/>
                <w:b/>
                <w:bCs/>
                <w:color w:val="000000" w:themeColor="text1"/>
                <w:sz w:val="24"/>
                <w:szCs w:val="24"/>
                <w:lang w:val="en-US" w:eastAsia="zh-CN"/>
                <w14:textFill>
                  <w14:solidFill>
                    <w14:schemeClr w14:val="tx1"/>
                  </w14:solidFill>
                </w14:textFill>
              </w:rPr>
              <w:t xml:space="preserve">4-3 </w:t>
            </w:r>
            <w:r>
              <w:rPr>
                <w:rFonts w:ascii="Times New Roman" w:cs="Times New Roman"/>
                <w:b/>
                <w:bCs/>
                <w:color w:val="000000" w:themeColor="text1"/>
                <w:sz w:val="24"/>
                <w:szCs w:val="24"/>
                <w14:textFill>
                  <w14:solidFill>
                    <w14:schemeClr w14:val="tx1"/>
                  </w14:solidFill>
                </w14:textFill>
              </w:rPr>
              <w:t xml:space="preserve"> </w:t>
            </w:r>
            <w:r>
              <w:rPr>
                <w:rFonts w:hint="eastAsia" w:ascii="Times New Roman" w:cs="Times New Roman"/>
                <w:b/>
                <w:bCs/>
                <w:color w:val="000000" w:themeColor="text1"/>
                <w:sz w:val="24"/>
                <w:szCs w:val="24"/>
                <w:lang w:val="en-US" w:eastAsia="zh-CN"/>
                <w14:textFill>
                  <w14:solidFill>
                    <w14:schemeClr w14:val="tx1"/>
                  </w14:solidFill>
                </w14:textFill>
              </w:rPr>
              <w:t>噪声污染源源强核算</w:t>
            </w:r>
            <w:r>
              <w:rPr>
                <w:rFonts w:ascii="Times New Roman" w:cs="Times New Roman"/>
                <w:b/>
                <w:bCs/>
                <w:color w:val="000000" w:themeColor="text1"/>
                <w:sz w:val="24"/>
                <w:szCs w:val="24"/>
                <w14:textFill>
                  <w14:solidFill>
                    <w14:schemeClr w14:val="tx1"/>
                  </w14:solidFill>
                </w14:textFill>
              </w:rPr>
              <w:t>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384"/>
              <w:gridCol w:w="2"/>
              <w:gridCol w:w="1"/>
              <w:gridCol w:w="1056"/>
              <w:gridCol w:w="2"/>
              <w:gridCol w:w="1"/>
              <w:gridCol w:w="840"/>
              <w:gridCol w:w="3"/>
              <w:gridCol w:w="668"/>
              <w:gridCol w:w="2"/>
              <w:gridCol w:w="1"/>
              <w:gridCol w:w="897"/>
              <w:gridCol w:w="9"/>
              <w:gridCol w:w="905"/>
              <w:gridCol w:w="1"/>
              <w:gridCol w:w="785"/>
              <w:gridCol w:w="2"/>
              <w:gridCol w:w="78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5"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噪声源</w:t>
                  </w:r>
                </w:p>
              </w:tc>
              <w:tc>
                <w:tcPr>
                  <w:tcW w:w="237" w:type="pct"/>
                  <w:gridSpan w:val="2"/>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数量</w:t>
                  </w:r>
                </w:p>
              </w:tc>
              <w:tc>
                <w:tcPr>
                  <w:tcW w:w="652" w:type="pct"/>
                  <w:gridSpan w:val="3"/>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声源类型（频发、偶发等）</w:t>
                  </w:r>
                </w:p>
              </w:tc>
              <w:tc>
                <w:tcPr>
                  <w:tcW w:w="932" w:type="pct"/>
                  <w:gridSpan w:val="5"/>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噪声源强</w:t>
                  </w:r>
                </w:p>
              </w:tc>
              <w:tc>
                <w:tcPr>
                  <w:tcW w:w="1115" w:type="pct"/>
                  <w:gridSpan w:val="4"/>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降噪措施</w:t>
                  </w:r>
                </w:p>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p>
              </w:tc>
              <w:tc>
                <w:tcPr>
                  <w:tcW w:w="968" w:type="pct"/>
                  <w:gridSpan w:val="4"/>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排放强度</w:t>
                  </w:r>
                </w:p>
              </w:tc>
              <w:tc>
                <w:tcPr>
                  <w:tcW w:w="578"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15" w:type="pct"/>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lang w:eastAsia="zh-CN"/>
                      <w14:textFill>
                        <w14:solidFill>
                          <w14:schemeClr w14:val="tx1"/>
                        </w14:solidFill>
                      </w14:textFill>
                    </w:rPr>
                  </w:pPr>
                </w:p>
              </w:tc>
              <w:tc>
                <w:tcPr>
                  <w:tcW w:w="238" w:type="pct"/>
                  <w:gridSpan w:val="3"/>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lang w:eastAsia="zh-CN"/>
                      <w14:textFill>
                        <w14:solidFill>
                          <w14:schemeClr w14:val="tx1"/>
                        </w14:solidFill>
                      </w14:textFill>
                    </w:rPr>
                  </w:pPr>
                </w:p>
              </w:tc>
              <w:tc>
                <w:tcPr>
                  <w:tcW w:w="652" w:type="pct"/>
                  <w:gridSpan w:val="3"/>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lang w:eastAsia="zh-CN"/>
                      <w14:textFill>
                        <w14:solidFill>
                          <w14:schemeClr w14:val="tx1"/>
                        </w14:solidFill>
                      </w14:textFill>
                    </w:rPr>
                  </w:pPr>
                </w:p>
              </w:tc>
              <w:tc>
                <w:tcPr>
                  <w:tcW w:w="519" w:type="pct"/>
                  <w:gridSpan w:val="2"/>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核算方法</w:t>
                  </w:r>
                </w:p>
              </w:tc>
              <w:tc>
                <w:tcPr>
                  <w:tcW w:w="413" w:type="pct"/>
                  <w:gridSpan w:val="3"/>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噪声值</w:t>
                  </w:r>
                </w:p>
              </w:tc>
              <w:tc>
                <w:tcPr>
                  <w:tcW w:w="557" w:type="pct"/>
                  <w:gridSpan w:val="2"/>
                  <w:tcBorders>
                    <w:right w:val="single" w:color="auto" w:sz="4" w:space="0"/>
                  </w:tcBorders>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工艺</w:t>
                  </w:r>
                </w:p>
              </w:tc>
              <w:tc>
                <w:tcPr>
                  <w:tcW w:w="557" w:type="pct"/>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降噪效果</w:t>
                  </w:r>
                </w:p>
              </w:tc>
              <w:tc>
                <w:tcPr>
                  <w:tcW w:w="483"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核算方法</w:t>
                  </w:r>
                </w:p>
              </w:tc>
              <w:tc>
                <w:tcPr>
                  <w:tcW w:w="484" w:type="pct"/>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val="0"/>
                    <w:jc w:val="center"/>
                    <w:textAlignment w:val="auto"/>
                    <w:rPr>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噪声值</w:t>
                  </w:r>
                </w:p>
              </w:tc>
              <w:tc>
                <w:tcPr>
                  <w:tcW w:w="578" w:type="pct"/>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恒温温控箱</w:t>
                  </w:r>
                </w:p>
              </w:tc>
              <w:tc>
                <w:tcPr>
                  <w:tcW w:w="2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1台</w:t>
                  </w:r>
                </w:p>
              </w:tc>
              <w:tc>
                <w:tcPr>
                  <w:tcW w:w="652"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稳态</w:t>
                  </w:r>
                </w:p>
              </w:tc>
              <w:tc>
                <w:tcPr>
                  <w:tcW w:w="519"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13" w:type="pct"/>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60</w:t>
                  </w:r>
                </w:p>
              </w:tc>
              <w:tc>
                <w:tcPr>
                  <w:tcW w:w="554" w:type="pct"/>
                  <w:gridSpan w:val="3"/>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采用低噪声仪器、全部安置在室内，定期对实验仪器进行检查和维护</w:t>
                  </w:r>
                </w:p>
              </w:tc>
              <w:tc>
                <w:tcPr>
                  <w:tcW w:w="562" w:type="pct"/>
                  <w:gridSpan w:val="2"/>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降噪量≥15dB（A）</w:t>
                  </w:r>
                </w:p>
              </w:tc>
              <w:tc>
                <w:tcPr>
                  <w:tcW w:w="485"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8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45</w:t>
                  </w:r>
                </w:p>
              </w:tc>
              <w:tc>
                <w:tcPr>
                  <w:tcW w:w="5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温度传感器</w:t>
                  </w:r>
                </w:p>
              </w:tc>
              <w:tc>
                <w:tcPr>
                  <w:tcW w:w="2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1台</w:t>
                  </w:r>
                </w:p>
              </w:tc>
              <w:tc>
                <w:tcPr>
                  <w:tcW w:w="652"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稳态</w:t>
                  </w:r>
                </w:p>
              </w:tc>
              <w:tc>
                <w:tcPr>
                  <w:tcW w:w="519"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13" w:type="pct"/>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65</w:t>
                  </w:r>
                </w:p>
              </w:tc>
              <w:tc>
                <w:tcPr>
                  <w:tcW w:w="554" w:type="pct"/>
                  <w:gridSpan w:val="3"/>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562" w:type="pct"/>
                  <w:gridSpan w:val="2"/>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485"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8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50</w:t>
                  </w:r>
                </w:p>
              </w:tc>
              <w:tc>
                <w:tcPr>
                  <w:tcW w:w="5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压力传感器</w:t>
                  </w:r>
                </w:p>
              </w:tc>
              <w:tc>
                <w:tcPr>
                  <w:tcW w:w="2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1台</w:t>
                  </w:r>
                </w:p>
              </w:tc>
              <w:tc>
                <w:tcPr>
                  <w:tcW w:w="652"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稳态</w:t>
                  </w:r>
                </w:p>
              </w:tc>
              <w:tc>
                <w:tcPr>
                  <w:tcW w:w="519"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13" w:type="pct"/>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75</w:t>
                  </w:r>
                </w:p>
              </w:tc>
              <w:tc>
                <w:tcPr>
                  <w:tcW w:w="554" w:type="pct"/>
                  <w:gridSpan w:val="3"/>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562" w:type="pct"/>
                  <w:gridSpan w:val="2"/>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485"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8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60</w:t>
                  </w:r>
                </w:p>
              </w:tc>
              <w:tc>
                <w:tcPr>
                  <w:tcW w:w="5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精密恒压泵</w:t>
                  </w:r>
                </w:p>
              </w:tc>
              <w:tc>
                <w:tcPr>
                  <w:tcW w:w="2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1台</w:t>
                  </w:r>
                </w:p>
              </w:tc>
              <w:tc>
                <w:tcPr>
                  <w:tcW w:w="652"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稳态</w:t>
                  </w:r>
                </w:p>
              </w:tc>
              <w:tc>
                <w:tcPr>
                  <w:tcW w:w="519"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13" w:type="pct"/>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90</w:t>
                  </w:r>
                </w:p>
              </w:tc>
              <w:tc>
                <w:tcPr>
                  <w:tcW w:w="554" w:type="pct"/>
                  <w:gridSpan w:val="3"/>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562" w:type="pct"/>
                  <w:gridSpan w:val="2"/>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485"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8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75</w:t>
                  </w:r>
                </w:p>
              </w:tc>
              <w:tc>
                <w:tcPr>
                  <w:tcW w:w="5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空气压缩机</w:t>
                  </w:r>
                </w:p>
              </w:tc>
              <w:tc>
                <w:tcPr>
                  <w:tcW w:w="2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1台</w:t>
                  </w:r>
                </w:p>
              </w:tc>
              <w:tc>
                <w:tcPr>
                  <w:tcW w:w="652"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稳态</w:t>
                  </w:r>
                </w:p>
              </w:tc>
              <w:tc>
                <w:tcPr>
                  <w:tcW w:w="519"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13" w:type="pct"/>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55</w:t>
                  </w:r>
                </w:p>
              </w:tc>
              <w:tc>
                <w:tcPr>
                  <w:tcW w:w="554" w:type="pct"/>
                  <w:gridSpan w:val="3"/>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562" w:type="pct"/>
                  <w:gridSpan w:val="2"/>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p>
              </w:tc>
              <w:tc>
                <w:tcPr>
                  <w:tcW w:w="485" w:type="pct"/>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类比法</w:t>
                  </w:r>
                </w:p>
              </w:tc>
              <w:tc>
                <w:tcPr>
                  <w:tcW w:w="48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40</w:t>
                  </w:r>
                </w:p>
              </w:tc>
              <w:tc>
                <w:tcPr>
                  <w:tcW w:w="5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w:t>
                  </w:r>
                </w:p>
              </w:tc>
            </w:tr>
          </w:tbl>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w:t>
            </w:r>
            <w:r>
              <w:rPr>
                <w:rFonts w:ascii="Times New Roman" w:hAnsi="Times New Roman" w:eastAsia="宋体" w:cs="Times New Roman"/>
                <w:color w:val="000000" w:themeColor="text1"/>
                <w:sz w:val="24"/>
                <w:szCs w:val="24"/>
                <w:lang w:eastAsia="zh-CN"/>
                <w14:textFill>
                  <w14:solidFill>
                    <w14:schemeClr w14:val="tx1"/>
                  </w14:solidFill>
                </w14:textFill>
              </w:rPr>
              <w:t>噪声降噪措施</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生产设备均布置于封闭厂房内，经墙体阻隔可一定程度上减轻对周边声环境的影响，同时本评价提出如下防治措施：</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①选用低噪设备，从声源上降低噪声值；</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②实验室采用隔声窗、隔声门，采用合理布局从传播过程中降低噪声影响；</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③提高试验设备的安装精度，做好平衡调试；安装时采用减振措施，在设备和基础之间加装减振器，从而有效地降低振动强度；</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④建立设备定期维护，保养的管理制度，以防止设备故障形成的非正常生产噪声，同时加强职工环保意识教育，提倡文明生产，防止人为噪声，最大限度减少流动噪声源。</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（3）</w:t>
            </w:r>
            <w:r>
              <w:rPr>
                <w:rFonts w:ascii="Times New Roman" w:hAnsi="Times New Roman" w:eastAsia="宋体" w:cs="Times New Roman"/>
                <w:color w:val="000000" w:themeColor="text1"/>
                <w:sz w:val="24"/>
                <w:szCs w:val="24"/>
                <w:lang w:eastAsia="zh-CN"/>
                <w14:textFill>
                  <w14:solidFill>
                    <w14:schemeClr w14:val="tx1"/>
                  </w14:solidFill>
                </w14:textFill>
              </w:rPr>
              <w:t>噪声</w:t>
            </w:r>
            <w:r>
              <w:rPr>
                <w:rFonts w:hint="eastAsia" w:ascii="Times New Roman" w:hAnsi="Times New Roman" w:eastAsia="宋体" w:cs="Times New Roman"/>
                <w:color w:val="000000" w:themeColor="text1"/>
                <w:sz w:val="24"/>
                <w:szCs w:val="24"/>
                <w:lang w:eastAsia="zh-CN"/>
                <w14:textFill>
                  <w14:solidFill>
                    <w14:schemeClr w14:val="tx1"/>
                  </w14:solidFill>
                </w14:textFill>
              </w:rPr>
              <w:t>预测结果</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bidi="ar"/>
                <w14:textFill>
                  <w14:solidFill>
                    <w14:schemeClr w14:val="tx1"/>
                  </w14:solidFill>
                </w14:textFill>
              </w:rPr>
              <w:t>本次评价采用《环境影响评价技术导则（声环境）》（HJ2.4-2021）中推荐模式进行预测。本次预测采用“环安科技”中噪声在线评价预测系统，预测结果见表4-4。</w:t>
            </w:r>
          </w:p>
          <w:p>
            <w:pPr>
              <w:jc w:val="center"/>
              <w:rPr>
                <w:rFonts w:hint="eastAsia" w:ascii="Times New Roman" w:cs="Times New Roman"/>
                <w:b/>
                <w:bCs/>
                <w:color w:val="000000" w:themeColor="text1"/>
                <w:sz w:val="24"/>
                <w:szCs w:val="24"/>
                <w:lang w:val="en-US" w:eastAsia="zh-CN"/>
                <w14:textFill>
                  <w14:solidFill>
                    <w14:schemeClr w14:val="tx1"/>
                  </w14:solidFill>
                </w14:textFill>
              </w:rPr>
            </w:pPr>
            <w:r>
              <w:rPr>
                <w:rFonts w:ascii="Times New Roman" w:cs="Times New Roman"/>
                <w:b/>
                <w:bCs/>
                <w:color w:val="000000" w:themeColor="text1"/>
                <w:sz w:val="24"/>
                <w:szCs w:val="24"/>
                <w14:textFill>
                  <w14:solidFill>
                    <w14:schemeClr w14:val="tx1"/>
                  </w14:solidFill>
                </w14:textFill>
              </w:rPr>
              <w:t>4-</w:t>
            </w:r>
            <w:r>
              <w:rPr>
                <w:rFonts w:hint="eastAsia" w:ascii="Times New Roman" w:cs="Times New Roman"/>
                <w:b/>
                <w:bCs/>
                <w:color w:val="000000" w:themeColor="text1"/>
                <w:sz w:val="24"/>
                <w:szCs w:val="24"/>
                <w:lang w:val="en-US" w:eastAsia="zh-CN"/>
                <w14:textFill>
                  <w14:solidFill>
                    <w14:schemeClr w14:val="tx1"/>
                  </w14:solidFill>
                </w14:textFill>
              </w:rPr>
              <w:t>4</w:t>
            </w:r>
            <w:r>
              <w:rPr>
                <w:rFonts w:ascii="Times New Roman" w:cs="Times New Roman"/>
                <w:b/>
                <w:bCs/>
                <w:color w:val="000000" w:themeColor="text1"/>
                <w:sz w:val="24"/>
                <w:szCs w:val="24"/>
                <w:lang w:eastAsia="zh-CN"/>
                <w14:textFill>
                  <w14:solidFill>
                    <w14:schemeClr w14:val="tx1"/>
                  </w14:solidFill>
                </w14:textFill>
              </w:rPr>
              <w:t xml:space="preserve"> </w:t>
            </w:r>
            <w:r>
              <w:rPr>
                <w:rFonts w:ascii="Times New Roman" w:cs="Times New Roman"/>
                <w:b/>
                <w:bCs/>
                <w:color w:val="000000" w:themeColor="text1"/>
                <w:sz w:val="24"/>
                <w:szCs w:val="24"/>
                <w14:textFill>
                  <w14:solidFill>
                    <w14:schemeClr w14:val="tx1"/>
                  </w14:solidFill>
                </w14:textFill>
              </w:rPr>
              <w:t xml:space="preserve"> 厂界噪声预测结果</w:t>
            </w:r>
          </w:p>
          <w:tbl>
            <w:tblPr>
              <w:tblStyle w:val="21"/>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47"/>
              <w:gridCol w:w="859"/>
              <w:gridCol w:w="914"/>
              <w:gridCol w:w="1050"/>
              <w:gridCol w:w="1844"/>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b/>
                      <w:bCs/>
                      <w:color w:val="000000" w:themeColor="text1"/>
                      <w:sz w:val="21"/>
                      <w:szCs w:val="21"/>
                      <w:lang w:eastAsia="zh-CN"/>
                      <w14:textFill>
                        <w14:solidFill>
                          <w14:schemeClr w14:val="tx1"/>
                        </w14:solidFill>
                      </w14:textFill>
                    </w:rPr>
                    <w:t>时间段</w:t>
                  </w:r>
                </w:p>
              </w:tc>
              <w:tc>
                <w:tcPr>
                  <w:tcW w:w="1147"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b/>
                      <w:bCs/>
                      <w:color w:val="000000" w:themeColor="text1"/>
                      <w:sz w:val="21"/>
                      <w:szCs w:val="21"/>
                      <w:lang w:eastAsia="zh-CN"/>
                      <w14:textFill>
                        <w14:solidFill>
                          <w14:schemeClr w14:val="tx1"/>
                        </w14:solidFill>
                      </w14:textFill>
                    </w:rPr>
                    <w:t>预测点位</w:t>
                  </w:r>
                </w:p>
              </w:tc>
              <w:tc>
                <w:tcPr>
                  <w:tcW w:w="859"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b/>
                      <w:bCs/>
                      <w:color w:val="000000" w:themeColor="text1"/>
                      <w:sz w:val="21"/>
                      <w:szCs w:val="21"/>
                      <w:lang w:eastAsia="zh-CN"/>
                      <w14:textFill>
                        <w14:solidFill>
                          <w14:schemeClr w14:val="tx1"/>
                        </w14:solidFill>
                      </w14:textFill>
                    </w:rPr>
                    <w:t>贡献值</w:t>
                  </w:r>
                </w:p>
              </w:tc>
              <w:tc>
                <w:tcPr>
                  <w:tcW w:w="914"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标准值</w:t>
                  </w:r>
                </w:p>
              </w:tc>
              <w:tc>
                <w:tcPr>
                  <w:tcW w:w="1050"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标准类别</w:t>
                  </w:r>
                </w:p>
              </w:tc>
              <w:tc>
                <w:tcPr>
                  <w:tcW w:w="1844"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执行标准</w:t>
                  </w:r>
                </w:p>
              </w:tc>
              <w:tc>
                <w:tcPr>
                  <w:tcW w:w="987" w:type="dxa"/>
                  <w:vAlign w:val="center"/>
                </w:tcPr>
                <w:p>
                  <w:pPr>
                    <w:jc w:val="center"/>
                    <w:rPr>
                      <w:rFonts w:ascii="Times New Roman" w:hAnsi="Times New Roman"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昼间</w:t>
                  </w:r>
                </w:p>
              </w:tc>
              <w:tc>
                <w:tcPr>
                  <w:tcW w:w="1147"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东厂界</w:t>
                  </w:r>
                </w:p>
              </w:tc>
              <w:tc>
                <w:tcPr>
                  <w:tcW w:w="859"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35.8</w:t>
                  </w:r>
                </w:p>
              </w:tc>
              <w:tc>
                <w:tcPr>
                  <w:tcW w:w="914" w:type="dxa"/>
                  <w:vMerge w:val="restart"/>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65</w:t>
                  </w:r>
                </w:p>
              </w:tc>
              <w:tc>
                <w:tcPr>
                  <w:tcW w:w="1050" w:type="dxa"/>
                  <w:vMerge w:val="restart"/>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类</w:t>
                  </w:r>
                </w:p>
              </w:tc>
              <w:tc>
                <w:tcPr>
                  <w:tcW w:w="1844" w:type="dxa"/>
                  <w:vMerge w:val="restart"/>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bidi="ar"/>
                      <w14:textFill>
                        <w14:solidFill>
                          <w14:schemeClr w14:val="tx1"/>
                        </w14:solidFill>
                      </w14:textFill>
                    </w:rPr>
                    <w:t>《工业企业厂界环境噪声排放标准》</w:t>
                  </w:r>
                </w:p>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bidi="ar"/>
                      <w14:textFill>
                        <w14:solidFill>
                          <w14:schemeClr w14:val="tx1"/>
                        </w14:solidFill>
                      </w14:textFill>
                    </w:rPr>
                    <w:t>（</w:t>
                  </w:r>
                  <w:r>
                    <w:rPr>
                      <w:rFonts w:ascii="Times New Roman" w:hAnsi="Times New Roman" w:cs="Times New Roman"/>
                      <w:color w:val="000000" w:themeColor="text1"/>
                      <w:sz w:val="21"/>
                      <w:szCs w:val="21"/>
                      <w:lang w:eastAsia="zh-CN" w:bidi="ar"/>
                      <w14:textFill>
                        <w14:solidFill>
                          <w14:schemeClr w14:val="tx1"/>
                        </w14:solidFill>
                      </w14:textFill>
                    </w:rPr>
                    <w:t>GB12348-2008</w:t>
                  </w:r>
                  <w:r>
                    <w:rPr>
                      <w:rFonts w:hint="eastAsia" w:ascii="宋体" w:hAnsi="宋体" w:eastAsia="宋体" w:cs="宋体"/>
                      <w:color w:val="000000" w:themeColor="text1"/>
                      <w:sz w:val="21"/>
                      <w:szCs w:val="21"/>
                      <w:lang w:eastAsia="zh-CN" w:bidi="ar"/>
                      <w14:textFill>
                        <w14:solidFill>
                          <w14:schemeClr w14:val="tx1"/>
                        </w14:solidFill>
                      </w14:textFill>
                    </w:rPr>
                    <w:t>）</w:t>
                  </w:r>
                </w:p>
              </w:tc>
              <w:tc>
                <w:tcPr>
                  <w:tcW w:w="987" w:type="dxa"/>
                  <w:vMerge w:val="restart"/>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47"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南</w:t>
                  </w:r>
                  <w:r>
                    <w:rPr>
                      <w:rFonts w:hint="eastAsia" w:ascii="Times New Roman" w:hAnsi="Times New Roman" w:cs="Times New Roman"/>
                      <w:color w:val="000000" w:themeColor="text1"/>
                      <w:sz w:val="21"/>
                      <w:szCs w:val="21"/>
                      <w:lang w:eastAsia="zh-CN"/>
                      <w14:textFill>
                        <w14:solidFill>
                          <w14:schemeClr w14:val="tx1"/>
                        </w14:solidFill>
                      </w14:textFill>
                    </w:rPr>
                    <w:t>厂界</w:t>
                  </w:r>
                </w:p>
              </w:tc>
              <w:tc>
                <w:tcPr>
                  <w:tcW w:w="859"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33.23</w:t>
                  </w:r>
                </w:p>
              </w:tc>
              <w:tc>
                <w:tcPr>
                  <w:tcW w:w="914"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050"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844"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987"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47"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西厂界</w:t>
                  </w:r>
                </w:p>
              </w:tc>
              <w:tc>
                <w:tcPr>
                  <w:tcW w:w="859"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39.78</w:t>
                  </w:r>
                </w:p>
              </w:tc>
              <w:tc>
                <w:tcPr>
                  <w:tcW w:w="914"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050"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844"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987"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47"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北</w:t>
                  </w:r>
                  <w:r>
                    <w:rPr>
                      <w:rFonts w:hint="eastAsia" w:ascii="Times New Roman" w:hAnsi="Times New Roman" w:cs="Times New Roman"/>
                      <w:color w:val="000000" w:themeColor="text1"/>
                      <w:sz w:val="21"/>
                      <w:szCs w:val="21"/>
                      <w:lang w:eastAsia="zh-CN"/>
                      <w14:textFill>
                        <w14:solidFill>
                          <w14:schemeClr w14:val="tx1"/>
                        </w14:solidFill>
                      </w14:textFill>
                    </w:rPr>
                    <w:t>厂界</w:t>
                  </w:r>
                </w:p>
              </w:tc>
              <w:tc>
                <w:tcPr>
                  <w:tcW w:w="859" w:type="dxa"/>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33.02</w:t>
                  </w:r>
                </w:p>
              </w:tc>
              <w:tc>
                <w:tcPr>
                  <w:tcW w:w="914"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050"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1844"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c>
                <w:tcPr>
                  <w:tcW w:w="987" w:type="dxa"/>
                  <w:vMerge w:val="continue"/>
                  <w:vAlign w:val="center"/>
                </w:tcPr>
                <w:p>
                  <w:pPr>
                    <w:jc w:val="center"/>
                    <w:rPr>
                      <w:rFonts w:ascii="Times New Roman" w:hAnsi="Times New Roman" w:cs="Times New Roman"/>
                      <w:color w:val="000000" w:themeColor="text1"/>
                      <w:sz w:val="21"/>
                      <w:szCs w:val="21"/>
                      <w:lang w:eastAsia="zh-CN"/>
                      <w14:textFill>
                        <w14:solidFill>
                          <w14:schemeClr w14:val="tx1"/>
                        </w14:solidFill>
                      </w14:textFill>
                    </w:rPr>
                  </w:pPr>
                </w:p>
              </w:tc>
            </w:tr>
          </w:tbl>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由预测可看出，本项目设备噪声通过基础减振及车间隔声等降噪措施后，再衰减至厂界均可达到《工业企业厂界环境噪声排放标准》（GB12348-2008）3类标准要求，说明项目对周围环境影响较小。</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（4）监测计划</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项目建成后，可委托有资质的环境监测部门进行监测，监测方法及频次严格按照《排污许可证申请与核发技术规范》及自行监测指南中相关要求进行。本项目噪声监测计划见表4-5。</w:t>
            </w:r>
          </w:p>
          <w:p>
            <w:pPr>
              <w:jc w:val="center"/>
              <w:rPr>
                <w:rFonts w:hint="eastAsia" w:ascii="Times New Roman" w:cs="Times New Roman"/>
                <w:b/>
                <w:bCs/>
                <w:color w:val="000000" w:themeColor="text1"/>
                <w:sz w:val="24"/>
                <w:szCs w:val="24"/>
                <w:lang w:val="en-US" w:eastAsia="zh-CN"/>
                <w14:textFill>
                  <w14:solidFill>
                    <w14:schemeClr w14:val="tx1"/>
                  </w14:solidFill>
                </w14:textFill>
              </w:rPr>
            </w:pPr>
            <w:r>
              <w:rPr>
                <w:rFonts w:ascii="Times New Roman" w:cs="Times New Roman"/>
                <w:b/>
                <w:bCs/>
                <w:color w:val="000000" w:themeColor="text1"/>
                <w:sz w:val="24"/>
                <w:szCs w:val="24"/>
                <w14:textFill>
                  <w14:solidFill>
                    <w14:schemeClr w14:val="tx1"/>
                  </w14:solidFill>
                </w14:textFill>
              </w:rPr>
              <w:t>4-</w:t>
            </w:r>
            <w:r>
              <w:rPr>
                <w:rFonts w:hint="eastAsia" w:ascii="Times New Roman" w:cs="Times New Roman"/>
                <w:b/>
                <w:bCs/>
                <w:color w:val="000000" w:themeColor="text1"/>
                <w:sz w:val="24"/>
                <w:szCs w:val="24"/>
                <w:lang w:val="en-US" w:eastAsia="zh-CN"/>
                <w14:textFill>
                  <w14:solidFill>
                    <w14:schemeClr w14:val="tx1"/>
                  </w14:solidFill>
                </w14:textFill>
              </w:rPr>
              <w:t>5</w:t>
            </w:r>
            <w:r>
              <w:rPr>
                <w:rFonts w:ascii="Times New Roman" w:cs="Times New Roman"/>
                <w:b/>
                <w:bCs/>
                <w:color w:val="000000" w:themeColor="text1"/>
                <w:sz w:val="24"/>
                <w:szCs w:val="24"/>
                <w:lang w:eastAsia="zh-CN"/>
                <w14:textFill>
                  <w14:solidFill>
                    <w14:schemeClr w14:val="tx1"/>
                  </w14:solidFill>
                </w14:textFill>
              </w:rPr>
              <w:t xml:space="preserve"> </w:t>
            </w:r>
            <w:r>
              <w:rPr>
                <w:rFonts w:ascii="Times New Roman" w:cs="Times New Roman"/>
                <w:b/>
                <w:bCs/>
                <w:color w:val="000000" w:themeColor="text1"/>
                <w:sz w:val="24"/>
                <w:szCs w:val="24"/>
                <w14:textFill>
                  <w14:solidFill>
                    <w14:schemeClr w14:val="tx1"/>
                  </w14:solidFill>
                </w14:textFill>
              </w:rPr>
              <w:t xml:space="preserve"> </w:t>
            </w:r>
            <w:r>
              <w:rPr>
                <w:rFonts w:hint="eastAsia" w:ascii="Times New Roman" w:cs="Times New Roman"/>
                <w:b/>
                <w:bCs/>
                <w:color w:val="000000" w:themeColor="text1"/>
                <w:sz w:val="24"/>
                <w:szCs w:val="24"/>
                <w:lang w:val="en-US" w:eastAsia="zh-CN"/>
                <w14:textFill>
                  <w14:solidFill>
                    <w14:schemeClr w14:val="tx1"/>
                  </w14:solidFill>
                </w14:textFill>
              </w:rPr>
              <w:t>运营期噪声监测计划</w:t>
            </w:r>
          </w:p>
          <w:tbl>
            <w:tblPr>
              <w:tblStyle w:val="21"/>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25"/>
              <w:gridCol w:w="1300"/>
              <w:gridCol w:w="1162"/>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污染物类别</w:t>
                  </w:r>
                </w:p>
              </w:tc>
              <w:tc>
                <w:tcPr>
                  <w:tcW w:w="1325"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监测点位置</w:t>
                  </w:r>
                </w:p>
              </w:tc>
              <w:tc>
                <w:tcPr>
                  <w:tcW w:w="1300"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监测因子</w:t>
                  </w:r>
                </w:p>
              </w:tc>
              <w:tc>
                <w:tcPr>
                  <w:tcW w:w="1162"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监测频率</w:t>
                  </w:r>
                </w:p>
              </w:tc>
              <w:tc>
                <w:tcPr>
                  <w:tcW w:w="2827"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噪声</w:t>
                  </w:r>
                </w:p>
              </w:tc>
              <w:tc>
                <w:tcPr>
                  <w:tcW w:w="1325"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厂界</w:t>
                  </w:r>
                </w:p>
              </w:tc>
              <w:tc>
                <w:tcPr>
                  <w:tcW w:w="1300"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等效A声级</w:t>
                  </w:r>
                </w:p>
              </w:tc>
              <w:tc>
                <w:tcPr>
                  <w:tcW w:w="1162"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1次/季</w:t>
                  </w:r>
                </w:p>
              </w:tc>
              <w:tc>
                <w:tcPr>
                  <w:tcW w:w="2827"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《工业企业厂界环境噪声排放标准》表1中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类标准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（1）固体废物产生种类及产生量</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本项目运营期固废主要包括生活垃圾、废包装材料、实验废液、废包装桶。</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①生活垃圾</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生活垃圾：本项目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不新增生活垃圾</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②一般工业固体废物</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废包装材料：本项目运营期产生的一般固废为未沾染化学品的废包装材料（废包装盒、废包装袋、废纸箱等），年产生量约0.05t/a，分类收集后定期外售。</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③危险废物</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实验废液：</w:t>
            </w:r>
            <w:r>
              <w:rPr>
                <w:rFonts w:ascii="Times New Roman" w:hAnsi="Times New Roman" w:eastAsia="宋体" w:cs="Times New Roman"/>
                <w:color w:val="000000" w:themeColor="text1"/>
                <w:sz w:val="24"/>
                <w:szCs w:val="24"/>
                <w:lang w:eastAsia="zh-CN"/>
                <w14:textFill>
                  <w14:solidFill>
                    <w14:schemeClr w14:val="tx1"/>
                  </w14:solidFill>
                </w14:textFill>
              </w:rPr>
              <w:t>根据前文源强核算，运营期本项目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w:t>
            </w:r>
            <w:r>
              <w:rPr>
                <w:rFonts w:ascii="Times New Roman" w:hAnsi="Times New Roman" w:eastAsia="宋体" w:cs="Times New Roman"/>
                <w:color w:val="000000" w:themeColor="text1"/>
                <w:sz w:val="24"/>
                <w:szCs w:val="24"/>
                <w:lang w:eastAsia="zh-CN"/>
                <w14:textFill>
                  <w14:solidFill>
                    <w14:schemeClr w14:val="tx1"/>
                  </w14:solidFill>
                </w14:textFill>
              </w:rPr>
              <w:t>过程中产生实验废液约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2.456</w:t>
            </w:r>
            <w:r>
              <w:rPr>
                <w:rFonts w:hint="eastAsia" w:ascii="Times New Roman" w:hAnsi="Times New Roman" w:eastAsia="宋体" w:cs="Times New Roman"/>
                <w:color w:val="000000" w:themeColor="text1"/>
                <w:sz w:val="24"/>
                <w:szCs w:val="24"/>
                <w:lang w:eastAsia="zh-CN"/>
                <w14:textFill>
                  <w14:solidFill>
                    <w14:schemeClr w14:val="tx1"/>
                  </w14:solidFill>
                </w14:textFill>
              </w:rPr>
              <w:t>t</w:t>
            </w:r>
            <w:r>
              <w:rPr>
                <w:rFonts w:ascii="Times New Roman" w:hAnsi="Times New Roman" w:eastAsia="宋体" w:cs="Times New Roman"/>
                <w:color w:val="000000" w:themeColor="text1"/>
                <w:sz w:val="24"/>
                <w:szCs w:val="24"/>
                <w:lang w:eastAsia="zh-CN"/>
                <w14:textFill>
                  <w14:solidFill>
                    <w14:schemeClr w14:val="tx1"/>
                  </w14:solidFill>
                </w14:textFill>
              </w:rPr>
              <w: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属于危险废物，编号HW49 900-047-49，暂存危废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暂存间</w:t>
            </w:r>
            <w:r>
              <w:rPr>
                <w:rFonts w:ascii="Times New Roman" w:hAnsi="Times New Roman" w:eastAsia="宋体" w:cs="Times New Roman"/>
                <w:color w:val="000000" w:themeColor="text1"/>
                <w:sz w:val="24"/>
                <w:szCs w:val="24"/>
                <w:lang w:eastAsia="zh-CN"/>
                <w14:textFill>
                  <w14:solidFill>
                    <w14:schemeClr w14:val="tx1"/>
                  </w14:solidFill>
                </w14:textFill>
              </w:rPr>
              <w:t>，定期交由有资质单位处置。</w:t>
            </w:r>
          </w:p>
          <w:p>
            <w:pPr>
              <w:spacing w:line="360" w:lineRule="auto"/>
              <w:ind w:firstLine="480" w:firstLineChars="200"/>
              <w:jc w:val="both"/>
              <w:rPr>
                <w:rFonts w:hint="default" w:ascii="宋体" w:hAnsi="宋体" w:eastAsia="宋体" w:cs="宋体"/>
                <w:color w:val="000000" w:themeColor="text1"/>
                <w:spacing w:val="-9"/>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废包装桶：实验过程需密度标定液，根据建设单位提供资料，各种密度标定液的包装桶产生量为0.0015t/a。</w:t>
            </w:r>
            <w:r>
              <w:rPr>
                <w:rFonts w:ascii="Times New Roman" w:hAnsi="Times New Roman" w:eastAsia="宋体" w:cs="Times New Roman"/>
                <w:color w:val="000000" w:themeColor="text1"/>
                <w:sz w:val="24"/>
                <w:szCs w:val="24"/>
                <w:lang w:eastAsia="zh-CN"/>
                <w14:textFill>
                  <w14:solidFill>
                    <w14:schemeClr w14:val="tx1"/>
                  </w14:solidFill>
                </w14:textFill>
              </w:rPr>
              <w:t>属于危险废物，编号HW49 900-041-49</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暂存危废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暂存间</w:t>
            </w:r>
            <w:r>
              <w:rPr>
                <w:rFonts w:ascii="Times New Roman" w:hAnsi="Times New Roman" w:eastAsia="宋体" w:cs="Times New Roman"/>
                <w:color w:val="000000" w:themeColor="text1"/>
                <w:sz w:val="24"/>
                <w:szCs w:val="24"/>
                <w:lang w:eastAsia="zh-CN"/>
                <w14:textFill>
                  <w14:solidFill>
                    <w14:schemeClr w14:val="tx1"/>
                  </w14:solidFill>
                </w14:textFill>
              </w:rPr>
              <w:t>，定期交由有资质单位处置。</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本项目各污染物产生量见下表。</w:t>
            </w:r>
          </w:p>
          <w:p>
            <w:pPr>
              <w:jc w:val="center"/>
              <w:rPr>
                <w:rFonts w:ascii="Times New Roman" w:cs="Times New Roman"/>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表</w:t>
            </w:r>
            <w:r>
              <w:rPr>
                <w:rFonts w:ascii="Times New Roman" w:cs="Times New Roman"/>
                <w:b/>
                <w:bCs/>
                <w:color w:val="000000" w:themeColor="text1"/>
                <w:sz w:val="24"/>
                <w:szCs w:val="24"/>
                <w:lang w:eastAsia="zh-CN"/>
                <w14:textFill>
                  <w14:solidFill>
                    <w14:schemeClr w14:val="tx1"/>
                  </w14:solidFill>
                </w14:textFill>
              </w:rPr>
              <w:t>4-</w:t>
            </w:r>
            <w:r>
              <w:rPr>
                <w:rFonts w:hint="eastAsia" w:ascii="Times New Roman" w:cs="Times New Roman"/>
                <w:b/>
                <w:bCs/>
                <w:color w:val="000000" w:themeColor="text1"/>
                <w:sz w:val="24"/>
                <w:szCs w:val="24"/>
                <w:lang w:eastAsia="zh-CN"/>
                <w14:textFill>
                  <w14:solidFill>
                    <w14:schemeClr w14:val="tx1"/>
                  </w14:solidFill>
                </w14:textFill>
              </w:rPr>
              <w:t>6</w:t>
            </w:r>
            <w:r>
              <w:rPr>
                <w:rFonts w:ascii="Times New Roman" w:cs="Times New Roman"/>
                <w:b/>
                <w:bCs/>
                <w:color w:val="000000" w:themeColor="text1"/>
                <w:sz w:val="24"/>
                <w:szCs w:val="24"/>
                <w:lang w:eastAsia="zh-CN"/>
                <w14:textFill>
                  <w14:solidFill>
                    <w14:schemeClr w14:val="tx1"/>
                  </w14:solidFill>
                </w14:textFill>
              </w:rPr>
              <w:t xml:space="preserve">  </w:t>
            </w:r>
            <w:r>
              <w:rPr>
                <w:rFonts w:hint="eastAsia" w:ascii="Times New Roman" w:cs="Times New Roman"/>
                <w:b/>
                <w:bCs/>
                <w:color w:val="000000" w:themeColor="text1"/>
                <w:sz w:val="24"/>
                <w:szCs w:val="24"/>
                <w:lang w:eastAsia="zh-CN"/>
                <w14:textFill>
                  <w14:solidFill>
                    <w14:schemeClr w14:val="tx1"/>
                  </w14:solidFill>
                </w14:textFill>
              </w:rPr>
              <w:t>固体废物产生量一览表</w:t>
            </w:r>
          </w:p>
          <w:tbl>
            <w:tblPr>
              <w:tblStyle w:val="21"/>
              <w:tblW w:w="7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30"/>
              <w:gridCol w:w="981"/>
              <w:gridCol w:w="1302"/>
              <w:gridCol w:w="888"/>
              <w:gridCol w:w="856"/>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35"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序号</w:t>
                  </w:r>
                </w:p>
              </w:tc>
              <w:tc>
                <w:tcPr>
                  <w:tcW w:w="930"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名称</w:t>
                  </w:r>
                </w:p>
              </w:tc>
              <w:tc>
                <w:tcPr>
                  <w:tcW w:w="981"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产生环节</w:t>
                  </w:r>
                </w:p>
              </w:tc>
              <w:tc>
                <w:tcPr>
                  <w:tcW w:w="1302"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性质</w:t>
                  </w:r>
                </w:p>
              </w:tc>
              <w:tc>
                <w:tcPr>
                  <w:tcW w:w="888"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产生量（t/a）</w:t>
                  </w:r>
                </w:p>
              </w:tc>
              <w:tc>
                <w:tcPr>
                  <w:tcW w:w="856"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处理量（t/a）</w:t>
                  </w:r>
                </w:p>
              </w:tc>
              <w:tc>
                <w:tcPr>
                  <w:tcW w:w="2247" w:type="dxa"/>
                  <w:vAlign w:val="center"/>
                </w:tcPr>
                <w:p>
                  <w:pPr>
                    <w:jc w:val="center"/>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35"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30"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废包装材料</w:t>
                  </w:r>
                </w:p>
              </w:tc>
              <w:tc>
                <w:tcPr>
                  <w:tcW w:w="981"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包装材料</w:t>
                  </w:r>
                </w:p>
              </w:tc>
              <w:tc>
                <w:tcPr>
                  <w:tcW w:w="1302"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一般固体废物</w:t>
                  </w:r>
                </w:p>
              </w:tc>
              <w:tc>
                <w:tcPr>
                  <w:tcW w:w="888"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0.05</w:t>
                  </w:r>
                </w:p>
              </w:tc>
              <w:tc>
                <w:tcPr>
                  <w:tcW w:w="856"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0.05</w:t>
                  </w:r>
                </w:p>
              </w:tc>
              <w:tc>
                <w:tcPr>
                  <w:tcW w:w="2247"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分类收集后定期外售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535"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30"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实验废液</w:t>
                  </w:r>
                </w:p>
              </w:tc>
              <w:tc>
                <w:tcPr>
                  <w:tcW w:w="981"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实验操作</w:t>
                  </w:r>
                </w:p>
              </w:tc>
              <w:tc>
                <w:tcPr>
                  <w:tcW w:w="1302"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危险废物</w:t>
                  </w:r>
                  <w:r>
                    <w:rPr>
                      <w:rFonts w:ascii="Times New Roman" w:hAnsi="Times New Roman" w:eastAsia="宋体" w:cs="Times New Roman"/>
                      <w:color w:val="000000" w:themeColor="text1"/>
                      <w:sz w:val="21"/>
                      <w:szCs w:val="21"/>
                      <w:lang w:eastAsia="zh-CN"/>
                      <w14:textFill>
                        <w14:solidFill>
                          <w14:schemeClr w14:val="tx1"/>
                        </w14:solidFill>
                      </w14:textFill>
                    </w:rPr>
                    <w:t xml:space="preserve">HW49 </w:t>
                  </w:r>
                  <w:r>
                    <w:rPr>
                      <w:rFonts w:ascii="Times New Roman" w:hAnsi="Times New Roman" w:eastAsia="宋体" w:cs="Times New Roman"/>
                      <w:color w:val="000000" w:themeColor="text1"/>
                      <w:sz w:val="21"/>
                      <w:szCs w:val="21"/>
                      <w14:textFill>
                        <w14:solidFill>
                          <w14:schemeClr w14:val="tx1"/>
                        </w14:solidFill>
                      </w14:textFill>
                    </w:rPr>
                    <w:t>900-047-49</w:t>
                  </w:r>
                </w:p>
              </w:tc>
              <w:tc>
                <w:tcPr>
                  <w:tcW w:w="888"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2.456</w:t>
                  </w:r>
                </w:p>
              </w:tc>
              <w:tc>
                <w:tcPr>
                  <w:tcW w:w="85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2.456</w:t>
                  </w:r>
                </w:p>
              </w:tc>
              <w:tc>
                <w:tcPr>
                  <w:tcW w:w="2247"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暂存危废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暂存间</w:t>
                  </w:r>
                  <w:r>
                    <w:rPr>
                      <w:rFonts w:ascii="Times New Roman" w:hAnsi="Times New Roman" w:eastAsia="宋体" w:cs="Times New Roman"/>
                      <w:color w:val="000000" w:themeColor="text1"/>
                      <w:sz w:val="21"/>
                      <w:szCs w:val="21"/>
                      <w:lang w:eastAsia="zh-CN"/>
                      <w14:textFill>
                        <w14:solidFill>
                          <w14:schemeClr w14:val="tx1"/>
                        </w14:solidFill>
                      </w14:textFill>
                    </w:rPr>
                    <w:t>，定期交由有资质单位处置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535"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30"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废包装桶</w:t>
                  </w:r>
                </w:p>
              </w:tc>
              <w:tc>
                <w:tcPr>
                  <w:tcW w:w="981"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实验操作</w:t>
                  </w:r>
                </w:p>
              </w:tc>
              <w:tc>
                <w:tcPr>
                  <w:tcW w:w="1302"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 xml:space="preserve">危险废物 </w:t>
                  </w:r>
                  <w:r>
                    <w:rPr>
                      <w:rFonts w:ascii="Times New Roman" w:hAnsi="Times New Roman" w:eastAsia="宋体" w:cs="Times New Roman"/>
                      <w:color w:val="000000" w:themeColor="text1"/>
                      <w:sz w:val="21"/>
                      <w:szCs w:val="21"/>
                      <w:lang w:eastAsia="zh-CN"/>
                      <w14:textFill>
                        <w14:solidFill>
                          <w14:schemeClr w14:val="tx1"/>
                        </w14:solidFill>
                      </w14:textFill>
                    </w:rPr>
                    <w:t xml:space="preserve">HW49 </w:t>
                  </w:r>
                  <w:r>
                    <w:rPr>
                      <w:rFonts w:ascii="Times New Roman" w:hAnsi="Times New Roman" w:eastAsia="宋体" w:cs="Times New Roman"/>
                      <w:color w:val="000000" w:themeColor="text1"/>
                      <w:sz w:val="21"/>
                      <w:szCs w:val="21"/>
                      <w14:textFill>
                        <w14:solidFill>
                          <w14:schemeClr w14:val="tx1"/>
                        </w14:solidFill>
                      </w14:textFill>
                    </w:rPr>
                    <w:t>900-04</w:t>
                  </w:r>
                  <w:r>
                    <w:rPr>
                      <w:rFonts w:hint="eastAsia" w:ascii="Times New Roman" w:hAnsi="Times New Roman" w:eastAsia="宋体" w:cs="Times New Roman"/>
                      <w:color w:val="000000" w:themeColor="text1"/>
                      <w:sz w:val="21"/>
                      <w:szCs w:val="21"/>
                      <w:lang w:eastAsia="zh-CN"/>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-49</w:t>
                  </w:r>
                </w:p>
              </w:tc>
              <w:tc>
                <w:tcPr>
                  <w:tcW w:w="888"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0.0015</w:t>
                  </w:r>
                </w:p>
              </w:tc>
              <w:tc>
                <w:tcPr>
                  <w:tcW w:w="856"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0.0015</w:t>
                  </w:r>
                </w:p>
              </w:tc>
              <w:tc>
                <w:tcPr>
                  <w:tcW w:w="2247" w:type="dxa"/>
                  <w:vAlign w:val="center"/>
                </w:tcPr>
                <w:p>
                  <w:pPr>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暂存危废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暂存间</w:t>
                  </w:r>
                  <w:r>
                    <w:rPr>
                      <w:rFonts w:ascii="Times New Roman" w:hAnsi="Times New Roman" w:eastAsia="宋体" w:cs="Times New Roman"/>
                      <w:color w:val="000000" w:themeColor="text1"/>
                      <w:sz w:val="21"/>
                      <w:szCs w:val="21"/>
                      <w:lang w:eastAsia="zh-CN"/>
                      <w14:textFill>
                        <w14:solidFill>
                          <w14:schemeClr w14:val="tx1"/>
                        </w14:solidFill>
                      </w14:textFill>
                    </w:rPr>
                    <w:t>，定期交由有资质单位处置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（2）固体废物处理处置规范要求</w:t>
            </w:r>
          </w:p>
          <w:p>
            <w:pPr>
              <w:spacing w:line="360" w:lineRule="auto"/>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一般工业固体废物处理处置规范要求</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厂区内一般工业固体废弃物临时集中堆场按照《一般工业固体废物贮存、处置场污染控制标准》（GB18599-2020）中的第Ⅰ类一般工业固体废物标准规定设置。</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危险废物处理处置规范要求</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实验废液、废包装桶属于危险废物。根据国家《危险废物贮存污染控制标准》，建设单位必须将危险废物装入专用容器内，对危险废物的容器设置危险废物识别标志，并且粘贴标签，设置危废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暂存间</w:t>
            </w:r>
            <w:r>
              <w:rPr>
                <w:rFonts w:hint="eastAsia" w:ascii="Times New Roman" w:hAnsi="Times New Roman" w:eastAsia="宋体" w:cs="Times New Roman"/>
                <w:color w:val="000000" w:themeColor="text1"/>
                <w:sz w:val="24"/>
                <w:szCs w:val="24"/>
                <w:lang w:eastAsia="zh-CN"/>
                <w14:textFill>
                  <w14:solidFill>
                    <w14:schemeClr w14:val="tx1"/>
                  </w14:solidFill>
                </w14:textFill>
              </w:rPr>
              <w:t>，定期交由有危废处置资质的单位进行处理，不得随意丢弃。</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①危险废物贮存容器应符合下列要求：</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a.应使用符合国家标准的容器盛装危险废物。</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b.贮存容器必须具有耐腐蚀、耐压、密封和不与所贮存的废物发生反应等特性。</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c.贮存容器应保证完好无损并具有明显标志。</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d.液体危险废物可注入开孔直径不超过70mm并有放气孔的桶中。</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②危险废物贮存设施应满足以下要求：</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a.危险废物贮存场所必须符合《危险废物贮存污染控制标准》（GB18597-2001）中有关规定，有符合《环境保护图形标志-固体废物贮存（处置）场》（GB15562.2-1995）的专用标志。</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b.不相容的危险废物必须分开存放，并设有隔离间隔隔断。</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c.应建有堵截泄漏的裙角，地面与裙角要用兼顾防渗的材料建造，建筑材料必须与危险废物相容。</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d.贮存库容量的设计应考虑工艺运行的要求并应满足设备大修（一般以15天为宜）。</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e.墙面、棚面应防吸附，用于存放装载液体、半固体危险废物容器的地方，必须有耐腐蚀的硬化地面，且表面无裂隙。</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综上所述，本项目产生的固体废弃物经上述处理处置后，处理处置率达100％，符合国家固体废弃物处理处置政策，不会产生二次污染，不会对环境产生不利影响。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5、地下水、土壤</w:t>
            </w:r>
          </w:p>
          <w:p>
            <w:pPr>
              <w:pStyle w:val="8"/>
              <w:spacing w:line="360" w:lineRule="auto"/>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）污染源与污染途径</w:t>
            </w:r>
          </w:p>
          <w:p>
            <w:pPr>
              <w:pStyle w:val="8"/>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本项目所在地为西咸新区秦汉新城朝阳四路长庆井下工业园内压裂所1</w:t>
            </w:r>
            <w:r>
              <w:rPr>
                <w:rFonts w:ascii="Times New Roman" w:hAnsi="Times New Roman" w:eastAsia="宋体" w:cs="Times New Roman"/>
                <w:color w:val="000000" w:themeColor="text1"/>
                <w:sz w:val="24"/>
                <w:szCs w:val="24"/>
                <w:lang w:eastAsia="zh-CN"/>
                <w14:textFill>
                  <w14:solidFill>
                    <w14:schemeClr w14:val="tx1"/>
                  </w14:solidFill>
                </w14:textFill>
              </w:rPr>
              <w:t>01</w:t>
            </w:r>
            <w:r>
              <w:rPr>
                <w:rFonts w:hint="eastAsia" w:ascii="Times New Roman" w:hAnsi="Times New Roman" w:eastAsia="宋体" w:cs="Times New Roman"/>
                <w:color w:val="000000" w:themeColor="text1"/>
                <w:sz w:val="24"/>
                <w:szCs w:val="24"/>
                <w:lang w:eastAsia="zh-CN"/>
                <w14:textFill>
                  <w14:solidFill>
                    <w14:schemeClr w14:val="tx1"/>
                  </w14:solidFill>
                </w14:textFill>
              </w:rPr>
              <w:t>室，建筑已建成，项目建设期主要进行室内装修及设备安装，不存在污染土壤和地下水途径。运营期，本项目试剂间、危废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暂存间</w:t>
            </w:r>
            <w:r>
              <w:rPr>
                <w:rFonts w:hint="eastAsia" w:ascii="Times New Roman" w:hAnsi="Times New Roman" w:eastAsia="宋体" w:cs="Times New Roman"/>
                <w:color w:val="000000" w:themeColor="text1"/>
                <w:sz w:val="24"/>
                <w:szCs w:val="24"/>
                <w:lang w:eastAsia="zh-CN"/>
                <w14:textFill>
                  <w14:solidFill>
                    <w14:schemeClr w14:val="tx1"/>
                  </w14:solidFill>
                </w14:textFill>
              </w:rPr>
              <w:t>、实验室均位于一层，建筑内外地面均已作硬化，不与土壤直接接触，且本项目不涉及大气沉降，因此本项目对土壤和地下水影响较小。</w:t>
            </w:r>
          </w:p>
          <w:p>
            <w:pPr>
              <w:pStyle w:val="8"/>
              <w:spacing w:line="360" w:lineRule="auto"/>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）分区防渗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根据项目区域各生产功能单元是否可能对地下、土壤造成污染，将项目区域划分为污染重点防渗区和一般防渗区。将危废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暂存间</w:t>
            </w:r>
            <w:r>
              <w:rPr>
                <w:rFonts w:hint="eastAsia" w:ascii="Times New Roman" w:hAnsi="Times New Roman" w:eastAsia="宋体" w:cs="Times New Roman"/>
                <w:color w:val="000000" w:themeColor="text1"/>
                <w:sz w:val="24"/>
                <w:szCs w:val="24"/>
                <w:lang w:eastAsia="zh-CN"/>
                <w14:textFill>
                  <w14:solidFill>
                    <w14:schemeClr w14:val="tx1"/>
                  </w14:solidFill>
                </w14:textFill>
              </w:rPr>
              <w:t>、清洗池划为重点防渗区；实验区、一般固废存放区划分为一般防渗区；办公区等划分为简单防渗区。见下表所示，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分区防渗图见附图8。</w:t>
            </w:r>
          </w:p>
          <w:p>
            <w:pPr>
              <w:pStyle w:val="11"/>
              <w:jc w:val="center"/>
              <w:rPr>
                <w:rFonts w:hint="default"/>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表4-7  分区防渗一览表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2239"/>
              <w:gridCol w:w="1822"/>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vAlign w:val="center"/>
                </w:tcPr>
                <w:p>
                  <w:pPr>
                    <w:jc w:val="center"/>
                    <w:rPr>
                      <w:rFonts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t>装置、单元名称</w:t>
                  </w:r>
                </w:p>
              </w:tc>
              <w:tc>
                <w:tcPr>
                  <w:tcW w:w="2239" w:type="dxa"/>
                  <w:vAlign w:val="center"/>
                </w:tcPr>
                <w:p>
                  <w:pPr>
                    <w:jc w:val="center"/>
                    <w:rPr>
                      <w:rFonts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t>污染防治区域及部位</w:t>
                  </w:r>
                </w:p>
              </w:tc>
              <w:tc>
                <w:tcPr>
                  <w:tcW w:w="1822" w:type="dxa"/>
                  <w:vAlign w:val="center"/>
                </w:tcPr>
                <w:p>
                  <w:pPr>
                    <w:jc w:val="center"/>
                    <w:rPr>
                      <w:rFonts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t>污染防治区类别</w:t>
                  </w:r>
                </w:p>
              </w:tc>
              <w:tc>
                <w:tcPr>
                  <w:tcW w:w="2031" w:type="dxa"/>
                  <w:vAlign w:val="center"/>
                </w:tcPr>
                <w:p>
                  <w:pPr>
                    <w:jc w:val="center"/>
                    <w:rPr>
                      <w:rFonts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t>防渗设计要求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030" w:type="dxa"/>
                  <w:vAlign w:val="center"/>
                </w:tcPr>
                <w:p>
                  <w:pPr>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危废</w:t>
                  </w:r>
                  <w:r>
                    <w:rPr>
                      <w:rFonts w:hint="eastAsia" w:eastAsiaTheme="minorEastAsia"/>
                      <w:color w:val="000000" w:themeColor="text1"/>
                      <w:sz w:val="21"/>
                      <w:szCs w:val="21"/>
                      <w:lang w:val="en-US" w:eastAsia="zh-CN"/>
                      <w14:textFill>
                        <w14:solidFill>
                          <w14:schemeClr w14:val="tx1"/>
                        </w14:solidFill>
                      </w14:textFill>
                    </w:rPr>
                    <w:t>暂存间</w:t>
                  </w:r>
                </w:p>
              </w:tc>
              <w:tc>
                <w:tcPr>
                  <w:tcW w:w="2239"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地面、0</w:t>
                  </w:r>
                  <w:r>
                    <w:rPr>
                      <w:rFonts w:eastAsiaTheme="minorEastAsia"/>
                      <w:color w:val="000000" w:themeColor="text1"/>
                      <w:sz w:val="21"/>
                      <w:szCs w:val="21"/>
                      <w:lang w:eastAsia="zh-CN"/>
                      <w14:textFill>
                        <w14:solidFill>
                          <w14:schemeClr w14:val="tx1"/>
                        </w14:solidFill>
                      </w14:textFill>
                    </w:rPr>
                    <w:t>.5m</w:t>
                  </w:r>
                  <w:r>
                    <w:rPr>
                      <w:rFonts w:hint="eastAsia" w:eastAsiaTheme="minorEastAsia"/>
                      <w:color w:val="000000" w:themeColor="text1"/>
                      <w:sz w:val="21"/>
                      <w:szCs w:val="21"/>
                      <w:lang w:eastAsia="zh-CN"/>
                      <w14:textFill>
                        <w14:solidFill>
                          <w14:schemeClr w14:val="tx1"/>
                        </w14:solidFill>
                      </w14:textFill>
                    </w:rPr>
                    <w:t>高墙面</w:t>
                  </w:r>
                </w:p>
              </w:tc>
              <w:tc>
                <w:tcPr>
                  <w:tcW w:w="1822"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重点防渗区</w:t>
                  </w:r>
                </w:p>
              </w:tc>
              <w:tc>
                <w:tcPr>
                  <w:tcW w:w="2031" w:type="dxa"/>
                  <w:vMerge w:val="restart"/>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等效黏土防渗层</w:t>
                  </w:r>
                  <w:r>
                    <w:rPr>
                      <w:color w:val="000000" w:themeColor="text1"/>
                      <w:sz w:val="21"/>
                      <w:szCs w:val="21"/>
                      <w:lang w:eastAsia="zh-CN"/>
                      <w14:textFill>
                        <w14:solidFill>
                          <w14:schemeClr w14:val="tx1"/>
                        </w14:solidFill>
                      </w14:textFill>
                    </w:rPr>
                    <w:t>Mb≥6.0m</w:t>
                  </w:r>
                  <w:r>
                    <w:rPr>
                      <w:rFonts w:hint="eastAsia" w:ascii="宋体" w:hAnsi="宋体" w:eastAsia="宋体" w:cs="宋体"/>
                      <w:color w:val="000000" w:themeColor="text1"/>
                      <w:sz w:val="21"/>
                      <w:szCs w:val="21"/>
                      <w:lang w:eastAsia="zh-CN"/>
                      <w14:textFill>
                        <w14:solidFill>
                          <w14:schemeClr w14:val="tx1"/>
                        </w14:solidFill>
                      </w14:textFill>
                    </w:rPr>
                    <w:t>，渗透系数</w:t>
                  </w:r>
                  <w:r>
                    <w:rPr>
                      <w:color w:val="000000" w:themeColor="text1"/>
                      <w:sz w:val="21"/>
                      <w:szCs w:val="21"/>
                      <w:lang w:eastAsia="zh-CN"/>
                      <w14:textFill>
                        <w14:solidFill>
                          <w14:schemeClr w14:val="tx1"/>
                        </w14:solidFill>
                      </w14:textFill>
                    </w:rPr>
                    <w:t>K≤1×10</w:t>
                  </w:r>
                  <w:r>
                    <w:rPr>
                      <w:color w:val="000000" w:themeColor="text1"/>
                      <w:sz w:val="21"/>
                      <w:szCs w:val="21"/>
                      <w:vertAlign w:val="superscript"/>
                      <w:lang w:eastAsia="zh-CN"/>
                      <w14:textFill>
                        <w14:solidFill>
                          <w14:schemeClr w14:val="tx1"/>
                        </w14:solidFill>
                      </w14:textFill>
                    </w:rPr>
                    <w:t>-10</w:t>
                  </w:r>
                  <w:r>
                    <w:rPr>
                      <w:color w:val="000000" w:themeColor="text1"/>
                      <w:sz w:val="21"/>
                      <w:szCs w:val="21"/>
                      <w:lang w:eastAsia="zh-CN"/>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清洗池</w:t>
                  </w:r>
                </w:p>
              </w:tc>
              <w:tc>
                <w:tcPr>
                  <w:tcW w:w="2239"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地面、0</w:t>
                  </w:r>
                  <w:r>
                    <w:rPr>
                      <w:rFonts w:eastAsiaTheme="minorEastAsia"/>
                      <w:color w:val="000000" w:themeColor="text1"/>
                      <w:sz w:val="21"/>
                      <w:szCs w:val="21"/>
                      <w:lang w:eastAsia="zh-CN"/>
                      <w14:textFill>
                        <w14:solidFill>
                          <w14:schemeClr w14:val="tx1"/>
                        </w14:solidFill>
                      </w14:textFill>
                    </w:rPr>
                    <w:t>.5m</w:t>
                  </w:r>
                  <w:r>
                    <w:rPr>
                      <w:rFonts w:hint="eastAsia" w:eastAsiaTheme="minorEastAsia"/>
                      <w:color w:val="000000" w:themeColor="text1"/>
                      <w:sz w:val="21"/>
                      <w:szCs w:val="21"/>
                      <w:lang w:eastAsia="zh-CN"/>
                      <w14:textFill>
                        <w14:solidFill>
                          <w14:schemeClr w14:val="tx1"/>
                        </w14:solidFill>
                      </w14:textFill>
                    </w:rPr>
                    <w:t>高墙面</w:t>
                  </w:r>
                </w:p>
              </w:tc>
              <w:tc>
                <w:tcPr>
                  <w:tcW w:w="1822"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重点防渗区</w:t>
                  </w:r>
                </w:p>
              </w:tc>
              <w:tc>
                <w:tcPr>
                  <w:tcW w:w="2031" w:type="dxa"/>
                  <w:vMerge w:val="continue"/>
                  <w:vAlign w:val="center"/>
                </w:tcPr>
                <w:p>
                  <w:pPr>
                    <w:jc w:val="center"/>
                    <w:rPr>
                      <w:rFonts w:ascii="宋体" w:hAnsi="宋体" w:eastAsia="宋体" w:cs="宋体"/>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030"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实验区</w:t>
                  </w:r>
                </w:p>
              </w:tc>
              <w:tc>
                <w:tcPr>
                  <w:tcW w:w="2239"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地面</w:t>
                  </w:r>
                </w:p>
              </w:tc>
              <w:tc>
                <w:tcPr>
                  <w:tcW w:w="1822"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一般防渗区</w:t>
                  </w:r>
                </w:p>
              </w:tc>
              <w:tc>
                <w:tcPr>
                  <w:tcW w:w="2031" w:type="dxa"/>
                  <w:vMerge w:val="restart"/>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防渗层的防渗性能不应低于</w:t>
                  </w:r>
                  <w:r>
                    <w:rPr>
                      <w:color w:val="000000" w:themeColor="text1"/>
                      <w:sz w:val="21"/>
                      <w:szCs w:val="21"/>
                      <w:lang w:eastAsia="zh-CN"/>
                      <w14:textFill>
                        <w14:solidFill>
                          <w14:schemeClr w14:val="tx1"/>
                        </w14:solidFill>
                      </w14:textFill>
                    </w:rPr>
                    <w:t>1.5m</w:t>
                  </w:r>
                  <w:r>
                    <w:rPr>
                      <w:rFonts w:hint="eastAsia" w:ascii="宋体" w:hAnsi="宋体" w:eastAsia="宋体" w:cs="宋体"/>
                      <w:color w:val="000000" w:themeColor="text1"/>
                      <w:sz w:val="21"/>
                      <w:szCs w:val="21"/>
                      <w:lang w:eastAsia="zh-CN"/>
                      <w14:textFill>
                        <w14:solidFill>
                          <w14:schemeClr w14:val="tx1"/>
                        </w14:solidFill>
                      </w14:textFill>
                    </w:rPr>
                    <w:t>厚渗透系数为</w:t>
                  </w:r>
                  <w:r>
                    <w:rPr>
                      <w:color w:val="000000" w:themeColor="text1"/>
                      <w:sz w:val="21"/>
                      <w:szCs w:val="21"/>
                      <w:lang w:eastAsia="zh-CN"/>
                      <w14:textFill>
                        <w14:solidFill>
                          <w14:schemeClr w14:val="tx1"/>
                        </w14:solidFill>
                      </w14:textFill>
                    </w:rPr>
                    <w:t>1.0×10</w:t>
                  </w:r>
                  <w:r>
                    <w:rPr>
                      <w:color w:val="000000" w:themeColor="text1"/>
                      <w:sz w:val="21"/>
                      <w:szCs w:val="21"/>
                      <w:vertAlign w:val="superscript"/>
                      <w:lang w:eastAsia="zh-CN"/>
                      <w14:textFill>
                        <w14:solidFill>
                          <w14:schemeClr w14:val="tx1"/>
                        </w14:solidFill>
                      </w14:textFill>
                    </w:rPr>
                    <w:t>-7</w:t>
                  </w:r>
                  <w:r>
                    <w:rPr>
                      <w:color w:val="000000" w:themeColor="text1"/>
                      <w:sz w:val="21"/>
                      <w:szCs w:val="21"/>
                      <w:lang w:eastAsia="zh-CN"/>
                      <w14:textFill>
                        <w14:solidFill>
                          <w14:schemeClr w14:val="tx1"/>
                        </w14:solidFill>
                      </w14:textFill>
                    </w:rPr>
                    <w:t>cm/s</w:t>
                  </w:r>
                  <w:r>
                    <w:rPr>
                      <w:rFonts w:hint="eastAsia" w:ascii="宋体" w:hAnsi="宋体" w:eastAsia="宋体" w:cs="宋体"/>
                      <w:color w:val="000000" w:themeColor="text1"/>
                      <w:sz w:val="21"/>
                      <w:szCs w:val="21"/>
                      <w:lang w:eastAsia="zh-CN"/>
                      <w14:textFill>
                        <w14:solidFill>
                          <w14:schemeClr w14:val="tx1"/>
                        </w14:solidFill>
                      </w14:textFill>
                    </w:rPr>
                    <w:t>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一般固废存放区</w:t>
                  </w:r>
                </w:p>
              </w:tc>
              <w:tc>
                <w:tcPr>
                  <w:tcW w:w="2239"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地面</w:t>
                  </w:r>
                </w:p>
              </w:tc>
              <w:tc>
                <w:tcPr>
                  <w:tcW w:w="1822"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一般防渗区</w:t>
                  </w:r>
                </w:p>
              </w:tc>
              <w:tc>
                <w:tcPr>
                  <w:tcW w:w="2031" w:type="dxa"/>
                  <w:vMerge w:val="continue"/>
                </w:tcPr>
                <w:p>
                  <w:pPr>
                    <w:jc w:val="both"/>
                    <w:rPr>
                      <w:rFonts w:eastAsiaTheme="minorEastAsia"/>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办公区等</w:t>
                  </w:r>
                </w:p>
              </w:tc>
              <w:tc>
                <w:tcPr>
                  <w:tcW w:w="2239"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地面</w:t>
                  </w:r>
                </w:p>
              </w:tc>
              <w:tc>
                <w:tcPr>
                  <w:tcW w:w="1822" w:type="dxa"/>
                  <w:vAlign w:val="center"/>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简单防渗区</w:t>
                  </w:r>
                </w:p>
              </w:tc>
              <w:tc>
                <w:tcPr>
                  <w:tcW w:w="2031" w:type="dxa"/>
                </w:tcPr>
                <w:p>
                  <w:pPr>
                    <w:jc w:val="center"/>
                    <w:rPr>
                      <w:rFonts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一般地面硬化</w:t>
                  </w:r>
                </w:p>
              </w:tc>
            </w:tr>
          </w:tbl>
          <w:p>
            <w:pPr>
              <w:spacing w:line="360" w:lineRule="auto"/>
              <w:ind w:firstLine="480" w:firstLineChars="200"/>
              <w:jc w:val="both"/>
              <w:rPr>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针对重点防渗区，本次评价提出如下防治措施：</w:t>
            </w:r>
          </w:p>
          <w:p>
            <w:pPr>
              <w:spacing w:line="360" w:lineRule="auto"/>
              <w:ind w:firstLine="480" w:firstLineChars="200"/>
              <w:jc w:val="both"/>
              <w:rPr>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szCs w:val="24"/>
                <w:lang w:eastAsia="zh-CN"/>
                <w14:textFill>
                  <w14:solidFill>
                    <w14:schemeClr w14:val="tx1"/>
                  </w14:solidFill>
                </w14:textFill>
              </w:rPr>
              <w:t>①</w:t>
            </w:r>
            <w:r>
              <w:rPr>
                <w:rFonts w:hint="eastAsia" w:ascii="宋体" w:hAnsi="宋体" w:eastAsia="宋体" w:cs="宋体"/>
                <w:color w:val="000000" w:themeColor="text1"/>
                <w:sz w:val="24"/>
                <w:szCs w:val="24"/>
                <w:lang w:eastAsia="zh-CN"/>
                <w14:textFill>
                  <w14:solidFill>
                    <w14:schemeClr w14:val="tx1"/>
                  </w14:solidFill>
                </w14:textFill>
              </w:rPr>
              <w:t>危废</w:t>
            </w:r>
            <w:r>
              <w:rPr>
                <w:rFonts w:hint="eastAsia" w:ascii="宋体" w:hAnsi="宋体" w:eastAsia="宋体" w:cs="宋体"/>
                <w:color w:val="000000" w:themeColor="text1"/>
                <w:sz w:val="24"/>
                <w:szCs w:val="24"/>
                <w:lang w:val="en-US" w:eastAsia="zh-CN"/>
                <w14:textFill>
                  <w14:solidFill>
                    <w14:schemeClr w14:val="tx1"/>
                  </w14:solidFill>
                </w14:textFill>
              </w:rPr>
              <w:t>暂存间</w:t>
            </w:r>
            <w:r>
              <w:rPr>
                <w:rFonts w:hint="eastAsia" w:ascii="宋体" w:hAnsi="宋体" w:eastAsia="宋体" w:cs="宋体"/>
                <w:color w:val="000000" w:themeColor="text1"/>
                <w:sz w:val="24"/>
                <w:szCs w:val="24"/>
                <w:lang w:eastAsia="zh-CN"/>
                <w14:textFill>
                  <w14:solidFill>
                    <w14:schemeClr w14:val="tx1"/>
                  </w14:solidFill>
                </w14:textFill>
              </w:rPr>
              <w:t>进行防渗、防腐处理措施，不得有裂缝，防渗层渗透系数</w:t>
            </w:r>
            <w:r>
              <w:rPr>
                <w:color w:val="000000" w:themeColor="text1"/>
                <w:sz w:val="24"/>
                <w:szCs w:val="24"/>
                <w:lang w:eastAsia="zh-CN"/>
                <w14:textFill>
                  <w14:solidFill>
                    <w14:schemeClr w14:val="tx1"/>
                  </w14:solidFill>
                </w14:textFill>
              </w:rPr>
              <w:t>≤1.0×10</w:t>
            </w:r>
            <w:r>
              <w:rPr>
                <w:color w:val="000000" w:themeColor="text1"/>
                <w:sz w:val="24"/>
                <w:szCs w:val="24"/>
                <w:vertAlign w:val="superscript"/>
                <w:lang w:eastAsia="zh-CN"/>
                <w14:textFill>
                  <w14:solidFill>
                    <w14:schemeClr w14:val="tx1"/>
                  </w14:solidFill>
                </w14:textFill>
              </w:rPr>
              <w:t>-10</w:t>
            </w:r>
            <w:r>
              <w:rPr>
                <w:color w:val="000000" w:themeColor="text1"/>
                <w:sz w:val="24"/>
                <w:szCs w:val="24"/>
                <w:lang w:eastAsia="zh-CN"/>
                <w14:textFill>
                  <w14:solidFill>
                    <w14:schemeClr w14:val="tx1"/>
                  </w14:solidFill>
                </w14:textFill>
              </w:rPr>
              <w:t>cm/s</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firstLineChars="200"/>
              <w:jc w:val="both"/>
              <w:rPr>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szCs w:val="24"/>
                <w:lang w:eastAsia="zh-CN"/>
                <w14:textFill>
                  <w14:solidFill>
                    <w14:schemeClr w14:val="tx1"/>
                  </w14:solidFill>
                </w14:textFill>
              </w:rPr>
              <w:t>②</w:t>
            </w:r>
            <w:r>
              <w:rPr>
                <w:rFonts w:hint="eastAsia" w:ascii="宋体" w:hAnsi="宋体" w:eastAsia="宋体" w:cs="宋体"/>
                <w:color w:val="000000" w:themeColor="text1"/>
                <w:sz w:val="24"/>
                <w:szCs w:val="24"/>
                <w:lang w:eastAsia="zh-CN"/>
                <w14:textFill>
                  <w14:solidFill>
                    <w14:schemeClr w14:val="tx1"/>
                  </w14:solidFill>
                </w14:textFill>
              </w:rPr>
              <w:t>根据危险废物特性分别采取不同型号大小的桶装容器收集，尽可能减少危险废物直接与地面接触的机会；</w:t>
            </w:r>
          </w:p>
          <w:p>
            <w:pPr>
              <w:spacing w:line="360" w:lineRule="auto"/>
              <w:ind w:firstLine="480" w:firstLineChars="200"/>
              <w:jc w:val="both"/>
              <w:rPr>
                <w:rFonts w:eastAsiaTheme="minorEastAsia"/>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在采取以上措施的基础上，若企业在管理方面严加管理，并配备必要的设施，则可以将企业建设及营运对地下水的影响可以减小到最小程度。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本项目在现有厂房内建设，不涉及新增用地，故本次评价不做生态环境影响分析。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7、环境风险</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环境风险评价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（1）风险识别</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根根据《建设项目环境风险技术导则》(HJ169－2018)、《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企业突发环境事件风险分级方法</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HJ941-2018</w:t>
            </w:r>
            <w:r>
              <w:rPr>
                <w:rFonts w:hint="eastAsia" w:ascii="Times New Roman" w:hAnsi="Times New Roman" w:eastAsia="宋体" w:cs="Times New Roman"/>
                <w:color w:val="000000" w:themeColor="text1"/>
                <w:sz w:val="24"/>
                <w:szCs w:val="24"/>
                <w:lang w:eastAsia="zh-CN"/>
                <w14:textFill>
                  <w14:solidFill>
                    <w14:schemeClr w14:val="tx1"/>
                  </w14:solidFill>
                </w14:textFill>
              </w:rPr>
              <w:t>）、《危险化学品重大危险源辨识》(GB18218-2018)表1等，</w:t>
            </w:r>
            <w:r>
              <w:rPr>
                <w:rFonts w:hint="eastAsia" w:ascii="Times New Roman" w:hAnsi="Times New Roman" w:eastAsia="宋体" w:cs="Times New Roman"/>
                <w:color w:val="000000" w:themeColor="text1"/>
                <w:sz w:val="24"/>
                <w:szCs w:val="24"/>
                <w:lang w:eastAsia="zh-CN"/>
                <w14:textFill>
                  <w14:solidFill>
                    <w14:schemeClr w14:val="tx1"/>
                  </w14:solidFill>
                </w14:textFill>
              </w:rPr>
              <w:t>运营期本项目涉及的主要危险物质为乙醇，危险物质最大储量以实验室内年使用量来计算，根据建设单位提供资料，乙醇全年使用量70.32kg，远低于临界量500t，故实验室不存在大量危险物质，对外界产生的环境风险较小。</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（2）风险源分布</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本项目可能导致环境风险事故的物质主要分布于实验室、储藏室。</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（3）影响途径</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本项目存在的环境风险主要是乙醇等试剂在储存和使用过程中，由于操作不当等因素引起的泄漏、火灾、腐蚀和中毒。</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（4）环境风险防范措施</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①企业应对所有员工进行安全培训，员工需掌握原辅材料理化性质及其禁忌事项、安全防护、应急措施等，通过考核后方可上岗。定期开展集体性安全培训，不断提高员工安全意识。加强实验室各风险单元的巡检，发现隐患及时排除。实验室应由专人管理，严禁无关人员进入。远离火源，配备消防应急物资。</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②实验室设通风设施保持阴凉干燥，地面硬化防渗。</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③危险化学品存储使用过程必须遵守《危险化学品安全管理条例》（中华人民共和国国务院令第591号）等有关法规、规章要求，分区存放试剂，严禁混放，按实验需求定量领取。</w:t>
            </w:r>
          </w:p>
          <w:p>
            <w:pPr>
              <w:spacing w:line="360" w:lineRule="auto"/>
              <w:ind w:firstLine="480" w:firstLineChars="20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（5）分析结论</w:t>
            </w:r>
          </w:p>
          <w:p>
            <w:pPr>
              <w:spacing w:line="360" w:lineRule="auto"/>
              <w:ind w:firstLine="480" w:firstLineChars="200"/>
              <w:jc w:val="both"/>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运营期本项目实验中试剂使用量小，以毫升及微升为主，不需要大量储存，化学品泄漏、火灾、腐蚀和中毒事故发生的概率较小，通过采取以上环境风险防范措施，本项目环境风险能够控制在可接受范围之内。</w:t>
            </w:r>
          </w:p>
          <w:p>
            <w:pPr>
              <w:pStyle w:val="11"/>
              <w:jc w:val="both"/>
              <w:rPr>
                <w:rFonts w:hint="eastAsia"/>
                <w:color w:val="000000" w:themeColor="text1"/>
                <w14:textFill>
                  <w14:solidFill>
                    <w14:schemeClr w14:val="tx1"/>
                  </w14:solidFill>
                </w14:textFill>
              </w:rPr>
            </w:pPr>
          </w:p>
        </w:tc>
      </w:tr>
    </w:tbl>
    <w:p>
      <w:pPr>
        <w:bidi w:val="0"/>
        <w:rPr>
          <w:rFonts w:hint="eastAsia"/>
          <w:color w:val="000000" w:themeColor="text1"/>
          <w14:textFill>
            <w14:solidFill>
              <w14:schemeClr w14:val="tx1"/>
            </w14:solidFill>
          </w14:textFill>
        </w:rPr>
        <w:sectPr>
          <w:pgSz w:w="11906" w:h="16838"/>
          <w:pgMar w:top="1984" w:right="1531" w:bottom="1701" w:left="1531" w:header="1701" w:footer="1417" w:gutter="0"/>
          <w:pgNumType w:fmt="decimal"/>
          <w:cols w:space="425" w:num="1"/>
          <w:docGrid w:type="lines" w:linePitch="312" w:charSpace="0"/>
        </w:sectPr>
      </w:pPr>
    </w:p>
    <w:p>
      <w:pPr>
        <w:pStyle w:val="18"/>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5"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5"/>
    </w:p>
    <w:tbl>
      <w:tblPr>
        <w:tblStyle w:val="20"/>
        <w:tblW w:w="88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706"/>
        <w:gridCol w:w="1013"/>
        <w:gridCol w:w="2354"/>
        <w:gridCol w:w="21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2" w:type="dxa"/>
            <w:tcBorders>
              <w:tl2br w:val="single" w:color="auto" w:sz="4" w:space="0"/>
            </w:tcBorders>
            <w:noWrap/>
          </w:tcPr>
          <w:p>
            <w:pPr>
              <w:adjustRightInd w:val="0"/>
              <w:snapToGrid w:val="0"/>
              <w:ind w:firstLine="720" w:firstLineChars="30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内容</w:t>
            </w:r>
          </w:p>
          <w:p>
            <w:pPr>
              <w:adjustRightInd w:val="0"/>
              <w:snapToGrid w:val="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要素</w:t>
            </w:r>
          </w:p>
        </w:tc>
        <w:tc>
          <w:tcPr>
            <w:tcW w:w="1706" w:type="dxa"/>
            <w:noWrap/>
            <w:vAlign w:val="center"/>
          </w:tcPr>
          <w:p>
            <w:pPr>
              <w:adjustRightInd w:val="0"/>
              <w:snapToGrid w:val="0"/>
              <w:jc w:val="center"/>
              <w:rPr>
                <w:rFonts w:ascii="宋体" w:hAnsi="宋体" w:cs="宋体"/>
                <w:b/>
                <w:bCs/>
                <w:color w:val="000000" w:themeColor="text1"/>
                <w:sz w:val="24"/>
                <w:szCs w:val="24"/>
                <w:lang w:eastAsia="zh-CN"/>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排放口(编号、</w:t>
            </w:r>
          </w:p>
          <w:p>
            <w:pPr>
              <w:adjustRightInd w:val="0"/>
              <w:snapToGrid w:val="0"/>
              <w:jc w:val="center"/>
              <w:rPr>
                <w:rFonts w:ascii="宋体" w:hAnsi="宋体" w:cs="宋体"/>
                <w:b/>
                <w:bCs/>
                <w:color w:val="000000" w:themeColor="text1"/>
                <w:sz w:val="24"/>
                <w:szCs w:val="24"/>
                <w:lang w:eastAsia="zh-CN"/>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名称)/污染源</w:t>
            </w:r>
          </w:p>
        </w:tc>
        <w:tc>
          <w:tcPr>
            <w:tcW w:w="1013" w:type="dxa"/>
            <w:noWrap/>
            <w:vAlign w:val="center"/>
          </w:tcPr>
          <w:p>
            <w:pPr>
              <w:adjustRightInd w:val="0"/>
              <w:snapToGri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污染物</w:t>
            </w:r>
          </w:p>
          <w:p>
            <w:pPr>
              <w:adjustRightInd w:val="0"/>
              <w:snapToGri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w:t>
            </w:r>
          </w:p>
        </w:tc>
        <w:tc>
          <w:tcPr>
            <w:tcW w:w="2354" w:type="dxa"/>
            <w:noWrap/>
            <w:vAlign w:val="center"/>
          </w:tcPr>
          <w:p>
            <w:pPr>
              <w:adjustRightInd w:val="0"/>
              <w:snapToGri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环境保护措施</w:t>
            </w:r>
          </w:p>
        </w:tc>
        <w:tc>
          <w:tcPr>
            <w:tcW w:w="2185" w:type="dxa"/>
            <w:noWrap/>
            <w:vAlign w:val="center"/>
          </w:tcPr>
          <w:p>
            <w:pPr>
              <w:adjustRightInd w:val="0"/>
              <w:snapToGri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2" w:type="dxa"/>
            <w:noWrap/>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大气环境</w:t>
            </w:r>
          </w:p>
        </w:tc>
        <w:tc>
          <w:tcPr>
            <w:tcW w:w="1706"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实验废气</w:t>
            </w:r>
          </w:p>
        </w:tc>
        <w:tc>
          <w:tcPr>
            <w:tcW w:w="1013"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非甲烷</w:t>
            </w:r>
          </w:p>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总烃</w:t>
            </w:r>
          </w:p>
        </w:tc>
        <w:tc>
          <w:tcPr>
            <w:tcW w:w="2354"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非取用状态时应加盖、封口、保持密闭，规范操作，同时加强实验室内通风</w:t>
            </w:r>
          </w:p>
        </w:tc>
        <w:tc>
          <w:tcPr>
            <w:tcW w:w="2185" w:type="dxa"/>
            <w:noWrap/>
            <w:vAlign w:val="center"/>
          </w:tcPr>
          <w:p>
            <w:pPr>
              <w:adjustRightInd w:val="0"/>
              <w:snapToGrid w:val="0"/>
              <w:jc w:val="center"/>
              <w:rPr>
                <w:rFonts w:ascii="宋体" w:hAnsi="宋体" w:cs="宋体"/>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《大气污染物综合排放标准》（GB16297-1996）表2中无组织排放浓度限制标准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552"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地表水环境</w:t>
            </w:r>
          </w:p>
        </w:tc>
        <w:tc>
          <w:tcPr>
            <w:tcW w:w="1706" w:type="dxa"/>
            <w:noWrap/>
            <w:vAlign w:val="center"/>
          </w:tcPr>
          <w:p>
            <w:pPr>
              <w:adjustRightInd w:val="0"/>
              <w:snapToGrid w:val="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纯水制备产生的浓水</w:t>
            </w:r>
          </w:p>
        </w:tc>
        <w:tc>
          <w:tcPr>
            <w:tcW w:w="1013"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2354"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依托园区化粪池收集后进入市政</w:t>
            </w:r>
            <w:r>
              <w:rPr>
                <w:rFonts w:hint="eastAsia" w:ascii="宋体" w:hAnsi="宋体" w:eastAsia="宋体" w:cs="宋体"/>
                <w:color w:val="000000" w:themeColor="text1"/>
                <w:sz w:val="24"/>
                <w:szCs w:val="24"/>
                <w:lang w:val="en-US" w:eastAsia="zh-CN"/>
                <w14:textFill>
                  <w14:solidFill>
                    <w14:schemeClr w14:val="tx1"/>
                  </w14:solidFill>
                </w14:textFill>
              </w:rPr>
              <w:t>污水</w:t>
            </w:r>
            <w:r>
              <w:rPr>
                <w:rFonts w:ascii="宋体" w:hAnsi="宋体" w:eastAsia="宋体" w:cs="宋体"/>
                <w:color w:val="000000" w:themeColor="text1"/>
                <w:sz w:val="24"/>
                <w:szCs w:val="24"/>
                <w14:textFill>
                  <w14:solidFill>
                    <w14:schemeClr w14:val="tx1"/>
                  </w14:solidFill>
                </w14:textFill>
              </w:rPr>
              <w:t>管网最终排入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秦汉新城朝阳污水处理厂</w:t>
            </w:r>
          </w:p>
        </w:tc>
        <w:tc>
          <w:tcPr>
            <w:tcW w:w="2185" w:type="dxa"/>
            <w:noWrap/>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14:textFill>
                  <w14:solidFill>
                    <w14:schemeClr w14:val="tx1"/>
                  </w14:solidFill>
                </w14:textFill>
              </w:rPr>
              <w:t>水中SS、COD、BOD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总氮、总磷</w:t>
            </w:r>
            <w:r>
              <w:rPr>
                <w:rFonts w:hint="default" w:ascii="Times New Roman" w:hAnsi="Times New Roman" w:eastAsia="宋体" w:cs="Times New Roman"/>
                <w:color w:val="000000" w:themeColor="text1"/>
                <w:sz w:val="24"/>
                <w:szCs w:val="24"/>
                <w14:textFill>
                  <w14:solidFill>
                    <w14:schemeClr w14:val="tx1"/>
                  </w14:solidFill>
                </w14:textFill>
              </w:rPr>
              <w:t>执行 《污水综合排放标准》 （GB8978-1996）中三级标准，氨氮执行《污水排入城镇下水道水质标准》（GB/T 31962-2015）中B级标准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1552" w:type="dxa"/>
            <w:noWrap/>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声环境</w:t>
            </w:r>
          </w:p>
        </w:tc>
        <w:tc>
          <w:tcPr>
            <w:tcW w:w="1706"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设备噪声</w:t>
            </w:r>
          </w:p>
        </w:tc>
        <w:tc>
          <w:tcPr>
            <w:tcW w:w="1013"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噪声</w:t>
            </w:r>
          </w:p>
        </w:tc>
        <w:tc>
          <w:tcPr>
            <w:tcW w:w="2354" w:type="dxa"/>
            <w:noWrap/>
            <w:vAlign w:val="center"/>
          </w:tcPr>
          <w:p>
            <w:pPr>
              <w:adjustRightInd w:val="0"/>
              <w:snapToGrid w:val="0"/>
              <w:jc w:val="center"/>
              <w:rPr>
                <w:rFonts w:ascii="宋体" w:hAnsi="宋体" w:cs="宋体"/>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设备均置于室内，</w:t>
            </w:r>
            <w:r>
              <w:rPr>
                <w:rFonts w:ascii="Times New Roman" w:hAnsi="Times New Roman" w:eastAsia="宋体" w:cs="Times New Roman"/>
                <w:color w:val="000000" w:themeColor="text1"/>
                <w:sz w:val="24"/>
                <w:szCs w:val="24"/>
                <w:lang w:eastAsia="zh-CN"/>
                <w14:textFill>
                  <w14:solidFill>
                    <w14:schemeClr w14:val="tx1"/>
                  </w14:solidFill>
                </w14:textFill>
              </w:rPr>
              <w:t>采取</w:t>
            </w:r>
            <w:r>
              <w:rPr>
                <w:rFonts w:hint="eastAsia" w:ascii="Times New Roman" w:hAnsi="Times New Roman" w:eastAsia="宋体" w:cs="Times New Roman"/>
                <w:color w:val="000000" w:themeColor="text1"/>
                <w:sz w:val="24"/>
                <w:szCs w:val="24"/>
                <w:lang w:eastAsia="zh-CN"/>
                <w14:textFill>
                  <w14:solidFill>
                    <w14:schemeClr w14:val="tx1"/>
                  </w14:solidFill>
                </w14:textFill>
              </w:rPr>
              <w:t>减振、选用低噪声设备</w:t>
            </w:r>
            <w:r>
              <w:rPr>
                <w:rFonts w:ascii="Times New Roman" w:hAnsi="Times New Roman" w:eastAsia="宋体" w:cs="Times New Roman"/>
                <w:color w:val="000000" w:themeColor="text1"/>
                <w:sz w:val="24"/>
                <w:szCs w:val="24"/>
                <w:lang w:eastAsia="zh-CN"/>
                <w14:textFill>
                  <w14:solidFill>
                    <w14:schemeClr w14:val="tx1"/>
                  </w14:solidFill>
                </w14:textFill>
              </w:rPr>
              <w:t>等措施</w:t>
            </w:r>
          </w:p>
        </w:tc>
        <w:tc>
          <w:tcPr>
            <w:tcW w:w="2185" w:type="dxa"/>
            <w:noWrap/>
            <w:vAlign w:val="center"/>
          </w:tcPr>
          <w:p>
            <w:pPr>
              <w:adjustRightInd w:val="0"/>
              <w:snapToGrid w:val="0"/>
              <w:jc w:val="center"/>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《工业企业厂界环境噪声排放标准》</w:t>
            </w:r>
          </w:p>
          <w:p>
            <w:pPr>
              <w:adjustRightInd w:val="0"/>
              <w:snapToGrid w:val="0"/>
              <w:jc w:val="center"/>
              <w:rPr>
                <w:rFonts w:ascii="宋体" w:hAnsi="宋体" w:cs="宋体"/>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（GB12348-2008）中</w:t>
            </w:r>
            <w:r>
              <w:rPr>
                <w:rFonts w:hint="eastAsia" w:ascii="Times New Roman" w:hAnsi="Times New Roman" w:eastAsia="宋体" w:cs="Times New Roman"/>
                <w:color w:val="000000" w:themeColor="text1"/>
                <w:sz w:val="24"/>
                <w:szCs w:val="24"/>
                <w:lang w:eastAsia="zh-CN"/>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2" w:type="dxa"/>
            <w:noWrap/>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电磁辐射</w:t>
            </w:r>
          </w:p>
        </w:tc>
        <w:tc>
          <w:tcPr>
            <w:tcW w:w="1706"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p>
        </w:tc>
        <w:tc>
          <w:tcPr>
            <w:tcW w:w="1013"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p>
        </w:tc>
        <w:tc>
          <w:tcPr>
            <w:tcW w:w="2354"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p>
        </w:tc>
        <w:tc>
          <w:tcPr>
            <w:tcW w:w="2185" w:type="dxa"/>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2" w:type="dxa"/>
            <w:noWrap/>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固体废物</w:t>
            </w:r>
          </w:p>
        </w:tc>
        <w:tc>
          <w:tcPr>
            <w:tcW w:w="7258" w:type="dxa"/>
            <w:gridSpan w:val="4"/>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①生活垃圾</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lang w:eastAsia="zh-CN"/>
                <w14:textFill>
                  <w14:solidFill>
                    <w14:schemeClr w14:val="tx1"/>
                  </w14:solidFill>
                </w14:textFill>
              </w:rPr>
              <w:t>分类收集到垃圾回收站，由园区定期交由环卫部门处置。</w:t>
            </w:r>
          </w:p>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②一般固废</w:t>
            </w:r>
            <w:r>
              <w:rPr>
                <w:rFonts w:hint="eastAsia" w:ascii="宋体" w:hAnsi="宋体" w:eastAsia="宋体" w:cs="宋体"/>
                <w:color w:val="000000" w:themeColor="text1"/>
                <w:sz w:val="24"/>
                <w:szCs w:val="24"/>
                <w:lang w:eastAsia="zh-CN"/>
                <w14:textFill>
                  <w14:solidFill>
                    <w14:schemeClr w14:val="tx1"/>
                  </w14:solidFill>
                </w14:textFill>
              </w:rPr>
              <w:t>：废包装材料，</w:t>
            </w:r>
            <w:r>
              <w:rPr>
                <w:rFonts w:ascii="宋体" w:hAnsi="宋体" w:eastAsia="宋体" w:cs="宋体"/>
                <w:color w:val="000000" w:themeColor="text1"/>
                <w:sz w:val="24"/>
                <w:szCs w:val="24"/>
                <w:lang w:eastAsia="zh-CN"/>
                <w14:textFill>
                  <w14:solidFill>
                    <w14:schemeClr w14:val="tx1"/>
                  </w14:solidFill>
                </w14:textFill>
              </w:rPr>
              <w:t>收集后定期外售。</w:t>
            </w:r>
          </w:p>
          <w:p>
            <w:pPr>
              <w:keepNext w:val="0"/>
              <w:keepLines w:val="0"/>
              <w:pageBreakBefore w:val="0"/>
              <w:kinsoku/>
              <w:wordWrap/>
              <w:overflowPunct/>
              <w:topLinePunct w:val="0"/>
              <w:autoSpaceDE/>
              <w:autoSpaceDN/>
              <w:bidi w:val="0"/>
              <w:adjustRightInd/>
              <w:snapToGrid/>
              <w:spacing w:line="240" w:lineRule="auto"/>
              <w:jc w:val="both"/>
              <w:textAlignment w:val="auto"/>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③危险废物：实验室废液</w:t>
            </w:r>
            <w:r>
              <w:rPr>
                <w:rFonts w:hint="eastAsia" w:ascii="宋体" w:hAnsi="宋体" w:eastAsia="宋体" w:cs="宋体"/>
                <w:color w:val="000000" w:themeColor="text1"/>
                <w:sz w:val="24"/>
                <w:szCs w:val="24"/>
                <w:lang w:eastAsia="zh-CN"/>
                <w14:textFill>
                  <w14:solidFill>
                    <w14:schemeClr w14:val="tx1"/>
                  </w14:solidFill>
                </w14:textFill>
              </w:rPr>
              <w:t>、废包装桶</w:t>
            </w:r>
            <w:r>
              <w:rPr>
                <w:rFonts w:ascii="宋体" w:hAnsi="宋体" w:eastAsia="宋体" w:cs="宋体"/>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暂存</w:t>
            </w:r>
            <w:r>
              <w:rPr>
                <w:rFonts w:hint="eastAsia" w:ascii="Times New Roman" w:hAnsi="Times New Roman" w:eastAsia="宋体" w:cs="Times New Roman"/>
                <w:color w:val="000000" w:themeColor="text1"/>
                <w:sz w:val="24"/>
                <w:szCs w:val="24"/>
                <w:lang w:eastAsia="zh-CN"/>
                <w14:textFill>
                  <w14:solidFill>
                    <w14:schemeClr w14:val="tx1"/>
                  </w14:solidFill>
                </w14:textFill>
              </w:rPr>
              <w:t>于</w:t>
            </w:r>
            <w:r>
              <w:rPr>
                <w:rFonts w:ascii="Times New Roman" w:hAnsi="Times New Roman" w:eastAsia="宋体" w:cs="Times New Roman"/>
                <w:color w:val="000000" w:themeColor="text1"/>
                <w:sz w:val="24"/>
                <w:szCs w:val="24"/>
                <w:lang w:eastAsia="zh-CN"/>
                <w14:textFill>
                  <w14:solidFill>
                    <w14:schemeClr w14:val="tx1"/>
                  </w14:solidFill>
                </w14:textFill>
              </w:rPr>
              <w:t>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暂存间</w:t>
            </w:r>
            <w:r>
              <w:rPr>
                <w:rFonts w:ascii="Times New Roman" w:hAnsi="Times New Roman" w:eastAsia="宋体" w:cs="Times New Roman"/>
                <w:color w:val="000000" w:themeColor="text1"/>
                <w:sz w:val="24"/>
                <w:szCs w:val="24"/>
                <w:lang w:eastAsia="zh-CN"/>
                <w14:textFill>
                  <w14:solidFill>
                    <w14:schemeClr w14:val="tx1"/>
                  </w14:solidFill>
                </w14:textFill>
              </w:rPr>
              <w:t>，定期交由有资质单位处置</w:t>
            </w:r>
            <w:r>
              <w:rPr>
                <w:rFonts w:ascii="宋体" w:hAnsi="宋体" w:eastAsia="宋体" w:cs="宋体"/>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552" w:type="dxa"/>
            <w:noWrap/>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土壤及地下水污染防治措施</w:t>
            </w:r>
          </w:p>
        </w:tc>
        <w:tc>
          <w:tcPr>
            <w:tcW w:w="7258" w:type="dxa"/>
            <w:gridSpan w:val="4"/>
            <w:noWrap/>
            <w:vAlign w:val="center"/>
          </w:tcPr>
          <w:p>
            <w:pPr>
              <w:widowControl/>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52" w:type="dxa"/>
            <w:noWrap/>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生态保护措施</w:t>
            </w:r>
          </w:p>
        </w:tc>
        <w:tc>
          <w:tcPr>
            <w:tcW w:w="7258" w:type="dxa"/>
            <w:gridSpan w:val="4"/>
            <w:noWrap/>
            <w:vAlign w:val="center"/>
          </w:tcPr>
          <w:p>
            <w:pPr>
              <w:adjustRightInd w:val="0"/>
              <w:snapToGrid w:val="0"/>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52" w:type="dxa"/>
            <w:noWrap/>
            <w:vAlign w:val="center"/>
          </w:tcPr>
          <w:p>
            <w:pPr>
              <w:adjustRightInd w:val="0"/>
              <w:snapToGrid w:val="0"/>
              <w:jc w:val="center"/>
              <w:rPr>
                <w:rFonts w:ascii="宋体" w:hAnsi="宋体" w:cs="宋体"/>
                <w:color w:val="000000" w:themeColor="text1"/>
                <w:spacing w:val="-8"/>
                <w:sz w:val="24"/>
                <w:szCs w:val="24"/>
                <w14:textFill>
                  <w14:solidFill>
                    <w14:schemeClr w14:val="tx1"/>
                  </w14:solidFill>
                </w14:textFill>
              </w:rPr>
            </w:pPr>
            <w:r>
              <w:rPr>
                <w:rFonts w:hint="eastAsia" w:ascii="宋体" w:hAnsi="宋体" w:cs="宋体"/>
                <w:color w:val="000000" w:themeColor="text1"/>
                <w:spacing w:val="-8"/>
                <w:sz w:val="24"/>
                <w:szCs w:val="24"/>
                <w14:textFill>
                  <w14:solidFill>
                    <w14:schemeClr w14:val="tx1"/>
                  </w14:solidFill>
                </w14:textFill>
              </w:rPr>
              <w:t>环境风险</w:t>
            </w:r>
          </w:p>
          <w:p>
            <w:pPr>
              <w:adjustRightInd w:val="0"/>
              <w:snapToGrid w:val="0"/>
              <w:jc w:val="center"/>
              <w:rPr>
                <w:rFonts w:ascii="宋体" w:hAnsi="宋体" w:cs="宋体"/>
                <w:color w:val="000000" w:themeColor="text1"/>
                <w:spacing w:val="-8"/>
                <w:sz w:val="24"/>
                <w:szCs w:val="24"/>
                <w14:textFill>
                  <w14:solidFill>
                    <w14:schemeClr w14:val="tx1"/>
                  </w14:solidFill>
                </w14:textFill>
              </w:rPr>
            </w:pPr>
            <w:r>
              <w:rPr>
                <w:rFonts w:hint="eastAsia" w:ascii="宋体" w:hAnsi="宋体" w:cs="宋体"/>
                <w:color w:val="000000" w:themeColor="text1"/>
                <w:spacing w:val="-8"/>
                <w:sz w:val="24"/>
                <w:szCs w:val="24"/>
                <w14:textFill>
                  <w14:solidFill>
                    <w14:schemeClr w14:val="tx1"/>
                  </w14:solidFill>
                </w14:textFill>
              </w:rPr>
              <w:t>防范措施</w:t>
            </w:r>
          </w:p>
        </w:tc>
        <w:tc>
          <w:tcPr>
            <w:tcW w:w="7258" w:type="dxa"/>
            <w:gridSpan w:val="4"/>
            <w:noWrap/>
            <w:vAlign w:val="center"/>
          </w:tcPr>
          <w:p>
            <w:pPr>
              <w:widowControl/>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①企业应对所有员工进行安全培训，员工需掌握原辅材料理化性质及其禁忌事项、安全防护、应急措施等，通过考核后方可上岗；定期开展集体性安全培训，不断提高员工安全意识；加强实验室各风险单元的巡检，发现隐患及时排除；实验室应由专人管理，严禁无关人员进入；远离火源，配备消防应急物资。</w:t>
            </w:r>
          </w:p>
          <w:p>
            <w:pPr>
              <w:widowControl/>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②实验室设通风设施保持阴凉干燥，地面硬化防渗。</w:t>
            </w:r>
          </w:p>
          <w:p>
            <w:pPr>
              <w:widowControl/>
              <w:rPr>
                <w:rFonts w:ascii="宋体" w:hAnsi="宋体" w:cs="宋体"/>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③危险化学品存储使用必须遵守《危险化学品安全管理条例》（中华人民共和国国务院令第591号）等有关法规要求，分区存放试剂，严禁混放，按实验需求定量领取。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52" w:type="dxa"/>
            <w:noWrap/>
            <w:vAlign w:val="center"/>
          </w:tcPr>
          <w:p>
            <w:pPr>
              <w:adjustRightInd w:val="0"/>
              <w:snapToGrid w:val="0"/>
              <w:jc w:val="center"/>
              <w:rPr>
                <w:rFonts w:ascii="宋体" w:hAnsi="宋体" w:cs="宋体"/>
                <w:color w:val="000000" w:themeColor="text1"/>
                <w:spacing w:val="-8"/>
                <w:sz w:val="24"/>
                <w:szCs w:val="24"/>
                <w14:textFill>
                  <w14:solidFill>
                    <w14:schemeClr w14:val="tx1"/>
                  </w14:solidFill>
                </w14:textFill>
              </w:rPr>
            </w:pPr>
            <w:r>
              <w:rPr>
                <w:rFonts w:hint="eastAsia" w:ascii="宋体" w:hAnsi="宋体" w:cs="宋体"/>
                <w:color w:val="000000" w:themeColor="text1"/>
                <w:spacing w:val="-8"/>
                <w:sz w:val="24"/>
                <w:szCs w:val="24"/>
                <w14:textFill>
                  <w14:solidFill>
                    <w14:schemeClr w14:val="tx1"/>
                  </w14:solidFill>
                </w14:textFill>
              </w:rPr>
              <w:t>其他环境</w:t>
            </w:r>
          </w:p>
          <w:p>
            <w:pPr>
              <w:adjustRightInd w:val="0"/>
              <w:snapToGrid w:val="0"/>
              <w:jc w:val="center"/>
              <w:rPr>
                <w:rFonts w:ascii="宋体" w:hAnsi="宋体" w:cs="宋体"/>
                <w:color w:val="000000" w:themeColor="text1"/>
                <w:spacing w:val="-8"/>
                <w:sz w:val="24"/>
                <w:szCs w:val="24"/>
                <w14:textFill>
                  <w14:solidFill>
                    <w14:schemeClr w14:val="tx1"/>
                  </w14:solidFill>
                </w14:textFill>
              </w:rPr>
            </w:pPr>
            <w:r>
              <w:rPr>
                <w:rFonts w:hint="eastAsia" w:ascii="宋体" w:hAnsi="宋体" w:cs="宋体"/>
                <w:color w:val="000000" w:themeColor="text1"/>
                <w:spacing w:val="-8"/>
                <w:sz w:val="24"/>
                <w:szCs w:val="24"/>
                <w14:textFill>
                  <w14:solidFill>
                    <w14:schemeClr w14:val="tx1"/>
                  </w14:solidFill>
                </w14:textFill>
              </w:rPr>
              <w:t>管理要求</w:t>
            </w:r>
          </w:p>
        </w:tc>
        <w:tc>
          <w:tcPr>
            <w:tcW w:w="7258" w:type="dxa"/>
            <w:gridSpan w:val="4"/>
            <w:noWrap/>
            <w:vAlign w:val="center"/>
          </w:tcPr>
          <w:p>
            <w:pPr>
              <w:widowControl/>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①建设项目竣工后、正式投入生产或运行前，及时开展建设项目竣工环境保护验收工作；</w:t>
            </w:r>
          </w:p>
          <w:p>
            <w:pPr>
              <w:widowControl/>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②严格执行建设项目“三同时”制度，并按规范设置排污口；</w:t>
            </w:r>
          </w:p>
          <w:p>
            <w:pPr>
              <w:widowControl/>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③及时进行排污许可申报事宜，并按证排污。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表</w:t>
            </w:r>
            <w:r>
              <w:rPr>
                <w:rFonts w:hint="eastAsia"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 xml:space="preserve">5-1      </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环保投资概算（万元）</w:t>
            </w:r>
          </w:p>
          <w:tbl>
            <w:tblPr>
              <w:tblStyle w:val="21"/>
              <w:tblW w:w="45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621"/>
              <w:gridCol w:w="2709"/>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项目类别</w:t>
                  </w:r>
                </w:p>
              </w:tc>
              <w:tc>
                <w:tcPr>
                  <w:tcW w:w="1272"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污染源</w:t>
                  </w:r>
                </w:p>
              </w:tc>
              <w:tc>
                <w:tcPr>
                  <w:tcW w:w="2127"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建设项目及内容</w:t>
                  </w:r>
                </w:p>
              </w:tc>
              <w:tc>
                <w:tcPr>
                  <w:tcW w:w="606"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废气</w:t>
                  </w:r>
                </w:p>
              </w:tc>
              <w:tc>
                <w:tcPr>
                  <w:tcW w:w="1272"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实验过程</w:t>
                  </w:r>
                </w:p>
              </w:tc>
              <w:tc>
                <w:tcPr>
                  <w:tcW w:w="2127"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非取用状态时应加盖、封口、保持密闭，规范操作，同时加强实验室内通风</w:t>
                  </w:r>
                </w:p>
              </w:tc>
              <w:tc>
                <w:tcPr>
                  <w:tcW w:w="606"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噪声</w:t>
                  </w:r>
                </w:p>
              </w:tc>
              <w:tc>
                <w:tcPr>
                  <w:tcW w:w="1272"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设备</w:t>
                  </w:r>
                </w:p>
              </w:tc>
              <w:tc>
                <w:tcPr>
                  <w:tcW w:w="2127"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基础减震、隔声、减震、降噪等</w:t>
                  </w:r>
                </w:p>
              </w:tc>
              <w:tc>
                <w:tcPr>
                  <w:tcW w:w="606" w:type="pct"/>
                  <w:tcBorders>
                    <w:tl2br w:val="nil"/>
                    <w:tr2bl w:val="nil"/>
                  </w:tcBorders>
                  <w:noWrap w:val="0"/>
                  <w:vAlign w:val="center"/>
                </w:tcPr>
                <w:p>
                  <w:pPr>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tcBorders>
                    <w:tl2br w:val="nil"/>
                    <w:tr2bl w:val="nil"/>
                  </w:tcBorders>
                  <w:noWrap w:val="0"/>
                  <w:vAlign w:val="center"/>
                </w:tcPr>
                <w:p>
                  <w:pPr>
                    <w:jc w:val="center"/>
                    <w:rPr>
                      <w:rFonts w:hint="eastAsia"/>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一般</w:t>
                  </w:r>
                  <w:r>
                    <w:rPr>
                      <w:color w:val="000000" w:themeColor="text1"/>
                      <w:sz w:val="21"/>
                      <w:szCs w:val="21"/>
                      <w14:textFill>
                        <w14:solidFill>
                          <w14:schemeClr w14:val="tx1"/>
                        </w14:solidFill>
                      </w14:textFill>
                    </w:rPr>
                    <w:t>固废</w:t>
                  </w:r>
                </w:p>
              </w:tc>
              <w:tc>
                <w:tcPr>
                  <w:tcW w:w="1272"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废包装材料</w:t>
                  </w:r>
                </w:p>
              </w:tc>
              <w:tc>
                <w:tcPr>
                  <w:tcW w:w="2127"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一般固废暂存桶</w:t>
                  </w:r>
                </w:p>
              </w:tc>
              <w:tc>
                <w:tcPr>
                  <w:tcW w:w="606"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危险废物</w:t>
                  </w:r>
                </w:p>
              </w:tc>
              <w:tc>
                <w:tcPr>
                  <w:tcW w:w="1272" w:type="pct"/>
                  <w:tcBorders>
                    <w:tl2br w:val="nil"/>
                    <w:tr2bl w:val="nil"/>
                  </w:tcBorders>
                  <w:noWrap w:val="0"/>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实验过程</w:t>
                  </w:r>
                </w:p>
              </w:tc>
              <w:tc>
                <w:tcPr>
                  <w:tcW w:w="2127" w:type="pct"/>
                  <w:tcBorders>
                    <w:tl2br w:val="nil"/>
                    <w:tr2bl w:val="nil"/>
                  </w:tcBorders>
                  <w:noWrap w:val="0"/>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危废暂存间、废液桶</w:t>
                  </w:r>
                </w:p>
              </w:tc>
              <w:tc>
                <w:tcPr>
                  <w:tcW w:w="606" w:type="pct"/>
                  <w:tcBorders>
                    <w:tl2br w:val="nil"/>
                    <w:tr2bl w:val="nil"/>
                  </w:tcBorders>
                  <w:noWrap w:val="0"/>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tcBorders>
                    <w:tl2br w:val="nil"/>
                    <w:tr2bl w:val="nil"/>
                  </w:tcBorders>
                  <w:noWrap w:val="0"/>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合计</w:t>
                  </w:r>
                </w:p>
              </w:tc>
              <w:tc>
                <w:tcPr>
                  <w:tcW w:w="1272" w:type="pct"/>
                  <w:tcBorders>
                    <w:tl2br w:val="nil"/>
                    <w:tr2bl w:val="nil"/>
                  </w:tcBorders>
                  <w:noWrap w:val="0"/>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127" w:type="pct"/>
                  <w:tcBorders>
                    <w:tl2br w:val="nil"/>
                    <w:tr2bl w:val="nil"/>
                  </w:tcBorders>
                  <w:noWrap w:val="0"/>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606" w:type="pct"/>
                  <w:tcBorders>
                    <w:tl2br w:val="nil"/>
                    <w:tr2bl w:val="nil"/>
                  </w:tcBorders>
                  <w:noWrap w:val="0"/>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w:t>
                  </w:r>
                </w:p>
              </w:tc>
            </w:tr>
          </w:tbl>
          <w:p>
            <w:pPr>
              <w:pStyle w:val="11"/>
              <w:rPr>
                <w:rFonts w:hint="default"/>
                <w:color w:val="000000" w:themeColor="text1"/>
                <w:lang w:val="en-US" w:eastAsia="zh-CN"/>
                <w14:textFill>
                  <w14:solidFill>
                    <w14:schemeClr w14:val="tx1"/>
                  </w14:solidFill>
                </w14:textFill>
              </w:rPr>
            </w:pPr>
          </w:p>
        </w:tc>
      </w:tr>
    </w:tbl>
    <w:p>
      <w:pPr>
        <w:pStyle w:val="11"/>
        <w:rPr>
          <w:rFonts w:hint="eastAsia"/>
          <w:color w:val="000000" w:themeColor="text1"/>
          <w14:textFill>
            <w14:solidFill>
              <w14:schemeClr w14:val="tx1"/>
            </w14:solidFill>
          </w14:textFill>
        </w:rPr>
        <w:sectPr>
          <w:pgSz w:w="11906" w:h="16838"/>
          <w:pgMar w:top="1984" w:right="1531" w:bottom="1701" w:left="1531" w:header="1701" w:footer="1417" w:gutter="0"/>
          <w:pgNumType w:fmt="decimal"/>
          <w:cols w:space="425" w:num="1"/>
          <w:docGrid w:type="lines" w:linePitch="312" w:charSpace="0"/>
        </w:sectPr>
      </w:pPr>
    </w:p>
    <w:p>
      <w:pPr>
        <w:pStyle w:val="18"/>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六、结论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adjustRightInd w:val="0"/>
              <w:snapToGrid w:val="0"/>
              <w:spacing w:line="360" w:lineRule="auto"/>
              <w:ind w:firstLine="480" w:firstLineChars="200"/>
              <w:jc w:val="both"/>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综上所述，本项目建设符合国家产业政策、选址合理、污染物的防治措施在技术上和经济上可行，能实现达标排放。项目在建设过程中应严格认真执行落实本报告的各项污染防治措施和环境管理措施，确保污染物稳定达标排放，本项目的建设在环境保护方面是可行的。</w:t>
            </w: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pStyle w:val="11"/>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tc>
      </w:tr>
    </w:tbl>
    <w:p>
      <w:pPr>
        <w:rPr>
          <w:rFonts w:hint="eastAsia"/>
          <w:color w:val="000000" w:themeColor="text1"/>
          <w14:textFill>
            <w14:solidFill>
              <w14:schemeClr w14:val="tx1"/>
            </w14:solidFill>
          </w14:textFill>
        </w:rPr>
        <w:sectPr>
          <w:pgSz w:w="11906" w:h="16838"/>
          <w:pgMar w:top="1984" w:right="1531" w:bottom="1701" w:left="1531" w:header="1701" w:footer="1417" w:gutter="0"/>
          <w:pgNumType w:fmt="decimal"/>
          <w:cols w:space="425" w:num="1"/>
          <w:docGrid w:type="lines" w:linePitch="312" w:charSpace="0"/>
        </w:sectPr>
      </w:pPr>
    </w:p>
    <w:p>
      <w:pPr>
        <w:pStyle w:val="18"/>
        <w:adjustRightInd w:val="0"/>
        <w:snapToGrid w:val="0"/>
        <w:spacing w:before="0" w:beforeAutospacing="0" w:after="0" w:afterAutospacing="0"/>
        <w:outlineLvl w:val="0"/>
        <w:rPr>
          <w:rFonts w:ascii="Times New Roman" w:hAnsi="Times New Roman" w:eastAsia="黑体"/>
          <w:snapToGrid w:val="0"/>
          <w:color w:val="000000" w:themeColor="text1"/>
          <w:sz w:val="32"/>
          <w:szCs w:val="32"/>
          <w14:textFill>
            <w14:solidFill>
              <w14:schemeClr w14:val="tx1"/>
            </w14:solidFill>
          </w14:textFill>
        </w:rPr>
      </w:pPr>
      <w:r>
        <w:rPr>
          <w:rFonts w:ascii="Times New Roman" w:hAnsi="Times New Roman" w:eastAsia="黑体"/>
          <w:snapToGrid w:val="0"/>
          <w:color w:val="000000" w:themeColor="text1"/>
          <w:sz w:val="32"/>
          <w:szCs w:val="32"/>
          <w14:textFill>
            <w14:solidFill>
              <w14:schemeClr w14:val="tx1"/>
            </w14:solidFill>
          </w14:textFill>
        </w:rPr>
        <w:t>附表</w:t>
      </w:r>
    </w:p>
    <w:p>
      <w:pPr>
        <w:pStyle w:val="18"/>
        <w:adjustRightInd w:val="0"/>
        <w:snapToGrid w:val="0"/>
        <w:spacing w:before="0" w:beforeAutospacing="0" w:after="0" w:afterAutospacing="0"/>
        <w:jc w:val="center"/>
        <w:outlineLvl w:val="0"/>
        <w:rPr>
          <w:rFonts w:ascii="Times New Roman" w:hAnsi="Times New Roman" w:eastAsia="红豆小标宋简体"/>
          <w:color w:val="000000" w:themeColor="text1"/>
          <w:sz w:val="38"/>
          <w:szCs w:val="38"/>
          <w14:textFill>
            <w14:solidFill>
              <w14:schemeClr w14:val="tx1"/>
            </w14:solidFill>
          </w14:textFill>
        </w:rPr>
      </w:pPr>
      <w:r>
        <w:rPr>
          <w:rFonts w:ascii="Times New Roman" w:hAnsi="Times New Roman" w:eastAsia="红豆小标宋简体"/>
          <w:snapToGrid w:val="0"/>
          <w:color w:val="000000" w:themeColor="text1"/>
          <w:sz w:val="38"/>
          <w:szCs w:val="38"/>
          <w14:textFill>
            <w14:solidFill>
              <w14:schemeClr w14:val="tx1"/>
            </w14:solidFill>
          </w14:textFill>
        </w:rPr>
        <w:t>建设项目污染物排放量汇总表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767"/>
        <w:gridCol w:w="1569"/>
        <w:gridCol w:w="1059"/>
        <w:gridCol w:w="1566"/>
        <w:gridCol w:w="1582"/>
        <w:gridCol w:w="1415"/>
        <w:gridCol w:w="1621"/>
        <w:gridCol w:w="12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1" w:hRule="exact"/>
          <w:jc w:val="center"/>
        </w:trPr>
        <w:tc>
          <w:tcPr>
            <w:tcW w:w="514" w:type="pct"/>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lang w:eastAsia="zh-CN"/>
                <w14:textFill>
                  <w14:solidFill>
                    <w14:schemeClr w14:val="tx1"/>
                  </w14:solidFill>
                </w14:textFill>
              </w:rPr>
              <w:t xml:space="preserve">     </w:t>
            </w:r>
            <w:r>
              <w:rPr>
                <w:rFonts w:hint="default" w:ascii="Times New Roman" w:eastAsia="黑体"/>
                <w:snapToGrid w:val="0"/>
                <w:color w:val="000000" w:themeColor="text1"/>
                <w:spacing w:val="-6"/>
                <w:kern w:val="21"/>
                <w:szCs w:val="21"/>
                <w14:textFill>
                  <w14:solidFill>
                    <w14:schemeClr w14:val="tx1"/>
                  </w14:solidFill>
                </w14:textFill>
              </w:rPr>
              <w:t>项目</w:t>
            </w:r>
          </w:p>
          <w:p>
            <w:pPr>
              <w:pStyle w:val="33"/>
              <w:widowControl/>
              <w:spacing w:beforeLines="0" w:beforeAutospacing="0" w:after="0" w:afterAutospacing="0" w:line="280" w:lineRule="exact"/>
              <w:ind w:left="0" w:leftChars="0" w:firstLine="208" w:firstLineChars="100"/>
              <w:jc w:val="both"/>
              <w:rPr>
                <w:rFonts w:hint="default" w:ascii="Times New Roman" w:eastAsia="黑体"/>
                <w:color w:val="000000" w:themeColor="text1"/>
                <w:spacing w:val="-6"/>
                <w:kern w:val="21"/>
                <w:szCs w:val="21"/>
                <w14:textFill>
                  <w14:solidFill>
                    <w14:schemeClr w14:val="tx1"/>
                  </w14:solidFill>
                </w14:textFill>
              </w:rPr>
            </w:pPr>
            <w:r>
              <w:rPr>
                <w:rFonts w:hint="default" w:ascii="Times New Roman" w:eastAsia="黑体"/>
                <w:snapToGrid w:val="0"/>
                <w:color w:val="000000" w:themeColor="text1"/>
                <w:spacing w:val="-6"/>
                <w:kern w:val="21"/>
                <w:szCs w:val="21"/>
                <w14:textFill>
                  <w14:solidFill>
                    <w14:schemeClr w14:val="tx1"/>
                  </w14:solidFill>
                </w14:textFill>
              </w:rPr>
              <w:t>分类</w:t>
            </w:r>
          </w:p>
        </w:tc>
        <w:tc>
          <w:tcPr>
            <w:tcW w:w="669"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color w:val="000000" w:themeColor="text1"/>
                <w:spacing w:val="-6"/>
                <w:kern w:val="21"/>
                <w:szCs w:val="21"/>
                <w14:textFill>
                  <w14:solidFill>
                    <w14:schemeClr w14:val="tx1"/>
                  </w14:solidFill>
                </w14:textFill>
              </w:rPr>
            </w:pPr>
            <w:r>
              <w:rPr>
                <w:rFonts w:hint="default" w:ascii="Times New Roman" w:eastAsia="黑体"/>
                <w:snapToGrid w:val="0"/>
                <w:color w:val="000000" w:themeColor="text1"/>
                <w:spacing w:val="-6"/>
                <w:kern w:val="21"/>
                <w:szCs w:val="21"/>
                <w14:textFill>
                  <w14:solidFill>
                    <w14:schemeClr w14:val="tx1"/>
                  </w14:solidFill>
                </w14:textFill>
              </w:rPr>
              <w:t>污染物名称</w:t>
            </w:r>
          </w:p>
        </w:tc>
        <w:tc>
          <w:tcPr>
            <w:tcW w:w="594"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现有工程</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排放量（固体废物产生量）</w:t>
            </w:r>
            <w:r>
              <w:rPr>
                <w:rFonts w:hint="default" w:ascii="Times New Roman" w:eastAsia="黑体"/>
                <w:color w:val="000000" w:themeColor="text1"/>
                <w:spacing w:val="-6"/>
                <w:kern w:val="21"/>
                <w:szCs w:val="21"/>
                <w14:textFill>
                  <w14:solidFill>
                    <w14:schemeClr w14:val="tx1"/>
                  </w14:solidFill>
                </w14:textFill>
              </w:rPr>
              <w:fldChar w:fldCharType="begin"/>
            </w:r>
            <w:r>
              <w:rPr>
                <w:rFonts w:hint="default" w:ascii="Times New Roman" w:eastAsia="黑体"/>
                <w:snapToGrid w:val="0"/>
                <w:color w:val="000000" w:themeColor="text1"/>
                <w:spacing w:val="-6"/>
                <w:kern w:val="21"/>
                <w:szCs w:val="21"/>
                <w:lang w:eastAsia="zh-CN"/>
                <w14:textFill>
                  <w14:solidFill>
                    <w14:schemeClr w14:val="tx1"/>
                  </w14:solidFill>
                </w14:textFill>
              </w:rPr>
              <w:instrText xml:space="preserve"> = 1 \* GB3 \* MERGEFORMAT </w:instrText>
            </w:r>
            <w:r>
              <w:rPr>
                <w:rFonts w:hint="default" w:ascii="Times New Roman" w:eastAsia="黑体"/>
                <w:color w:val="000000" w:themeColor="text1"/>
                <w:spacing w:val="-6"/>
                <w:kern w:val="21"/>
                <w:szCs w:val="21"/>
                <w14:textFill>
                  <w14:solidFill>
                    <w14:schemeClr w14:val="tx1"/>
                  </w14:solidFill>
                </w14:textFill>
              </w:rPr>
              <w:fldChar w:fldCharType="separate"/>
            </w:r>
            <w:r>
              <w:rPr>
                <w:rFonts w:hint="default" w:ascii="Times New Roman" w:eastAsia="黑体"/>
                <w:color w:val="000000" w:themeColor="text1"/>
                <w:kern w:val="2"/>
                <w:szCs w:val="21"/>
                <w:lang w:eastAsia="zh-CN"/>
                <w14:textFill>
                  <w14:solidFill>
                    <w14:schemeClr w14:val="tx1"/>
                  </w14:solidFill>
                </w14:textFill>
              </w:rPr>
              <w:t>①</w:t>
            </w:r>
            <w:r>
              <w:rPr>
                <w:rFonts w:hint="default" w:ascii="Times New Roman" w:eastAsia="黑体"/>
                <w:color w:val="000000" w:themeColor="text1"/>
                <w:spacing w:val="-6"/>
                <w:kern w:val="21"/>
                <w:szCs w:val="21"/>
                <w14:textFill>
                  <w14:solidFill>
                    <w14:schemeClr w14:val="tx1"/>
                  </w14:solidFill>
                </w14:textFill>
              </w:rPr>
              <w:fldChar w:fldCharType="end"/>
            </w:r>
          </w:p>
        </w:tc>
        <w:tc>
          <w:tcPr>
            <w:tcW w:w="401"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现有工程</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许可排放量</w:t>
            </w:r>
            <w:r>
              <w:rPr>
                <w:rFonts w:hint="default" w:ascii="Times New Roman" w:eastAsia="黑体"/>
                <w:color w:val="000000" w:themeColor="text1"/>
                <w:spacing w:val="-6"/>
                <w:kern w:val="21"/>
                <w:szCs w:val="21"/>
                <w14:textFill>
                  <w14:solidFill>
                    <w14:schemeClr w14:val="tx1"/>
                  </w14:solidFill>
                </w14:textFill>
              </w:rPr>
              <w:fldChar w:fldCharType="begin"/>
            </w:r>
            <w:r>
              <w:rPr>
                <w:rFonts w:hint="default" w:ascii="Times New Roman" w:eastAsia="黑体"/>
                <w:snapToGrid w:val="0"/>
                <w:color w:val="000000" w:themeColor="text1"/>
                <w:spacing w:val="-6"/>
                <w:kern w:val="21"/>
                <w:szCs w:val="21"/>
                <w:lang w:eastAsia="zh-CN"/>
                <w14:textFill>
                  <w14:solidFill>
                    <w14:schemeClr w14:val="tx1"/>
                  </w14:solidFill>
                </w14:textFill>
              </w:rPr>
              <w:instrText xml:space="preserve">= 2 \* GB3 \* MERGEFORMAT </w:instrText>
            </w:r>
            <w:r>
              <w:rPr>
                <w:rFonts w:hint="default" w:ascii="Times New Roman" w:eastAsia="黑体"/>
                <w:color w:val="000000" w:themeColor="text1"/>
                <w:spacing w:val="-6"/>
                <w:kern w:val="21"/>
                <w:szCs w:val="21"/>
                <w14:textFill>
                  <w14:solidFill>
                    <w14:schemeClr w14:val="tx1"/>
                  </w14:solidFill>
                </w14:textFill>
              </w:rPr>
              <w:fldChar w:fldCharType="separate"/>
            </w:r>
            <w:r>
              <w:rPr>
                <w:rFonts w:hint="default" w:ascii="Times New Roman" w:eastAsia="黑体"/>
                <w:snapToGrid w:val="0"/>
                <w:color w:val="000000" w:themeColor="text1"/>
                <w:spacing w:val="-6"/>
                <w:kern w:val="21"/>
                <w:szCs w:val="21"/>
                <w:lang w:eastAsia="zh-CN"/>
                <w14:textFill>
                  <w14:solidFill>
                    <w14:schemeClr w14:val="tx1"/>
                  </w14:solidFill>
                </w14:textFill>
              </w:rPr>
              <w:t>②</w:t>
            </w:r>
            <w:r>
              <w:rPr>
                <w:rFonts w:hint="default" w:ascii="Times New Roman" w:eastAsia="黑体"/>
                <w:color w:val="000000" w:themeColor="text1"/>
                <w:spacing w:val="-6"/>
                <w:kern w:val="21"/>
                <w:szCs w:val="21"/>
                <w14:textFill>
                  <w14:solidFill>
                    <w14:schemeClr w14:val="tx1"/>
                  </w14:solidFill>
                </w14:textFill>
              </w:rPr>
              <w:fldChar w:fldCharType="end"/>
            </w:r>
          </w:p>
        </w:tc>
        <w:tc>
          <w:tcPr>
            <w:tcW w:w="593"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在建工程</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排放量（固体废物产生量）</w:t>
            </w:r>
            <w:r>
              <w:rPr>
                <w:rFonts w:hint="default" w:ascii="Times New Roman" w:eastAsia="黑体"/>
                <w:color w:val="000000" w:themeColor="text1"/>
                <w:spacing w:val="-6"/>
                <w:kern w:val="21"/>
                <w:szCs w:val="21"/>
                <w14:textFill>
                  <w14:solidFill>
                    <w14:schemeClr w14:val="tx1"/>
                  </w14:solidFill>
                </w14:textFill>
              </w:rPr>
              <w:fldChar w:fldCharType="begin"/>
            </w:r>
            <w:r>
              <w:rPr>
                <w:rFonts w:hint="default" w:ascii="Times New Roman" w:eastAsia="黑体"/>
                <w:snapToGrid w:val="0"/>
                <w:color w:val="000000" w:themeColor="text1"/>
                <w:spacing w:val="-6"/>
                <w:kern w:val="21"/>
                <w:szCs w:val="21"/>
                <w:lang w:eastAsia="zh-CN"/>
                <w14:textFill>
                  <w14:solidFill>
                    <w14:schemeClr w14:val="tx1"/>
                  </w14:solidFill>
                </w14:textFill>
              </w:rPr>
              <w:instrText xml:space="preserve"> = 3 \* GB3 \* MERGEFORMAT </w:instrText>
            </w:r>
            <w:r>
              <w:rPr>
                <w:rFonts w:hint="default" w:ascii="Times New Roman" w:eastAsia="黑体"/>
                <w:color w:val="000000" w:themeColor="text1"/>
                <w:spacing w:val="-6"/>
                <w:kern w:val="21"/>
                <w:szCs w:val="21"/>
                <w14:textFill>
                  <w14:solidFill>
                    <w14:schemeClr w14:val="tx1"/>
                  </w14:solidFill>
                </w14:textFill>
              </w:rPr>
              <w:fldChar w:fldCharType="separate"/>
            </w:r>
            <w:r>
              <w:rPr>
                <w:rFonts w:hint="default" w:ascii="Times New Roman" w:eastAsia="黑体"/>
                <w:color w:val="000000" w:themeColor="text1"/>
                <w:kern w:val="2"/>
                <w:szCs w:val="21"/>
                <w:lang w:eastAsia="zh-CN"/>
                <w14:textFill>
                  <w14:solidFill>
                    <w14:schemeClr w14:val="tx1"/>
                  </w14:solidFill>
                </w14:textFill>
              </w:rPr>
              <w:t>③</w:t>
            </w:r>
            <w:r>
              <w:rPr>
                <w:rFonts w:hint="default" w:ascii="Times New Roman" w:eastAsia="黑体"/>
                <w:color w:val="000000" w:themeColor="text1"/>
                <w:spacing w:val="-6"/>
                <w:kern w:val="21"/>
                <w:szCs w:val="21"/>
                <w14:textFill>
                  <w14:solidFill>
                    <w14:schemeClr w14:val="tx1"/>
                  </w14:solidFill>
                </w14:textFill>
              </w:rPr>
              <w:fldChar w:fldCharType="end"/>
            </w:r>
          </w:p>
        </w:tc>
        <w:tc>
          <w:tcPr>
            <w:tcW w:w="599"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本项目</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lang w:eastAsia="zh-CN"/>
                <w14:textFill>
                  <w14:solidFill>
                    <w14:schemeClr w14:val="tx1"/>
                  </w14:solidFill>
                </w14:textFill>
              </w:rPr>
            </w:pPr>
            <w:r>
              <w:rPr>
                <w:rFonts w:hint="default" w:ascii="Times New Roman" w:eastAsia="黑体"/>
                <w:snapToGrid w:val="0"/>
                <w:color w:val="000000" w:themeColor="text1"/>
                <w:spacing w:val="-6"/>
                <w:kern w:val="21"/>
                <w:szCs w:val="21"/>
                <w:lang w:eastAsia="zh-CN"/>
                <w14:textFill>
                  <w14:solidFill>
                    <w14:schemeClr w14:val="tx1"/>
                  </w14:solidFill>
                </w14:textFill>
              </w:rPr>
              <w:t>排放量（固体废物产生量）</w:t>
            </w:r>
            <w:r>
              <w:rPr>
                <w:rFonts w:hint="default" w:ascii="Times New Roman" w:eastAsia="黑体"/>
                <w:color w:val="000000" w:themeColor="text1"/>
                <w:spacing w:val="-6"/>
                <w:kern w:val="21"/>
                <w:szCs w:val="21"/>
                <w14:textFill>
                  <w14:solidFill>
                    <w14:schemeClr w14:val="tx1"/>
                  </w14:solidFill>
                </w14:textFill>
              </w:rPr>
              <w:fldChar w:fldCharType="begin"/>
            </w:r>
            <w:r>
              <w:rPr>
                <w:rFonts w:hint="default" w:ascii="Times New Roman" w:eastAsia="黑体"/>
                <w:snapToGrid w:val="0"/>
                <w:color w:val="000000" w:themeColor="text1"/>
                <w:spacing w:val="-6"/>
                <w:kern w:val="21"/>
                <w:szCs w:val="21"/>
                <w:lang w:eastAsia="zh-CN"/>
                <w14:textFill>
                  <w14:solidFill>
                    <w14:schemeClr w14:val="tx1"/>
                  </w14:solidFill>
                </w14:textFill>
              </w:rPr>
              <w:instrText xml:space="preserve"> = 4 \* GB3 \* MERGEFORMAT </w:instrText>
            </w:r>
            <w:r>
              <w:rPr>
                <w:rFonts w:hint="default" w:ascii="Times New Roman" w:eastAsia="黑体"/>
                <w:color w:val="000000" w:themeColor="text1"/>
                <w:spacing w:val="-6"/>
                <w:kern w:val="21"/>
                <w:szCs w:val="21"/>
                <w14:textFill>
                  <w14:solidFill>
                    <w14:schemeClr w14:val="tx1"/>
                  </w14:solidFill>
                </w14:textFill>
              </w:rPr>
              <w:fldChar w:fldCharType="separate"/>
            </w:r>
            <w:r>
              <w:rPr>
                <w:rFonts w:hint="default" w:ascii="Times New Roman" w:eastAsia="黑体"/>
                <w:color w:val="000000" w:themeColor="text1"/>
                <w:kern w:val="2"/>
                <w:szCs w:val="21"/>
                <w:lang w:eastAsia="zh-CN"/>
                <w14:textFill>
                  <w14:solidFill>
                    <w14:schemeClr w14:val="tx1"/>
                  </w14:solidFill>
                </w14:textFill>
              </w:rPr>
              <w:t>④</w:t>
            </w:r>
            <w:r>
              <w:rPr>
                <w:rFonts w:hint="default" w:ascii="Times New Roman" w:eastAsia="黑体"/>
                <w:color w:val="000000" w:themeColor="text1"/>
                <w:spacing w:val="-6"/>
                <w:kern w:val="21"/>
                <w:szCs w:val="21"/>
                <w14:textFill>
                  <w14:solidFill>
                    <w14:schemeClr w14:val="tx1"/>
                  </w14:solidFill>
                </w14:textFill>
              </w:rPr>
              <w:fldChar w:fldCharType="end"/>
            </w:r>
          </w:p>
        </w:tc>
        <w:tc>
          <w:tcPr>
            <w:tcW w:w="535"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color w:val="000000" w:themeColor="text1"/>
                <w:spacing w:val="-16"/>
                <w:kern w:val="21"/>
                <w:szCs w:val="21"/>
                <w:lang w:eastAsia="zh-CN"/>
                <w14:textFill>
                  <w14:solidFill>
                    <w14:schemeClr w14:val="tx1"/>
                  </w14:solidFill>
                </w14:textFill>
              </w:rPr>
            </w:pPr>
            <w:r>
              <w:rPr>
                <w:rFonts w:hint="default" w:ascii="Times New Roman" w:eastAsia="黑体"/>
                <w:snapToGrid w:val="0"/>
                <w:color w:val="000000" w:themeColor="text1"/>
                <w:spacing w:val="-16"/>
                <w:kern w:val="21"/>
                <w:szCs w:val="21"/>
                <w:lang w:eastAsia="zh-CN"/>
                <w14:textFill>
                  <w14:solidFill>
                    <w14:schemeClr w14:val="tx1"/>
                  </w14:solidFill>
                </w14:textFill>
              </w:rPr>
              <w:t>以新带老削减量</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16"/>
                <w:kern w:val="21"/>
                <w:szCs w:val="21"/>
                <w:lang w:eastAsia="zh-CN"/>
                <w14:textFill>
                  <w14:solidFill>
                    <w14:schemeClr w14:val="tx1"/>
                  </w14:solidFill>
                </w14:textFill>
              </w:rPr>
            </w:pPr>
            <w:r>
              <w:rPr>
                <w:rFonts w:hint="default" w:ascii="Times New Roman" w:eastAsia="黑体"/>
                <w:snapToGrid w:val="0"/>
                <w:color w:val="000000" w:themeColor="text1"/>
                <w:spacing w:val="-16"/>
                <w:kern w:val="21"/>
                <w:szCs w:val="21"/>
                <w:lang w:eastAsia="zh-CN"/>
                <w14:textFill>
                  <w14:solidFill>
                    <w14:schemeClr w14:val="tx1"/>
                  </w14:solidFill>
                </w14:textFill>
              </w:rPr>
              <w:t>（新建项目不填）</w:t>
            </w:r>
            <w:r>
              <w:rPr>
                <w:rFonts w:hint="default" w:ascii="Times New Roman" w:eastAsia="黑体"/>
                <w:color w:val="000000" w:themeColor="text1"/>
                <w:spacing w:val="-16"/>
                <w:kern w:val="21"/>
                <w:szCs w:val="21"/>
                <w14:textFill>
                  <w14:solidFill>
                    <w14:schemeClr w14:val="tx1"/>
                  </w14:solidFill>
                </w14:textFill>
              </w:rPr>
              <w:fldChar w:fldCharType="begin"/>
            </w:r>
            <w:r>
              <w:rPr>
                <w:rFonts w:hint="default" w:ascii="Times New Roman" w:eastAsia="黑体"/>
                <w:snapToGrid w:val="0"/>
                <w:color w:val="000000" w:themeColor="text1"/>
                <w:spacing w:val="-16"/>
                <w:kern w:val="21"/>
                <w:szCs w:val="21"/>
                <w:lang w:eastAsia="zh-CN"/>
                <w14:textFill>
                  <w14:solidFill>
                    <w14:schemeClr w14:val="tx1"/>
                  </w14:solidFill>
                </w14:textFill>
              </w:rPr>
              <w:instrText xml:space="preserve"> = 5 \* GB3 \* MERGEFORMAT </w:instrText>
            </w:r>
            <w:r>
              <w:rPr>
                <w:rFonts w:hint="default" w:ascii="Times New Roman" w:eastAsia="黑体"/>
                <w:color w:val="000000" w:themeColor="text1"/>
                <w:spacing w:val="-16"/>
                <w:kern w:val="21"/>
                <w:szCs w:val="21"/>
                <w14:textFill>
                  <w14:solidFill>
                    <w14:schemeClr w14:val="tx1"/>
                  </w14:solidFill>
                </w14:textFill>
              </w:rPr>
              <w:fldChar w:fldCharType="separate"/>
            </w:r>
            <w:r>
              <w:rPr>
                <w:rFonts w:hint="default" w:ascii="Times New Roman" w:eastAsia="黑体"/>
                <w:color w:val="000000" w:themeColor="text1"/>
                <w:kern w:val="2"/>
                <w:szCs w:val="21"/>
                <w:lang w:eastAsia="zh-CN"/>
                <w14:textFill>
                  <w14:solidFill>
                    <w14:schemeClr w14:val="tx1"/>
                  </w14:solidFill>
                </w14:textFill>
              </w:rPr>
              <w:t>⑤</w:t>
            </w:r>
            <w:r>
              <w:rPr>
                <w:rFonts w:hint="default" w:ascii="Times New Roman" w:eastAsia="黑体"/>
                <w:color w:val="000000" w:themeColor="text1"/>
                <w:spacing w:val="-16"/>
                <w:kern w:val="21"/>
                <w:szCs w:val="21"/>
                <w14:textFill>
                  <w14:solidFill>
                    <w14:schemeClr w14:val="tx1"/>
                  </w14:solidFill>
                </w14:textFill>
              </w:rPr>
              <w:fldChar w:fldCharType="end"/>
            </w:r>
          </w:p>
        </w:tc>
        <w:tc>
          <w:tcPr>
            <w:tcW w:w="613" w:type="pct"/>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16"/>
                <w:kern w:val="21"/>
                <w:szCs w:val="21"/>
                <w:lang w:eastAsia="zh-CN"/>
                <w14:textFill>
                  <w14:solidFill>
                    <w14:schemeClr w14:val="tx1"/>
                  </w14:solidFill>
                </w14:textFill>
              </w:rPr>
            </w:pPr>
            <w:r>
              <w:rPr>
                <w:rFonts w:hint="default" w:ascii="Times New Roman" w:eastAsia="黑体"/>
                <w:snapToGrid w:val="0"/>
                <w:color w:val="000000" w:themeColor="text1"/>
                <w:spacing w:val="-16"/>
                <w:kern w:val="21"/>
                <w:szCs w:val="21"/>
                <w:lang w:eastAsia="zh-CN"/>
                <w14:textFill>
                  <w14:solidFill>
                    <w14:schemeClr w14:val="tx1"/>
                  </w14:solidFill>
                </w14:textFill>
              </w:rPr>
              <w:t>本项目建成后</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16"/>
                <w:kern w:val="21"/>
                <w:szCs w:val="21"/>
                <w:lang w:eastAsia="zh-CN"/>
                <w14:textFill>
                  <w14:solidFill>
                    <w14:schemeClr w14:val="tx1"/>
                  </w14:solidFill>
                </w14:textFill>
              </w:rPr>
            </w:pPr>
            <w:r>
              <w:rPr>
                <w:rFonts w:hint="default" w:ascii="Times New Roman" w:eastAsia="黑体"/>
                <w:snapToGrid w:val="0"/>
                <w:color w:val="000000" w:themeColor="text1"/>
                <w:spacing w:val="-16"/>
                <w:kern w:val="21"/>
                <w:szCs w:val="21"/>
                <w:lang w:eastAsia="zh-CN"/>
                <w14:textFill>
                  <w14:solidFill>
                    <w14:schemeClr w14:val="tx1"/>
                  </w14:solidFill>
                </w14:textFill>
              </w:rPr>
              <w:t>全厂排放量（固体废物产生量）</w:t>
            </w:r>
            <w:r>
              <w:rPr>
                <w:rFonts w:hint="default" w:ascii="Times New Roman" w:eastAsia="黑体"/>
                <w:color w:val="000000" w:themeColor="text1"/>
                <w:spacing w:val="-16"/>
                <w:kern w:val="21"/>
                <w:szCs w:val="21"/>
                <w14:textFill>
                  <w14:solidFill>
                    <w14:schemeClr w14:val="tx1"/>
                  </w14:solidFill>
                </w14:textFill>
              </w:rPr>
              <w:fldChar w:fldCharType="begin"/>
            </w:r>
            <w:r>
              <w:rPr>
                <w:rFonts w:hint="default" w:ascii="Times New Roman" w:eastAsia="黑体"/>
                <w:snapToGrid w:val="0"/>
                <w:color w:val="000000" w:themeColor="text1"/>
                <w:spacing w:val="-16"/>
                <w:kern w:val="21"/>
                <w:szCs w:val="21"/>
                <w:lang w:eastAsia="zh-CN"/>
                <w14:textFill>
                  <w14:solidFill>
                    <w14:schemeClr w14:val="tx1"/>
                  </w14:solidFill>
                </w14:textFill>
              </w:rPr>
              <w:instrText xml:space="preserve"> = 6 \* GB3 \* MERGEFORMAT </w:instrText>
            </w:r>
            <w:r>
              <w:rPr>
                <w:rFonts w:hint="default" w:ascii="Times New Roman" w:eastAsia="黑体"/>
                <w:color w:val="000000" w:themeColor="text1"/>
                <w:spacing w:val="-16"/>
                <w:kern w:val="21"/>
                <w:szCs w:val="21"/>
                <w14:textFill>
                  <w14:solidFill>
                    <w14:schemeClr w14:val="tx1"/>
                  </w14:solidFill>
                </w14:textFill>
              </w:rPr>
              <w:fldChar w:fldCharType="separate"/>
            </w:r>
            <w:r>
              <w:rPr>
                <w:rFonts w:hint="default" w:ascii="Times New Roman" w:eastAsia="黑体"/>
                <w:color w:val="000000" w:themeColor="text1"/>
                <w:kern w:val="2"/>
                <w:szCs w:val="21"/>
                <w:lang w:eastAsia="zh-CN"/>
                <w14:textFill>
                  <w14:solidFill>
                    <w14:schemeClr w14:val="tx1"/>
                  </w14:solidFill>
                </w14:textFill>
              </w:rPr>
              <w:t>⑥</w:t>
            </w:r>
            <w:r>
              <w:rPr>
                <w:rFonts w:hint="default" w:ascii="Times New Roman" w:eastAsia="黑体"/>
                <w:color w:val="000000" w:themeColor="text1"/>
                <w:spacing w:val="-16"/>
                <w:kern w:val="21"/>
                <w:szCs w:val="21"/>
                <w14:textFill>
                  <w14:solidFill>
                    <w14:schemeClr w14:val="tx1"/>
                  </w14:solidFill>
                </w14:textFill>
              </w:rPr>
              <w:fldChar w:fldCharType="end"/>
            </w:r>
          </w:p>
        </w:tc>
        <w:tc>
          <w:tcPr>
            <w:tcW w:w="479" w:type="pct"/>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33"/>
              <w:widowControl/>
              <w:spacing w:beforeLines="0" w:beforeAutospacing="0" w:after="0" w:afterAutospacing="0" w:line="280" w:lineRule="exact"/>
              <w:ind w:left="0" w:leftChars="0" w:firstLine="0" w:firstLineChars="0"/>
              <w:rPr>
                <w:rFonts w:hint="default" w:ascii="Times New Roman" w:eastAsia="黑体"/>
                <w:color w:val="000000" w:themeColor="text1"/>
                <w:spacing w:val="-6"/>
                <w:kern w:val="21"/>
                <w:szCs w:val="21"/>
                <w14:textFill>
                  <w14:solidFill>
                    <w14:schemeClr w14:val="tx1"/>
                  </w14:solidFill>
                </w14:textFill>
              </w:rPr>
            </w:pPr>
            <w:r>
              <w:rPr>
                <w:rFonts w:hint="default" w:ascii="Times New Roman" w:eastAsia="黑体"/>
                <w:snapToGrid w:val="0"/>
                <w:color w:val="000000" w:themeColor="text1"/>
                <w:spacing w:val="-6"/>
                <w:kern w:val="21"/>
                <w:szCs w:val="21"/>
                <w14:textFill>
                  <w14:solidFill>
                    <w14:schemeClr w14:val="tx1"/>
                  </w14:solidFill>
                </w14:textFill>
              </w:rPr>
              <w:t>变化量</w:t>
            </w:r>
          </w:p>
          <w:p>
            <w:pPr>
              <w:pStyle w:val="33"/>
              <w:widowControl/>
              <w:spacing w:beforeLines="0" w:beforeAutospacing="0" w:after="0" w:afterAutospacing="0" w:line="280" w:lineRule="exact"/>
              <w:ind w:left="0" w:leftChars="0" w:firstLine="0" w:firstLineChars="0"/>
              <w:rPr>
                <w:rFonts w:hint="default" w:ascii="Times New Roman" w:eastAsia="黑体"/>
                <w:snapToGrid w:val="0"/>
                <w:color w:val="000000" w:themeColor="text1"/>
                <w:spacing w:val="-6"/>
                <w:kern w:val="21"/>
                <w:szCs w:val="21"/>
                <w14:textFill>
                  <w14:solidFill>
                    <w14:schemeClr w14:val="tx1"/>
                  </w14:solidFill>
                </w14:textFill>
              </w:rPr>
            </w:pPr>
            <w:r>
              <w:rPr>
                <w:rFonts w:hint="default" w:ascii="Times New Roman" w:eastAsia="黑体"/>
                <w:color w:val="000000" w:themeColor="text1"/>
                <w:spacing w:val="-6"/>
                <w:kern w:val="21"/>
                <w:szCs w:val="21"/>
                <w14:textFill>
                  <w14:solidFill>
                    <w14:schemeClr w14:val="tx1"/>
                  </w14:solidFill>
                </w14:textFill>
              </w:rPr>
              <w:fldChar w:fldCharType="begin"/>
            </w:r>
            <w:r>
              <w:rPr>
                <w:rFonts w:hint="default" w:ascii="Times New Roman" w:eastAsia="黑体"/>
                <w:snapToGrid w:val="0"/>
                <w:color w:val="000000" w:themeColor="text1"/>
                <w:spacing w:val="-6"/>
                <w:kern w:val="21"/>
                <w:szCs w:val="21"/>
                <w14:textFill>
                  <w14:solidFill>
                    <w14:schemeClr w14:val="tx1"/>
                  </w14:solidFill>
                </w14:textFill>
              </w:rPr>
              <w:instrText xml:space="preserve">= 7 \* GB3 \* MERGEFORMAT </w:instrText>
            </w:r>
            <w:r>
              <w:rPr>
                <w:rFonts w:hint="default" w:ascii="Times New Roman" w:eastAsia="黑体"/>
                <w:color w:val="000000" w:themeColor="text1"/>
                <w:spacing w:val="-6"/>
                <w:kern w:val="21"/>
                <w:szCs w:val="21"/>
                <w14:textFill>
                  <w14:solidFill>
                    <w14:schemeClr w14:val="tx1"/>
                  </w14:solidFill>
                </w14:textFill>
              </w:rPr>
              <w:fldChar w:fldCharType="separate"/>
            </w:r>
            <w:r>
              <w:rPr>
                <w:rFonts w:hint="default" w:ascii="Times New Roman" w:eastAsia="黑体"/>
                <w:color w:val="000000" w:themeColor="text1"/>
                <w:kern w:val="2"/>
                <w:szCs w:val="21"/>
                <w14:textFill>
                  <w14:solidFill>
                    <w14:schemeClr w14:val="tx1"/>
                  </w14:solidFill>
                </w14:textFill>
              </w:rPr>
              <w:t>⑦</w:t>
            </w:r>
            <w:r>
              <w:rPr>
                <w:rFonts w:hint="default" w:ascii="Times New Roman" w:eastAsia="黑体"/>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14" w:type="pct"/>
            <w:tcBorders>
              <w:top w:val="single" w:color="auto" w:sz="4" w:space="0"/>
              <w:left w:val="single" w:color="auto" w:sz="8" w:space="0"/>
              <w:right w:val="single" w:color="auto" w:sz="4" w:space="0"/>
            </w:tcBorders>
            <w:shd w:val="clear" w:color="auto" w:fill="auto"/>
            <w:vAlign w:val="center"/>
          </w:tcPr>
          <w:p>
            <w:pPr>
              <w:pStyle w:val="33"/>
              <w:widowControl/>
              <w:spacing w:beforeLines="0" w:beforeAutospacing="0" w:after="0" w:afterAutospacing="0" w:line="280" w:lineRule="exact"/>
              <w:ind w:left="0" w:leftChars="0" w:firstLine="0" w:firstLineChars="0"/>
              <w:rPr>
                <w:rFonts w:hint="default" w:ascii="Times New Roman"/>
                <w:color w:val="000000" w:themeColor="text1"/>
                <w:kern w:val="21"/>
                <w:szCs w:val="21"/>
                <w14:textFill>
                  <w14:solidFill>
                    <w14:schemeClr w14:val="tx1"/>
                  </w14:solidFill>
                </w14:textFill>
              </w:rPr>
            </w:pPr>
            <w:r>
              <w:rPr>
                <w:rFonts w:hint="default" w:ascii="Times New Roman"/>
                <w:snapToGrid w:val="0"/>
                <w:color w:val="000000" w:themeColor="text1"/>
                <w:kern w:val="21"/>
                <w:szCs w:val="21"/>
                <w14:textFill>
                  <w14:solidFill>
                    <w14:schemeClr w14:val="tx1"/>
                  </w14:solidFill>
                </w14:textFill>
              </w:rPr>
              <w:t>废气</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有机废气</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0.07t/a</w:t>
            </w: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0.07</w:t>
            </w:r>
            <w:r>
              <w:rPr>
                <w:rFonts w:ascii="Times New Roman" w:hAnsi="Times New Roman" w:cs="Times New Roman"/>
                <w:snapToGrid w:val="0"/>
                <w:color w:val="000000" w:themeColor="text1"/>
                <w:kern w:val="21"/>
                <w:szCs w:val="21"/>
                <w14:textFill>
                  <w14:solidFill>
                    <w14:schemeClr w14:val="tx1"/>
                  </w14:solidFill>
                </w14:textFill>
              </w:rPr>
              <w:t>t/a</w:t>
            </w:r>
          </w:p>
        </w:tc>
        <w:tc>
          <w:tcPr>
            <w:tcW w:w="479"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+0.07t/a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514" w:type="pct"/>
            <w:tcBorders>
              <w:top w:val="single" w:color="auto" w:sz="4" w:space="0"/>
              <w:left w:val="single" w:color="auto" w:sz="8" w:space="0"/>
              <w:right w:val="single" w:color="auto" w:sz="4" w:space="0"/>
            </w:tcBorders>
            <w:shd w:val="clear" w:color="auto" w:fill="auto"/>
            <w:vAlign w:val="center"/>
          </w:tcPr>
          <w:p>
            <w:pPr>
              <w:pStyle w:val="33"/>
              <w:widowControl/>
              <w:spacing w:beforeLines="0" w:beforeAutospacing="0" w:after="0" w:afterAutospacing="0" w:line="280" w:lineRule="exact"/>
              <w:ind w:left="0" w:leftChars="0" w:firstLine="0" w:firstLineChars="0"/>
              <w:rPr>
                <w:rFonts w:hint="eastAsia"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废水</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浓水</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0.36</w:t>
            </w: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t/a</w:t>
            </w: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0.36</w:t>
            </w: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t/a</w:t>
            </w:r>
          </w:p>
        </w:tc>
        <w:tc>
          <w:tcPr>
            <w:tcW w:w="479"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80" w:lineRule="exact"/>
              <w:jc w:val="cente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+0.36</w:t>
            </w: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514" w:type="pct"/>
            <w:tcBorders>
              <w:left w:val="single" w:color="auto" w:sz="8" w:space="0"/>
              <w:right w:val="single" w:color="auto" w:sz="4" w:space="0"/>
            </w:tcBorders>
            <w:shd w:val="clear" w:color="auto" w:fill="auto"/>
            <w:vAlign w:val="center"/>
          </w:tcPr>
          <w:p>
            <w:pPr>
              <w:pStyle w:val="33"/>
              <w:widowControl/>
              <w:spacing w:beforeLines="0" w:beforeAutospacing="0" w:after="0" w:afterAutospacing="0" w:line="280" w:lineRule="exact"/>
              <w:ind w:left="0" w:leftChars="0" w:firstLine="0" w:firstLineChars="0"/>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一般固体废物</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napToGrid w:val="0"/>
              <w:spacing w:line="280" w:lineRule="exact"/>
              <w:jc w:val="center"/>
              <w:rPr>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废包装材料</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napToGrid w:val="0"/>
              <w:spacing w:line="280" w:lineRule="exact"/>
              <w:jc w:val="center"/>
              <w:rPr>
                <w:rFonts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0.05t/a</w:t>
            </w: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0.05t/a</w:t>
            </w:r>
          </w:p>
        </w:tc>
        <w:tc>
          <w:tcPr>
            <w:tcW w:w="479" w:type="pct"/>
            <w:tcBorders>
              <w:top w:val="single" w:color="auto" w:sz="4" w:space="0"/>
              <w:left w:val="single" w:color="auto" w:sz="4" w:space="0"/>
              <w:bottom w:val="single" w:color="auto" w:sz="4" w:space="0"/>
              <w:right w:val="single" w:color="auto" w:sz="8" w:space="0"/>
            </w:tcBorders>
            <w:shd w:val="clear" w:color="auto" w:fill="auto"/>
            <w:vAlign w:val="center"/>
          </w:tcPr>
          <w:p>
            <w:pPr>
              <w:pStyle w:val="34"/>
              <w:adjustRightInd w:val="0"/>
              <w:snapToGrid w:val="0"/>
              <w:spacing w:line="280" w:lineRule="exact"/>
              <w:jc w:val="center"/>
              <w:rPr>
                <w:rFonts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514" w:type="pct"/>
            <w:vMerge w:val="restart"/>
            <w:tcBorders>
              <w:left w:val="single" w:color="auto" w:sz="8" w:space="0"/>
              <w:right w:val="single" w:color="auto" w:sz="4" w:space="0"/>
            </w:tcBorders>
            <w:shd w:val="clear" w:color="auto" w:fill="auto"/>
            <w:vAlign w:val="center"/>
          </w:tcPr>
          <w:p>
            <w:pPr>
              <w:pStyle w:val="33"/>
              <w:widowControl/>
              <w:spacing w:beforeLines="0" w:beforeAutospacing="0" w:after="0" w:afterAutospacing="0" w:line="280" w:lineRule="exact"/>
              <w:ind w:left="0" w:leftChars="0" w:firstLine="0" w:firstLineChars="0"/>
              <w:rPr>
                <w:rFonts w:hint="default" w:ascii="Times New Roman"/>
                <w:snapToGrid w:val="0"/>
                <w:color w:val="000000" w:themeColor="text1"/>
                <w:kern w:val="21"/>
                <w:szCs w:val="21"/>
                <w:lang w:eastAsia="zh-CN"/>
                <w14:textFill>
                  <w14:solidFill>
                    <w14:schemeClr w14:val="tx1"/>
                  </w14:solidFill>
                </w14:textFill>
              </w:rPr>
            </w:pPr>
            <w:r>
              <w:rPr>
                <w:rFonts w:hint="default" w:ascii="Times New Roman"/>
                <w:snapToGrid w:val="0"/>
                <w:color w:val="000000" w:themeColor="text1"/>
                <w:kern w:val="21"/>
                <w:szCs w:val="21"/>
                <w14:textFill>
                  <w14:solidFill>
                    <w14:schemeClr w14:val="tx1"/>
                  </w14:solidFill>
                </w14:textFill>
              </w:rPr>
              <w:t>危险废物</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napToGrid w:val="0"/>
              <w:spacing w:line="280" w:lineRule="exact"/>
              <w:jc w:val="center"/>
              <w:rPr>
                <w:rFonts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实验废液</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color w:val="000000" w:themeColor="text1"/>
                <w:szCs w:val="21"/>
                <w:lang w:bidi="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2.4575</w:t>
            </w: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t/a</w:t>
            </w: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2.4575</w:t>
            </w: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t/a</w:t>
            </w:r>
          </w:p>
        </w:tc>
        <w:tc>
          <w:tcPr>
            <w:tcW w:w="479"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2.4575</w:t>
            </w: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514" w:type="pct"/>
            <w:vMerge w:val="continue"/>
            <w:tcBorders>
              <w:left w:val="single" w:color="auto" w:sz="8"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color w:val="000000" w:themeColor="text1"/>
                <w14:textFill>
                  <w14:solidFill>
                    <w14:schemeClr w14:val="tx1"/>
                  </w14:solidFill>
                </w14:textFill>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napToGrid w:val="0"/>
              <w:spacing w:line="280" w:lineRule="exact"/>
              <w:jc w:val="center"/>
              <w:rPr>
                <w:rFonts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废包装桶</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color w:val="000000" w:themeColor="text1"/>
                <w:szCs w:val="21"/>
                <w:lang w:bidi="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0.05t/a</w:t>
            </w: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0.05t/a</w:t>
            </w:r>
          </w:p>
        </w:tc>
        <w:tc>
          <w:tcPr>
            <w:tcW w:w="479"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80" w:lineRule="exact"/>
              <w:jc w:val="center"/>
              <w:rPr>
                <w:rFonts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t>+0.05</w:t>
            </w:r>
            <w:r>
              <w:rPr>
                <w:rFonts w:hint="eastAsia" w:ascii="Times New Roman" w:hAnsi="Times New Roman" w:cs="Times New Roman"/>
                <w:color w:val="000000" w:themeColor="text1"/>
                <w:lang w:eastAsia="zh-CN"/>
                <w14:textFill>
                  <w14:solidFill>
                    <w14:schemeClr w14:val="tx1"/>
                  </w14:solidFill>
                </w14:textFill>
              </w:rPr>
              <w:t>t/a</w:t>
            </w:r>
          </w:p>
        </w:tc>
      </w:tr>
    </w:tbl>
    <w:p>
      <w:pPr>
        <w:pStyle w:val="33"/>
        <w:widowControl/>
        <w:spacing w:beforeLines="80" w:after="24"/>
        <w:ind w:left="880" w:hanging="440"/>
        <w:jc w:val="left"/>
        <w:rPr>
          <w:rFonts w:hint="default" w:ascii="Times New Roman"/>
          <w:color w:val="000000" w:themeColor="text1"/>
          <w14:textFill>
            <w14:solidFill>
              <w14:schemeClr w14:val="tx1"/>
            </w14:solidFill>
          </w14:textFill>
        </w:rPr>
      </w:pPr>
      <w:r>
        <w:rPr>
          <w:rFonts w:hint="default" w:ascii="Times New Roman"/>
          <w:snapToGrid w:val="0"/>
          <w:color w:val="000000" w:themeColor="text1"/>
          <w:kern w:val="21"/>
          <w:szCs w:val="21"/>
          <w14:textFill>
            <w14:solidFill>
              <w14:schemeClr w14:val="tx1"/>
            </w14:solidFill>
          </w14:textFill>
        </w:rPr>
        <w:t>注：</w:t>
      </w:r>
      <w:r>
        <w:rPr>
          <w:rFonts w:hint="default" w:ascii="Times New Roman"/>
          <w:color w:val="000000" w:themeColor="text1"/>
          <w:spacing w:val="-16"/>
          <w:kern w:val="21"/>
          <w:szCs w:val="21"/>
          <w14:textFill>
            <w14:solidFill>
              <w14:schemeClr w14:val="tx1"/>
            </w14:solidFill>
          </w14:textFill>
        </w:rPr>
        <w:fldChar w:fldCharType="begin"/>
      </w:r>
      <w:r>
        <w:rPr>
          <w:rFonts w:hint="default" w:ascii="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color w:val="000000" w:themeColor="text1"/>
          <w:spacing w:val="-1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⑥</w:t>
      </w:r>
      <w:r>
        <w:rPr>
          <w:rFonts w:hint="default" w:ascii="Times New Roman"/>
          <w:color w:val="000000" w:themeColor="text1"/>
          <w:spacing w:val="-16"/>
          <w:kern w:val="21"/>
          <w:szCs w:val="21"/>
          <w14:textFill>
            <w14:solidFill>
              <w14:schemeClr w14:val="tx1"/>
            </w14:solidFill>
          </w14:textFill>
        </w:rPr>
        <w:fldChar w:fldCharType="end"/>
      </w:r>
      <w:r>
        <w:rPr>
          <w:rFonts w:hint="default" w:ascii="Times New Roman"/>
          <w:snapToGrid w:val="0"/>
          <w:color w:val="000000" w:themeColor="text1"/>
          <w:spacing w:val="-16"/>
          <w:kern w:val="21"/>
          <w:szCs w:val="21"/>
          <w14:textFill>
            <w14:solidFill>
              <w14:schemeClr w14:val="tx1"/>
            </w14:solidFill>
          </w14:textFill>
        </w:rPr>
        <w:t>=</w:t>
      </w:r>
      <w:r>
        <w:rPr>
          <w:rFonts w:hint="default" w:ascii="Times New Roman"/>
          <w:color w:val="000000" w:themeColor="text1"/>
          <w:spacing w:val="-6"/>
          <w:kern w:val="21"/>
          <w:szCs w:val="21"/>
          <w14:textFill>
            <w14:solidFill>
              <w14:schemeClr w14:val="tx1"/>
            </w14:solidFill>
          </w14:textFill>
        </w:rPr>
        <w:fldChar w:fldCharType="begin"/>
      </w:r>
      <w:r>
        <w:rPr>
          <w:rFonts w:hint="default" w:ascii="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color w:val="000000" w:themeColor="text1"/>
          <w:spacing w:val="-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①</w:t>
      </w:r>
      <w:r>
        <w:rPr>
          <w:rFonts w:hint="default" w:ascii="Times New Roman"/>
          <w:color w:val="000000" w:themeColor="text1"/>
          <w:spacing w:val="-6"/>
          <w:kern w:val="21"/>
          <w:szCs w:val="21"/>
          <w14:textFill>
            <w14:solidFill>
              <w14:schemeClr w14:val="tx1"/>
            </w14:solidFill>
          </w14:textFill>
        </w:rPr>
        <w:fldChar w:fldCharType="end"/>
      </w:r>
      <w:r>
        <w:rPr>
          <w:rFonts w:hint="default" w:ascii="Times New Roman"/>
          <w:snapToGrid w:val="0"/>
          <w:color w:val="000000" w:themeColor="text1"/>
          <w:spacing w:val="-6"/>
          <w:kern w:val="21"/>
          <w:szCs w:val="21"/>
          <w14:textFill>
            <w14:solidFill>
              <w14:schemeClr w14:val="tx1"/>
            </w14:solidFill>
          </w14:textFill>
        </w:rPr>
        <w:t>+</w:t>
      </w:r>
      <w:r>
        <w:rPr>
          <w:rFonts w:hint="default" w:ascii="Times New Roman"/>
          <w:color w:val="000000" w:themeColor="text1"/>
          <w:spacing w:val="-6"/>
          <w:kern w:val="21"/>
          <w:szCs w:val="21"/>
          <w14:textFill>
            <w14:solidFill>
              <w14:schemeClr w14:val="tx1"/>
            </w14:solidFill>
          </w14:textFill>
        </w:rPr>
        <w:fldChar w:fldCharType="begin"/>
      </w:r>
      <w:r>
        <w:rPr>
          <w:rFonts w:hint="default" w:ascii="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color w:val="000000" w:themeColor="text1"/>
          <w:spacing w:val="-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③</w:t>
      </w:r>
      <w:r>
        <w:rPr>
          <w:rFonts w:hint="default" w:ascii="Times New Roman"/>
          <w:color w:val="000000" w:themeColor="text1"/>
          <w:spacing w:val="-6"/>
          <w:kern w:val="21"/>
          <w:szCs w:val="21"/>
          <w14:textFill>
            <w14:solidFill>
              <w14:schemeClr w14:val="tx1"/>
            </w14:solidFill>
          </w14:textFill>
        </w:rPr>
        <w:fldChar w:fldCharType="end"/>
      </w:r>
      <w:r>
        <w:rPr>
          <w:rFonts w:hint="default" w:ascii="Times New Roman"/>
          <w:snapToGrid w:val="0"/>
          <w:color w:val="000000" w:themeColor="text1"/>
          <w:spacing w:val="-6"/>
          <w:kern w:val="21"/>
          <w:szCs w:val="21"/>
          <w14:textFill>
            <w14:solidFill>
              <w14:schemeClr w14:val="tx1"/>
            </w14:solidFill>
          </w14:textFill>
        </w:rPr>
        <w:t>+</w:t>
      </w:r>
      <w:r>
        <w:rPr>
          <w:rFonts w:hint="default" w:ascii="Times New Roman"/>
          <w:color w:val="000000" w:themeColor="text1"/>
          <w:spacing w:val="-6"/>
          <w:kern w:val="21"/>
          <w:szCs w:val="21"/>
          <w14:textFill>
            <w14:solidFill>
              <w14:schemeClr w14:val="tx1"/>
            </w14:solidFill>
          </w14:textFill>
        </w:rPr>
        <w:fldChar w:fldCharType="begin"/>
      </w:r>
      <w:r>
        <w:rPr>
          <w:rFonts w:hint="default" w:ascii="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color w:val="000000" w:themeColor="text1"/>
          <w:spacing w:val="-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④</w:t>
      </w:r>
      <w:r>
        <w:rPr>
          <w:rFonts w:hint="default" w:ascii="Times New Roman"/>
          <w:color w:val="000000" w:themeColor="text1"/>
          <w:spacing w:val="-6"/>
          <w:kern w:val="21"/>
          <w:szCs w:val="21"/>
          <w14:textFill>
            <w14:solidFill>
              <w14:schemeClr w14:val="tx1"/>
            </w14:solidFill>
          </w14:textFill>
        </w:rPr>
        <w:fldChar w:fldCharType="end"/>
      </w:r>
      <w:r>
        <w:rPr>
          <w:rFonts w:hint="default" w:ascii="Times New Roman"/>
          <w:snapToGrid w:val="0"/>
          <w:color w:val="000000" w:themeColor="text1"/>
          <w:spacing w:val="-6"/>
          <w:kern w:val="21"/>
          <w:szCs w:val="21"/>
          <w14:textFill>
            <w14:solidFill>
              <w14:schemeClr w14:val="tx1"/>
            </w14:solidFill>
          </w14:textFill>
        </w:rPr>
        <w:t>-</w:t>
      </w:r>
      <w:r>
        <w:rPr>
          <w:rFonts w:hint="default" w:ascii="Times New Roman"/>
          <w:color w:val="000000" w:themeColor="text1"/>
          <w:spacing w:val="-16"/>
          <w:kern w:val="21"/>
          <w:szCs w:val="21"/>
          <w14:textFill>
            <w14:solidFill>
              <w14:schemeClr w14:val="tx1"/>
            </w14:solidFill>
          </w14:textFill>
        </w:rPr>
        <w:fldChar w:fldCharType="begin"/>
      </w:r>
      <w:r>
        <w:rPr>
          <w:rFonts w:hint="default" w:ascii="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color w:val="000000" w:themeColor="text1"/>
          <w:spacing w:val="-1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⑤</w:t>
      </w:r>
      <w:r>
        <w:rPr>
          <w:rFonts w:hint="default" w:ascii="Times New Roman"/>
          <w:color w:val="000000" w:themeColor="text1"/>
          <w:spacing w:val="-16"/>
          <w:kern w:val="21"/>
          <w:szCs w:val="21"/>
          <w14:textFill>
            <w14:solidFill>
              <w14:schemeClr w14:val="tx1"/>
            </w14:solidFill>
          </w14:textFill>
        </w:rPr>
        <w:fldChar w:fldCharType="end"/>
      </w:r>
      <w:r>
        <w:rPr>
          <w:rFonts w:hint="default" w:ascii="Times New Roman"/>
          <w:snapToGrid w:val="0"/>
          <w:color w:val="000000" w:themeColor="text1"/>
          <w:spacing w:val="-16"/>
          <w:kern w:val="21"/>
          <w:szCs w:val="21"/>
          <w14:textFill>
            <w14:solidFill>
              <w14:schemeClr w14:val="tx1"/>
            </w14:solidFill>
          </w14:textFill>
        </w:rPr>
        <w:t>；</w:t>
      </w:r>
      <w:r>
        <w:rPr>
          <w:rFonts w:hint="default" w:ascii="Times New Roman"/>
          <w:color w:val="000000" w:themeColor="text1"/>
          <w:spacing w:val="-6"/>
          <w:kern w:val="21"/>
          <w:szCs w:val="21"/>
          <w14:textFill>
            <w14:solidFill>
              <w14:schemeClr w14:val="tx1"/>
            </w14:solidFill>
          </w14:textFill>
        </w:rPr>
        <w:fldChar w:fldCharType="begin"/>
      </w:r>
      <w:r>
        <w:rPr>
          <w:rFonts w:hint="default" w:ascii="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color w:val="000000" w:themeColor="text1"/>
          <w:spacing w:val="-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⑦</w:t>
      </w:r>
      <w:r>
        <w:rPr>
          <w:rFonts w:hint="default" w:ascii="Times New Roman"/>
          <w:color w:val="000000" w:themeColor="text1"/>
          <w:spacing w:val="-6"/>
          <w:kern w:val="21"/>
          <w:szCs w:val="21"/>
          <w14:textFill>
            <w14:solidFill>
              <w14:schemeClr w14:val="tx1"/>
            </w14:solidFill>
          </w14:textFill>
        </w:rPr>
        <w:fldChar w:fldCharType="end"/>
      </w:r>
      <w:r>
        <w:rPr>
          <w:rFonts w:hint="default" w:ascii="Times New Roman"/>
          <w:snapToGrid w:val="0"/>
          <w:color w:val="000000" w:themeColor="text1"/>
          <w:spacing w:val="-6"/>
          <w:kern w:val="21"/>
          <w:szCs w:val="21"/>
          <w14:textFill>
            <w14:solidFill>
              <w14:schemeClr w14:val="tx1"/>
            </w14:solidFill>
          </w14:textFill>
        </w:rPr>
        <w:t>=</w:t>
      </w:r>
      <w:r>
        <w:rPr>
          <w:rFonts w:hint="default" w:ascii="Times New Roman"/>
          <w:color w:val="000000" w:themeColor="text1"/>
          <w:spacing w:val="-16"/>
          <w:kern w:val="21"/>
          <w:szCs w:val="21"/>
          <w14:textFill>
            <w14:solidFill>
              <w14:schemeClr w14:val="tx1"/>
            </w14:solidFill>
          </w14:textFill>
        </w:rPr>
        <w:fldChar w:fldCharType="begin"/>
      </w:r>
      <w:r>
        <w:rPr>
          <w:rFonts w:hint="default" w:ascii="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color w:val="000000" w:themeColor="text1"/>
          <w:spacing w:val="-1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⑥</w:t>
      </w:r>
      <w:r>
        <w:rPr>
          <w:rFonts w:hint="default" w:ascii="Times New Roman"/>
          <w:color w:val="000000" w:themeColor="text1"/>
          <w:spacing w:val="-16"/>
          <w:kern w:val="21"/>
          <w:szCs w:val="21"/>
          <w14:textFill>
            <w14:solidFill>
              <w14:schemeClr w14:val="tx1"/>
            </w14:solidFill>
          </w14:textFill>
        </w:rPr>
        <w:fldChar w:fldCharType="end"/>
      </w:r>
      <w:r>
        <w:rPr>
          <w:rFonts w:hint="default" w:ascii="Times New Roman"/>
          <w:snapToGrid w:val="0"/>
          <w:color w:val="000000" w:themeColor="text1"/>
          <w:spacing w:val="-16"/>
          <w:kern w:val="21"/>
          <w:szCs w:val="21"/>
          <w14:textFill>
            <w14:solidFill>
              <w14:schemeClr w14:val="tx1"/>
            </w14:solidFill>
          </w14:textFill>
        </w:rPr>
        <w:t>-</w:t>
      </w:r>
      <w:r>
        <w:rPr>
          <w:rFonts w:hint="default" w:ascii="Times New Roman"/>
          <w:color w:val="000000" w:themeColor="text1"/>
          <w:spacing w:val="-6"/>
          <w:kern w:val="21"/>
          <w:szCs w:val="21"/>
          <w14:textFill>
            <w14:solidFill>
              <w14:schemeClr w14:val="tx1"/>
            </w14:solidFill>
          </w14:textFill>
        </w:rPr>
        <w:fldChar w:fldCharType="begin"/>
      </w:r>
      <w:r>
        <w:rPr>
          <w:rFonts w:hint="default" w:ascii="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color w:val="000000" w:themeColor="text1"/>
          <w:spacing w:val="-6"/>
          <w:kern w:val="21"/>
          <w:szCs w:val="21"/>
          <w14:textFill>
            <w14:solidFill>
              <w14:schemeClr w14:val="tx1"/>
            </w14:solidFill>
          </w14:textFill>
        </w:rPr>
        <w:fldChar w:fldCharType="separate"/>
      </w:r>
      <w:r>
        <w:rPr>
          <w:rFonts w:hAnsi="宋体" w:cs="宋体"/>
          <w:color w:val="000000" w:themeColor="text1"/>
          <w:szCs w:val="21"/>
          <w14:textFill>
            <w14:solidFill>
              <w14:schemeClr w14:val="tx1"/>
            </w14:solidFill>
          </w14:textFill>
        </w:rPr>
        <w:t>①</w:t>
      </w:r>
      <w:r>
        <w:rPr>
          <w:rFonts w:hint="default" w:ascii="Times New Roman"/>
          <w:color w:val="000000" w:themeColor="text1"/>
          <w:spacing w:val="-6"/>
          <w:kern w:val="21"/>
          <w:szCs w:val="21"/>
          <w14:textFill>
            <w14:solidFill>
              <w14:schemeClr w14:val="tx1"/>
            </w14:solidFill>
          </w14:textFill>
        </w:rPr>
        <w:fldChar w:fldCharType="end"/>
      </w:r>
    </w:p>
    <w:p>
      <w:pPr>
        <w:pStyle w:val="11"/>
        <w:rPr>
          <w:rFonts w:hint="eastAsia"/>
          <w:color w:val="000000" w:themeColor="text1"/>
          <w14:textFill>
            <w14:solidFill>
              <w14:schemeClr w14:val="tx1"/>
            </w14:solidFill>
          </w14:textFill>
        </w:rPr>
      </w:pPr>
    </w:p>
    <w:sectPr>
      <w:pgSz w:w="16838" w:h="11906" w:orient="landscape"/>
      <w:pgMar w:top="1531" w:right="1984" w:bottom="1531" w:left="1701" w:header="1701" w:footer="141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6D3E71D-2AA3-4837-8D76-5DB00377036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564EDF5-A58B-4A18-BE77-84D8F7242B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48F009BE-7229-4F8D-AE01-0110205B7F06}"/>
  </w:font>
  <w:font w:name="红豆小标宋简体">
    <w:panose1 w:val="02000509000000000000"/>
    <w:charset w:val="86"/>
    <w:family w:val="auto"/>
    <w:pitch w:val="default"/>
    <w:sig w:usb0="00000001" w:usb1="08010410" w:usb2="00000012" w:usb3="00000000" w:csb0="00040001" w:csb1="00000000"/>
    <w:embedRegular r:id="rId4" w:fontKey="{CEC65B8D-05D6-4767-A75D-56FD976C6CBD}"/>
  </w:font>
  <w:font w:name="方正楷体_GB2312">
    <w:panose1 w:val="02000000000000000000"/>
    <w:charset w:val="86"/>
    <w:family w:val="auto"/>
    <w:pitch w:val="default"/>
    <w:sig w:usb0="A00002BF" w:usb1="184F6CFA" w:usb2="00000012" w:usb3="00000000" w:csb0="00040001" w:csb1="00000000"/>
    <w:embedRegular r:id="rId5" w:fontKey="{26A2EC9D-1C7F-4E95-9C7B-23F92252205A}"/>
  </w:font>
  <w:font w:name="等线">
    <w:panose1 w:val="02010600030101010101"/>
    <w:charset w:val="86"/>
    <w:family w:val="auto"/>
    <w:pitch w:val="default"/>
    <w:sig w:usb0="A00002BF" w:usb1="38CF7CFA" w:usb2="00000016" w:usb3="00000000" w:csb0="0004000F" w:csb1="00000000"/>
    <w:embedRegular r:id="rId6" w:fontKey="{F9ECC414-A327-4606-ADAA-10E2281EB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2</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2</w:t>
                    </w:r>
                    <w:r>
                      <w:rPr>
                        <w:rFonts w:hint="default" w:ascii="Times New Roman" w:hAnsi="Times New Roman" w:cs="Times New Roman"/>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09C61"/>
    <w:multiLevelType w:val="singleLevel"/>
    <w:tmpl w:val="A6809C61"/>
    <w:lvl w:ilvl="0" w:tentative="0">
      <w:start w:val="2"/>
      <w:numFmt w:val="decimal"/>
      <w:suff w:val="nothing"/>
      <w:lvlText w:val="%1、"/>
      <w:lvlJc w:val="left"/>
    </w:lvl>
  </w:abstractNum>
  <w:abstractNum w:abstractNumId="1">
    <w:nsid w:val="2517EC53"/>
    <w:multiLevelType w:val="singleLevel"/>
    <w:tmpl w:val="2517EC53"/>
    <w:lvl w:ilvl="0" w:tentative="0">
      <w:start w:val="5"/>
      <w:numFmt w:val="decimal"/>
      <w:suff w:val="nothing"/>
      <w:lvlText w:val="%1、"/>
      <w:lvlJc w:val="left"/>
    </w:lvl>
  </w:abstractNum>
  <w:abstractNum w:abstractNumId="2">
    <w:nsid w:val="3F07068F"/>
    <w:multiLevelType w:val="singleLevel"/>
    <w:tmpl w:val="3F07068F"/>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3">
    <w:nsid w:val="58CD6FEC"/>
    <w:multiLevelType w:val="multilevel"/>
    <w:tmpl w:val="58CD6FE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2552"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6B6F677E"/>
    <w:multiLevelType w:val="singleLevel"/>
    <w:tmpl w:val="6B6F677E"/>
    <w:lvl w:ilvl="0" w:tentative="0">
      <w:start w:val="2"/>
      <w:numFmt w:val="chineseCounting"/>
      <w:suff w:val="nothing"/>
      <w:lvlText w:val="%1、"/>
      <w:lvlJc w:val="left"/>
      <w:rPr>
        <w:rFonts w:hint="eastAsia"/>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hZWVlZDM4MzE5MTc4ZmUzM2M4ZTU4ZTk0ZTFkYmYifQ=="/>
  </w:docVars>
  <w:rsids>
    <w:rsidRoot w:val="00000000"/>
    <w:rsid w:val="022D7284"/>
    <w:rsid w:val="03722BA4"/>
    <w:rsid w:val="046C6212"/>
    <w:rsid w:val="0972111F"/>
    <w:rsid w:val="0B2B3C7B"/>
    <w:rsid w:val="0E1924B1"/>
    <w:rsid w:val="0F53554E"/>
    <w:rsid w:val="10490660"/>
    <w:rsid w:val="10E072B6"/>
    <w:rsid w:val="10E33E4A"/>
    <w:rsid w:val="12B36159"/>
    <w:rsid w:val="13086D43"/>
    <w:rsid w:val="15CE1DD3"/>
    <w:rsid w:val="194B654E"/>
    <w:rsid w:val="1A8D6C87"/>
    <w:rsid w:val="1DEC54EC"/>
    <w:rsid w:val="1E65129E"/>
    <w:rsid w:val="202C247E"/>
    <w:rsid w:val="2346744C"/>
    <w:rsid w:val="23733FB9"/>
    <w:rsid w:val="23C36ED0"/>
    <w:rsid w:val="2DFB6A59"/>
    <w:rsid w:val="2EDA4EED"/>
    <w:rsid w:val="30331F71"/>
    <w:rsid w:val="32B612A9"/>
    <w:rsid w:val="32D20C67"/>
    <w:rsid w:val="36E60EA6"/>
    <w:rsid w:val="37BA7EE3"/>
    <w:rsid w:val="381676FD"/>
    <w:rsid w:val="38BE4145"/>
    <w:rsid w:val="391E51E9"/>
    <w:rsid w:val="3C676591"/>
    <w:rsid w:val="45603F46"/>
    <w:rsid w:val="461064F2"/>
    <w:rsid w:val="463F2579"/>
    <w:rsid w:val="4BA61E12"/>
    <w:rsid w:val="4BF02D1B"/>
    <w:rsid w:val="4C5F781E"/>
    <w:rsid w:val="50863D59"/>
    <w:rsid w:val="523C1897"/>
    <w:rsid w:val="5AD84E94"/>
    <w:rsid w:val="5B6A41ED"/>
    <w:rsid w:val="5C5C78F3"/>
    <w:rsid w:val="5F9B0C46"/>
    <w:rsid w:val="60466627"/>
    <w:rsid w:val="625E7607"/>
    <w:rsid w:val="63721E37"/>
    <w:rsid w:val="646C548C"/>
    <w:rsid w:val="672E3447"/>
    <w:rsid w:val="68C22793"/>
    <w:rsid w:val="6A0B5E9E"/>
    <w:rsid w:val="704E018D"/>
    <w:rsid w:val="71C31235"/>
    <w:rsid w:val="72C60FDD"/>
    <w:rsid w:val="72E57E9B"/>
    <w:rsid w:val="74BA648F"/>
    <w:rsid w:val="74D379E1"/>
    <w:rsid w:val="75C02AEE"/>
    <w:rsid w:val="7AB7745D"/>
    <w:rsid w:val="7CC3658D"/>
    <w:rsid w:val="7CEC7892"/>
    <w:rsid w:val="7D7B2564"/>
    <w:rsid w:val="7D82778F"/>
    <w:rsid w:val="7E2E6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HAnsi" w:cstheme="minorBidi"/>
      <w:sz w:val="22"/>
      <w:szCs w:val="22"/>
      <w:lang w:val="en-US" w:eastAsia="en-US" w:bidi="ar-SA"/>
    </w:rPr>
  </w:style>
  <w:style w:type="paragraph" w:styleId="3">
    <w:name w:val="heading 2"/>
    <w:basedOn w:val="1"/>
    <w:next w:val="1"/>
    <w:qFormat/>
    <w:uiPriority w:val="99"/>
    <w:pPr>
      <w:keepNext/>
      <w:keepLines/>
      <w:spacing w:line="360" w:lineRule="auto"/>
      <w:outlineLvl w:val="1"/>
    </w:pPr>
    <w:rPr>
      <w:b/>
      <w:bCs/>
      <w:sz w:val="24"/>
    </w:rPr>
  </w:style>
  <w:style w:type="paragraph" w:styleId="4">
    <w:name w:val="heading 3"/>
    <w:basedOn w:val="1"/>
    <w:next w:val="1"/>
    <w:qFormat/>
    <w:uiPriority w:val="9"/>
    <w:pPr>
      <w:keepNext/>
      <w:keepLines/>
      <w:widowControl/>
      <w:numPr>
        <w:ilvl w:val="2"/>
        <w:numId w:val="1"/>
      </w:numPr>
      <w:adjustRightInd w:val="0"/>
      <w:snapToGrid w:val="0"/>
      <w:ind w:left="0" w:firstLine="200"/>
      <w:outlineLvl w:val="2"/>
    </w:pPr>
    <w:rPr>
      <w:b/>
      <w:bCs/>
      <w:sz w:val="28"/>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仿宋_GB2312" w:hAnsi="黑体" w:eastAsia="仿宋_GB2312" w:cs="黑体"/>
      <w:color w:val="000000"/>
    </w:rPr>
  </w:style>
  <w:style w:type="paragraph" w:styleId="6">
    <w:name w:val="Normal Indent"/>
    <w:basedOn w:val="1"/>
    <w:qFormat/>
    <w:uiPriority w:val="0"/>
    <w:rPr>
      <w:sz w:val="28"/>
      <w:szCs w:val="20"/>
    </w:rPr>
  </w:style>
  <w:style w:type="paragraph" w:styleId="7">
    <w:name w:val="caption"/>
    <w:basedOn w:val="1"/>
    <w:next w:val="8"/>
    <w:qFormat/>
    <w:uiPriority w:val="35"/>
    <w:pPr>
      <w:widowControl/>
      <w:adjustRightInd w:val="0"/>
      <w:snapToGrid w:val="0"/>
      <w:jc w:val="center"/>
    </w:pPr>
    <w:rPr>
      <w:rFonts w:cs="Arial"/>
      <w:b/>
      <w:sz w:val="21"/>
      <w:szCs w:val="20"/>
    </w:rPr>
  </w:style>
  <w:style w:type="paragraph" w:styleId="8">
    <w:name w:val="Body Text First Indent"/>
    <w:basedOn w:val="9"/>
    <w:unhideWhenUsed/>
    <w:qFormat/>
    <w:uiPriority w:val="99"/>
    <w:pPr>
      <w:widowControl/>
      <w:adjustRightInd w:val="0"/>
      <w:snapToGrid w:val="0"/>
      <w:spacing w:after="0"/>
    </w:pPr>
    <w:rPr>
      <w:szCs w:val="21"/>
    </w:rPr>
  </w:style>
  <w:style w:type="paragraph" w:styleId="9">
    <w:name w:val="Body Text"/>
    <w:basedOn w:val="1"/>
    <w:next w:val="10"/>
    <w:unhideWhenUsed/>
    <w:qFormat/>
    <w:uiPriority w:val="99"/>
    <w:pPr>
      <w:spacing w:after="120"/>
    </w:pPr>
  </w:style>
  <w:style w:type="paragraph" w:styleId="10">
    <w:name w:val="List Bullet 5"/>
    <w:basedOn w:val="1"/>
    <w:qFormat/>
    <w:uiPriority w:val="0"/>
    <w:pPr>
      <w:numPr>
        <w:ilvl w:val="0"/>
        <w:numId w:val="2"/>
      </w:numPr>
    </w:pPr>
  </w:style>
  <w:style w:type="paragraph" w:styleId="11">
    <w:name w:val="toa heading"/>
    <w:basedOn w:val="1"/>
    <w:next w:val="1"/>
    <w:qFormat/>
    <w:uiPriority w:val="0"/>
    <w:pPr>
      <w:spacing w:before="120"/>
    </w:pPr>
    <w:rPr>
      <w:rFonts w:ascii="Arial" w:hAnsi="Arial" w:cs="Arial"/>
      <w:sz w:val="24"/>
    </w:rPr>
  </w:style>
  <w:style w:type="paragraph" w:styleId="12">
    <w:name w:val="annotation text"/>
    <w:basedOn w:val="1"/>
    <w:qFormat/>
    <w:uiPriority w:val="0"/>
  </w:style>
  <w:style w:type="paragraph" w:styleId="13">
    <w:name w:val="Salutation"/>
    <w:basedOn w:val="1"/>
    <w:next w:val="1"/>
    <w:unhideWhenUsed/>
    <w:qFormat/>
    <w:uiPriority w:val="0"/>
    <w:rPr>
      <w:rFonts w:ascii="Times New Roman" w:hAnsi="Times New Roman" w:eastAsia="宋体" w:cs="Times New Roman"/>
      <w:szCs w:val="20"/>
    </w:rPr>
  </w:style>
  <w:style w:type="paragraph" w:styleId="14">
    <w:name w:val="footer"/>
    <w:basedOn w:val="1"/>
    <w:qFormat/>
    <w:uiPriority w:val="99"/>
    <w:pPr>
      <w:tabs>
        <w:tab w:val="center" w:pos="4153"/>
        <w:tab w:val="right" w:pos="8306"/>
      </w:tabs>
      <w:snapToGrid w:val="0"/>
    </w:pPr>
    <w:rPr>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able of figures"/>
    <w:basedOn w:val="1"/>
    <w:next w:val="1"/>
    <w:unhideWhenUsed/>
    <w:qFormat/>
    <w:uiPriority w:val="99"/>
    <w:pPr>
      <w:spacing w:before="100" w:beforeAutospacing="1" w:after="100" w:afterAutospacing="1"/>
      <w:ind w:left="200" w:leftChars="200" w:hanging="200" w:hangingChars="200"/>
    </w:pPr>
    <w:rPr>
      <w:szCs w:val="21"/>
    </w:rPr>
  </w:style>
  <w:style w:type="paragraph" w:styleId="17">
    <w:name w:val="Body Text 2"/>
    <w:basedOn w:val="1"/>
    <w:qFormat/>
    <w:uiPriority w:val="0"/>
    <w:rPr>
      <w:b/>
      <w:sz w:val="32"/>
    </w:rPr>
  </w:style>
  <w:style w:type="paragraph" w:styleId="18">
    <w:name w:val="Normal (Web)"/>
    <w:basedOn w:val="1"/>
    <w:qFormat/>
    <w:uiPriority w:val="0"/>
    <w:pPr>
      <w:widowControl/>
      <w:spacing w:before="100" w:beforeAutospacing="1" w:after="100" w:afterAutospacing="1"/>
    </w:pPr>
    <w:rPr>
      <w:rFonts w:ascii="宋体" w:hAnsi="宋体"/>
      <w:sz w:val="24"/>
    </w:rPr>
  </w:style>
  <w:style w:type="paragraph" w:styleId="19">
    <w:name w:val="Body Text First Indent 2"/>
    <w:basedOn w:val="1"/>
    <w:next w:val="1"/>
    <w:unhideWhenUsed/>
    <w:qFormat/>
    <w:uiPriority w:val="99"/>
    <w:pPr>
      <w:spacing w:before="100" w:beforeAutospacing="1"/>
      <w:ind w:firstLine="420" w:firstLineChars="200"/>
    </w:pPr>
    <w:rPr>
      <w:rFonts w:hAnsi="Calibri"/>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Hyperlink"/>
    <w:basedOn w:val="22"/>
    <w:qFormat/>
    <w:uiPriority w:val="0"/>
    <w:rPr>
      <w:color w:val="0000FF"/>
      <w:u w:val="single"/>
    </w:rPr>
  </w:style>
  <w:style w:type="paragraph" w:customStyle="1" w:styleId="25">
    <w:name w:val="Default1"/>
    <w:basedOn w:val="1"/>
    <w:qFormat/>
    <w:uiPriority w:val="0"/>
    <w:pPr>
      <w:autoSpaceDE w:val="0"/>
      <w:autoSpaceDN w:val="0"/>
      <w:adjustRightInd w:val="0"/>
    </w:pPr>
    <w:rPr>
      <w:rFonts w:ascii="宋体" w:hAnsi="Calibri" w:eastAsia="宋体" w:cs="宋体"/>
      <w:color w:val="000000"/>
      <w:sz w:val="24"/>
      <w:szCs w:val="24"/>
    </w:rPr>
  </w:style>
  <w:style w:type="paragraph" w:customStyle="1" w:styleId="26">
    <w:name w:val="表格文字"/>
    <w:basedOn w:val="1"/>
    <w:qFormat/>
    <w:uiPriority w:val="0"/>
    <w:pPr>
      <w:adjustRightInd w:val="0"/>
      <w:snapToGrid w:val="0"/>
      <w:jc w:val="center"/>
    </w:pPr>
    <w:rPr>
      <w:sz w:val="21"/>
      <w:szCs w:val="21"/>
    </w:rPr>
  </w:style>
  <w:style w:type="character" w:customStyle="1" w:styleId="27">
    <w:name w:val="正文文本 + 9.5 pt7"/>
    <w:qFormat/>
    <w:uiPriority w:val="0"/>
    <w:rPr>
      <w:rFonts w:ascii="宋体" w:hAnsi="宋体" w:eastAsia="宋体" w:cs="宋体"/>
      <w:sz w:val="19"/>
      <w:szCs w:val="19"/>
      <w:shd w:val="clear" w:color="auto" w:fill="FFFFFF"/>
    </w:rPr>
  </w:style>
  <w:style w:type="character" w:customStyle="1" w:styleId="28">
    <w:name w:val="正文文本 + 9 pt8"/>
    <w:basedOn w:val="22"/>
    <w:qFormat/>
    <w:uiPriority w:val="0"/>
    <w:rPr>
      <w:rFonts w:ascii="宋体" w:hAnsi="宋体" w:eastAsia="宋体" w:cs="宋体"/>
      <w:sz w:val="18"/>
      <w:szCs w:val="18"/>
      <w:shd w:val="clear" w:color="auto" w:fill="FFFFFF"/>
      <w:lang w:val="en-US" w:eastAsia="en-US"/>
    </w:rPr>
  </w:style>
  <w:style w:type="character" w:customStyle="1" w:styleId="29">
    <w:name w:val="font11"/>
    <w:basedOn w:val="22"/>
    <w:qFormat/>
    <w:uiPriority w:val="0"/>
    <w:rPr>
      <w:rFonts w:hint="default" w:ascii="Times New Roman" w:hAnsi="Times New Roman" w:cs="Times New Roman"/>
      <w:color w:val="000000"/>
      <w:sz w:val="21"/>
      <w:szCs w:val="21"/>
      <w:u w:val="none"/>
    </w:rPr>
  </w:style>
  <w:style w:type="character" w:customStyle="1" w:styleId="30">
    <w:name w:val="font51"/>
    <w:basedOn w:val="22"/>
    <w:qFormat/>
    <w:uiPriority w:val="0"/>
    <w:rPr>
      <w:rFonts w:hint="eastAsia" w:ascii="宋体" w:hAnsi="宋体" w:eastAsia="宋体" w:cs="宋体"/>
      <w:color w:val="000000"/>
      <w:sz w:val="21"/>
      <w:szCs w:val="21"/>
      <w:u w:val="none"/>
    </w:rPr>
  </w:style>
  <w:style w:type="paragraph" w:customStyle="1" w:styleId="31">
    <w:name w:val="666666-正文"/>
    <w:basedOn w:val="1"/>
    <w:qFormat/>
    <w:uiPriority w:val="0"/>
    <w:pPr>
      <w:spacing w:line="440" w:lineRule="exact"/>
      <w:ind w:firstLine="200" w:firstLineChars="200"/>
    </w:pPr>
    <w:rPr>
      <w:sz w:val="24"/>
      <w:szCs w:val="20"/>
      <w:lang w:val="zh-CN"/>
    </w:rPr>
  </w:style>
  <w:style w:type="paragraph" w:customStyle="1" w:styleId="32">
    <w:name w:val="表内格式"/>
    <w:basedOn w:val="1"/>
    <w:next w:val="1"/>
    <w:qFormat/>
    <w:uiPriority w:val="0"/>
    <w:pPr>
      <w:widowControl/>
      <w:jc w:val="center"/>
    </w:pPr>
    <w:rPr>
      <w:rFonts w:ascii="宋体" w:hAnsi="宋体" w:eastAsia="宋体" w:cs="宋体"/>
      <w:sz w:val="18"/>
      <w:szCs w:val="20"/>
    </w:rPr>
  </w:style>
  <w:style w:type="paragraph" w:customStyle="1" w:styleId="33">
    <w:name w:val="表格"/>
    <w:basedOn w:val="16"/>
    <w:next w:val="1"/>
    <w:qFormat/>
    <w:uiPriority w:val="0"/>
    <w:pPr>
      <w:adjustRightInd w:val="0"/>
      <w:snapToGrid w:val="0"/>
      <w:spacing w:beforeLines="20" w:line="256" w:lineRule="auto"/>
      <w:jc w:val="center"/>
    </w:pPr>
    <w:rPr>
      <w:rFonts w:hint="eastAsia" w:ascii="宋体" w:hAnsi="Times New Roman" w:eastAsia="宋体" w:cs="Times New Roman"/>
      <w:szCs w:val="20"/>
    </w:rPr>
  </w:style>
  <w:style w:type="paragraph" w:customStyle="1" w:styleId="34">
    <w:name w:val="Table Paragraph"/>
    <w:basedOn w:val="1"/>
    <w:qFormat/>
    <w:uiPriority w:val="1"/>
    <w:rPr>
      <w:rFonts w:ascii="宋体" w:hAnsi="宋体" w:eastAsia="宋体" w:cs="宋体"/>
      <w:lang w:val="zh-CN" w:bidi="zh-CN"/>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czMjM4OTE1MTkzIiwKCSJHcm91cElkIiA6ICIzNjY4NTI2MzEiLAoJIkltYWdlIiA6ICJpVkJPUncwS0dnb0FBQUFOU1VoRVVnQUFBaWNBQUFPc0NBWUFBQUNSVUJaeUFBQUFDWEJJV1hNQUFBc1RBQUFMRXdFQW1wd1lBQUFnQUVsRVFWUjRuT3pkZDFnVTEvNC84UGZzVWhRTGRvT2FxSkZZWW1XeGQ3RXI5b0ltYUJJTkp0ZHlVOVJvbmhTak4xZnZEZjZTcU5GRXhFVFJyd3JZRlh1THZWRUZZd1BSS0FvaTBnUzJ6Zm45UVhZdTZ5NVlBdXlxNzlmejVNbnVPVE5uUHpPTHpJZHp6cHdC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22619</Words>
  <Characters>25345</Characters>
  <Lines>0</Lines>
  <Paragraphs>0</Paragraphs>
  <TotalTime>20</TotalTime>
  <ScaleCrop>false</ScaleCrop>
  <LinksUpToDate>false</LinksUpToDate>
  <CharactersWithSpaces>25555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2022-05-13T07:07:00Z</dcterms:created>
  <dc:creator>Lenovo</dc:creator>
  <cp:lastModifiedBy>张继尧</cp:lastModifiedBy>
  <dcterms:modified xsi:type="dcterms:W3CDTF">2022-12-06T02:42:33Z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F3FA75A17EC84128A4B96A5A2FEECE32</vt:lpwstr>
  </property>
</Properties>
</file>