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pPr>
        <w:adjustRightInd w:val="0"/>
        <w:snapToGrid w:val="0"/>
        <w:spacing w:before="192" w:beforeLines="8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pPr>
        <w:adjustRightInd w:val="0"/>
        <w:snapToGrid w:val="0"/>
        <w:spacing w:line="288" w:lineRule="auto"/>
        <w:jc w:val="center"/>
        <w:outlineLvl w:val="9"/>
        <w:rPr>
          <w:rFonts w:hint="default" w:ascii="Times New Roman" w:hAnsi="Times New Roman" w:eastAsia="华文仿宋" w:cs="Times New Roman"/>
          <w:color w:val="auto"/>
          <w:kern w:val="44"/>
          <w:sz w:val="44"/>
          <w:szCs w:val="44"/>
          <w:highlight w:val="none"/>
        </w:rPr>
      </w:pPr>
    </w:p>
    <w:p>
      <w:pPr>
        <w:jc w:val="center"/>
        <w:rPr>
          <w:rFonts w:hint="default" w:ascii="Times New Roman" w:hAnsi="Times New Roman" w:eastAsia="仿宋" w:cs="Times New Roman"/>
          <w:color w:val="auto"/>
          <w:sz w:val="52"/>
          <w:szCs w:val="52"/>
          <w:highlight w:val="none"/>
        </w:rPr>
      </w:pPr>
    </w:p>
    <w:p>
      <w:pPr>
        <w:ind w:firstLine="1040"/>
        <w:rPr>
          <w:rFonts w:hint="default" w:ascii="Times New Roman" w:hAnsi="Times New Roman" w:eastAsia="仿宋" w:cs="Times New Roman"/>
          <w:color w:val="auto"/>
          <w:sz w:val="44"/>
          <w:szCs w:val="44"/>
          <w:highlight w:val="none"/>
        </w:rPr>
      </w:pPr>
    </w:p>
    <w:p>
      <w:pPr>
        <w:ind w:firstLine="1040"/>
        <w:rPr>
          <w:rFonts w:hint="default" w:ascii="Times New Roman" w:hAnsi="Times New Roman" w:eastAsia="仿宋" w:cs="Times New Roman"/>
          <w:color w:val="auto"/>
          <w:sz w:val="44"/>
          <w:szCs w:val="44"/>
          <w:highlight w:val="none"/>
        </w:rPr>
      </w:pPr>
    </w:p>
    <w:p>
      <w:pPr>
        <w:ind w:firstLine="1040"/>
        <w:rPr>
          <w:rFonts w:hint="default" w:ascii="Times New Roman" w:hAnsi="Times New Roman" w:eastAsia="仿宋" w:cs="Times New Roman"/>
          <w:color w:val="auto"/>
          <w:sz w:val="44"/>
          <w:szCs w:val="44"/>
          <w:highlight w:val="none"/>
        </w:rPr>
      </w:pPr>
    </w:p>
    <w:p>
      <w:pPr>
        <w:rPr>
          <w:rFonts w:hint="default" w:ascii="Times New Roman" w:hAnsi="Times New Roman" w:eastAsia="仿宋" w:cs="Times New Roman"/>
          <w:color w:val="auto"/>
          <w:sz w:val="44"/>
          <w:szCs w:val="44"/>
          <w:highlight w:val="none"/>
        </w:rPr>
      </w:pPr>
    </w:p>
    <w:p>
      <w:pPr>
        <w:adjustRightInd w:val="0"/>
        <w:snapToGrid w:val="0"/>
        <w:spacing w:line="360" w:lineRule="auto"/>
        <w:ind w:left="3238" w:leftChars="342" w:hanging="2520" w:hangingChars="700"/>
        <w:jc w:val="both"/>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项目名称：</w:t>
      </w:r>
      <w:r>
        <w:rPr>
          <w:rFonts w:hint="eastAsia" w:eastAsia="仿宋_GB2312" w:cs="Times New Roman"/>
          <w:color w:val="auto"/>
          <w:sz w:val="36"/>
          <w:szCs w:val="36"/>
          <w:highlight w:val="none"/>
          <w:u w:val="single"/>
          <w:lang w:val="en-US" w:eastAsia="zh-CN"/>
        </w:rPr>
        <w:t xml:space="preserve">   陕西合为商品混凝土扩建项目   </w:t>
      </w:r>
    </w:p>
    <w:p>
      <w:pPr>
        <w:adjustRightInd w:val="0"/>
        <w:snapToGrid w:val="0"/>
        <w:spacing w:line="360" w:lineRule="auto"/>
        <w:ind w:firstLine="720" w:firstLineChars="200"/>
        <w:jc w:val="both"/>
        <w:rPr>
          <w:rFonts w:hint="eastAsia"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建设单位（盖章）：</w:t>
      </w: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u w:val="single"/>
          <w:lang w:eastAsia="zh-CN"/>
        </w:rPr>
        <w:t>陕西合为混凝土有限公司</w:t>
      </w:r>
      <w:r>
        <w:rPr>
          <w:rFonts w:hint="eastAsia" w:eastAsia="仿宋_GB2312" w:cs="Times New Roman"/>
          <w:color w:val="auto"/>
          <w:sz w:val="36"/>
          <w:szCs w:val="36"/>
          <w:highlight w:val="none"/>
          <w:u w:val="single"/>
          <w:lang w:val="en-US" w:eastAsia="zh-CN"/>
        </w:rPr>
        <w:t xml:space="preserve"> </w:t>
      </w:r>
    </w:p>
    <w:p>
      <w:pPr>
        <w:adjustRightInd w:val="0"/>
        <w:snapToGrid w:val="0"/>
        <w:spacing w:line="360" w:lineRule="auto"/>
        <w:ind w:firstLine="720" w:firstLineChars="200"/>
        <w:jc w:val="both"/>
        <w:rPr>
          <w:rFonts w:hint="default" w:ascii="Times New Roman" w:hAnsi="Times New Roman" w:eastAsia="仿宋_GB2312" w:cs="Times New Roman"/>
          <w:color w:val="auto"/>
          <w:sz w:val="36"/>
          <w:szCs w:val="36"/>
          <w:highlight w:val="none"/>
          <w:u w:val="single"/>
          <w:lang w:val="en-US"/>
        </w:rPr>
      </w:pPr>
      <w:r>
        <w:rPr>
          <w:rFonts w:hint="default" w:ascii="Times New Roman" w:hAnsi="Times New Roman" w:eastAsia="仿宋_GB2312" w:cs="Times New Roman"/>
          <w:color w:val="auto"/>
          <w:sz w:val="36"/>
          <w:szCs w:val="36"/>
          <w:highlight w:val="none"/>
        </w:rPr>
        <w:t>编制日期：</w:t>
      </w:r>
      <w:r>
        <w:rPr>
          <w:rFonts w:hint="default" w:ascii="Times New Roman" w:hAnsi="Times New Roman" w:eastAsia="仿宋_GB2312" w:cs="Times New Roman"/>
          <w:color w:val="auto"/>
          <w:sz w:val="36"/>
          <w:szCs w:val="36"/>
          <w:highlight w:val="none"/>
          <w:u w:val="single"/>
        </w:rPr>
        <w:t xml:space="preserve">   </w:t>
      </w:r>
      <w:r>
        <w:rPr>
          <w:rFonts w:hint="eastAsia"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lang w:val="en-US" w:eastAsia="zh-CN"/>
        </w:rPr>
        <w:t>二〇二</w:t>
      </w:r>
      <w:r>
        <w:rPr>
          <w:rFonts w:hint="eastAsia" w:eastAsia="仿宋_GB2312" w:cs="Times New Roman"/>
          <w:color w:val="auto"/>
          <w:sz w:val="36"/>
          <w:szCs w:val="36"/>
          <w:highlight w:val="none"/>
          <w:u w:val="single"/>
          <w:lang w:val="en-US" w:eastAsia="zh-CN"/>
        </w:rPr>
        <w:t>二</w:t>
      </w:r>
      <w:r>
        <w:rPr>
          <w:rFonts w:hint="default" w:ascii="Times New Roman" w:hAnsi="Times New Roman" w:eastAsia="仿宋_GB2312" w:cs="Times New Roman"/>
          <w:color w:val="auto"/>
          <w:sz w:val="36"/>
          <w:szCs w:val="36"/>
          <w:highlight w:val="none"/>
          <w:u w:val="single"/>
          <w:lang w:val="en-US" w:eastAsia="zh-CN"/>
        </w:rPr>
        <w:t>年</w:t>
      </w:r>
      <w:r>
        <w:rPr>
          <w:rFonts w:hint="eastAsia" w:eastAsia="仿宋_GB2312" w:cs="Times New Roman"/>
          <w:color w:val="auto"/>
          <w:sz w:val="36"/>
          <w:szCs w:val="36"/>
          <w:highlight w:val="none"/>
          <w:u w:val="single"/>
          <w:lang w:val="en-US" w:eastAsia="zh-CN"/>
        </w:rPr>
        <w:t>十一</w:t>
      </w:r>
      <w:r>
        <w:rPr>
          <w:rFonts w:hint="default" w:ascii="Times New Roman" w:hAnsi="Times New Roman" w:eastAsia="仿宋_GB2312" w:cs="Times New Roman"/>
          <w:color w:val="auto"/>
          <w:sz w:val="36"/>
          <w:szCs w:val="36"/>
          <w:highlight w:val="none"/>
          <w:u w:val="single"/>
          <w:lang w:val="en-US" w:eastAsia="zh-CN"/>
        </w:rPr>
        <w:t>月</w:t>
      </w:r>
      <w:r>
        <w:rPr>
          <w:rFonts w:hint="eastAsia" w:eastAsia="仿宋_GB2312" w:cs="Times New Roman"/>
          <w:color w:val="auto"/>
          <w:sz w:val="36"/>
          <w:szCs w:val="36"/>
          <w:highlight w:val="none"/>
          <w:u w:val="single"/>
          <w:lang w:val="en-US" w:eastAsia="zh-CN"/>
        </w:rPr>
        <w:t xml:space="preserve">       </w:t>
      </w:r>
    </w:p>
    <w:p>
      <w:pPr>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bookmarkStart w:id="0" w:name="_Hlk57884087"/>
      <w:bookmarkStart w:id="10" w:name="_GoBack"/>
      <w:bookmarkEnd w:id="10"/>
    </w:p>
    <w:p>
      <w:pPr>
        <w:adjustRightInd w:val="0"/>
        <w:snapToGrid w:val="0"/>
        <w:spacing w:line="288" w:lineRule="auto"/>
        <w:rPr>
          <w:rFonts w:hint="default" w:ascii="Times New Roman" w:hAnsi="Times New Roman" w:eastAsia="仿宋_GB2312" w:cs="Times New Roman"/>
          <w:color w:val="auto"/>
          <w:sz w:val="36"/>
          <w:szCs w:val="36"/>
          <w:highlight w:val="none"/>
        </w:rPr>
      </w:pPr>
    </w:p>
    <w:bookmarkEnd w:id="0"/>
    <w:p>
      <w:pPr>
        <w:adjustRightInd w:val="0"/>
        <w:snapToGrid w:val="0"/>
        <w:spacing w:line="288" w:lineRule="auto"/>
        <w:jc w:val="center"/>
        <w:rPr>
          <w:rFonts w:hint="default" w:ascii="Times New Roman" w:hAnsi="Times New Roman" w:eastAsia="楷体_GB2312" w:cs="Times New Roman"/>
          <w:color w:val="auto"/>
          <w:sz w:val="36"/>
          <w:szCs w:val="36"/>
          <w:highlight w:val="none"/>
        </w:rPr>
      </w:pPr>
    </w:p>
    <w:p>
      <w:pPr>
        <w:pStyle w:val="47"/>
        <w:rPr>
          <w:rFonts w:hint="default" w:ascii="Times New Roman" w:hAnsi="Times New Roman" w:eastAsia="楷体_GB2312" w:cs="Times New Roman"/>
          <w:color w:val="auto"/>
          <w:sz w:val="36"/>
          <w:szCs w:val="36"/>
          <w:highlight w:val="none"/>
        </w:rPr>
      </w:pPr>
    </w:p>
    <w:p>
      <w:pPr>
        <w:pStyle w:val="47"/>
        <w:rPr>
          <w:rFonts w:hint="default" w:ascii="Times New Roman" w:hAnsi="Times New Roman" w:eastAsia="楷体_GB2312" w:cs="Times New Roman"/>
          <w:color w:val="auto"/>
          <w:sz w:val="36"/>
          <w:szCs w:val="36"/>
          <w:highlight w:val="none"/>
        </w:rPr>
      </w:pPr>
    </w:p>
    <w:p>
      <w:pPr>
        <w:pStyle w:val="24"/>
        <w:spacing w:line="360" w:lineRule="auto"/>
        <w:ind w:left="0" w:leftChars="0" w:firstLine="0" w:firstLineChars="0"/>
        <w:jc w:val="center"/>
        <w:rPr>
          <w:rFonts w:hint="default" w:ascii="Times New Roman" w:hAnsi="Times New Roman" w:eastAsia="宋体" w:cs="Times New Roman"/>
          <w:b/>
          <w:color w:val="auto"/>
          <w:sz w:val="32"/>
          <w:szCs w:val="32"/>
          <w:highlight w:val="none"/>
          <w:lang w:bidi="ar"/>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eastAsiaTheme="majorEastAsia"/>
          <w:color w:val="auto"/>
          <w:sz w:val="36"/>
          <w:szCs w:val="36"/>
          <w:highlight w:val="none"/>
        </w:rPr>
        <w:t>中华人民共和国生态环境部制</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5" w:hRule="atLeast"/>
          <w:jc w:val="center"/>
        </w:trPr>
        <w:tc>
          <w:tcPr>
            <w:tcW w:w="4530" w:type="dxa"/>
            <w:vAlign w:val="center"/>
          </w:tcPr>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eastAsia="宋体"/>
                <w:color w:val="auto"/>
                <w:highlight w:val="none"/>
                <w:vertAlign w:val="baseline"/>
                <w:lang w:val="en-US" w:eastAsia="zh-CN"/>
              </w:rPr>
            </w:pPr>
            <w:r>
              <w:rPr>
                <w:rFonts w:hint="default" w:eastAsia="宋体"/>
                <w:color w:val="auto"/>
                <w:highlight w:val="none"/>
                <w:vertAlign w:val="baseline"/>
                <w:lang w:val="en-US" w:eastAsia="zh-CN"/>
              </w:rPr>
              <w:drawing>
                <wp:inline distT="0" distB="0" distL="114300" distR="114300">
                  <wp:extent cx="2705100" cy="2028825"/>
                  <wp:effectExtent l="0" t="0" r="0" b="9525"/>
                  <wp:docPr id="1" name="图片 1" descr="ac95e3153e0f03e68e8fc0219e310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c95e3153e0f03e68e8fc0219e3108d"/>
                          <pic:cNvPicPr>
                            <a:picLocks noChangeAspect="1"/>
                          </pic:cNvPicPr>
                        </pic:nvPicPr>
                        <pic:blipFill>
                          <a:blip r:embed="rId9"/>
                          <a:stretch>
                            <a:fillRect/>
                          </a:stretch>
                        </pic:blipFill>
                        <pic:spPr>
                          <a:xfrm>
                            <a:off x="0" y="0"/>
                            <a:ext cx="2705100" cy="2028825"/>
                          </a:xfrm>
                          <a:prstGeom prst="rect">
                            <a:avLst/>
                          </a:prstGeom>
                        </pic:spPr>
                      </pic:pic>
                    </a:graphicData>
                  </a:graphic>
                </wp:inline>
              </w:drawing>
            </w:r>
          </w:p>
        </w:tc>
        <w:tc>
          <w:tcPr>
            <w:tcW w:w="4530" w:type="dxa"/>
            <w:vAlign w:val="center"/>
          </w:tcPr>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eastAsia="宋体"/>
                <w:color w:val="auto"/>
                <w:highlight w:val="none"/>
                <w:vertAlign w:val="baseline"/>
                <w:lang w:val="en-US" w:eastAsia="zh-CN"/>
              </w:rPr>
            </w:pPr>
            <w:r>
              <w:rPr>
                <w:rFonts w:hint="default" w:eastAsia="宋体"/>
                <w:color w:val="auto"/>
                <w:highlight w:val="none"/>
                <w:vertAlign w:val="baseline"/>
                <w:lang w:val="en-US" w:eastAsia="zh-CN"/>
              </w:rPr>
              <w:drawing>
                <wp:inline distT="0" distB="0" distL="114300" distR="114300">
                  <wp:extent cx="2705100" cy="2028825"/>
                  <wp:effectExtent l="0" t="0" r="0" b="9525"/>
                  <wp:docPr id="2" name="图片 2" descr="b2fe418fe642723f550a5ca6ef20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2fe418fe642723f550a5ca6ef20fe3"/>
                          <pic:cNvPicPr>
                            <a:picLocks noChangeAspect="1"/>
                          </pic:cNvPicPr>
                        </pic:nvPicPr>
                        <pic:blipFill>
                          <a:blip r:embed="rId10"/>
                          <a:stretch>
                            <a:fillRect/>
                          </a:stretch>
                        </pic:blipFill>
                        <pic:spPr>
                          <a:xfrm>
                            <a:off x="0" y="0"/>
                            <a:ext cx="2705100" cy="2028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5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项目场地西侧闲置工业企业厂房（绿树成荫环保科技有限公司等）</w:t>
            </w:r>
          </w:p>
        </w:tc>
        <w:tc>
          <w:tcPr>
            <w:tcW w:w="45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项目场地南侧（</w:t>
            </w:r>
            <w:r>
              <w:rPr>
                <w:rFonts w:hint="eastAsia" w:ascii="宋体" w:hAnsi="宋体" w:cs="宋体"/>
                <w:color w:val="auto"/>
                <w:sz w:val="24"/>
                <w:szCs w:val="24"/>
                <w:highlight w:val="none"/>
                <w:lang w:val="en-US" w:eastAsia="zh-CN"/>
              </w:rPr>
              <w:t>紧邻</w:t>
            </w:r>
            <w:r>
              <w:rPr>
                <w:rFonts w:hint="eastAsia" w:ascii="宋体" w:hAnsi="宋体" w:eastAsia="宋体" w:cs="宋体"/>
                <w:color w:val="auto"/>
                <w:sz w:val="24"/>
                <w:szCs w:val="24"/>
                <w:highlight w:val="none"/>
                <w:lang w:val="en-US" w:eastAsia="zh-CN"/>
              </w:rPr>
              <w:t>咸铜铁路）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5" w:hRule="atLeast"/>
          <w:jc w:val="center"/>
        </w:trPr>
        <w:tc>
          <w:tcPr>
            <w:tcW w:w="4530" w:type="dxa"/>
            <w:vAlign w:val="center"/>
          </w:tcPr>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eastAsia="宋体"/>
                <w:color w:val="auto"/>
                <w:highlight w:val="none"/>
                <w:vertAlign w:val="baseline"/>
                <w:lang w:val="en-US" w:eastAsia="zh-CN"/>
              </w:rPr>
            </w:pPr>
            <w:r>
              <w:rPr>
                <w:rFonts w:hint="default" w:eastAsia="宋体"/>
                <w:color w:val="auto"/>
                <w:highlight w:val="none"/>
                <w:vertAlign w:val="baseline"/>
                <w:lang w:val="en-US" w:eastAsia="zh-CN"/>
              </w:rPr>
              <w:drawing>
                <wp:inline distT="0" distB="0" distL="114300" distR="114300">
                  <wp:extent cx="2705100" cy="2028825"/>
                  <wp:effectExtent l="0" t="0" r="0" b="9525"/>
                  <wp:docPr id="7" name="图片 7" descr="eedede4c9735ad9dc311770cd1c2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edede4c9735ad9dc311770cd1c220d"/>
                          <pic:cNvPicPr>
                            <a:picLocks noChangeAspect="1"/>
                          </pic:cNvPicPr>
                        </pic:nvPicPr>
                        <pic:blipFill>
                          <a:blip r:embed="rId11"/>
                          <a:stretch>
                            <a:fillRect/>
                          </a:stretch>
                        </pic:blipFill>
                        <pic:spPr>
                          <a:xfrm>
                            <a:off x="0" y="0"/>
                            <a:ext cx="2705100" cy="2028825"/>
                          </a:xfrm>
                          <a:prstGeom prst="rect">
                            <a:avLst/>
                          </a:prstGeom>
                        </pic:spPr>
                      </pic:pic>
                    </a:graphicData>
                  </a:graphic>
                </wp:inline>
              </w:drawing>
            </w:r>
          </w:p>
        </w:tc>
        <w:tc>
          <w:tcPr>
            <w:tcW w:w="4530" w:type="dxa"/>
            <w:vAlign w:val="center"/>
          </w:tcPr>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eastAsia="宋体"/>
                <w:color w:val="auto"/>
                <w:highlight w:val="none"/>
                <w:vertAlign w:val="baseline"/>
                <w:lang w:val="en-US" w:eastAsia="zh-CN"/>
              </w:rPr>
            </w:pPr>
            <w:r>
              <w:rPr>
                <w:rFonts w:hint="default" w:eastAsia="宋体"/>
                <w:color w:val="auto"/>
                <w:highlight w:val="none"/>
                <w:vertAlign w:val="baseline"/>
                <w:lang w:val="en-US" w:eastAsia="zh-CN"/>
              </w:rPr>
              <w:drawing>
                <wp:inline distT="0" distB="0" distL="114300" distR="114300">
                  <wp:extent cx="2705100" cy="2028825"/>
                  <wp:effectExtent l="0" t="0" r="0" b="9525"/>
                  <wp:docPr id="18" name="图片 18" descr="04202e11c64e93c70bb9330a3169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4202e11c64e93c70bb9330a3169c9e"/>
                          <pic:cNvPicPr>
                            <a:picLocks noChangeAspect="1"/>
                          </pic:cNvPicPr>
                        </pic:nvPicPr>
                        <pic:blipFill>
                          <a:blip r:embed="rId12"/>
                          <a:stretch>
                            <a:fillRect/>
                          </a:stretch>
                        </pic:blipFill>
                        <pic:spPr>
                          <a:xfrm>
                            <a:off x="0" y="0"/>
                            <a:ext cx="2705100" cy="2028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pPr>
              <w:pStyle w:val="10"/>
              <w:rPr>
                <w:rFonts w:hint="default" w:eastAsia="宋体"/>
                <w:color w:val="auto"/>
                <w:sz w:val="24"/>
                <w:szCs w:val="32"/>
                <w:highlight w:val="none"/>
                <w:vertAlign w:val="baseline"/>
                <w:lang w:val="en-US" w:eastAsia="zh-CN"/>
              </w:rPr>
            </w:pPr>
            <w:r>
              <w:rPr>
                <w:rFonts w:hint="eastAsia"/>
                <w:color w:val="auto"/>
                <w:sz w:val="24"/>
                <w:szCs w:val="32"/>
                <w:highlight w:val="none"/>
                <w:vertAlign w:val="baseline"/>
                <w:lang w:val="en-US" w:eastAsia="zh-CN"/>
              </w:rPr>
              <w:t>项目场地东侧（</w:t>
            </w:r>
            <w:r>
              <w:rPr>
                <w:rFonts w:hint="eastAsia"/>
                <w:color w:val="auto"/>
                <w:highlight w:val="none"/>
                <w:lang w:eastAsia="zh-CN"/>
              </w:rPr>
              <w:t>在建渭阳佳苑小区</w:t>
            </w:r>
            <w:r>
              <w:rPr>
                <w:rFonts w:hint="eastAsia"/>
                <w:color w:val="auto"/>
                <w:sz w:val="24"/>
                <w:szCs w:val="32"/>
                <w:highlight w:val="none"/>
                <w:vertAlign w:val="baseline"/>
                <w:lang w:val="en-US" w:eastAsia="zh-CN"/>
              </w:rPr>
              <w:t>）</w:t>
            </w:r>
          </w:p>
        </w:tc>
        <w:tc>
          <w:tcPr>
            <w:tcW w:w="4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4"/>
                <w:szCs w:val="32"/>
                <w:highlight w:val="none"/>
                <w:vertAlign w:val="baseline"/>
                <w:lang w:val="en-US" w:eastAsia="zh-CN"/>
              </w:rPr>
            </w:pPr>
            <w:r>
              <w:rPr>
                <w:rFonts w:hint="eastAsia"/>
                <w:color w:val="auto"/>
                <w:sz w:val="24"/>
                <w:szCs w:val="32"/>
                <w:highlight w:val="none"/>
                <w:vertAlign w:val="baseline"/>
                <w:lang w:val="en-US" w:eastAsia="zh-CN"/>
              </w:rPr>
              <w:t>项目场地北侧（渭阳佳苑项目部）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jc w:val="center"/>
        </w:trPr>
        <w:tc>
          <w:tcPr>
            <w:tcW w:w="4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4"/>
                <w:szCs w:val="32"/>
                <w:highlight w:val="none"/>
                <w:vertAlign w:val="baseline"/>
                <w:lang w:val="en-US" w:eastAsia="zh-CN"/>
              </w:rPr>
            </w:pPr>
            <w:r>
              <w:rPr>
                <w:rFonts w:hint="eastAsia"/>
                <w:color w:val="auto"/>
                <w:sz w:val="24"/>
                <w:szCs w:val="32"/>
                <w:highlight w:val="none"/>
                <w:vertAlign w:val="baseline"/>
                <w:lang w:val="en-US" w:eastAsia="zh-CN"/>
              </w:rPr>
              <w:drawing>
                <wp:inline distT="0" distB="0" distL="114300" distR="114300">
                  <wp:extent cx="2705100" cy="2028825"/>
                  <wp:effectExtent l="0" t="0" r="0" b="9525"/>
                  <wp:docPr id="8" name="图片 8" descr="574802ada16c07906c8cca7fda2c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74802ada16c07906c8cca7fda2cea6"/>
                          <pic:cNvPicPr>
                            <a:picLocks noChangeAspect="1"/>
                          </pic:cNvPicPr>
                        </pic:nvPicPr>
                        <pic:blipFill>
                          <a:blip r:embed="rId13"/>
                          <a:stretch>
                            <a:fillRect/>
                          </a:stretch>
                        </pic:blipFill>
                        <pic:spPr>
                          <a:xfrm>
                            <a:off x="0" y="0"/>
                            <a:ext cx="2705100" cy="2028825"/>
                          </a:xfrm>
                          <a:prstGeom prst="rect">
                            <a:avLst/>
                          </a:prstGeom>
                        </pic:spPr>
                      </pic:pic>
                    </a:graphicData>
                  </a:graphic>
                </wp:inline>
              </w:drawing>
            </w:r>
            <w:r>
              <w:rPr>
                <w:rFonts w:hint="eastAsia"/>
                <w:color w:val="auto"/>
                <w:sz w:val="24"/>
                <w:szCs w:val="32"/>
                <w:highlight w:val="none"/>
                <w:vertAlign w:val="baseline"/>
                <w:lang w:val="en-US" w:eastAsia="zh-CN"/>
              </w:rPr>
              <w:t xml:space="preserve">                          </w:t>
            </w:r>
          </w:p>
        </w:tc>
        <w:tc>
          <w:tcPr>
            <w:tcW w:w="4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4"/>
                <w:szCs w:val="32"/>
                <w:highlight w:val="none"/>
                <w:vertAlign w:val="baseline"/>
                <w:lang w:val="en-US" w:eastAsia="zh-CN"/>
              </w:rPr>
            </w:pPr>
            <w:r>
              <w:rPr>
                <w:rFonts w:hint="eastAsia"/>
                <w:color w:val="auto"/>
                <w:sz w:val="24"/>
                <w:szCs w:val="32"/>
                <w:highlight w:val="none"/>
                <w:vertAlign w:val="baseline"/>
                <w:lang w:val="en-US" w:eastAsia="zh-CN"/>
              </w:rPr>
              <w:drawing>
                <wp:inline distT="0" distB="0" distL="114300" distR="114300">
                  <wp:extent cx="2705100" cy="2028825"/>
                  <wp:effectExtent l="0" t="0" r="0" b="9525"/>
                  <wp:docPr id="9" name="图片 9" descr="7e20b450cfbccb4a274762451d3c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e20b450cfbccb4a274762451d3c6b3"/>
                          <pic:cNvPicPr>
                            <a:picLocks noChangeAspect="1"/>
                          </pic:cNvPicPr>
                        </pic:nvPicPr>
                        <pic:blipFill>
                          <a:blip r:embed="rId14"/>
                          <a:stretch>
                            <a:fillRect/>
                          </a:stretch>
                        </pic:blipFill>
                        <pic:spPr>
                          <a:xfrm>
                            <a:off x="0" y="0"/>
                            <a:ext cx="2705100" cy="2028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4"/>
                <w:szCs w:val="32"/>
                <w:highlight w:val="none"/>
                <w:vertAlign w:val="baseline"/>
                <w:lang w:val="en-US" w:eastAsia="zh-CN"/>
              </w:rPr>
            </w:pPr>
            <w:r>
              <w:rPr>
                <w:rFonts w:hint="eastAsia"/>
                <w:color w:val="auto"/>
                <w:sz w:val="24"/>
                <w:szCs w:val="32"/>
                <w:highlight w:val="none"/>
                <w:vertAlign w:val="baseline"/>
                <w:lang w:val="en-US" w:eastAsia="zh-CN"/>
              </w:rPr>
              <w:t>压滤机及砂石分离机</w:t>
            </w:r>
          </w:p>
        </w:tc>
        <w:tc>
          <w:tcPr>
            <w:tcW w:w="4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4"/>
                <w:szCs w:val="32"/>
                <w:highlight w:val="none"/>
                <w:vertAlign w:val="baseline"/>
                <w:lang w:val="en-US" w:eastAsia="zh-CN"/>
              </w:rPr>
            </w:pPr>
            <w:r>
              <w:rPr>
                <w:rFonts w:hint="eastAsia"/>
                <w:color w:val="auto"/>
                <w:sz w:val="24"/>
                <w:szCs w:val="32"/>
                <w:highlight w:val="none"/>
                <w:vertAlign w:val="baseline"/>
                <w:lang w:val="en-US" w:eastAsia="zh-CN"/>
              </w:rPr>
              <w:t>砂石料堆场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5" w:hRule="atLeast"/>
          <w:jc w:val="center"/>
        </w:trPr>
        <w:tc>
          <w:tcPr>
            <w:tcW w:w="4530" w:type="dxa"/>
            <w:vAlign w:val="center"/>
          </w:tcPr>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eastAsia="宋体"/>
                <w:color w:val="auto"/>
                <w:highlight w:val="none"/>
                <w:vertAlign w:val="baseline"/>
                <w:lang w:val="en-US" w:eastAsia="zh-CN"/>
              </w:rPr>
            </w:pPr>
            <w:r>
              <w:rPr>
                <w:rFonts w:hint="default" w:eastAsia="宋体"/>
                <w:color w:val="auto"/>
                <w:highlight w:val="none"/>
                <w:vertAlign w:val="baseline"/>
                <w:lang w:val="en-US" w:eastAsia="zh-CN"/>
              </w:rPr>
              <w:drawing>
                <wp:inline distT="0" distB="0" distL="114300" distR="114300">
                  <wp:extent cx="2705100" cy="2028825"/>
                  <wp:effectExtent l="0" t="0" r="0" b="9525"/>
                  <wp:docPr id="15" name="图片 15" descr="333af21f71335c19250363ad2782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33af21f71335c19250363ad278250c"/>
                          <pic:cNvPicPr>
                            <a:picLocks noChangeAspect="1"/>
                          </pic:cNvPicPr>
                        </pic:nvPicPr>
                        <pic:blipFill>
                          <a:blip r:embed="rId15"/>
                          <a:stretch>
                            <a:fillRect/>
                          </a:stretch>
                        </pic:blipFill>
                        <pic:spPr>
                          <a:xfrm>
                            <a:off x="0" y="0"/>
                            <a:ext cx="2705100" cy="2028825"/>
                          </a:xfrm>
                          <a:prstGeom prst="rect">
                            <a:avLst/>
                          </a:prstGeom>
                        </pic:spPr>
                      </pic:pic>
                    </a:graphicData>
                  </a:graphic>
                </wp:inline>
              </w:drawing>
            </w:r>
          </w:p>
        </w:tc>
        <w:tc>
          <w:tcPr>
            <w:tcW w:w="4530" w:type="dxa"/>
            <w:vAlign w:val="center"/>
          </w:tcPr>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eastAsia="宋体"/>
                <w:color w:val="auto"/>
                <w:highlight w:val="none"/>
                <w:vertAlign w:val="baseline"/>
                <w:lang w:val="en-US" w:eastAsia="zh-CN"/>
              </w:rPr>
            </w:pPr>
            <w:r>
              <w:rPr>
                <w:rFonts w:hint="default" w:eastAsia="宋体"/>
                <w:color w:val="auto"/>
                <w:highlight w:val="none"/>
                <w:vertAlign w:val="baseline"/>
                <w:lang w:val="en-US" w:eastAsia="zh-CN"/>
              </w:rPr>
              <w:drawing>
                <wp:inline distT="0" distB="0" distL="114300" distR="114300">
                  <wp:extent cx="2705100" cy="2028825"/>
                  <wp:effectExtent l="0" t="0" r="0" b="9525"/>
                  <wp:docPr id="16" name="图片 16" descr="11985e979064a5715a3b0ce039fb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985e979064a5715a3b0ce039fb691"/>
                          <pic:cNvPicPr>
                            <a:picLocks noChangeAspect="1"/>
                          </pic:cNvPicPr>
                        </pic:nvPicPr>
                        <pic:blipFill>
                          <a:blip r:embed="rId16"/>
                          <a:stretch>
                            <a:fillRect/>
                          </a:stretch>
                        </pic:blipFill>
                        <pic:spPr>
                          <a:xfrm>
                            <a:off x="0" y="0"/>
                            <a:ext cx="2705100" cy="2028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5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4"/>
                <w:szCs w:val="32"/>
                <w:highlight w:val="none"/>
                <w:vertAlign w:val="baseline"/>
                <w:lang w:val="en-US" w:eastAsia="zh-CN"/>
              </w:rPr>
            </w:pPr>
            <w:r>
              <w:rPr>
                <w:rFonts w:hint="eastAsia"/>
                <w:color w:val="auto"/>
                <w:sz w:val="24"/>
                <w:szCs w:val="32"/>
                <w:highlight w:val="none"/>
                <w:vertAlign w:val="baseline"/>
                <w:lang w:val="en-US" w:eastAsia="zh-CN"/>
              </w:rPr>
              <w:t>喷淋管道</w:t>
            </w:r>
          </w:p>
        </w:tc>
        <w:tc>
          <w:tcPr>
            <w:tcW w:w="45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4"/>
                <w:szCs w:val="32"/>
                <w:highlight w:val="none"/>
                <w:vertAlign w:val="baseline"/>
                <w:lang w:val="en-US" w:eastAsia="zh-CN"/>
              </w:rPr>
            </w:pPr>
            <w:r>
              <w:rPr>
                <w:rFonts w:hint="eastAsia"/>
                <w:color w:val="auto"/>
                <w:sz w:val="24"/>
                <w:szCs w:val="32"/>
                <w:highlight w:val="none"/>
                <w:vertAlign w:val="baseline"/>
                <w:lang w:val="en-US" w:eastAsia="zh-CN"/>
              </w:rPr>
              <w:t>洗车机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5" w:hRule="atLeast"/>
          <w:jc w:val="center"/>
        </w:trPr>
        <w:tc>
          <w:tcPr>
            <w:tcW w:w="4530" w:type="dxa"/>
            <w:vAlign w:val="center"/>
          </w:tcPr>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eastAsia="宋体"/>
                <w:color w:val="auto"/>
                <w:highlight w:val="none"/>
                <w:vertAlign w:val="baseline"/>
                <w:lang w:val="en-US" w:eastAsia="zh-CN"/>
              </w:rPr>
            </w:pPr>
            <w:r>
              <w:rPr>
                <w:rFonts w:hint="default" w:eastAsia="宋体"/>
                <w:color w:val="auto"/>
                <w:highlight w:val="none"/>
                <w:vertAlign w:val="baseline"/>
                <w:lang w:val="en-US" w:eastAsia="zh-CN"/>
              </w:rPr>
              <w:drawing>
                <wp:inline distT="0" distB="0" distL="114300" distR="114300">
                  <wp:extent cx="2705100" cy="2028825"/>
                  <wp:effectExtent l="0" t="0" r="0" b="9525"/>
                  <wp:docPr id="17" name="图片 17" descr="f4b40f34a342c597d1d3638831cf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4b40f34a342c597d1d3638831cfbfb"/>
                          <pic:cNvPicPr>
                            <a:picLocks noChangeAspect="1"/>
                          </pic:cNvPicPr>
                        </pic:nvPicPr>
                        <pic:blipFill>
                          <a:blip r:embed="rId17"/>
                          <a:stretch>
                            <a:fillRect/>
                          </a:stretch>
                        </pic:blipFill>
                        <pic:spPr>
                          <a:xfrm>
                            <a:off x="0" y="0"/>
                            <a:ext cx="2705100" cy="2028825"/>
                          </a:xfrm>
                          <a:prstGeom prst="rect">
                            <a:avLst/>
                          </a:prstGeom>
                        </pic:spPr>
                      </pic:pic>
                    </a:graphicData>
                  </a:graphic>
                </wp:inline>
              </w:drawing>
            </w:r>
          </w:p>
        </w:tc>
        <w:tc>
          <w:tcPr>
            <w:tcW w:w="4530" w:type="dxa"/>
            <w:vAlign w:val="center"/>
          </w:tcPr>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eastAsia="宋体"/>
                <w:color w:val="auto"/>
                <w:highlight w:val="none"/>
                <w:vertAlign w:val="baseline"/>
                <w:lang w:val="en-US" w:eastAsia="zh-CN"/>
              </w:rPr>
            </w:pPr>
            <w:r>
              <w:rPr>
                <w:rFonts w:hint="default" w:eastAsia="宋体"/>
                <w:color w:val="auto"/>
                <w:highlight w:val="none"/>
                <w:vertAlign w:val="baseline"/>
                <w:lang w:val="en-US" w:eastAsia="zh-CN"/>
              </w:rPr>
              <w:drawing>
                <wp:inline distT="0" distB="0" distL="114300" distR="114300">
                  <wp:extent cx="2705100" cy="2028825"/>
                  <wp:effectExtent l="0" t="0" r="0" b="9525"/>
                  <wp:docPr id="19" name="图片 19" descr="f511f2b81314f3e59a218500283f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511f2b81314f3e59a218500283ff06"/>
                          <pic:cNvPicPr>
                            <a:picLocks noChangeAspect="1"/>
                          </pic:cNvPicPr>
                        </pic:nvPicPr>
                        <pic:blipFill>
                          <a:blip r:embed="rId18"/>
                          <a:stretch>
                            <a:fillRect/>
                          </a:stretch>
                        </pic:blipFill>
                        <pic:spPr>
                          <a:xfrm>
                            <a:off x="0" y="0"/>
                            <a:ext cx="2705100" cy="2028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4"/>
                <w:szCs w:val="32"/>
                <w:highlight w:val="none"/>
                <w:vertAlign w:val="baseline"/>
                <w:lang w:val="en-US" w:eastAsia="zh-CN"/>
              </w:rPr>
            </w:pPr>
            <w:r>
              <w:rPr>
                <w:rFonts w:hint="eastAsia"/>
                <w:color w:val="auto"/>
                <w:sz w:val="24"/>
                <w:szCs w:val="32"/>
                <w:highlight w:val="none"/>
                <w:vertAlign w:val="baseline"/>
                <w:lang w:val="en-US" w:eastAsia="zh-CN"/>
              </w:rPr>
              <w:t>沉淀池</w:t>
            </w:r>
          </w:p>
        </w:tc>
        <w:tc>
          <w:tcPr>
            <w:tcW w:w="4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4"/>
                <w:szCs w:val="32"/>
                <w:highlight w:val="none"/>
                <w:vertAlign w:val="baseline"/>
                <w:lang w:val="en-US" w:eastAsia="zh-CN"/>
              </w:rPr>
            </w:pPr>
            <w:r>
              <w:rPr>
                <w:rFonts w:hint="eastAsia"/>
                <w:color w:val="auto"/>
                <w:sz w:val="24"/>
                <w:szCs w:val="32"/>
                <w:highlight w:val="none"/>
                <w:vertAlign w:val="baseline"/>
                <w:lang w:val="en-US" w:eastAsia="zh-CN"/>
              </w:rPr>
              <w:t>三级沉淀池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jc w:val="center"/>
        </w:trPr>
        <w:tc>
          <w:tcPr>
            <w:tcW w:w="4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4"/>
                <w:szCs w:val="32"/>
                <w:highlight w:val="none"/>
                <w:vertAlign w:val="baseline"/>
                <w:lang w:val="en-US" w:eastAsia="zh-CN"/>
              </w:rPr>
            </w:pPr>
            <w:r>
              <w:rPr>
                <w:rFonts w:hint="eastAsia"/>
                <w:color w:val="auto"/>
                <w:sz w:val="24"/>
                <w:szCs w:val="32"/>
                <w:highlight w:val="none"/>
                <w:vertAlign w:val="baseline"/>
                <w:lang w:val="en-US" w:eastAsia="zh-CN"/>
              </w:rPr>
              <w:drawing>
                <wp:inline distT="0" distB="0" distL="114300" distR="114300">
                  <wp:extent cx="2701290" cy="1523365"/>
                  <wp:effectExtent l="0" t="0" r="3810" b="635"/>
                  <wp:docPr id="12" name="图片 12" descr="72f9aaec23c9627d44bb2aee119a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2f9aaec23c9627d44bb2aee119af71"/>
                          <pic:cNvPicPr>
                            <a:picLocks noChangeAspect="1"/>
                          </pic:cNvPicPr>
                        </pic:nvPicPr>
                        <pic:blipFill>
                          <a:blip r:embed="rId19"/>
                          <a:stretch>
                            <a:fillRect/>
                          </a:stretch>
                        </pic:blipFill>
                        <pic:spPr>
                          <a:xfrm>
                            <a:off x="0" y="0"/>
                            <a:ext cx="2701290" cy="1523365"/>
                          </a:xfrm>
                          <a:prstGeom prst="rect">
                            <a:avLst/>
                          </a:prstGeom>
                        </pic:spPr>
                      </pic:pic>
                    </a:graphicData>
                  </a:graphic>
                </wp:inline>
              </w:drawing>
            </w:r>
            <w:r>
              <w:rPr>
                <w:rFonts w:hint="eastAsia"/>
                <w:color w:val="auto"/>
                <w:sz w:val="24"/>
                <w:szCs w:val="32"/>
                <w:highlight w:val="none"/>
                <w:vertAlign w:val="baseline"/>
                <w:lang w:val="en-US" w:eastAsia="zh-CN"/>
              </w:rPr>
              <w:t xml:space="preserve">                          </w:t>
            </w:r>
          </w:p>
        </w:tc>
        <w:tc>
          <w:tcPr>
            <w:tcW w:w="4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4"/>
                <w:szCs w:val="32"/>
                <w:highlight w:val="none"/>
                <w:vertAlign w:val="baseline"/>
                <w:lang w:val="en-US" w:eastAsia="zh-CN"/>
              </w:rPr>
            </w:pPr>
            <w:r>
              <w:rPr>
                <w:rFonts w:hint="eastAsia"/>
                <w:color w:val="auto"/>
                <w:sz w:val="24"/>
                <w:szCs w:val="32"/>
                <w:highlight w:val="none"/>
                <w:vertAlign w:val="baseline"/>
                <w:lang w:val="en-US" w:eastAsia="zh-CN"/>
              </w:rPr>
              <w:drawing>
                <wp:inline distT="0" distB="0" distL="114300" distR="114300">
                  <wp:extent cx="2705100" cy="2028825"/>
                  <wp:effectExtent l="0" t="0" r="0" b="9525"/>
                  <wp:docPr id="21" name="图片 21" descr="bba6e35662994e4d8e85b34e2adff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ba6e35662994e4d8e85b34e2adffbf"/>
                          <pic:cNvPicPr>
                            <a:picLocks noChangeAspect="1"/>
                          </pic:cNvPicPr>
                        </pic:nvPicPr>
                        <pic:blipFill>
                          <a:blip r:embed="rId20"/>
                          <a:stretch>
                            <a:fillRect/>
                          </a:stretch>
                        </pic:blipFill>
                        <pic:spPr>
                          <a:xfrm>
                            <a:off x="0" y="0"/>
                            <a:ext cx="2705100" cy="2028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4"/>
                <w:szCs w:val="32"/>
                <w:highlight w:val="none"/>
                <w:vertAlign w:val="baseline"/>
                <w:lang w:val="en-US" w:eastAsia="zh-CN"/>
              </w:rPr>
            </w:pPr>
            <w:r>
              <w:rPr>
                <w:rFonts w:hint="eastAsia"/>
                <w:color w:val="auto"/>
                <w:sz w:val="24"/>
                <w:szCs w:val="32"/>
                <w:highlight w:val="none"/>
                <w:vertAlign w:val="baseline"/>
                <w:lang w:val="en-US" w:eastAsia="zh-CN"/>
              </w:rPr>
              <w:t>封闭料仓及搅拌站</w:t>
            </w:r>
          </w:p>
        </w:tc>
        <w:tc>
          <w:tcPr>
            <w:tcW w:w="4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4"/>
                <w:szCs w:val="32"/>
                <w:highlight w:val="none"/>
                <w:vertAlign w:val="baseline"/>
                <w:lang w:val="en-US" w:eastAsia="zh-CN"/>
              </w:rPr>
            </w:pPr>
            <w:r>
              <w:rPr>
                <w:rFonts w:hint="eastAsia"/>
                <w:color w:val="auto"/>
                <w:sz w:val="24"/>
                <w:szCs w:val="32"/>
                <w:highlight w:val="none"/>
                <w:vertAlign w:val="baseline"/>
                <w:lang w:val="en-US" w:eastAsia="zh-CN"/>
              </w:rPr>
              <w:t>扬尘在线监测装置</w:t>
            </w:r>
          </w:p>
        </w:tc>
      </w:tr>
    </w:tbl>
    <w:p>
      <w:pPr>
        <w:rPr>
          <w:color w:val="auto"/>
          <w:highlight w:val="none"/>
        </w:rPr>
      </w:pPr>
    </w:p>
    <w:p>
      <w:pPr>
        <w:pStyle w:val="2"/>
        <w:rPr>
          <w:color w:val="auto"/>
          <w:highlight w:val="none"/>
        </w:rPr>
      </w:pPr>
    </w:p>
    <w:p>
      <w:pPr>
        <w:rPr>
          <w:color w:val="auto"/>
          <w:highlight w:val="none"/>
        </w:rPr>
      </w:pPr>
    </w:p>
    <w:p>
      <w:pPr>
        <w:pStyle w:val="2"/>
        <w:rPr>
          <w:color w:val="auto"/>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adjustRightInd w:val="0"/>
        <w:snapToGrid w:val="0"/>
        <w:spacing w:line="288" w:lineRule="auto"/>
        <w:ind w:firstLine="1040"/>
        <w:rPr>
          <w:rFonts w:ascii="仿宋_GB2312" w:eastAsia="仿宋_GB2312"/>
          <w:color w:val="auto"/>
          <w:sz w:val="36"/>
          <w:szCs w:val="36"/>
          <w:highlight w:val="none"/>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5" w:hRule="atLeast"/>
          <w:jc w:val="center"/>
        </w:trPr>
        <w:tc>
          <w:tcPr>
            <w:tcW w:w="4530" w:type="dxa"/>
            <w:vAlign w:val="center"/>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eastAsia="宋体"/>
                <w:color w:val="auto"/>
                <w:highlight w:val="none"/>
                <w:vertAlign w:val="baseline"/>
                <w:lang w:val="en-US" w:eastAsia="zh-CN"/>
              </w:rPr>
            </w:pPr>
            <w:r>
              <w:rPr>
                <w:rFonts w:hint="default" w:eastAsia="宋体"/>
                <w:color w:val="auto"/>
                <w:highlight w:val="none"/>
                <w:vertAlign w:val="baseline"/>
                <w:lang w:val="en-US" w:eastAsia="zh-CN"/>
              </w:rPr>
              <w:drawing>
                <wp:inline distT="0" distB="0" distL="114300" distR="114300">
                  <wp:extent cx="2299335" cy="2377440"/>
                  <wp:effectExtent l="0" t="0" r="5715" b="3810"/>
                  <wp:docPr id="32" name="图片 32" descr="微信图片_202210251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21025134851"/>
                          <pic:cNvPicPr>
                            <a:picLocks noChangeAspect="1"/>
                          </pic:cNvPicPr>
                        </pic:nvPicPr>
                        <pic:blipFill>
                          <a:blip r:embed="rId21"/>
                          <a:stretch>
                            <a:fillRect/>
                          </a:stretch>
                        </pic:blipFill>
                        <pic:spPr>
                          <a:xfrm>
                            <a:off x="0" y="0"/>
                            <a:ext cx="2299335" cy="2377440"/>
                          </a:xfrm>
                          <a:prstGeom prst="rect">
                            <a:avLst/>
                          </a:prstGeom>
                        </pic:spPr>
                      </pic:pic>
                    </a:graphicData>
                  </a:graphic>
                </wp:inline>
              </w:drawing>
            </w:r>
          </w:p>
        </w:tc>
        <w:tc>
          <w:tcPr>
            <w:tcW w:w="4530" w:type="dxa"/>
            <w:vAlign w:val="center"/>
          </w:tcPr>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eastAsia="宋体"/>
                <w:color w:val="auto"/>
                <w:highlight w:val="none"/>
                <w:vertAlign w:val="baseline"/>
                <w:lang w:val="en-US" w:eastAsia="zh-CN"/>
              </w:rPr>
            </w:pPr>
            <w:r>
              <w:rPr>
                <w:rFonts w:hint="default" w:eastAsia="宋体"/>
                <w:color w:val="auto"/>
                <w:highlight w:val="none"/>
                <w:vertAlign w:val="baseline"/>
                <w:lang w:val="en-US" w:eastAsia="zh-CN"/>
              </w:rPr>
              <w:drawing>
                <wp:inline distT="0" distB="0" distL="114300" distR="114300">
                  <wp:extent cx="2705100" cy="2028825"/>
                  <wp:effectExtent l="0" t="0" r="0" b="9525"/>
                  <wp:docPr id="33" name="图片 33" descr="微信图片_2022102513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21025134858"/>
                          <pic:cNvPicPr>
                            <a:picLocks noChangeAspect="1"/>
                          </pic:cNvPicPr>
                        </pic:nvPicPr>
                        <pic:blipFill>
                          <a:blip r:embed="rId22"/>
                          <a:stretch>
                            <a:fillRect/>
                          </a:stretch>
                        </pic:blipFill>
                        <pic:spPr>
                          <a:xfrm>
                            <a:off x="0" y="0"/>
                            <a:ext cx="2705100" cy="2028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5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4"/>
                <w:szCs w:val="32"/>
                <w:highlight w:val="none"/>
                <w:vertAlign w:val="baseline"/>
                <w:lang w:val="en-US" w:eastAsia="zh-CN"/>
              </w:rPr>
            </w:pPr>
            <w:r>
              <w:rPr>
                <w:rFonts w:hint="eastAsia"/>
                <w:color w:val="auto"/>
                <w:sz w:val="24"/>
                <w:szCs w:val="32"/>
                <w:highlight w:val="none"/>
                <w:vertAlign w:val="baseline"/>
                <w:lang w:val="en-US" w:eastAsia="zh-CN"/>
              </w:rPr>
              <w:t>油烟净化器</w:t>
            </w:r>
          </w:p>
        </w:tc>
        <w:tc>
          <w:tcPr>
            <w:tcW w:w="45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4"/>
                <w:szCs w:val="32"/>
                <w:highlight w:val="none"/>
                <w:vertAlign w:val="baseline"/>
                <w:lang w:val="en-US" w:eastAsia="zh-CN"/>
              </w:rPr>
            </w:pPr>
            <w:r>
              <w:rPr>
                <w:rFonts w:hint="eastAsia"/>
                <w:color w:val="auto"/>
                <w:sz w:val="24"/>
                <w:szCs w:val="32"/>
                <w:highlight w:val="none"/>
                <w:vertAlign w:val="baseline"/>
                <w:lang w:val="en-US" w:eastAsia="zh-CN"/>
              </w:rPr>
              <w:t>生活垃圾收集桶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5" w:hRule="atLeast"/>
          <w:jc w:val="center"/>
        </w:trPr>
        <w:tc>
          <w:tcPr>
            <w:tcW w:w="4530" w:type="dxa"/>
            <w:vAlign w:val="center"/>
          </w:tcPr>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eastAsia="宋体"/>
                <w:color w:val="auto"/>
                <w:highlight w:val="none"/>
                <w:vertAlign w:val="baseline"/>
                <w:lang w:val="en-US" w:eastAsia="zh-CN"/>
              </w:rPr>
            </w:pPr>
            <w:r>
              <w:rPr>
                <w:rFonts w:hint="default" w:eastAsia="宋体"/>
                <w:color w:val="auto"/>
                <w:highlight w:val="none"/>
                <w:vertAlign w:val="baseline"/>
                <w:lang w:val="en-US" w:eastAsia="zh-CN"/>
              </w:rPr>
              <w:drawing>
                <wp:inline distT="0" distB="0" distL="114300" distR="114300">
                  <wp:extent cx="2694305" cy="2020570"/>
                  <wp:effectExtent l="0" t="0" r="10795" b="17780"/>
                  <wp:docPr id="34" name="图片 34" descr="微信图片_20221025134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210251348511"/>
                          <pic:cNvPicPr>
                            <a:picLocks noChangeAspect="1"/>
                          </pic:cNvPicPr>
                        </pic:nvPicPr>
                        <pic:blipFill>
                          <a:blip r:embed="rId23"/>
                          <a:stretch>
                            <a:fillRect/>
                          </a:stretch>
                        </pic:blipFill>
                        <pic:spPr>
                          <a:xfrm>
                            <a:off x="0" y="0"/>
                            <a:ext cx="2694305" cy="2020570"/>
                          </a:xfrm>
                          <a:prstGeom prst="rect">
                            <a:avLst/>
                          </a:prstGeom>
                        </pic:spPr>
                      </pic:pic>
                    </a:graphicData>
                  </a:graphic>
                </wp:inline>
              </w:drawing>
            </w:r>
          </w:p>
        </w:tc>
        <w:tc>
          <w:tcPr>
            <w:tcW w:w="4530" w:type="dxa"/>
            <w:vAlign w:val="center"/>
          </w:tcPr>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eastAsia="宋体"/>
                <w:color w:val="auto"/>
                <w:highlight w:val="none"/>
                <w:vertAlign w:val="baseline"/>
                <w:lang w:val="en-US" w:eastAsia="zh-CN"/>
              </w:rPr>
            </w:pPr>
            <w:r>
              <w:rPr>
                <w:rFonts w:hint="default" w:eastAsia="宋体"/>
                <w:color w:val="auto"/>
                <w:highlight w:val="none"/>
                <w:vertAlign w:val="baseline"/>
                <w:lang w:val="en-US" w:eastAsia="zh-CN"/>
              </w:rPr>
              <w:drawing>
                <wp:inline distT="0" distB="0" distL="114300" distR="114300">
                  <wp:extent cx="2705100" cy="2028825"/>
                  <wp:effectExtent l="0" t="0" r="0" b="9525"/>
                  <wp:docPr id="35" name="图片 35" descr="微信图片_20221025134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210251348512"/>
                          <pic:cNvPicPr>
                            <a:picLocks noChangeAspect="1"/>
                          </pic:cNvPicPr>
                        </pic:nvPicPr>
                        <pic:blipFill>
                          <a:blip r:embed="rId24"/>
                          <a:stretch>
                            <a:fillRect/>
                          </a:stretch>
                        </pic:blipFill>
                        <pic:spPr>
                          <a:xfrm>
                            <a:off x="0" y="0"/>
                            <a:ext cx="2705100" cy="2028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4"/>
                <w:szCs w:val="32"/>
                <w:highlight w:val="none"/>
                <w:vertAlign w:val="baseline"/>
                <w:lang w:val="en-US" w:eastAsia="zh-CN"/>
              </w:rPr>
            </w:pPr>
            <w:r>
              <w:rPr>
                <w:rFonts w:hint="eastAsia"/>
                <w:color w:val="auto"/>
                <w:sz w:val="24"/>
                <w:szCs w:val="32"/>
                <w:highlight w:val="none"/>
                <w:vertAlign w:val="baseline"/>
                <w:lang w:val="en-US" w:eastAsia="zh-CN"/>
              </w:rPr>
              <w:t>油水分离器</w:t>
            </w:r>
          </w:p>
        </w:tc>
        <w:tc>
          <w:tcPr>
            <w:tcW w:w="4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4"/>
                <w:szCs w:val="32"/>
                <w:highlight w:val="none"/>
                <w:vertAlign w:val="baseline"/>
                <w:lang w:val="en-US" w:eastAsia="zh-CN"/>
              </w:rPr>
            </w:pPr>
            <w:r>
              <w:rPr>
                <w:rFonts w:hint="eastAsia"/>
                <w:color w:val="auto"/>
                <w:sz w:val="24"/>
                <w:szCs w:val="32"/>
                <w:highlight w:val="none"/>
                <w:vertAlign w:val="baseline"/>
                <w:lang w:val="en-US" w:eastAsia="zh-CN"/>
              </w:rPr>
              <w:t>食堂</w:t>
            </w:r>
          </w:p>
        </w:tc>
      </w:tr>
    </w:tbl>
    <w:p>
      <w:pPr>
        <w:adjustRightInd w:val="0"/>
        <w:snapToGrid w:val="0"/>
        <w:spacing w:line="360" w:lineRule="auto"/>
        <w:jc w:val="center"/>
        <w:rPr>
          <w:b/>
          <w:color w:val="auto"/>
          <w:sz w:val="48"/>
          <w:szCs w:val="48"/>
          <w:highlight w:val="none"/>
        </w:rPr>
      </w:pPr>
    </w:p>
    <w:p>
      <w:pPr>
        <w:pStyle w:val="2"/>
        <w:rPr>
          <w:b/>
          <w:color w:val="auto"/>
          <w:sz w:val="48"/>
          <w:szCs w:val="48"/>
          <w:highlight w:val="none"/>
        </w:rPr>
      </w:pPr>
    </w:p>
    <w:p>
      <w:pPr>
        <w:rPr>
          <w:b/>
          <w:color w:val="auto"/>
          <w:sz w:val="48"/>
          <w:szCs w:val="48"/>
          <w:highlight w:val="none"/>
        </w:rPr>
      </w:pPr>
    </w:p>
    <w:p>
      <w:pPr>
        <w:pStyle w:val="2"/>
        <w:rPr>
          <w:b/>
          <w:color w:val="auto"/>
          <w:sz w:val="48"/>
          <w:szCs w:val="48"/>
          <w:highlight w:val="none"/>
        </w:rPr>
      </w:pPr>
    </w:p>
    <w:p>
      <w:pPr>
        <w:rPr>
          <w:b/>
          <w:color w:val="auto"/>
          <w:sz w:val="48"/>
          <w:szCs w:val="48"/>
          <w:highlight w:val="none"/>
        </w:rPr>
      </w:pPr>
    </w:p>
    <w:p>
      <w:pPr>
        <w:pStyle w:val="2"/>
        <w:rPr>
          <w:b/>
          <w:color w:val="auto"/>
          <w:sz w:val="48"/>
          <w:szCs w:val="48"/>
          <w:highlight w:val="none"/>
        </w:rPr>
      </w:pPr>
    </w:p>
    <w:p>
      <w:pPr>
        <w:rPr>
          <w:color w:val="auto"/>
          <w:highlight w:val="none"/>
        </w:rPr>
      </w:pPr>
    </w:p>
    <w:p>
      <w:pPr>
        <w:pStyle w:val="88"/>
        <w:tabs>
          <w:tab w:val="right" w:leader="dot" w:pos="8834"/>
        </w:tabs>
        <w:ind w:firstLine="630"/>
        <w:rPr>
          <w:color w:val="auto"/>
          <w:sz w:val="24"/>
          <w:szCs w:val="24"/>
          <w:highlight w:val="none"/>
        </w:rPr>
      </w:pPr>
      <w:r>
        <w:rPr>
          <w:rFonts w:hint="eastAsia"/>
          <w:color w:val="auto"/>
          <w:sz w:val="24"/>
          <w:szCs w:val="24"/>
          <w:highlight w:val="none"/>
        </w:rPr>
        <w:t>附图：附图1、</w:t>
      </w:r>
      <w:r>
        <w:rPr>
          <w:rFonts w:hint="eastAsia"/>
          <w:color w:val="auto"/>
          <w:sz w:val="24"/>
          <w:szCs w:val="24"/>
          <w:highlight w:val="none"/>
          <w:lang w:val="en-US" w:eastAsia="zh-CN"/>
        </w:rPr>
        <w:t>项目地理位置图</w:t>
      </w:r>
    </w:p>
    <w:p>
      <w:pPr>
        <w:pStyle w:val="88"/>
        <w:tabs>
          <w:tab w:val="right" w:leader="dot" w:pos="8834"/>
        </w:tabs>
        <w:ind w:firstLine="1260" w:firstLineChars="525"/>
        <w:rPr>
          <w:color w:val="auto"/>
          <w:sz w:val="24"/>
          <w:szCs w:val="24"/>
          <w:highlight w:val="none"/>
        </w:rPr>
      </w:pPr>
      <w:r>
        <w:rPr>
          <w:rFonts w:hint="eastAsia"/>
          <w:color w:val="auto"/>
          <w:sz w:val="24"/>
          <w:szCs w:val="24"/>
          <w:highlight w:val="none"/>
        </w:rPr>
        <w:t>附图2、</w:t>
      </w:r>
      <w:r>
        <w:rPr>
          <w:rFonts w:hint="eastAsia"/>
          <w:color w:val="auto"/>
          <w:sz w:val="24"/>
          <w:szCs w:val="24"/>
          <w:highlight w:val="none"/>
          <w:lang w:val="en-US" w:eastAsia="zh-CN"/>
        </w:rPr>
        <w:t>项目四邻关系图</w:t>
      </w:r>
    </w:p>
    <w:p>
      <w:pPr>
        <w:pStyle w:val="88"/>
        <w:tabs>
          <w:tab w:val="right" w:leader="dot" w:pos="8834"/>
        </w:tabs>
        <w:ind w:firstLine="1260" w:firstLineChars="525"/>
        <w:rPr>
          <w:color w:val="auto"/>
          <w:sz w:val="24"/>
          <w:szCs w:val="24"/>
          <w:highlight w:val="none"/>
        </w:rPr>
      </w:pPr>
      <w:r>
        <w:rPr>
          <w:rFonts w:hint="eastAsia"/>
          <w:color w:val="auto"/>
          <w:sz w:val="24"/>
          <w:szCs w:val="24"/>
          <w:highlight w:val="none"/>
        </w:rPr>
        <w:t>附图</w:t>
      </w:r>
      <w:r>
        <w:rPr>
          <w:color w:val="auto"/>
          <w:sz w:val="24"/>
          <w:szCs w:val="24"/>
          <w:highlight w:val="none"/>
        </w:rPr>
        <w:t>3</w:t>
      </w:r>
      <w:r>
        <w:rPr>
          <w:rFonts w:hint="eastAsia"/>
          <w:color w:val="auto"/>
          <w:sz w:val="24"/>
          <w:szCs w:val="24"/>
          <w:highlight w:val="none"/>
        </w:rPr>
        <w:t>、</w:t>
      </w:r>
      <w:r>
        <w:rPr>
          <w:rFonts w:hint="eastAsia" w:ascii="Times New Roman" w:hAnsi="Times New Roman" w:eastAsia="宋体" w:cs="Times New Roman"/>
          <w:b w:val="0"/>
          <w:bCs w:val="0"/>
          <w:color w:val="auto"/>
          <w:kern w:val="0"/>
          <w:sz w:val="24"/>
          <w:szCs w:val="24"/>
          <w:highlight w:val="none"/>
          <w:lang w:val="en-US" w:eastAsia="zh-CN" w:bidi="ar"/>
        </w:rPr>
        <w:t>厂区平面布置图</w:t>
      </w:r>
    </w:p>
    <w:p>
      <w:pPr>
        <w:pStyle w:val="88"/>
        <w:tabs>
          <w:tab w:val="right" w:leader="dot" w:pos="8834"/>
        </w:tabs>
        <w:ind w:firstLine="1260" w:firstLineChars="525"/>
        <w:rPr>
          <w:rFonts w:hint="eastAsia"/>
          <w:color w:val="auto"/>
          <w:sz w:val="24"/>
          <w:szCs w:val="24"/>
          <w:highlight w:val="none"/>
        </w:rPr>
      </w:pPr>
      <w:r>
        <w:rPr>
          <w:rFonts w:hint="eastAsia"/>
          <w:color w:val="auto"/>
          <w:sz w:val="24"/>
          <w:szCs w:val="24"/>
          <w:highlight w:val="none"/>
        </w:rPr>
        <w:t>附图</w:t>
      </w:r>
      <w:r>
        <w:rPr>
          <w:color w:val="auto"/>
          <w:sz w:val="24"/>
          <w:szCs w:val="24"/>
          <w:highlight w:val="none"/>
        </w:rPr>
        <w:t>4</w:t>
      </w:r>
      <w:r>
        <w:rPr>
          <w:rFonts w:hint="eastAsia"/>
          <w:color w:val="auto"/>
          <w:sz w:val="24"/>
          <w:szCs w:val="24"/>
          <w:highlight w:val="none"/>
        </w:rPr>
        <w:t>、</w:t>
      </w:r>
      <w:r>
        <w:rPr>
          <w:rFonts w:hint="eastAsia"/>
          <w:color w:val="auto"/>
          <w:sz w:val="24"/>
          <w:szCs w:val="24"/>
          <w:highlight w:val="none"/>
          <w:lang w:val="en-US" w:eastAsia="zh-CN"/>
        </w:rPr>
        <w:t>项目现状监测点位图</w:t>
      </w:r>
    </w:p>
    <w:p>
      <w:pPr>
        <w:pStyle w:val="88"/>
        <w:tabs>
          <w:tab w:val="right" w:leader="dot" w:pos="8834"/>
        </w:tabs>
        <w:ind w:firstLine="1260" w:firstLineChars="525"/>
        <w:rPr>
          <w:rFonts w:hint="eastAsia"/>
          <w:color w:val="auto"/>
          <w:sz w:val="24"/>
          <w:szCs w:val="24"/>
          <w:highlight w:val="none"/>
        </w:rPr>
      </w:pPr>
      <w:r>
        <w:rPr>
          <w:rFonts w:hint="eastAsia"/>
          <w:color w:val="auto"/>
          <w:sz w:val="24"/>
          <w:szCs w:val="24"/>
          <w:highlight w:val="none"/>
        </w:rPr>
        <w:t>附图</w:t>
      </w:r>
      <w:r>
        <w:rPr>
          <w:color w:val="auto"/>
          <w:sz w:val="24"/>
          <w:szCs w:val="24"/>
          <w:highlight w:val="none"/>
        </w:rPr>
        <w:t>5</w:t>
      </w:r>
      <w:r>
        <w:rPr>
          <w:rFonts w:hint="eastAsia"/>
          <w:color w:val="auto"/>
          <w:sz w:val="24"/>
          <w:szCs w:val="24"/>
          <w:highlight w:val="none"/>
        </w:rPr>
        <w:t>、</w:t>
      </w:r>
      <w:r>
        <w:rPr>
          <w:rFonts w:hint="eastAsia"/>
          <w:color w:val="auto"/>
          <w:sz w:val="24"/>
          <w:szCs w:val="24"/>
          <w:highlight w:val="none"/>
          <w:lang w:val="en-US" w:eastAsia="zh-CN"/>
        </w:rPr>
        <w:t>环境保护目标图</w:t>
      </w:r>
    </w:p>
    <w:p>
      <w:pPr>
        <w:pStyle w:val="88"/>
        <w:tabs>
          <w:tab w:val="right" w:leader="dot" w:pos="8834"/>
        </w:tabs>
        <w:ind w:firstLine="1260" w:firstLineChars="525"/>
        <w:rPr>
          <w:rFonts w:hint="default" w:eastAsia="宋体"/>
          <w:color w:val="auto"/>
          <w:sz w:val="24"/>
          <w:szCs w:val="24"/>
          <w:highlight w:val="none"/>
          <w:lang w:val="en-US" w:eastAsia="zh-CN"/>
        </w:rPr>
      </w:pPr>
      <w:r>
        <w:rPr>
          <w:rFonts w:hint="eastAsia"/>
          <w:color w:val="auto"/>
          <w:sz w:val="24"/>
          <w:szCs w:val="24"/>
          <w:highlight w:val="none"/>
        </w:rPr>
        <w:t>附图</w:t>
      </w:r>
      <w:r>
        <w:rPr>
          <w:rFonts w:hint="eastAsia"/>
          <w:color w:val="auto"/>
          <w:sz w:val="24"/>
          <w:szCs w:val="24"/>
          <w:highlight w:val="none"/>
          <w:lang w:val="en-US" w:eastAsia="zh-CN"/>
        </w:rPr>
        <w:t>6</w:t>
      </w:r>
      <w:r>
        <w:rPr>
          <w:rFonts w:hint="eastAsia"/>
          <w:color w:val="auto"/>
          <w:sz w:val="24"/>
          <w:szCs w:val="24"/>
          <w:highlight w:val="none"/>
        </w:rPr>
        <w:t>、</w:t>
      </w:r>
      <w:r>
        <w:rPr>
          <w:rFonts w:hint="eastAsia"/>
          <w:color w:val="auto"/>
          <w:sz w:val="24"/>
          <w:szCs w:val="24"/>
          <w:highlight w:val="none"/>
          <w:lang w:val="en-US" w:eastAsia="zh-CN"/>
        </w:rPr>
        <w:t>西安市生态环境管控单元分布图</w:t>
      </w:r>
    </w:p>
    <w:p>
      <w:pPr>
        <w:pStyle w:val="88"/>
        <w:tabs>
          <w:tab w:val="right" w:leader="dot" w:pos="8834"/>
        </w:tabs>
        <w:ind w:left="0" w:leftChars="0" w:firstLine="480" w:firstLineChars="200"/>
        <w:rPr>
          <w:color w:val="auto"/>
          <w:sz w:val="24"/>
          <w:szCs w:val="24"/>
          <w:highlight w:val="none"/>
        </w:rPr>
      </w:pPr>
      <w:r>
        <w:rPr>
          <w:rFonts w:hint="eastAsia"/>
          <w:color w:val="auto"/>
          <w:sz w:val="24"/>
          <w:szCs w:val="24"/>
          <w:highlight w:val="none"/>
          <w:lang w:val="en-US" w:eastAsia="zh-CN"/>
        </w:rPr>
        <w:t>附件：</w:t>
      </w:r>
      <w:r>
        <w:rPr>
          <w:rFonts w:hint="eastAsia"/>
          <w:color w:val="auto"/>
          <w:sz w:val="24"/>
          <w:szCs w:val="24"/>
          <w:highlight w:val="none"/>
        </w:rPr>
        <w:t>附件</w:t>
      </w:r>
      <w:r>
        <w:rPr>
          <w:rFonts w:hint="eastAsia"/>
          <w:color w:val="auto"/>
          <w:sz w:val="24"/>
          <w:szCs w:val="24"/>
          <w:highlight w:val="none"/>
          <w:lang w:val="en-US" w:eastAsia="zh-CN"/>
        </w:rPr>
        <w:t>1</w:t>
      </w:r>
      <w:r>
        <w:rPr>
          <w:rFonts w:hint="eastAsia"/>
          <w:color w:val="auto"/>
          <w:sz w:val="24"/>
          <w:szCs w:val="24"/>
          <w:highlight w:val="none"/>
        </w:rPr>
        <w:t>、委托书</w:t>
      </w:r>
    </w:p>
    <w:p>
      <w:pPr>
        <w:pStyle w:val="88"/>
        <w:tabs>
          <w:tab w:val="right" w:leader="dot" w:pos="8834"/>
        </w:tabs>
        <w:ind w:firstLine="1260" w:firstLineChars="525"/>
        <w:rPr>
          <w:rFonts w:hint="eastAsia"/>
          <w:color w:val="auto"/>
          <w:sz w:val="24"/>
          <w:szCs w:val="24"/>
          <w:highlight w:val="none"/>
        </w:rPr>
      </w:pPr>
      <w:r>
        <w:rPr>
          <w:rFonts w:hint="eastAsia"/>
          <w:color w:val="auto"/>
          <w:sz w:val="24"/>
          <w:szCs w:val="24"/>
          <w:highlight w:val="none"/>
        </w:rPr>
        <w:t>附件</w:t>
      </w:r>
      <w:r>
        <w:rPr>
          <w:rFonts w:hint="eastAsia"/>
          <w:color w:val="auto"/>
          <w:sz w:val="24"/>
          <w:szCs w:val="24"/>
          <w:highlight w:val="none"/>
          <w:lang w:val="en-US" w:eastAsia="zh-CN"/>
        </w:rPr>
        <w:t>2</w:t>
      </w:r>
      <w:r>
        <w:rPr>
          <w:rFonts w:hint="eastAsia"/>
          <w:color w:val="auto"/>
          <w:sz w:val="24"/>
          <w:szCs w:val="24"/>
          <w:highlight w:val="none"/>
        </w:rPr>
        <w:t>、</w:t>
      </w:r>
      <w:r>
        <w:rPr>
          <w:rFonts w:hint="eastAsia"/>
          <w:color w:val="auto"/>
          <w:sz w:val="24"/>
          <w:szCs w:val="24"/>
          <w:highlight w:val="none"/>
          <w:lang w:eastAsia="zh-CN"/>
        </w:rPr>
        <w:t>项目备案确认书</w:t>
      </w:r>
    </w:p>
    <w:p>
      <w:pPr>
        <w:pStyle w:val="88"/>
        <w:tabs>
          <w:tab w:val="right" w:leader="dot" w:pos="8834"/>
        </w:tabs>
        <w:ind w:firstLine="1260" w:firstLineChars="525"/>
        <w:rPr>
          <w:rFonts w:hint="eastAsia" w:eastAsia="宋体"/>
          <w:color w:val="auto"/>
          <w:sz w:val="24"/>
          <w:szCs w:val="24"/>
          <w:highlight w:val="none"/>
          <w:lang w:eastAsia="zh-CN"/>
        </w:rPr>
      </w:pPr>
      <w:r>
        <w:rPr>
          <w:rFonts w:hint="eastAsia"/>
          <w:color w:val="auto"/>
          <w:sz w:val="24"/>
          <w:szCs w:val="24"/>
          <w:highlight w:val="none"/>
        </w:rPr>
        <w:t>附件</w:t>
      </w:r>
      <w:r>
        <w:rPr>
          <w:rFonts w:hint="eastAsia"/>
          <w:color w:val="auto"/>
          <w:sz w:val="24"/>
          <w:szCs w:val="24"/>
          <w:highlight w:val="none"/>
          <w:lang w:val="en-US" w:eastAsia="zh-CN"/>
        </w:rPr>
        <w:t>3</w:t>
      </w:r>
      <w:r>
        <w:rPr>
          <w:rFonts w:hint="eastAsia"/>
          <w:color w:val="auto"/>
          <w:sz w:val="24"/>
          <w:szCs w:val="24"/>
          <w:highlight w:val="none"/>
        </w:rPr>
        <w:t>、原项目环评批复</w:t>
      </w:r>
    </w:p>
    <w:p>
      <w:pPr>
        <w:pStyle w:val="88"/>
        <w:tabs>
          <w:tab w:val="right" w:leader="dot" w:pos="8834"/>
        </w:tabs>
        <w:ind w:firstLine="1260" w:firstLineChars="525"/>
        <w:rPr>
          <w:rFonts w:hint="eastAsia" w:eastAsia="宋体"/>
          <w:color w:val="auto"/>
          <w:sz w:val="24"/>
          <w:szCs w:val="24"/>
          <w:highlight w:val="none"/>
          <w:lang w:eastAsia="zh-CN"/>
        </w:rPr>
      </w:pPr>
      <w:r>
        <w:rPr>
          <w:rFonts w:hint="eastAsia"/>
          <w:color w:val="auto"/>
          <w:sz w:val="24"/>
          <w:szCs w:val="24"/>
          <w:highlight w:val="none"/>
        </w:rPr>
        <w:t>附件</w:t>
      </w:r>
      <w:r>
        <w:rPr>
          <w:rFonts w:hint="eastAsia"/>
          <w:color w:val="auto"/>
          <w:sz w:val="24"/>
          <w:szCs w:val="24"/>
          <w:highlight w:val="none"/>
          <w:lang w:val="en-US" w:eastAsia="zh-CN"/>
        </w:rPr>
        <w:t>4</w:t>
      </w:r>
      <w:r>
        <w:rPr>
          <w:rFonts w:hint="eastAsia"/>
          <w:color w:val="auto"/>
          <w:sz w:val="24"/>
          <w:szCs w:val="24"/>
          <w:highlight w:val="none"/>
        </w:rPr>
        <w:t>、原项目竣工环境保护验收</w:t>
      </w:r>
      <w:r>
        <w:rPr>
          <w:rFonts w:hint="eastAsia"/>
          <w:color w:val="auto"/>
          <w:sz w:val="24"/>
          <w:szCs w:val="24"/>
          <w:highlight w:val="none"/>
          <w:lang w:eastAsia="zh-CN"/>
        </w:rPr>
        <w:t>批复</w:t>
      </w:r>
    </w:p>
    <w:p>
      <w:pPr>
        <w:pStyle w:val="88"/>
        <w:tabs>
          <w:tab w:val="right" w:leader="dot" w:pos="8834"/>
        </w:tabs>
        <w:ind w:firstLine="1260" w:firstLineChars="525"/>
        <w:rPr>
          <w:rFonts w:hint="eastAsia"/>
          <w:color w:val="auto"/>
          <w:sz w:val="24"/>
          <w:szCs w:val="24"/>
          <w:highlight w:val="none"/>
        </w:rPr>
      </w:pPr>
      <w:r>
        <w:rPr>
          <w:rFonts w:hint="eastAsia"/>
          <w:color w:val="auto"/>
          <w:sz w:val="24"/>
          <w:szCs w:val="24"/>
          <w:highlight w:val="none"/>
        </w:rPr>
        <w:t>附件</w:t>
      </w:r>
      <w:r>
        <w:rPr>
          <w:rFonts w:hint="eastAsia"/>
          <w:color w:val="auto"/>
          <w:sz w:val="24"/>
          <w:szCs w:val="24"/>
          <w:highlight w:val="none"/>
          <w:lang w:val="en-US" w:eastAsia="zh-CN"/>
        </w:rPr>
        <w:t>5</w:t>
      </w:r>
      <w:r>
        <w:rPr>
          <w:rFonts w:hint="eastAsia"/>
          <w:color w:val="auto"/>
          <w:sz w:val="24"/>
          <w:szCs w:val="24"/>
          <w:highlight w:val="none"/>
        </w:rPr>
        <w:t>、排污许可登记回执</w:t>
      </w:r>
    </w:p>
    <w:p>
      <w:pPr>
        <w:pStyle w:val="88"/>
        <w:tabs>
          <w:tab w:val="right" w:leader="dot" w:pos="8834"/>
        </w:tabs>
        <w:ind w:firstLine="1260" w:firstLineChars="525"/>
        <w:rPr>
          <w:rFonts w:hint="eastAsia"/>
          <w:color w:val="auto"/>
          <w:sz w:val="24"/>
          <w:szCs w:val="24"/>
          <w:highlight w:val="none"/>
          <w:lang w:eastAsia="zh-CN"/>
        </w:rPr>
      </w:pPr>
      <w:r>
        <w:rPr>
          <w:rFonts w:hint="eastAsia"/>
          <w:color w:val="auto"/>
          <w:sz w:val="24"/>
          <w:szCs w:val="24"/>
          <w:highlight w:val="none"/>
        </w:rPr>
        <w:t>附件</w:t>
      </w:r>
      <w:r>
        <w:rPr>
          <w:rFonts w:hint="eastAsia"/>
          <w:color w:val="auto"/>
          <w:sz w:val="24"/>
          <w:szCs w:val="24"/>
          <w:highlight w:val="none"/>
          <w:lang w:val="en-US" w:eastAsia="zh-CN"/>
        </w:rPr>
        <w:t>6</w:t>
      </w:r>
      <w:r>
        <w:rPr>
          <w:rFonts w:hint="eastAsia"/>
          <w:color w:val="auto"/>
          <w:sz w:val="24"/>
          <w:szCs w:val="24"/>
          <w:highlight w:val="none"/>
        </w:rPr>
        <w:t>、</w:t>
      </w:r>
      <w:bookmarkStart w:id="1" w:name="_Hlk86826435"/>
      <w:r>
        <w:rPr>
          <w:rFonts w:hint="eastAsia"/>
          <w:color w:val="auto"/>
          <w:sz w:val="24"/>
          <w:szCs w:val="24"/>
          <w:highlight w:val="none"/>
          <w:lang w:eastAsia="zh-CN"/>
        </w:rPr>
        <w:t>土地租用协议</w:t>
      </w:r>
    </w:p>
    <w:p>
      <w:pPr>
        <w:pStyle w:val="88"/>
        <w:tabs>
          <w:tab w:val="right" w:leader="dot" w:pos="8834"/>
        </w:tabs>
        <w:ind w:firstLine="1260" w:firstLineChars="525"/>
        <w:rPr>
          <w:rFonts w:hint="eastAsia"/>
          <w:color w:val="auto"/>
          <w:sz w:val="24"/>
          <w:szCs w:val="24"/>
          <w:highlight w:val="none"/>
        </w:rPr>
      </w:pPr>
      <w:r>
        <w:rPr>
          <w:rFonts w:hint="eastAsia"/>
          <w:color w:val="auto"/>
          <w:sz w:val="24"/>
          <w:szCs w:val="24"/>
          <w:highlight w:val="none"/>
        </w:rPr>
        <w:t>附件</w:t>
      </w:r>
      <w:r>
        <w:rPr>
          <w:rFonts w:hint="eastAsia"/>
          <w:color w:val="auto"/>
          <w:sz w:val="24"/>
          <w:szCs w:val="24"/>
          <w:highlight w:val="none"/>
          <w:lang w:val="en-US" w:eastAsia="zh-CN"/>
        </w:rPr>
        <w:t>7</w:t>
      </w:r>
      <w:r>
        <w:rPr>
          <w:rFonts w:hint="eastAsia"/>
          <w:color w:val="auto"/>
          <w:sz w:val="24"/>
          <w:szCs w:val="24"/>
          <w:highlight w:val="none"/>
        </w:rPr>
        <w:t>、</w:t>
      </w:r>
      <w:bookmarkEnd w:id="1"/>
      <w:r>
        <w:rPr>
          <w:rFonts w:hint="eastAsia"/>
          <w:color w:val="auto"/>
          <w:sz w:val="24"/>
          <w:szCs w:val="24"/>
          <w:highlight w:val="none"/>
        </w:rPr>
        <w:t>现状监测报告</w:t>
      </w:r>
    </w:p>
    <w:p>
      <w:pPr>
        <w:pStyle w:val="88"/>
        <w:tabs>
          <w:tab w:val="right" w:leader="dot" w:pos="8834"/>
        </w:tabs>
        <w:ind w:firstLine="1260" w:firstLineChars="525"/>
        <w:rPr>
          <w:rFonts w:hint="eastAsia" w:eastAsia="宋体"/>
          <w:color w:val="auto"/>
          <w:sz w:val="24"/>
          <w:szCs w:val="24"/>
          <w:highlight w:val="none"/>
          <w:lang w:eastAsia="zh-CN"/>
        </w:rPr>
      </w:pPr>
      <w:r>
        <w:rPr>
          <w:rFonts w:hint="eastAsia"/>
          <w:color w:val="auto"/>
          <w:sz w:val="24"/>
          <w:szCs w:val="24"/>
          <w:highlight w:val="none"/>
        </w:rPr>
        <w:t>附件</w:t>
      </w:r>
      <w:r>
        <w:rPr>
          <w:rFonts w:hint="eastAsia"/>
          <w:color w:val="auto"/>
          <w:sz w:val="24"/>
          <w:szCs w:val="24"/>
          <w:highlight w:val="none"/>
          <w:lang w:val="en-US" w:eastAsia="zh-CN"/>
        </w:rPr>
        <w:t>8</w:t>
      </w:r>
      <w:r>
        <w:rPr>
          <w:rFonts w:hint="eastAsia"/>
          <w:color w:val="auto"/>
          <w:sz w:val="24"/>
          <w:szCs w:val="24"/>
          <w:highlight w:val="none"/>
        </w:rPr>
        <w:t>、原项目监测报告</w:t>
      </w:r>
      <w:r>
        <w:rPr>
          <w:rFonts w:hint="eastAsia"/>
          <w:color w:val="auto"/>
          <w:sz w:val="24"/>
          <w:szCs w:val="24"/>
          <w:highlight w:val="none"/>
          <w:lang w:eastAsia="zh-CN"/>
        </w:rPr>
        <w:t>（废气、噪声）</w:t>
      </w:r>
    </w:p>
    <w:p>
      <w:pPr>
        <w:pStyle w:val="88"/>
        <w:tabs>
          <w:tab w:val="right" w:leader="dot" w:pos="8834"/>
        </w:tabs>
        <w:ind w:firstLine="1260" w:firstLineChars="525"/>
        <w:rPr>
          <w:rFonts w:hint="eastAsia"/>
          <w:color w:val="auto"/>
          <w:sz w:val="24"/>
          <w:szCs w:val="24"/>
          <w:highlight w:val="none"/>
          <w:lang w:eastAsia="zh-CN"/>
        </w:rPr>
      </w:pPr>
      <w:r>
        <w:rPr>
          <w:rFonts w:hint="eastAsia"/>
          <w:color w:val="auto"/>
          <w:sz w:val="24"/>
          <w:szCs w:val="24"/>
          <w:highlight w:val="none"/>
        </w:rPr>
        <w:t>附件</w:t>
      </w:r>
      <w:r>
        <w:rPr>
          <w:rFonts w:hint="eastAsia"/>
          <w:color w:val="auto"/>
          <w:sz w:val="24"/>
          <w:szCs w:val="24"/>
          <w:highlight w:val="none"/>
          <w:lang w:val="en-US" w:eastAsia="zh-CN"/>
        </w:rPr>
        <w:t>9</w:t>
      </w:r>
      <w:r>
        <w:rPr>
          <w:rFonts w:hint="eastAsia"/>
          <w:color w:val="auto"/>
          <w:sz w:val="24"/>
          <w:szCs w:val="24"/>
          <w:highlight w:val="none"/>
        </w:rPr>
        <w:t>、</w:t>
      </w:r>
      <w:r>
        <w:rPr>
          <w:rFonts w:hint="eastAsia"/>
          <w:color w:val="auto"/>
          <w:sz w:val="24"/>
          <w:szCs w:val="24"/>
          <w:highlight w:val="none"/>
          <w:lang w:eastAsia="zh-CN"/>
        </w:rPr>
        <w:t>车辆维修保养相关合同</w:t>
      </w:r>
    </w:p>
    <w:p>
      <w:pPr>
        <w:pStyle w:val="88"/>
        <w:tabs>
          <w:tab w:val="right" w:leader="dot" w:pos="8834"/>
        </w:tabs>
        <w:ind w:firstLine="0" w:firstLineChars="0"/>
        <w:rPr>
          <w:rFonts w:hint="eastAsia"/>
          <w:color w:val="auto"/>
          <w:sz w:val="24"/>
          <w:szCs w:val="24"/>
          <w:highlight w:val="none"/>
          <w:lang w:val="en-US" w:eastAsia="zh-CN"/>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18"/>
        <w:gridCol w:w="1827"/>
        <w:gridCol w:w="2199"/>
        <w:gridCol w:w="2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1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6852" w:type="dxa"/>
            <w:gridSpan w:val="3"/>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陕西合为商品混凝土扩建项目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1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6852" w:type="dxa"/>
            <w:gridSpan w:val="3"/>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2019-611204-30-03-046583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1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182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范婉莹</w:t>
            </w:r>
          </w:p>
        </w:tc>
        <w:tc>
          <w:tcPr>
            <w:tcW w:w="2199"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282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15691023601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1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6852" w:type="dxa"/>
            <w:gridSpan w:val="3"/>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西咸新区秦汉新城渭城街办石何杨村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1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6852" w:type="dxa"/>
            <w:gridSpan w:val="3"/>
            <w:noWrap w:val="0"/>
            <w:vAlign w:val="center"/>
          </w:tcPr>
          <w:p>
            <w:pPr>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lang w:val="en-US" w:eastAsia="zh-CN"/>
              </w:rPr>
              <w:t>东经108°47'35.922"，北纬34°23'3.071"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1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国民经济</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182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C3029其他水泥类似制品制造</w:t>
            </w:r>
          </w:p>
        </w:tc>
        <w:tc>
          <w:tcPr>
            <w:tcW w:w="2199"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bookmarkStart w:id="2" w:name="_Hlk49843745"/>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2"/>
          </w:p>
        </w:tc>
        <w:tc>
          <w:tcPr>
            <w:tcW w:w="2826" w:type="dxa"/>
            <w:noWrap w:val="0"/>
            <w:vAlign w:val="center"/>
          </w:tcPr>
          <w:p>
            <w:pPr>
              <w:adjustRightInd w:val="0"/>
              <w:snapToGrid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rPr>
              <w:t>二十七、非金属矿物制品业3</w:t>
            </w:r>
            <w:r>
              <w:rPr>
                <w:rFonts w:ascii="Times New Roman" w:hAnsi="Times New Roman" w:cs="Times New Roman"/>
                <w:color w:val="auto"/>
                <w:sz w:val="24"/>
                <w:highlight w:val="none"/>
              </w:rPr>
              <w:t>0</w:t>
            </w:r>
            <w:r>
              <w:rPr>
                <w:rFonts w:hint="default" w:ascii="Times New Roman" w:hAnsi="Times New Roman" w:cs="Times New Roman"/>
                <w:color w:val="auto"/>
                <w:sz w:val="24"/>
                <w:highlight w:val="none"/>
              </w:rPr>
              <w:t>——5</w:t>
            </w:r>
            <w:r>
              <w:rPr>
                <w:rFonts w:ascii="Times New Roman" w:hAnsi="Times New Roman" w:cs="Times New Roman"/>
                <w:color w:val="auto"/>
                <w:sz w:val="24"/>
                <w:highlight w:val="none"/>
              </w:rPr>
              <w:t>5</w:t>
            </w:r>
            <w:r>
              <w:rPr>
                <w:rFonts w:hint="default" w:ascii="Times New Roman" w:hAnsi="Times New Roman" w:cs="Times New Roman"/>
                <w:color w:val="auto"/>
                <w:sz w:val="24"/>
                <w:highlight w:val="none"/>
              </w:rPr>
              <w:t>、石膏、水泥制品及类似制品制造3</w:t>
            </w:r>
            <w:r>
              <w:rPr>
                <w:rFonts w:ascii="Times New Roman" w:hAnsi="Times New Roman" w:cs="Times New Roman"/>
                <w:color w:val="auto"/>
                <w:sz w:val="24"/>
                <w:highlight w:val="none"/>
              </w:rPr>
              <w:t>02</w:t>
            </w:r>
            <w:r>
              <w:rPr>
                <w:rFonts w:hint="default" w:ascii="Times New Roman" w:hAnsi="Times New Roman" w:cs="Times New Roman"/>
                <w:color w:val="auto"/>
                <w:sz w:val="24"/>
                <w:highlight w:val="none"/>
              </w:rPr>
              <w:t>——商品混凝土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1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1827" w:type="dxa"/>
            <w:noWrap w:val="0"/>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□新建（迁建）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□改建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扩建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□技术改造</w:t>
            </w:r>
          </w:p>
        </w:tc>
        <w:tc>
          <w:tcPr>
            <w:tcW w:w="2199"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826" w:type="dxa"/>
            <w:noWrap w:val="0"/>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□不予批准后再次申报项目</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□超五年重新审核项目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1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备案）部门（选填）</w:t>
            </w:r>
          </w:p>
        </w:tc>
        <w:tc>
          <w:tcPr>
            <w:tcW w:w="182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秦汉新城行政审批与政务服务局</w:t>
            </w:r>
          </w:p>
        </w:tc>
        <w:tc>
          <w:tcPr>
            <w:tcW w:w="2199"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备案）文号（选填）</w:t>
            </w:r>
          </w:p>
        </w:tc>
        <w:tc>
          <w:tcPr>
            <w:tcW w:w="282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1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182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2000</w:t>
            </w:r>
          </w:p>
        </w:tc>
        <w:tc>
          <w:tcPr>
            <w:tcW w:w="2199"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82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1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182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i w:val="0"/>
                <w:iCs w:val="0"/>
                <w:color w:val="auto"/>
                <w:sz w:val="24"/>
                <w:szCs w:val="24"/>
                <w:highlight w:val="none"/>
                <w:lang w:val="en-US" w:eastAsia="zh-CN"/>
              </w:rPr>
              <w:t>3.6</w:t>
            </w:r>
          </w:p>
        </w:tc>
        <w:tc>
          <w:tcPr>
            <w:tcW w:w="2199"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82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1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1827" w:type="dxa"/>
            <w:noWrap w:val="0"/>
            <w:vAlign w:val="center"/>
          </w:tcPr>
          <w:p>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rPr>
              <w:t xml:space="preserve">     </w:t>
            </w:r>
          </w:p>
        </w:tc>
        <w:tc>
          <w:tcPr>
            <w:tcW w:w="2199"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用地（用海）面积（m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82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30667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18"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4"/>
                <w:szCs w:val="24"/>
                <w:highlight w:val="none"/>
                <w:lang w:val="en-US" w:eastAsia="zh-CN"/>
              </w:rPr>
              <w:t>专项评价设置情况</w:t>
            </w:r>
          </w:p>
        </w:tc>
        <w:tc>
          <w:tcPr>
            <w:tcW w:w="6852"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2018"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6852"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《西咸新区秦汉新城控制性详细规划》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18"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6852" w:type="dxa"/>
            <w:gridSpan w:val="3"/>
            <w:noWrap w:val="0"/>
            <w:vAlign w:val="center"/>
          </w:tcPr>
          <w:p>
            <w:pPr>
              <w:autoSpaceDE w:val="0"/>
              <w:autoSpaceDN w:val="0"/>
              <w:adjustRightInd w:val="0"/>
              <w:snapToGrid w:val="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规划环评文件名称：《陕西省西咸新区—秦汉新城分区规划（2016-2035）环境影响报告书》</w:t>
            </w:r>
          </w:p>
          <w:p>
            <w:pPr>
              <w:autoSpaceDE w:val="0"/>
              <w:autoSpaceDN w:val="0"/>
              <w:adjustRightInd w:val="0"/>
              <w:snapToGrid w:val="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审查机关：陕西省西咸新区生态环境局</w:t>
            </w:r>
          </w:p>
          <w:p>
            <w:pPr>
              <w:autoSpaceDE w:val="0"/>
              <w:autoSpaceDN w:val="0"/>
              <w:adjustRightInd w:val="0"/>
              <w:snapToGrid w:val="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审查文件名称：陕西省西咸新区生态环境局关于《陕西省西咸新区秦汉新城分区规划（2016-2035）环境影响报告书》审查意见的函</w:t>
            </w:r>
          </w:p>
          <w:p>
            <w:pPr>
              <w:autoSpaceDE w:val="0"/>
              <w:autoSpaceDN w:val="0"/>
              <w:adjustRightInd w:val="0"/>
              <w:snapToGrid w:val="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批准文号：陕西咸环函〔2019〕24号</w:t>
            </w:r>
          </w:p>
        </w:tc>
      </w:tr>
    </w:tbl>
    <w:p>
      <w:pPr>
        <w:adjustRightInd w:val="0"/>
        <w:snapToGrid w:val="0"/>
        <w:jc w:val="center"/>
        <w:rPr>
          <w:rFonts w:hint="default" w:ascii="Times New Roman" w:hAnsi="Times New Roman" w:eastAsia="宋体" w:cs="Times New Roman"/>
          <w:color w:val="auto"/>
          <w:sz w:val="24"/>
          <w:szCs w:val="24"/>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9"/>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77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pct"/>
            <w:noWrap w:val="0"/>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规划环境影响评价</w:t>
            </w:r>
            <w:r>
              <w:rPr>
                <w:rFonts w:hint="eastAsia" w:ascii="Times New Roman" w:hAnsi="Times New Roman" w:eastAsia="宋体" w:cs="Times New Roman"/>
                <w:color w:val="auto"/>
                <w:sz w:val="24"/>
                <w:szCs w:val="24"/>
                <w:highlight w:val="none"/>
                <w:lang w:val="en-US" w:eastAsia="zh-CN"/>
              </w:rPr>
              <w:t>及审查意见</w:t>
            </w:r>
            <w:r>
              <w:rPr>
                <w:rFonts w:hint="default" w:ascii="Times New Roman" w:hAnsi="Times New Roman" w:eastAsia="宋体" w:cs="Times New Roman"/>
                <w:color w:val="auto"/>
                <w:sz w:val="24"/>
                <w:szCs w:val="24"/>
                <w:highlight w:val="none"/>
              </w:rPr>
              <w:t>符合性分析</w:t>
            </w:r>
          </w:p>
        </w:tc>
        <w:tc>
          <w:tcPr>
            <w:tcW w:w="4275" w:type="pct"/>
            <w:noWrap w:val="0"/>
            <w:vAlign w:val="top"/>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本项目建设与相关规划及规划环境影响评价符合性分析见表</w:t>
            </w:r>
            <w:r>
              <w:rPr>
                <w:rFonts w:hint="default" w:ascii="Times New Roman" w:hAnsi="Times New Roman" w:eastAsia="宋体" w:cs="Times New Roman"/>
                <w:color w:val="auto"/>
                <w:kern w:val="0"/>
                <w:sz w:val="24"/>
                <w:szCs w:val="24"/>
                <w:highlight w:val="none"/>
                <w:lang w:val="en-US" w:eastAsia="zh-CN" w:bidi="ar-SA"/>
              </w:rPr>
              <w:t>1-1</w:t>
            </w:r>
            <w:r>
              <w:rPr>
                <w:rFonts w:hint="eastAsia" w:ascii="Times New Roman" w:hAnsi="Times New Roman" w:eastAsia="宋体" w:cs="Times New Roman"/>
                <w:color w:val="auto"/>
                <w:kern w:val="0"/>
                <w:sz w:val="24"/>
                <w:szCs w:val="24"/>
                <w:highlight w:val="none"/>
                <w:lang w:val="en-US" w:eastAsia="zh-CN" w:bidi="ar-SA"/>
              </w:rPr>
              <w:t>。</w:t>
            </w:r>
          </w:p>
          <w:p>
            <w:pPr>
              <w:spacing w:line="360" w:lineRule="auto"/>
              <w:jc w:val="center"/>
              <w:rPr>
                <w:rFonts w:cs="宋体"/>
                <w:b/>
                <w:color w:val="auto"/>
                <w:szCs w:val="21"/>
                <w:highlight w:val="none"/>
                <w:lang w:bidi="ar"/>
              </w:rPr>
            </w:pPr>
            <w:r>
              <w:rPr>
                <w:rFonts w:hint="eastAsia" w:cs="宋体"/>
                <w:b/>
                <w:color w:val="auto"/>
                <w:szCs w:val="21"/>
                <w:highlight w:val="none"/>
                <w:lang w:bidi="ar"/>
              </w:rPr>
              <w:t>表</w:t>
            </w:r>
            <w:r>
              <w:rPr>
                <w:b/>
                <w:color w:val="auto"/>
                <w:szCs w:val="21"/>
                <w:highlight w:val="none"/>
                <w:lang w:bidi="ar"/>
              </w:rPr>
              <w:t xml:space="preserve">1-1 </w:t>
            </w:r>
            <w:r>
              <w:rPr>
                <w:rFonts w:hint="eastAsia"/>
                <w:b/>
                <w:color w:val="auto"/>
                <w:szCs w:val="21"/>
                <w:highlight w:val="none"/>
                <w:lang w:bidi="ar"/>
              </w:rPr>
              <w:t>项目</w:t>
            </w:r>
            <w:r>
              <w:rPr>
                <w:rFonts w:hint="eastAsia" w:cs="宋体"/>
                <w:b/>
                <w:color w:val="auto"/>
                <w:szCs w:val="21"/>
                <w:highlight w:val="none"/>
                <w:lang w:bidi="ar"/>
              </w:rPr>
              <w:t>与规划及规划环境影响评价符合性分析分析一览表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25"/>
              <w:gridCol w:w="2701"/>
              <w:gridCol w:w="2397"/>
              <w:gridCol w:w="49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1280" w:type="pct"/>
                  <w:tcBorders>
                    <w:top w:val="single" w:color="auto" w:sz="4" w:space="0"/>
                    <w:left w:val="single" w:color="auto" w:sz="4" w:space="0"/>
                    <w:bottom w:val="single" w:color="auto" w:sz="6" w:space="0"/>
                    <w:right w:val="single" w:color="auto" w:sz="6" w:space="0"/>
                  </w:tcBorders>
                  <w:shd w:val="clear" w:color="auto" w:fill="auto"/>
                  <w:vAlign w:val="center"/>
                </w:tcPr>
                <w:p>
                  <w:pPr>
                    <w:jc w:val="center"/>
                    <w:rPr>
                      <w:b/>
                      <w:color w:val="auto"/>
                      <w:sz w:val="21"/>
                      <w:szCs w:val="21"/>
                      <w:highlight w:val="none"/>
                    </w:rPr>
                  </w:pPr>
                  <w:r>
                    <w:rPr>
                      <w:b/>
                      <w:color w:val="auto"/>
                      <w:sz w:val="21"/>
                      <w:szCs w:val="21"/>
                      <w:highlight w:val="none"/>
                      <w:lang w:bidi="ar"/>
                    </w:rPr>
                    <w:t>相关政策文件</w:t>
                  </w:r>
                </w:p>
              </w:tc>
              <w:tc>
                <w:tcPr>
                  <w:tcW w:w="1796" w:type="pct"/>
                  <w:tcBorders>
                    <w:top w:val="single" w:color="auto" w:sz="4" w:space="0"/>
                    <w:left w:val="single" w:color="auto" w:sz="6" w:space="0"/>
                    <w:bottom w:val="single" w:color="auto" w:sz="6" w:space="0"/>
                    <w:right w:val="single" w:color="auto" w:sz="6" w:space="0"/>
                  </w:tcBorders>
                  <w:shd w:val="clear" w:color="auto" w:fill="auto"/>
                  <w:vAlign w:val="center"/>
                </w:tcPr>
                <w:p>
                  <w:pPr>
                    <w:jc w:val="center"/>
                    <w:rPr>
                      <w:b/>
                      <w:color w:val="auto"/>
                      <w:sz w:val="21"/>
                      <w:szCs w:val="21"/>
                      <w:highlight w:val="none"/>
                    </w:rPr>
                  </w:pPr>
                  <w:r>
                    <w:rPr>
                      <w:b/>
                      <w:color w:val="auto"/>
                      <w:sz w:val="21"/>
                      <w:szCs w:val="21"/>
                      <w:highlight w:val="none"/>
                      <w:lang w:bidi="ar"/>
                    </w:rPr>
                    <w:t>要求</w:t>
                  </w:r>
                </w:p>
              </w:tc>
              <w:tc>
                <w:tcPr>
                  <w:tcW w:w="1594" w:type="pct"/>
                  <w:tcBorders>
                    <w:top w:val="single" w:color="auto" w:sz="4" w:space="0"/>
                    <w:left w:val="single" w:color="auto" w:sz="6" w:space="0"/>
                    <w:bottom w:val="single" w:color="auto" w:sz="6" w:space="0"/>
                    <w:right w:val="single" w:color="auto" w:sz="6" w:space="0"/>
                  </w:tcBorders>
                  <w:shd w:val="clear" w:color="auto" w:fill="auto"/>
                  <w:vAlign w:val="center"/>
                </w:tcPr>
                <w:p>
                  <w:pPr>
                    <w:jc w:val="center"/>
                    <w:rPr>
                      <w:b/>
                      <w:color w:val="auto"/>
                      <w:sz w:val="21"/>
                      <w:szCs w:val="21"/>
                      <w:highlight w:val="none"/>
                    </w:rPr>
                  </w:pPr>
                  <w:r>
                    <w:rPr>
                      <w:b/>
                      <w:color w:val="auto"/>
                      <w:sz w:val="21"/>
                      <w:szCs w:val="21"/>
                      <w:highlight w:val="none"/>
                      <w:lang w:bidi="ar"/>
                    </w:rPr>
                    <w:t>本项目符合情况</w:t>
                  </w:r>
                </w:p>
              </w:tc>
              <w:tc>
                <w:tcPr>
                  <w:tcW w:w="329" w:type="pct"/>
                  <w:tcBorders>
                    <w:top w:val="single" w:color="auto" w:sz="4" w:space="0"/>
                    <w:left w:val="single" w:color="auto" w:sz="6" w:space="0"/>
                    <w:bottom w:val="single" w:color="auto" w:sz="6" w:space="0"/>
                    <w:right w:val="single" w:color="auto" w:sz="4" w:space="0"/>
                  </w:tcBorders>
                  <w:shd w:val="clear" w:color="auto" w:fill="auto"/>
                  <w:vAlign w:val="center"/>
                </w:tcPr>
                <w:p>
                  <w:pPr>
                    <w:jc w:val="center"/>
                    <w:rPr>
                      <w:b/>
                      <w:color w:val="auto"/>
                      <w:sz w:val="21"/>
                      <w:szCs w:val="21"/>
                      <w:highlight w:val="none"/>
                    </w:rPr>
                  </w:pPr>
                  <w:r>
                    <w:rPr>
                      <w:b/>
                      <w:color w:val="auto"/>
                      <w:sz w:val="21"/>
                      <w:szCs w:val="21"/>
                      <w:highlight w:val="none"/>
                      <w:lang w:bidi="ar"/>
                    </w:rPr>
                    <w:t>符合性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1280" w:type="pct"/>
                  <w:vMerge w:val="restart"/>
                  <w:tcBorders>
                    <w:top w:val="single" w:color="auto" w:sz="4" w:space="0"/>
                    <w:left w:val="single" w:color="auto" w:sz="4" w:space="0"/>
                    <w:right w:val="single" w:color="auto" w:sz="6" w:space="0"/>
                  </w:tcBorders>
                  <w:shd w:val="clear" w:color="auto" w:fill="auto"/>
                  <w:vAlign w:val="center"/>
                </w:tcPr>
                <w:p>
                  <w:pPr>
                    <w:pStyle w:val="25"/>
                    <w:widowControl w:val="0"/>
                    <w:snapToGrid w:val="0"/>
                    <w:spacing w:before="0" w:after="0"/>
                    <w:jc w:val="center"/>
                    <w:rPr>
                      <w:rFonts w:ascii="Times New Roman" w:hAnsi="Times New Roman"/>
                      <w:bCs/>
                      <w:color w:val="auto"/>
                      <w:sz w:val="21"/>
                      <w:szCs w:val="21"/>
                      <w:highlight w:val="none"/>
                      <w:lang w:bidi="ar"/>
                    </w:rPr>
                  </w:pPr>
                  <w:r>
                    <w:rPr>
                      <w:rFonts w:hint="eastAsia" w:ascii="Times New Roman" w:hAnsi="Times New Roman"/>
                      <w:color w:val="auto"/>
                      <w:kern w:val="2"/>
                      <w:sz w:val="21"/>
                      <w:szCs w:val="21"/>
                      <w:highlight w:val="none"/>
                    </w:rPr>
                    <w:t>《西咸新区-秦汉新城分区规划（2016-2035）环境影响报告书》</w:t>
                  </w:r>
                </w:p>
              </w:tc>
              <w:tc>
                <w:tcPr>
                  <w:tcW w:w="1796" w:type="pct"/>
                  <w:tcBorders>
                    <w:top w:val="single" w:color="auto" w:sz="4" w:space="0"/>
                    <w:left w:val="single" w:color="auto" w:sz="6" w:space="0"/>
                    <w:right w:val="single" w:color="auto" w:sz="6" w:space="0"/>
                  </w:tcBorders>
                  <w:shd w:val="clear" w:color="auto" w:fill="auto"/>
                  <w:vAlign w:val="center"/>
                </w:tcPr>
                <w:p>
                  <w:pPr>
                    <w:jc w:val="both"/>
                    <w:rPr>
                      <w:bCs/>
                      <w:color w:val="auto"/>
                      <w:sz w:val="21"/>
                      <w:szCs w:val="21"/>
                      <w:highlight w:val="none"/>
                      <w:lang w:bidi="ar"/>
                    </w:rPr>
                  </w:pPr>
                  <w:r>
                    <w:rPr>
                      <w:rFonts w:hint="eastAsia"/>
                      <w:color w:val="auto"/>
                      <w:sz w:val="21"/>
                      <w:szCs w:val="21"/>
                      <w:highlight w:val="none"/>
                    </w:rPr>
                    <w:t>产业布局</w:t>
                  </w:r>
                  <w:r>
                    <w:rPr>
                      <w:rFonts w:hint="eastAsia"/>
                      <w:color w:val="auto"/>
                      <w:sz w:val="21"/>
                      <w:szCs w:val="21"/>
                      <w:highlight w:val="none"/>
                      <w:lang w:eastAsia="zh-CN"/>
                    </w:rPr>
                    <w:t>：</w:t>
                  </w:r>
                  <w:r>
                    <w:rPr>
                      <w:rFonts w:hint="eastAsia"/>
                      <w:color w:val="auto"/>
                      <w:sz w:val="21"/>
                      <w:szCs w:val="21"/>
                      <w:highlight w:val="none"/>
                    </w:rPr>
                    <w:t>以健康医养、文化旅游为主导产业。依托目前区内已形成的石油化工、电力能源、机械制造、建筑材料、汽车零部件制造与维修及销售等第二产业体系，新增工业产业以汽车产业服务业、工业物流、商贸物流为主。</w:t>
                  </w:r>
                </w:p>
              </w:tc>
              <w:tc>
                <w:tcPr>
                  <w:tcW w:w="1594" w:type="pct"/>
                  <w:tcBorders>
                    <w:top w:val="single" w:color="auto" w:sz="4" w:space="0"/>
                    <w:left w:val="single" w:color="auto" w:sz="6" w:space="0"/>
                    <w:right w:val="single" w:color="auto" w:sz="6" w:space="0"/>
                  </w:tcBorders>
                  <w:shd w:val="clear" w:color="auto" w:fill="auto"/>
                  <w:vAlign w:val="center"/>
                </w:tcPr>
                <w:p>
                  <w:pPr>
                    <w:jc w:val="both"/>
                    <w:rPr>
                      <w:rFonts w:hint="eastAsia"/>
                      <w:bCs/>
                      <w:color w:val="auto"/>
                      <w:sz w:val="21"/>
                      <w:szCs w:val="21"/>
                      <w:highlight w:val="none"/>
                      <w:lang w:bidi="ar"/>
                    </w:rPr>
                  </w:pPr>
                  <w:r>
                    <w:rPr>
                      <w:rFonts w:hint="eastAsia"/>
                      <w:bCs/>
                      <w:color w:val="auto"/>
                      <w:sz w:val="21"/>
                      <w:szCs w:val="21"/>
                      <w:highlight w:val="none"/>
                      <w:lang w:bidi="ar"/>
                    </w:rPr>
                    <w:t>本项目产品为</w:t>
                  </w:r>
                  <w:r>
                    <w:rPr>
                      <w:rFonts w:hint="eastAsia"/>
                      <w:bCs/>
                      <w:color w:val="auto"/>
                      <w:sz w:val="21"/>
                      <w:szCs w:val="21"/>
                      <w:highlight w:val="none"/>
                      <w:lang w:eastAsia="zh-CN" w:bidi="ar"/>
                    </w:rPr>
                    <w:t>商品</w:t>
                  </w:r>
                  <w:r>
                    <w:rPr>
                      <w:rFonts w:hint="eastAsia"/>
                      <w:bCs/>
                      <w:color w:val="auto"/>
                      <w:sz w:val="21"/>
                      <w:szCs w:val="21"/>
                      <w:highlight w:val="none"/>
                      <w:lang w:bidi="ar"/>
                    </w:rPr>
                    <w:t>混凝土，是第二产业体系，符合产业布局。</w:t>
                  </w:r>
                </w:p>
              </w:tc>
              <w:tc>
                <w:tcPr>
                  <w:tcW w:w="329" w:type="pct"/>
                  <w:tcBorders>
                    <w:top w:val="single" w:color="auto" w:sz="4" w:space="0"/>
                    <w:left w:val="single" w:color="auto" w:sz="6" w:space="0"/>
                    <w:right w:val="single" w:color="auto" w:sz="4" w:space="0"/>
                  </w:tcBorders>
                  <w:shd w:val="clear" w:color="auto" w:fill="auto"/>
                  <w:vAlign w:val="center"/>
                </w:tcPr>
                <w:p>
                  <w:pPr>
                    <w:jc w:val="center"/>
                    <w:rPr>
                      <w:bCs/>
                      <w:color w:val="auto"/>
                      <w:sz w:val="21"/>
                      <w:szCs w:val="21"/>
                      <w:highlight w:val="none"/>
                      <w:lang w:bidi="ar"/>
                    </w:rPr>
                  </w:pPr>
                  <w:r>
                    <w:rPr>
                      <w:rFonts w:hint="eastAsia"/>
                      <w:bCs/>
                      <w:color w:val="auto"/>
                      <w:sz w:val="21"/>
                      <w:szCs w:val="21"/>
                      <w:highlight w:val="none"/>
                      <w:lang w:bidi="ar"/>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1280" w:type="pct"/>
                  <w:vMerge w:val="continue"/>
                  <w:tcBorders>
                    <w:left w:val="single" w:color="auto" w:sz="4" w:space="0"/>
                    <w:right w:val="single" w:color="auto" w:sz="6" w:space="0"/>
                  </w:tcBorders>
                  <w:shd w:val="clear" w:color="auto" w:fill="auto"/>
                  <w:vAlign w:val="center"/>
                </w:tcPr>
                <w:p>
                  <w:pPr>
                    <w:pStyle w:val="25"/>
                    <w:widowControl w:val="0"/>
                    <w:snapToGrid w:val="0"/>
                    <w:spacing w:before="0" w:after="0"/>
                    <w:jc w:val="center"/>
                    <w:rPr>
                      <w:rFonts w:ascii="Times New Roman" w:hAnsi="Times New Roman"/>
                      <w:bCs/>
                      <w:color w:val="auto"/>
                      <w:sz w:val="21"/>
                      <w:szCs w:val="21"/>
                      <w:highlight w:val="none"/>
                      <w:lang w:bidi="ar"/>
                    </w:rPr>
                  </w:pPr>
                </w:p>
              </w:tc>
              <w:tc>
                <w:tcPr>
                  <w:tcW w:w="1796" w:type="pct"/>
                  <w:tcBorders>
                    <w:top w:val="single" w:color="auto" w:sz="4" w:space="0"/>
                    <w:left w:val="single" w:color="auto" w:sz="6" w:space="0"/>
                    <w:bottom w:val="single" w:color="auto" w:sz="4" w:space="0"/>
                    <w:right w:val="single" w:color="auto" w:sz="6" w:space="0"/>
                  </w:tcBorders>
                  <w:shd w:val="clear" w:color="auto" w:fill="auto"/>
                  <w:vAlign w:val="center"/>
                </w:tcPr>
                <w:p>
                  <w:pPr>
                    <w:jc w:val="both"/>
                    <w:rPr>
                      <w:color w:val="auto"/>
                      <w:sz w:val="21"/>
                      <w:szCs w:val="21"/>
                      <w:highlight w:val="none"/>
                    </w:rPr>
                  </w:pPr>
                  <w:r>
                    <w:rPr>
                      <w:rFonts w:hint="eastAsia"/>
                      <w:color w:val="auto"/>
                      <w:sz w:val="21"/>
                      <w:szCs w:val="21"/>
                      <w:highlight w:val="none"/>
                    </w:rPr>
                    <w:t>严格落实《大气污染防治行动计划》、《陕西省铁腕治霾打赢蓝天保卫战三年行动方案（2</w:t>
                  </w:r>
                  <w:r>
                    <w:rPr>
                      <w:color w:val="auto"/>
                      <w:sz w:val="21"/>
                      <w:szCs w:val="21"/>
                      <w:highlight w:val="none"/>
                    </w:rPr>
                    <w:t>018-2020</w:t>
                  </w:r>
                  <w:r>
                    <w:rPr>
                      <w:rFonts w:hint="eastAsia"/>
                      <w:color w:val="auto"/>
                      <w:sz w:val="21"/>
                      <w:szCs w:val="21"/>
                      <w:highlight w:val="none"/>
                    </w:rPr>
                    <w:t>年）（修订版）》；加强工业噪声治理；一般工业固体废物以综合利用为主，对不能综合利用的必须进行贮存和处置，生活垃圾机构收集后送往区内生活垃圾无害化处理项目处置。</w:t>
                  </w:r>
                </w:p>
              </w:tc>
              <w:tc>
                <w:tcPr>
                  <w:tcW w:w="1594" w:type="pct"/>
                  <w:tcBorders>
                    <w:left w:val="single" w:color="auto" w:sz="6" w:space="0"/>
                    <w:right w:val="single" w:color="auto" w:sz="6" w:space="0"/>
                  </w:tcBorders>
                  <w:shd w:val="clear" w:color="auto" w:fill="auto"/>
                  <w:vAlign w:val="center"/>
                </w:tcPr>
                <w:p>
                  <w:pPr>
                    <w:jc w:val="both"/>
                    <w:rPr>
                      <w:color w:val="auto"/>
                      <w:sz w:val="21"/>
                      <w:szCs w:val="21"/>
                      <w:highlight w:val="none"/>
                    </w:rPr>
                  </w:pPr>
                  <w:r>
                    <w:rPr>
                      <w:rFonts w:hint="eastAsia"/>
                      <w:bCs/>
                      <w:color w:val="auto"/>
                      <w:sz w:val="21"/>
                      <w:szCs w:val="21"/>
                      <w:highlight w:val="none"/>
                      <w:lang w:eastAsia="zh-CN" w:bidi="ar"/>
                    </w:rPr>
                    <w:t>本项目噪声经过设备减振和厂房隔声后可以达标排放；本项目废气主要为粉尘，水泥粉煤灰原料经全封闭筒仓储存、除尘器收集；搅拌机粉尘经除尘器收集；砂石原料经喷淋抑尘，未收集粉尘经封闭厂房阻隔后自然沉降在厂房内，对环境空气影响较小；车辆保养由合作公司进行，</w:t>
                  </w:r>
                  <w:r>
                    <w:rPr>
                      <w:rFonts w:hint="eastAsia"/>
                      <w:color w:val="auto"/>
                      <w:highlight w:val="none"/>
                      <w:lang w:val="en-US" w:eastAsia="zh-CN"/>
                    </w:rPr>
                    <w:t>项目区内</w:t>
                  </w:r>
                  <w:r>
                    <w:rPr>
                      <w:rFonts w:hint="eastAsia"/>
                      <w:bCs/>
                      <w:color w:val="auto"/>
                      <w:sz w:val="21"/>
                      <w:szCs w:val="21"/>
                      <w:highlight w:val="none"/>
                      <w:lang w:eastAsia="zh-CN" w:bidi="ar"/>
                    </w:rPr>
                    <w:t>不产生危险废物，生活垃圾由环卫统一收集处置，“三废”排放均满足相关要求。</w:t>
                  </w:r>
                </w:p>
              </w:tc>
              <w:tc>
                <w:tcPr>
                  <w:tcW w:w="329" w:type="pct"/>
                  <w:tcBorders>
                    <w:left w:val="single" w:color="auto" w:sz="6" w:space="0"/>
                    <w:right w:val="single" w:color="auto" w:sz="4" w:space="0"/>
                  </w:tcBorders>
                  <w:shd w:val="clear" w:color="auto" w:fill="auto"/>
                  <w:vAlign w:val="center"/>
                </w:tcPr>
                <w:p>
                  <w:pPr>
                    <w:jc w:val="center"/>
                    <w:rPr>
                      <w:bCs/>
                      <w:color w:val="auto"/>
                      <w:sz w:val="21"/>
                      <w:szCs w:val="21"/>
                      <w:highlight w:val="none"/>
                      <w:lang w:bidi="ar"/>
                    </w:rPr>
                  </w:pPr>
                  <w:r>
                    <w:rPr>
                      <w:rFonts w:hint="eastAsia"/>
                      <w:bCs/>
                      <w:color w:val="auto"/>
                      <w:sz w:val="21"/>
                      <w:szCs w:val="21"/>
                      <w:highlight w:val="none"/>
                      <w:lang w:bidi="ar"/>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87" w:hRule="atLeast"/>
                <w:tblHeader/>
                <w:jc w:val="center"/>
              </w:trPr>
              <w:tc>
                <w:tcPr>
                  <w:tcW w:w="1280" w:type="pct"/>
                  <w:vMerge w:val="restart"/>
                  <w:tcBorders>
                    <w:left w:val="single" w:color="auto" w:sz="4" w:space="0"/>
                    <w:right w:val="single" w:color="auto" w:sz="6" w:space="0"/>
                  </w:tcBorders>
                  <w:shd w:val="clear" w:color="auto" w:fill="auto"/>
                  <w:vAlign w:val="center"/>
                </w:tcPr>
                <w:p>
                  <w:pPr>
                    <w:pStyle w:val="25"/>
                    <w:widowControl w:val="0"/>
                    <w:snapToGrid w:val="0"/>
                    <w:spacing w:before="0" w:after="0"/>
                    <w:jc w:val="center"/>
                    <w:rPr>
                      <w:rFonts w:ascii="Times New Roman" w:hAnsi="Times New Roman"/>
                      <w:bCs/>
                      <w:color w:val="auto"/>
                      <w:sz w:val="21"/>
                      <w:szCs w:val="21"/>
                      <w:highlight w:val="none"/>
                      <w:lang w:bidi="ar"/>
                    </w:rPr>
                  </w:pPr>
                  <w:r>
                    <w:rPr>
                      <w:rFonts w:hint="eastAsia" w:ascii="Times New Roman" w:hAnsi="Times New Roman"/>
                      <w:color w:val="auto"/>
                      <w:sz w:val="21"/>
                      <w:szCs w:val="21"/>
                      <w:highlight w:val="none"/>
                    </w:rPr>
                    <w:t>《西咸新区-秦汉新城分区规划（2016-2035）环境影响报告书》审查意见（陕西咸环函〔2019〕24号）</w:t>
                  </w:r>
                </w:p>
              </w:tc>
              <w:tc>
                <w:tcPr>
                  <w:tcW w:w="1796" w:type="pct"/>
                  <w:vMerge w:val="restart"/>
                  <w:tcBorders>
                    <w:top w:val="single" w:color="auto" w:sz="4" w:space="0"/>
                    <w:left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color w:val="auto"/>
                      <w:sz w:val="21"/>
                      <w:szCs w:val="21"/>
                      <w:highlight w:val="none"/>
                    </w:rPr>
                  </w:pPr>
                  <w:r>
                    <w:rPr>
                      <w:rFonts w:hint="eastAsia"/>
                      <w:color w:val="auto"/>
                      <w:sz w:val="21"/>
                      <w:szCs w:val="21"/>
                      <w:highlight w:val="none"/>
                    </w:rPr>
                    <w:t>产业定位为重点发展三大主导产业：都市农业及绿色食品加工业、文化旅游休闲康体产业、现代制造业与高端商贸商务服务业。环境影响跟踪评价及对《规划》包含的近期建设项目环境影响评价应做好以下工作</w:t>
                  </w:r>
                  <w:r>
                    <w:rPr>
                      <w:rFonts w:hint="eastAsia"/>
                      <w:color w:val="auto"/>
                      <w:sz w:val="21"/>
                      <w:szCs w:val="21"/>
                      <w:highlight w:val="none"/>
                      <w:lang w:eastAsia="zh-CN"/>
                    </w:rPr>
                    <w:t>：</w:t>
                  </w:r>
                  <w:r>
                    <w:rPr>
                      <w:rFonts w:hint="eastAsia"/>
                      <w:color w:val="auto"/>
                      <w:sz w:val="21"/>
                      <w:szCs w:val="21"/>
                      <w:highlight w:val="none"/>
                    </w:rPr>
                    <w:t>规划区位于关中平原（距离西安1</w:t>
                  </w:r>
                  <w:r>
                    <w:rPr>
                      <w:color w:val="auto"/>
                      <w:sz w:val="21"/>
                      <w:szCs w:val="21"/>
                      <w:highlight w:val="none"/>
                    </w:rPr>
                    <w:t>00</w:t>
                  </w:r>
                  <w:r>
                    <w:rPr>
                      <w:rFonts w:hint="eastAsia"/>
                      <w:color w:val="auto"/>
                      <w:sz w:val="21"/>
                      <w:szCs w:val="21"/>
                      <w:highlight w:val="none"/>
                    </w:rPr>
                    <w:t>公里范围内），不宜布局大气污染物排放量大、排放污染物类型复杂的项目。</w:t>
                  </w:r>
                </w:p>
              </w:tc>
              <w:tc>
                <w:tcPr>
                  <w:tcW w:w="1594" w:type="pct"/>
                  <w:tcBorders>
                    <w:left w:val="single" w:color="auto" w:sz="6" w:space="0"/>
                    <w:right w:val="single" w:color="auto" w:sz="6" w:space="0"/>
                  </w:tcBorders>
                  <w:shd w:val="clear" w:color="auto" w:fill="auto"/>
                  <w:vAlign w:val="center"/>
                </w:tcPr>
                <w:p>
                  <w:pPr>
                    <w:pStyle w:val="25"/>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color w:val="auto"/>
                      <w:sz w:val="21"/>
                      <w:szCs w:val="21"/>
                      <w:highlight w:val="none"/>
                    </w:rPr>
                  </w:pPr>
                  <w:r>
                    <w:rPr>
                      <w:rFonts w:hint="eastAsia" w:ascii="Times New Roman" w:hAnsi="Times New Roman" w:eastAsia="宋体" w:cs="Times New Roman"/>
                      <w:bCs/>
                      <w:color w:val="auto"/>
                      <w:kern w:val="2"/>
                      <w:sz w:val="21"/>
                      <w:szCs w:val="21"/>
                      <w:highlight w:val="none"/>
                      <w:lang w:val="en-US" w:eastAsia="zh-CN" w:bidi="ar"/>
                    </w:rPr>
                    <w:t>本项目大气污染物主要为粉尘，通过脉冲布袋除尘器和喷淋等措施抑尘后排放，对环境影响较小。</w:t>
                  </w:r>
                </w:p>
              </w:tc>
              <w:tc>
                <w:tcPr>
                  <w:tcW w:w="329" w:type="pct"/>
                  <w:tcBorders>
                    <w:left w:val="single" w:color="auto" w:sz="6" w:space="0"/>
                    <w:right w:val="single" w:color="auto" w:sz="4" w:space="0"/>
                  </w:tcBorders>
                  <w:shd w:val="clear" w:color="auto" w:fill="auto"/>
                  <w:vAlign w:val="center"/>
                </w:tcPr>
                <w:p>
                  <w:pPr>
                    <w:spacing w:line="360" w:lineRule="auto"/>
                    <w:jc w:val="center"/>
                    <w:rPr>
                      <w:rFonts w:cs="宋体"/>
                      <w:color w:val="auto"/>
                      <w:sz w:val="21"/>
                      <w:szCs w:val="21"/>
                      <w:highlight w:val="none"/>
                      <w:lang w:bidi="ar"/>
                    </w:rPr>
                  </w:pPr>
                  <w:r>
                    <w:rPr>
                      <w:rFonts w:hint="eastAsia" w:cs="宋体"/>
                      <w:color w:val="auto"/>
                      <w:sz w:val="21"/>
                      <w:szCs w:val="21"/>
                      <w:highlight w:val="none"/>
                      <w:lang w:bidi="ar"/>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1280" w:type="pct"/>
                  <w:vMerge w:val="continue"/>
                  <w:tcBorders>
                    <w:left w:val="single" w:color="auto" w:sz="4" w:space="0"/>
                    <w:right w:val="single" w:color="auto" w:sz="6" w:space="0"/>
                  </w:tcBorders>
                  <w:shd w:val="clear" w:color="auto" w:fill="auto"/>
                  <w:vAlign w:val="center"/>
                </w:tcPr>
                <w:p>
                  <w:pPr>
                    <w:pStyle w:val="25"/>
                    <w:widowControl w:val="0"/>
                    <w:snapToGrid w:val="0"/>
                    <w:spacing w:before="0" w:after="0"/>
                    <w:jc w:val="center"/>
                    <w:rPr>
                      <w:rFonts w:ascii="Times New Roman" w:hAnsi="Times New Roman"/>
                      <w:bCs/>
                      <w:color w:val="auto"/>
                      <w:sz w:val="21"/>
                      <w:szCs w:val="21"/>
                      <w:highlight w:val="none"/>
                      <w:lang w:bidi="ar"/>
                    </w:rPr>
                  </w:pPr>
                </w:p>
              </w:tc>
              <w:tc>
                <w:tcPr>
                  <w:tcW w:w="1796" w:type="pct"/>
                  <w:vMerge w:val="continue"/>
                  <w:tcBorders>
                    <w:left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color w:val="auto"/>
                      <w:sz w:val="21"/>
                      <w:szCs w:val="21"/>
                      <w:highlight w:val="none"/>
                    </w:rPr>
                  </w:pPr>
                </w:p>
              </w:tc>
              <w:tc>
                <w:tcPr>
                  <w:tcW w:w="1594" w:type="pct"/>
                  <w:tcBorders>
                    <w:left w:val="single" w:color="auto" w:sz="6" w:space="0"/>
                    <w:right w:val="single" w:color="auto" w:sz="6" w:space="0"/>
                  </w:tcBorders>
                  <w:shd w:val="clear" w:color="auto" w:fill="auto"/>
                  <w:vAlign w:val="center"/>
                </w:tcPr>
                <w:p>
                  <w:pPr>
                    <w:pStyle w:val="25"/>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本项目属于主导产业中的现代制造业。</w:t>
                  </w:r>
                </w:p>
              </w:tc>
              <w:tc>
                <w:tcPr>
                  <w:tcW w:w="329" w:type="pct"/>
                  <w:tcBorders>
                    <w:left w:val="single" w:color="auto" w:sz="6" w:space="0"/>
                    <w:right w:val="single" w:color="auto" w:sz="4" w:space="0"/>
                  </w:tcBorders>
                  <w:shd w:val="clear" w:color="auto" w:fill="auto"/>
                  <w:vAlign w:val="center"/>
                </w:tcPr>
                <w:p>
                  <w:pPr>
                    <w:spacing w:line="360" w:lineRule="auto"/>
                    <w:jc w:val="center"/>
                    <w:rPr>
                      <w:rFonts w:cs="宋体"/>
                      <w:color w:val="auto"/>
                      <w:sz w:val="21"/>
                      <w:szCs w:val="21"/>
                      <w:highlight w:val="none"/>
                      <w:lang w:bidi="ar"/>
                    </w:rPr>
                  </w:pPr>
                  <w:r>
                    <w:rPr>
                      <w:rFonts w:hint="eastAsia" w:cs="宋体"/>
                      <w:color w:val="auto"/>
                      <w:sz w:val="21"/>
                      <w:szCs w:val="21"/>
                      <w:highlight w:val="none"/>
                      <w:lang w:bidi="ar"/>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1280" w:type="pct"/>
                  <w:tcBorders>
                    <w:left w:val="single" w:color="auto" w:sz="4" w:space="0"/>
                    <w:right w:val="single" w:color="auto" w:sz="6" w:space="0"/>
                  </w:tcBorders>
                  <w:shd w:val="clear" w:color="auto" w:fill="auto"/>
                  <w:vAlign w:val="center"/>
                </w:tcPr>
                <w:p>
                  <w:pPr>
                    <w:pStyle w:val="25"/>
                    <w:widowControl w:val="0"/>
                    <w:snapToGrid w:val="0"/>
                    <w:spacing w:before="0" w:after="0"/>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《西咸新区秦汉新城控制性详细规划》</w:t>
                  </w:r>
                </w:p>
              </w:tc>
              <w:tc>
                <w:tcPr>
                  <w:tcW w:w="1796" w:type="pct"/>
                  <w:tcBorders>
                    <w:top w:val="single" w:color="auto" w:sz="4" w:space="0"/>
                    <w:left w:val="single" w:color="auto" w:sz="6" w:space="0"/>
                    <w:bottom w:val="single" w:color="auto" w:sz="4" w:space="0"/>
                    <w:right w:val="single" w:color="auto" w:sz="6" w:space="0"/>
                  </w:tcBorders>
                  <w:shd w:val="clear" w:color="auto" w:fill="auto"/>
                  <w:vAlign w:val="center"/>
                </w:tcPr>
                <w:p>
                  <w:pPr>
                    <w:pStyle w:val="25"/>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both"/>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固体废弃物综合利用率</w:t>
                  </w:r>
                </w:p>
                <w:p>
                  <w:pPr>
                    <w:pStyle w:val="25"/>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both"/>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100%，生活垃圾无害化处</w:t>
                  </w:r>
                </w:p>
                <w:p>
                  <w:pPr>
                    <w:pStyle w:val="25"/>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both"/>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理率100%</w:t>
                  </w:r>
                </w:p>
              </w:tc>
              <w:tc>
                <w:tcPr>
                  <w:tcW w:w="1594" w:type="pct"/>
                  <w:tcBorders>
                    <w:left w:val="single" w:color="auto" w:sz="6" w:space="0"/>
                    <w:right w:val="single" w:color="auto" w:sz="6" w:space="0"/>
                  </w:tcBorders>
                  <w:shd w:val="clear" w:color="auto" w:fill="auto"/>
                  <w:vAlign w:val="center"/>
                </w:tcPr>
                <w:p>
                  <w:pPr>
                    <w:pStyle w:val="25"/>
                    <w:widowControl w:val="0"/>
                    <w:snapToGrid w:val="0"/>
                    <w:spacing w:before="0" w:after="0"/>
                    <w:jc w:val="both"/>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固体废弃物综合利用率100%，生活垃圾无害化处理100%</w:t>
                  </w:r>
                </w:p>
              </w:tc>
              <w:tc>
                <w:tcPr>
                  <w:tcW w:w="329" w:type="pct"/>
                  <w:tcBorders>
                    <w:left w:val="single" w:color="auto" w:sz="6" w:space="0"/>
                    <w:right w:val="single" w:color="auto" w:sz="4" w:space="0"/>
                  </w:tcBorders>
                  <w:shd w:val="clear" w:color="auto" w:fill="auto"/>
                  <w:vAlign w:val="center"/>
                </w:tcPr>
                <w:p>
                  <w:pPr>
                    <w:spacing w:line="360" w:lineRule="auto"/>
                    <w:jc w:val="center"/>
                    <w:rPr>
                      <w:rFonts w:hint="eastAsia" w:cs="宋体"/>
                      <w:color w:val="auto"/>
                      <w:sz w:val="21"/>
                      <w:szCs w:val="21"/>
                      <w:highlight w:val="none"/>
                      <w:lang w:bidi="ar"/>
                    </w:rPr>
                  </w:pPr>
                  <w:r>
                    <w:rPr>
                      <w:rFonts w:hint="eastAsia" w:cs="宋体"/>
                      <w:color w:val="auto"/>
                      <w:sz w:val="21"/>
                      <w:szCs w:val="21"/>
                      <w:highlight w:val="none"/>
                      <w:lang w:bidi="ar"/>
                    </w:rPr>
                    <w:t>符合</w:t>
                  </w:r>
                </w:p>
              </w:tc>
            </w:tr>
          </w:tbl>
          <w:p>
            <w:pPr>
              <w:autoSpaceDE w:val="0"/>
              <w:autoSpaceDN w:val="0"/>
              <w:adjustRightInd w:val="0"/>
              <w:snapToGrid w:val="0"/>
              <w:jc w:val="both"/>
              <w:rPr>
                <w:rFonts w:hint="default" w:ascii="Times New Roman" w:hAnsi="Times New Roman" w:eastAsia="宋体" w:cs="Times New Roman"/>
                <w:color w:val="auto"/>
                <w:kern w:val="0"/>
                <w:sz w:val="24"/>
                <w:szCs w:val="24"/>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pct"/>
            <w:vMerge w:val="restart"/>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其他符合性分析</w:t>
            </w:r>
          </w:p>
        </w:tc>
        <w:tc>
          <w:tcPr>
            <w:tcW w:w="42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color w:val="auto"/>
                <w:kern w:val="0"/>
                <w:sz w:val="24"/>
                <w:szCs w:val="24"/>
                <w:highlight w:val="none"/>
                <w:lang w:val="en-US" w:eastAsia="zh-CN" w:bidi="ar-SA"/>
              </w:rPr>
              <w:t>1、项目与相关政策符合性分析</w:t>
            </w:r>
          </w:p>
          <w:p>
            <w:pPr>
              <w:spacing w:line="360" w:lineRule="auto"/>
              <w:ind w:firstLine="480" w:firstLineChars="200"/>
              <w:jc w:val="both"/>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本项目符合《产业结构调整指导目录（2019年本）》（2021年修正）、《陕西省“两高”项目管理暂行目录（2</w:t>
            </w:r>
            <w:r>
              <w:rPr>
                <w:rFonts w:hint="default" w:ascii="Times New Roman" w:hAnsi="Times New Roman" w:eastAsia="宋体" w:cs="Times New Roman"/>
                <w:color w:val="auto"/>
                <w:kern w:val="0"/>
                <w:sz w:val="24"/>
                <w:szCs w:val="24"/>
                <w:highlight w:val="none"/>
                <w:lang w:val="en-US" w:eastAsia="zh-CN" w:bidi="ar-SA"/>
              </w:rPr>
              <w:t>022</w:t>
            </w:r>
            <w:r>
              <w:rPr>
                <w:rFonts w:hint="eastAsia" w:ascii="Times New Roman" w:hAnsi="Times New Roman" w:eastAsia="宋体" w:cs="Times New Roman"/>
                <w:color w:val="auto"/>
                <w:kern w:val="0"/>
                <w:sz w:val="24"/>
                <w:szCs w:val="24"/>
                <w:highlight w:val="none"/>
                <w:lang w:val="en-US" w:eastAsia="zh-CN" w:bidi="ar-SA"/>
              </w:rPr>
              <w:t>年版）》、《环境保护综合名录（2</w:t>
            </w:r>
            <w:r>
              <w:rPr>
                <w:rFonts w:hint="default" w:ascii="Times New Roman" w:hAnsi="Times New Roman" w:eastAsia="宋体" w:cs="Times New Roman"/>
                <w:color w:val="auto"/>
                <w:kern w:val="0"/>
                <w:sz w:val="24"/>
                <w:szCs w:val="24"/>
                <w:highlight w:val="none"/>
                <w:lang w:val="en-US" w:eastAsia="zh-CN" w:bidi="ar-SA"/>
              </w:rPr>
              <w:t>021</w:t>
            </w:r>
            <w:r>
              <w:rPr>
                <w:rFonts w:hint="eastAsia" w:ascii="Times New Roman" w:hAnsi="Times New Roman" w:eastAsia="宋体" w:cs="Times New Roman"/>
                <w:color w:val="auto"/>
                <w:kern w:val="0"/>
                <w:sz w:val="24"/>
                <w:szCs w:val="24"/>
                <w:highlight w:val="none"/>
                <w:lang w:val="en-US" w:eastAsia="zh-CN" w:bidi="ar-SA"/>
              </w:rPr>
              <w:t>年版）》等相关规定，具体见表1-</w:t>
            </w:r>
            <w:r>
              <w:rPr>
                <w:rFonts w:hint="eastAsia" w:cs="Times New Roman"/>
                <w:color w:val="auto"/>
                <w:kern w:val="0"/>
                <w:sz w:val="24"/>
                <w:szCs w:val="24"/>
                <w:highlight w:val="none"/>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w:t>
            </w:r>
          </w:p>
          <w:p>
            <w:pPr>
              <w:pStyle w:val="3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本项目已于</w:t>
            </w:r>
            <w:r>
              <w:rPr>
                <w:rFonts w:hint="eastAsia" w:ascii="Times New Roman" w:hAnsi="Times New Roman" w:cs="Times New Roman"/>
                <w:color w:val="auto"/>
                <w:kern w:val="0"/>
                <w:sz w:val="24"/>
                <w:szCs w:val="24"/>
                <w:highlight w:val="none"/>
                <w:lang w:val="en-US" w:eastAsia="zh-CN" w:bidi="ar-SA"/>
              </w:rPr>
              <w:t>2022年10月31日取得西咸新区秦汉新城管理委员会备案确认书，项目代码：2019-611204-30-03-046583。</w:t>
            </w:r>
          </w:p>
          <w:p>
            <w:pPr>
              <w:spacing w:line="360" w:lineRule="auto"/>
              <w:jc w:val="center"/>
              <w:rPr>
                <w:rFonts w:cs="宋体"/>
                <w:b/>
                <w:color w:val="auto"/>
                <w:szCs w:val="21"/>
                <w:highlight w:val="none"/>
                <w:lang w:bidi="ar"/>
              </w:rPr>
            </w:pPr>
            <w:r>
              <w:rPr>
                <w:rFonts w:hint="eastAsia" w:cs="宋体"/>
                <w:b/>
                <w:color w:val="auto"/>
                <w:szCs w:val="21"/>
                <w:highlight w:val="none"/>
                <w:lang w:bidi="ar"/>
              </w:rPr>
              <w:t>表</w:t>
            </w:r>
            <w:r>
              <w:rPr>
                <w:b/>
                <w:color w:val="auto"/>
                <w:szCs w:val="21"/>
                <w:highlight w:val="none"/>
                <w:lang w:bidi="ar"/>
              </w:rPr>
              <w:t>1-</w:t>
            </w:r>
            <w:r>
              <w:rPr>
                <w:rFonts w:hint="eastAsia"/>
                <w:b/>
                <w:color w:val="auto"/>
                <w:szCs w:val="21"/>
                <w:highlight w:val="none"/>
                <w:lang w:val="en-US" w:eastAsia="zh-CN" w:bidi="ar"/>
              </w:rPr>
              <w:t>2</w:t>
            </w:r>
            <w:r>
              <w:rPr>
                <w:b/>
                <w:color w:val="auto"/>
                <w:szCs w:val="21"/>
                <w:highlight w:val="none"/>
                <w:lang w:bidi="ar"/>
              </w:rPr>
              <w:t xml:space="preserve"> </w:t>
            </w:r>
            <w:r>
              <w:rPr>
                <w:rFonts w:hint="eastAsia" w:cs="宋体"/>
                <w:b/>
                <w:color w:val="auto"/>
                <w:szCs w:val="21"/>
                <w:highlight w:val="none"/>
                <w:lang w:eastAsia="zh-CN" w:bidi="ar"/>
              </w:rPr>
              <w:t>产业政策</w:t>
            </w:r>
            <w:r>
              <w:rPr>
                <w:rFonts w:hint="eastAsia" w:cs="宋体"/>
                <w:b/>
                <w:color w:val="auto"/>
                <w:szCs w:val="21"/>
                <w:highlight w:val="none"/>
                <w:lang w:bidi="ar"/>
              </w:rPr>
              <w:t>符合性分析一览表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89"/>
              <w:gridCol w:w="2716"/>
              <w:gridCol w:w="2012"/>
              <w:gridCol w:w="90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6"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相关政策文件</w:t>
                  </w:r>
                </w:p>
              </w:tc>
              <w:tc>
                <w:tcPr>
                  <w:tcW w:w="1806"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要求</w:t>
                  </w:r>
                </w:p>
              </w:tc>
              <w:tc>
                <w:tcPr>
                  <w:tcW w:w="1337"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本项目符合情况</w:t>
                  </w:r>
                </w:p>
              </w:tc>
              <w:tc>
                <w:tcPr>
                  <w:tcW w:w="599"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56" w:hRule="atLeast"/>
                <w:jc w:val="center"/>
              </w:trPr>
              <w:tc>
                <w:tcPr>
                  <w:tcW w:w="1256" w:type="pct"/>
                  <w:shd w:val="clear" w:color="auto" w:fill="auto"/>
                  <w:vAlign w:val="center"/>
                </w:tcPr>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《产业结构调整指导目录（2019年本）》</w:t>
                  </w:r>
                  <w:r>
                    <w:rPr>
                      <w:rFonts w:hint="default" w:ascii="Times New Roman" w:hAnsi="Times New Roman" w:eastAsia="宋体" w:cs="Times New Roman"/>
                      <w:bCs/>
                      <w:color w:val="auto"/>
                      <w:sz w:val="21"/>
                      <w:szCs w:val="21"/>
                      <w:highlight w:val="none"/>
                      <w:lang w:val="en-US" w:eastAsia="zh-CN"/>
                    </w:rPr>
                    <w:t>（2021年修正）</w:t>
                  </w:r>
                </w:p>
              </w:tc>
              <w:tc>
                <w:tcPr>
                  <w:tcW w:w="3144" w:type="pct"/>
                  <w:gridSpan w:val="2"/>
                  <w:shd w:val="clear" w:color="auto" w:fill="auto"/>
                  <w:vAlign w:val="center"/>
                </w:tcPr>
                <w:p>
                  <w:pPr>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本项目不属于《产业结构调整指导目录（2019年本）》</w:t>
                  </w:r>
                  <w:r>
                    <w:rPr>
                      <w:rFonts w:hint="default" w:ascii="Times New Roman" w:hAnsi="Times New Roman" w:eastAsia="宋体" w:cs="Times New Roman"/>
                      <w:bCs/>
                      <w:color w:val="auto"/>
                      <w:sz w:val="21"/>
                      <w:szCs w:val="21"/>
                      <w:highlight w:val="none"/>
                      <w:lang w:val="en-US" w:eastAsia="zh-CN"/>
                    </w:rPr>
                    <w:t>（2021年修正）</w:t>
                  </w:r>
                  <w:r>
                    <w:rPr>
                      <w:rFonts w:hint="default" w:ascii="Times New Roman" w:hAnsi="Times New Roman" w:eastAsia="宋体" w:cs="Times New Roman"/>
                      <w:bCs/>
                      <w:color w:val="auto"/>
                      <w:sz w:val="21"/>
                      <w:szCs w:val="21"/>
                      <w:highlight w:val="none"/>
                    </w:rPr>
                    <w:t>的决定中“鼓励类、限制类及淘汰类”项目，亦不在《陕西省限制投资类产业指导目录》之列，为允许类项目。</w:t>
                  </w:r>
                </w:p>
              </w:tc>
              <w:tc>
                <w:tcPr>
                  <w:tcW w:w="599" w:type="pct"/>
                  <w:shd w:val="clear" w:color="auto" w:fill="auto"/>
                  <w:vAlign w:val="center"/>
                </w:tcPr>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6" w:type="pct"/>
                  <w:shd w:val="clear" w:color="auto" w:fill="auto"/>
                  <w:vAlign w:val="center"/>
                </w:tcPr>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《陕西省“两高”项目管理暂行目录（2022年版）》</w:t>
                  </w:r>
                </w:p>
              </w:tc>
              <w:tc>
                <w:tcPr>
                  <w:tcW w:w="3144" w:type="pct"/>
                  <w:gridSpan w:val="2"/>
                  <w:shd w:val="clear" w:color="auto" w:fill="auto"/>
                  <w:vAlign w:val="center"/>
                </w:tcPr>
                <w:p>
                  <w:pPr>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本项目国民经济行业类别为</w:t>
                  </w:r>
                  <w:r>
                    <w:rPr>
                      <w:rFonts w:hint="default" w:ascii="Times New Roman" w:hAnsi="Times New Roman" w:eastAsia="宋体" w:cs="Times New Roman"/>
                      <w:bCs/>
                      <w:color w:val="auto"/>
                      <w:sz w:val="21"/>
                      <w:szCs w:val="21"/>
                      <w:highlight w:val="none"/>
                      <w:lang w:val="en-US" w:eastAsia="zh-CN"/>
                    </w:rPr>
                    <w:t>C3029其他水泥类似制品制造</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不属于陕西省“两高”项目</w:t>
                  </w:r>
                </w:p>
              </w:tc>
              <w:tc>
                <w:tcPr>
                  <w:tcW w:w="599" w:type="pct"/>
                  <w:shd w:val="clear" w:color="auto" w:fill="auto"/>
                  <w:vAlign w:val="center"/>
                </w:tcPr>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7" w:hRule="atLeast"/>
                <w:jc w:val="center"/>
              </w:trPr>
              <w:tc>
                <w:tcPr>
                  <w:tcW w:w="1256" w:type="pct"/>
                  <w:shd w:val="clear" w:color="auto" w:fill="auto"/>
                  <w:vAlign w:val="center"/>
                </w:tcPr>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《环境保护综合名录（2021年版）》</w:t>
                  </w:r>
                </w:p>
              </w:tc>
              <w:tc>
                <w:tcPr>
                  <w:tcW w:w="3144" w:type="pct"/>
                  <w:gridSpan w:val="2"/>
                  <w:shd w:val="clear" w:color="auto" w:fill="auto"/>
                  <w:vAlign w:val="center"/>
                </w:tcPr>
                <w:p>
                  <w:pPr>
                    <w:jc w:val="both"/>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本项目主要产品为混凝，不属于《环境保护综合名录（2021年版）》中“高污染、高环境风险”产品</w:t>
                  </w:r>
                  <w:r>
                    <w:rPr>
                      <w:rFonts w:hint="eastAsia" w:ascii="Times New Roman" w:hAnsi="Times New Roman" w:eastAsia="宋体" w:cs="Times New Roman"/>
                      <w:bCs/>
                      <w:color w:val="auto"/>
                      <w:sz w:val="21"/>
                      <w:szCs w:val="21"/>
                      <w:highlight w:val="none"/>
                      <w:lang w:eastAsia="zh-CN"/>
                    </w:rPr>
                    <w:t>。</w:t>
                  </w:r>
                </w:p>
              </w:tc>
              <w:tc>
                <w:tcPr>
                  <w:tcW w:w="599" w:type="pct"/>
                  <w:shd w:val="clear" w:color="auto" w:fill="auto"/>
                  <w:vAlign w:val="center"/>
                </w:tcPr>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6" w:type="pct"/>
                  <w:shd w:val="clear" w:color="auto" w:fill="auto"/>
                  <w:vAlign w:val="center"/>
                </w:tcPr>
                <w:p>
                  <w:pPr>
                    <w:jc w:val="center"/>
                    <w:rPr>
                      <w:rFonts w:hint="default" w:ascii="Times New Roman" w:hAnsi="Times New Roman" w:eastAsia="宋体" w:cs="Times New Roman"/>
                      <w:bCs/>
                      <w:color w:val="auto"/>
                      <w:sz w:val="21"/>
                      <w:szCs w:val="21"/>
                      <w:highlight w:val="none"/>
                    </w:rPr>
                  </w:pPr>
                </w:p>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《市场准入负面清单</w:t>
                  </w:r>
                </w:p>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（2022 年版）》</w:t>
                  </w:r>
                </w:p>
              </w:tc>
              <w:tc>
                <w:tcPr>
                  <w:tcW w:w="3144" w:type="pct"/>
                  <w:gridSpan w:val="2"/>
                  <w:shd w:val="clear" w:color="auto" w:fill="auto"/>
                  <w:vAlign w:val="center"/>
                </w:tcPr>
                <w:p>
                  <w:pPr>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本项目为商品混凝土行业，不属于《市场准入负面清单》（2022 年版）中禁止和许可两类事项，属于市场准入负面清单以外的行业，可依法平等进入。</w:t>
                  </w:r>
                </w:p>
              </w:tc>
              <w:tc>
                <w:tcPr>
                  <w:tcW w:w="599" w:type="pct"/>
                  <w:shd w:val="clear" w:color="auto" w:fill="auto"/>
                  <w:vAlign w:val="center"/>
                </w:tcPr>
                <w:p>
                  <w:pPr>
                    <w:jc w:val="center"/>
                    <w:rPr>
                      <w:rFonts w:hint="default" w:ascii="Times New Roman" w:hAnsi="Times New Roman" w:eastAsia="宋体" w:cs="Times New Roman"/>
                      <w:bCs/>
                      <w:color w:val="auto"/>
                      <w:sz w:val="21"/>
                      <w:szCs w:val="21"/>
                      <w:highlight w:val="none"/>
                    </w:rPr>
                  </w:pPr>
                </w:p>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33" w:hRule="atLeast"/>
                <w:jc w:val="center"/>
              </w:trPr>
              <w:tc>
                <w:tcPr>
                  <w:tcW w:w="1256" w:type="pct"/>
                  <w:shd w:val="clear" w:color="auto" w:fill="auto"/>
                  <w:vAlign w:val="center"/>
                </w:tcPr>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《陕西省限制投资类产业指导目录》（陕发改产业[2007]97 号）</w:t>
                  </w:r>
                </w:p>
              </w:tc>
              <w:tc>
                <w:tcPr>
                  <w:tcW w:w="3144" w:type="pct"/>
                  <w:gridSpan w:val="2"/>
                  <w:shd w:val="clear" w:color="auto" w:fill="auto"/>
                  <w:vAlign w:val="center"/>
                </w:tcPr>
                <w:p>
                  <w:pPr>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本项目不在《陕西省限制投资类产业指导目录》（陕发改产业[2007]97 号）</w:t>
                  </w:r>
                </w:p>
              </w:tc>
              <w:tc>
                <w:tcPr>
                  <w:tcW w:w="599" w:type="pct"/>
                  <w:shd w:val="clear" w:color="auto" w:fill="auto"/>
                  <w:vAlign w:val="center"/>
                </w:tcPr>
                <w:p>
                  <w:pPr>
                    <w:jc w:val="center"/>
                    <w:rPr>
                      <w:rFonts w:hint="default" w:ascii="Times New Roman" w:hAnsi="Times New Roman" w:eastAsia="宋体" w:cs="Times New Roman"/>
                      <w:bCs/>
                      <w:color w:val="auto"/>
                      <w:sz w:val="21"/>
                      <w:szCs w:val="21"/>
                      <w:highlight w:val="none"/>
                    </w:rPr>
                  </w:pPr>
                </w:p>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bl>
          <w:p>
            <w:pPr>
              <w:spacing w:line="360" w:lineRule="auto"/>
              <w:jc w:val="center"/>
              <w:rPr>
                <w:rFonts w:hint="eastAsia" w:ascii="Times New Roman" w:hAnsi="Times New Roman" w:cs="宋体"/>
                <w:b/>
                <w:color w:val="auto"/>
                <w:szCs w:val="21"/>
                <w:highlight w:val="none"/>
                <w:lang w:bidi="ar"/>
              </w:rPr>
            </w:pPr>
            <w:r>
              <w:rPr>
                <w:rFonts w:hint="eastAsia" w:ascii="Times New Roman" w:hAnsi="Times New Roman" w:cs="宋体"/>
                <w:b/>
                <w:color w:val="auto"/>
                <w:szCs w:val="21"/>
                <w:highlight w:val="none"/>
                <w:lang w:bidi="ar"/>
              </w:rPr>
              <w:t>表1-</w:t>
            </w:r>
            <w:r>
              <w:rPr>
                <w:rFonts w:hint="eastAsia" w:ascii="Times New Roman" w:hAnsi="Times New Roman" w:cs="宋体"/>
                <w:b/>
                <w:color w:val="auto"/>
                <w:szCs w:val="21"/>
                <w:highlight w:val="none"/>
                <w:lang w:val="en-US" w:eastAsia="zh-CN" w:bidi="ar"/>
              </w:rPr>
              <w:t xml:space="preserve">3 </w:t>
            </w:r>
            <w:r>
              <w:rPr>
                <w:rFonts w:hint="eastAsia" w:ascii="Times New Roman" w:hAnsi="Times New Roman" w:cs="宋体"/>
                <w:b/>
                <w:color w:val="auto"/>
                <w:szCs w:val="21"/>
                <w:highlight w:val="none"/>
                <w:lang w:eastAsia="zh-CN" w:bidi="ar"/>
              </w:rPr>
              <w:t>其他政策</w:t>
            </w:r>
            <w:r>
              <w:rPr>
                <w:rFonts w:hint="eastAsia" w:ascii="Times New Roman" w:hAnsi="Times New Roman" w:cs="宋体"/>
                <w:b/>
                <w:color w:val="auto"/>
                <w:szCs w:val="21"/>
                <w:highlight w:val="none"/>
                <w:lang w:bidi="ar"/>
              </w:rPr>
              <w:t>符合性分析一览表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700"/>
              <w:gridCol w:w="100"/>
              <w:gridCol w:w="2397"/>
              <w:gridCol w:w="1648"/>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7" w:type="pct"/>
                  <w:vAlign w:val="center"/>
                </w:tcPr>
                <w:p>
                  <w:pPr>
                    <w:jc w:val="center"/>
                    <w:rPr>
                      <w:rFonts w:hint="eastAsia"/>
                      <w:bCs/>
                      <w:color w:val="auto"/>
                      <w:kern w:val="24"/>
                      <w:sz w:val="21"/>
                      <w:szCs w:val="21"/>
                      <w:highlight w:val="none"/>
                    </w:rPr>
                  </w:pPr>
                  <w:r>
                    <w:rPr>
                      <w:b/>
                      <w:color w:val="auto"/>
                      <w:sz w:val="21"/>
                      <w:szCs w:val="21"/>
                      <w:highlight w:val="none"/>
                    </w:rPr>
                    <w:t>相关政策文件</w:t>
                  </w:r>
                </w:p>
              </w:tc>
              <w:tc>
                <w:tcPr>
                  <w:tcW w:w="2127" w:type="pct"/>
                  <w:gridSpan w:val="3"/>
                  <w:vAlign w:val="center"/>
                </w:tcPr>
                <w:p>
                  <w:pPr>
                    <w:jc w:val="center"/>
                    <w:rPr>
                      <w:rFonts w:hint="eastAsia"/>
                      <w:bCs/>
                      <w:color w:val="auto"/>
                      <w:sz w:val="21"/>
                      <w:szCs w:val="21"/>
                      <w:highlight w:val="none"/>
                    </w:rPr>
                  </w:pPr>
                  <w:r>
                    <w:rPr>
                      <w:b/>
                      <w:color w:val="auto"/>
                      <w:sz w:val="21"/>
                      <w:szCs w:val="21"/>
                      <w:highlight w:val="none"/>
                    </w:rPr>
                    <w:t>要求</w:t>
                  </w:r>
                </w:p>
              </w:tc>
              <w:tc>
                <w:tcPr>
                  <w:tcW w:w="1096" w:type="pct"/>
                  <w:vAlign w:val="center"/>
                </w:tcPr>
                <w:p>
                  <w:pPr>
                    <w:jc w:val="center"/>
                    <w:rPr>
                      <w:rFonts w:hint="eastAsia"/>
                      <w:color w:val="auto"/>
                      <w:sz w:val="21"/>
                      <w:szCs w:val="21"/>
                      <w:highlight w:val="none"/>
                    </w:rPr>
                  </w:pPr>
                  <w:r>
                    <w:rPr>
                      <w:b/>
                      <w:color w:val="auto"/>
                      <w:sz w:val="21"/>
                      <w:szCs w:val="21"/>
                      <w:highlight w:val="none"/>
                    </w:rPr>
                    <w:t>本项目符合情况</w:t>
                  </w:r>
                </w:p>
              </w:tc>
              <w:tc>
                <w:tcPr>
                  <w:tcW w:w="518" w:type="pct"/>
                  <w:vAlign w:val="center"/>
                </w:tcPr>
                <w:p>
                  <w:pPr>
                    <w:jc w:val="center"/>
                    <w:rPr>
                      <w:rFonts w:hint="eastAsia"/>
                      <w:bCs/>
                      <w:color w:val="auto"/>
                      <w:kern w:val="24"/>
                      <w:sz w:val="21"/>
                      <w:szCs w:val="21"/>
                      <w:highlight w:val="none"/>
                    </w:rPr>
                  </w:pPr>
                  <w:r>
                    <w:rPr>
                      <w:b/>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7" w:type="pct"/>
                  <w:vMerge w:val="restart"/>
                  <w:vAlign w:val="center"/>
                </w:tcPr>
                <w:p>
                  <w:pPr>
                    <w:jc w:val="center"/>
                    <w:rPr>
                      <w:color w:val="auto"/>
                      <w:highlight w:val="none"/>
                      <w:vertAlign w:val="baseline"/>
                    </w:rPr>
                  </w:pPr>
                  <w:r>
                    <w:rPr>
                      <w:rFonts w:hint="eastAsia"/>
                      <w:color w:val="auto"/>
                      <w:sz w:val="21"/>
                      <w:szCs w:val="21"/>
                      <w:highlight w:val="none"/>
                    </w:rPr>
                    <w:t>《西安市“十四五”生态环境保护规划》</w:t>
                  </w:r>
                  <w:r>
                    <w:rPr>
                      <w:rFonts w:hint="default" w:ascii="Times New Roman" w:hAnsi="Times New Roman" w:eastAsia="宋体" w:cs="Times New Roman"/>
                      <w:color w:val="auto"/>
                      <w:sz w:val="21"/>
                      <w:szCs w:val="21"/>
                      <w:highlight w:val="none"/>
                      <w:lang w:val="en-US" w:eastAsia="zh-CN"/>
                    </w:rPr>
                    <w:t>（市政办发〔2021〕21号）</w:t>
                  </w:r>
                </w:p>
              </w:tc>
              <w:tc>
                <w:tcPr>
                  <w:tcW w:w="532" w:type="pct"/>
                  <w:gridSpan w:val="2"/>
                  <w:vAlign w:val="center"/>
                </w:tcPr>
                <w:p>
                  <w:pPr>
                    <w:jc w:val="center"/>
                    <w:rPr>
                      <w:color w:val="auto"/>
                      <w:highlight w:val="none"/>
                      <w:vertAlign w:val="baseline"/>
                    </w:rPr>
                  </w:pPr>
                  <w:r>
                    <w:rPr>
                      <w:rFonts w:hint="eastAsia"/>
                      <w:bCs/>
                      <w:color w:val="auto"/>
                      <w:sz w:val="21"/>
                      <w:szCs w:val="21"/>
                      <w:highlight w:val="none"/>
                    </w:rPr>
                    <w:t>控制温室气体排放</w:t>
                  </w:r>
                </w:p>
              </w:tc>
              <w:tc>
                <w:tcPr>
                  <w:tcW w:w="1594" w:type="pct"/>
                  <w:vAlign w:val="center"/>
                </w:tcPr>
                <w:p>
                  <w:pPr>
                    <w:rPr>
                      <w:rFonts w:hint="eastAsia" w:eastAsia="宋体"/>
                      <w:color w:val="auto"/>
                      <w:highlight w:val="none"/>
                      <w:lang w:eastAsia="zh-CN"/>
                    </w:rPr>
                  </w:pPr>
                  <w:r>
                    <w:rPr>
                      <w:rFonts w:hint="eastAsia"/>
                      <w:bCs/>
                      <w:color w:val="auto"/>
                      <w:sz w:val="21"/>
                      <w:szCs w:val="21"/>
                      <w:highlight w:val="none"/>
                    </w:rPr>
                    <w:t>构建绿色低碳建筑体系，全面推进建筑低碳化发展，大力发展被动式超低能耗建筑及装配式建筑</w:t>
                  </w:r>
                  <w:r>
                    <w:rPr>
                      <w:rFonts w:hint="eastAsia"/>
                      <w:bCs/>
                      <w:color w:val="auto"/>
                      <w:sz w:val="21"/>
                      <w:szCs w:val="21"/>
                      <w:highlight w:val="none"/>
                      <w:lang w:eastAsia="zh-CN"/>
                    </w:rPr>
                    <w:t>。</w:t>
                  </w:r>
                </w:p>
              </w:tc>
              <w:tc>
                <w:tcPr>
                  <w:tcW w:w="1096" w:type="pct"/>
                  <w:vAlign w:val="center"/>
                </w:tcPr>
                <w:p>
                  <w:pPr>
                    <w:rPr>
                      <w:color w:val="auto"/>
                      <w:highlight w:val="none"/>
                      <w:vertAlign w:val="baseline"/>
                    </w:rPr>
                  </w:pPr>
                  <w:r>
                    <w:rPr>
                      <w:rFonts w:hint="eastAsia"/>
                      <w:color w:val="auto"/>
                      <w:sz w:val="21"/>
                      <w:szCs w:val="21"/>
                      <w:highlight w:val="none"/>
                    </w:rPr>
                    <w:t>本项目产品符合绿色低碳建筑。</w:t>
                  </w:r>
                </w:p>
              </w:tc>
              <w:tc>
                <w:tcPr>
                  <w:tcW w:w="518" w:type="pct"/>
                  <w:vAlign w:val="center"/>
                </w:tcPr>
                <w:p>
                  <w:pPr>
                    <w:jc w:val="center"/>
                    <w:rPr>
                      <w:color w:val="auto"/>
                      <w:highlight w:val="none"/>
                      <w:vertAlign w:val="baseline"/>
                    </w:rPr>
                  </w:pPr>
                  <w:r>
                    <w:rPr>
                      <w:rFonts w:hint="eastAsia"/>
                      <w:bCs/>
                      <w:color w:val="auto"/>
                      <w:kern w:val="24"/>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7" w:type="pct"/>
                  <w:vMerge w:val="continue"/>
                  <w:vAlign w:val="center"/>
                </w:tcPr>
                <w:p>
                  <w:pPr>
                    <w:jc w:val="center"/>
                    <w:rPr>
                      <w:color w:val="auto"/>
                      <w:highlight w:val="none"/>
                      <w:vertAlign w:val="baseline"/>
                    </w:rPr>
                  </w:pPr>
                </w:p>
              </w:tc>
              <w:tc>
                <w:tcPr>
                  <w:tcW w:w="532" w:type="pct"/>
                  <w:gridSpan w:val="2"/>
                  <w:vAlign w:val="center"/>
                </w:tcPr>
                <w:p>
                  <w:pPr>
                    <w:pStyle w:val="4"/>
                    <w:spacing w:line="240" w:lineRule="auto"/>
                    <w:ind w:firstLine="0" w:firstLineChars="0"/>
                    <w:jc w:val="center"/>
                    <w:rPr>
                      <w:color w:val="auto"/>
                      <w:highlight w:val="none"/>
                      <w:vertAlign w:val="baseline"/>
                    </w:rPr>
                  </w:pPr>
                  <w:r>
                    <w:rPr>
                      <w:rFonts w:hint="eastAsia" w:ascii="Times New Roman" w:hAnsi="Times New Roman" w:eastAsia="宋体"/>
                      <w:b w:val="0"/>
                      <w:bCs/>
                      <w:color w:val="auto"/>
                      <w:sz w:val="21"/>
                      <w:szCs w:val="21"/>
                      <w:highlight w:val="none"/>
                    </w:rPr>
                    <w:t>工业企业噪声防治</w:t>
                  </w:r>
                </w:p>
              </w:tc>
              <w:tc>
                <w:tcPr>
                  <w:tcW w:w="1594" w:type="pct"/>
                  <w:vAlign w:val="center"/>
                </w:tcPr>
                <w:p>
                  <w:pPr>
                    <w:pStyle w:val="4"/>
                    <w:spacing w:line="240" w:lineRule="auto"/>
                    <w:ind w:firstLine="0" w:firstLineChars="0"/>
                    <w:rPr>
                      <w:rFonts w:hint="eastAsia" w:eastAsia="宋体"/>
                      <w:color w:val="auto"/>
                      <w:highlight w:val="none"/>
                      <w:lang w:val="en-US" w:eastAsia="zh-CN"/>
                    </w:rPr>
                  </w:pPr>
                  <w:r>
                    <w:rPr>
                      <w:rFonts w:hint="eastAsia" w:ascii="Times New Roman" w:hAnsi="Times New Roman" w:eastAsia="宋体"/>
                      <w:b w:val="0"/>
                      <w:bCs/>
                      <w:color w:val="auto"/>
                      <w:sz w:val="21"/>
                      <w:szCs w:val="21"/>
                      <w:highlight w:val="none"/>
                    </w:rPr>
                    <w:t>加强工业噪声环境监管力度，严厉查处工业企业噪声排放超标扰民行为</w:t>
                  </w:r>
                  <w:r>
                    <w:rPr>
                      <w:rFonts w:hint="eastAsia" w:ascii="Times New Roman" w:hAnsi="Times New Roman"/>
                      <w:b w:val="0"/>
                      <w:bCs/>
                      <w:color w:val="auto"/>
                      <w:sz w:val="21"/>
                      <w:szCs w:val="21"/>
                      <w:highlight w:val="none"/>
                      <w:lang w:eastAsia="zh-CN"/>
                    </w:rPr>
                    <w:t>。</w:t>
                  </w:r>
                </w:p>
              </w:tc>
              <w:tc>
                <w:tcPr>
                  <w:tcW w:w="1096" w:type="pct"/>
                  <w:vAlign w:val="center"/>
                </w:tcPr>
                <w:p>
                  <w:pPr>
                    <w:rPr>
                      <w:color w:val="auto"/>
                      <w:highlight w:val="none"/>
                      <w:vertAlign w:val="baseline"/>
                    </w:rPr>
                  </w:pPr>
                  <w:r>
                    <w:rPr>
                      <w:rFonts w:hint="eastAsia"/>
                      <w:color w:val="auto"/>
                      <w:sz w:val="21"/>
                      <w:szCs w:val="21"/>
                      <w:highlight w:val="none"/>
                    </w:rPr>
                    <w:t>本项目设备采取建筑隔音、减振、合理布局等措施，对周围环境影响较小。</w:t>
                  </w:r>
                </w:p>
              </w:tc>
              <w:tc>
                <w:tcPr>
                  <w:tcW w:w="518" w:type="pct"/>
                  <w:vAlign w:val="center"/>
                </w:tcPr>
                <w:p>
                  <w:pPr>
                    <w:jc w:val="center"/>
                    <w:rPr>
                      <w:color w:val="auto"/>
                      <w:highlight w:val="none"/>
                      <w:vertAlign w:val="baseline"/>
                    </w:rPr>
                  </w:pPr>
                  <w:r>
                    <w:rPr>
                      <w:rFonts w:hint="eastAsia"/>
                      <w:bCs/>
                      <w:color w:val="auto"/>
                      <w:kern w:val="24"/>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7" w:type="pct"/>
                  <w:vMerge w:val="restart"/>
                  <w:vAlign w:val="center"/>
                </w:tcPr>
                <w:p>
                  <w:pPr>
                    <w:jc w:val="center"/>
                    <w:rPr>
                      <w:color w:val="auto"/>
                      <w:highlight w:val="none"/>
                      <w:vertAlign w:val="baseline"/>
                    </w:rPr>
                  </w:pPr>
                  <w:r>
                    <w:rPr>
                      <w:rFonts w:hint="eastAsia"/>
                      <w:color w:val="auto"/>
                      <w:sz w:val="21"/>
                      <w:szCs w:val="21"/>
                      <w:highlight w:val="none"/>
                      <w:shd w:val="clear" w:color="auto" w:fill="FFFFFF"/>
                    </w:rPr>
                    <w:t>《陕西省“十四五”生态环境保护规划》</w:t>
                  </w:r>
                  <w:r>
                    <w:rPr>
                      <w:rFonts w:hint="default" w:ascii="Times New Roman" w:hAnsi="Times New Roman" w:eastAsia="宋体" w:cs="Times New Roman"/>
                      <w:color w:val="auto"/>
                      <w:sz w:val="21"/>
                      <w:szCs w:val="21"/>
                      <w:highlight w:val="none"/>
                      <w:lang w:val="en-US" w:eastAsia="zh-CN"/>
                    </w:rPr>
                    <w:t>保护规划》（陕政办发〔2021〕25号）</w:t>
                  </w:r>
                </w:p>
              </w:tc>
              <w:tc>
                <w:tcPr>
                  <w:tcW w:w="2127" w:type="pct"/>
                  <w:gridSpan w:val="3"/>
                  <w:vAlign w:val="center"/>
                </w:tcPr>
                <w:p>
                  <w:pPr>
                    <w:pStyle w:val="4"/>
                    <w:spacing w:line="240" w:lineRule="auto"/>
                    <w:ind w:firstLine="0" w:firstLineChars="0"/>
                    <w:rPr>
                      <w:color w:val="auto"/>
                      <w:highlight w:val="none"/>
                      <w:vertAlign w:val="baseline"/>
                    </w:rPr>
                  </w:pPr>
                  <w:r>
                    <w:rPr>
                      <w:rFonts w:hint="eastAsia" w:ascii="Times New Roman" w:hAnsi="Times New Roman" w:eastAsia="宋体"/>
                      <w:b w:val="0"/>
                      <w:color w:val="auto"/>
                      <w:sz w:val="21"/>
                      <w:szCs w:val="21"/>
                      <w:highlight w:val="none"/>
                      <w:u w:color="000000"/>
                    </w:rPr>
                    <w:t>以钢铁、焦化、建材、有色、石化、化工、工业涂装、包装印刷、石油开采、农副产品加工等行业为重点，开展全程清洁化、循环化、低碳化改造，促进传统产业绿色转型升级。</w:t>
                  </w:r>
                </w:p>
              </w:tc>
              <w:tc>
                <w:tcPr>
                  <w:tcW w:w="1096" w:type="pct"/>
                  <w:vAlign w:val="center"/>
                </w:tcPr>
                <w:p>
                  <w:pPr>
                    <w:rPr>
                      <w:color w:val="auto"/>
                      <w:highlight w:val="none"/>
                      <w:vertAlign w:val="baseline"/>
                    </w:rPr>
                  </w:pPr>
                  <w:r>
                    <w:rPr>
                      <w:rFonts w:hint="eastAsia"/>
                      <w:color w:val="auto"/>
                      <w:sz w:val="21"/>
                      <w:szCs w:val="21"/>
                      <w:highlight w:val="none"/>
                      <w:u w:color="000000"/>
                    </w:rPr>
                    <w:t>本项目为建筑材料制造，所用原料均外购，最大程度达到循环利用。</w:t>
                  </w:r>
                </w:p>
              </w:tc>
              <w:tc>
                <w:tcPr>
                  <w:tcW w:w="518" w:type="pct"/>
                  <w:vAlign w:val="center"/>
                </w:tcPr>
                <w:p>
                  <w:pPr>
                    <w:jc w:val="center"/>
                    <w:rPr>
                      <w:color w:val="auto"/>
                      <w:highlight w:val="none"/>
                      <w:vertAlign w:val="baseline"/>
                    </w:rPr>
                  </w:pPr>
                  <w:r>
                    <w:rPr>
                      <w:rFonts w:hint="eastAsia"/>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0" w:hRule="atLeast"/>
              </w:trPr>
              <w:tc>
                <w:tcPr>
                  <w:tcW w:w="1257" w:type="pct"/>
                  <w:vMerge w:val="continue"/>
                  <w:vAlign w:val="center"/>
                </w:tcPr>
                <w:p>
                  <w:pPr>
                    <w:jc w:val="center"/>
                    <w:rPr>
                      <w:rFonts w:hint="eastAsia"/>
                      <w:color w:val="auto"/>
                      <w:sz w:val="21"/>
                      <w:szCs w:val="21"/>
                      <w:highlight w:val="none"/>
                      <w:shd w:val="clear" w:color="auto" w:fill="FFFFFF"/>
                    </w:rPr>
                  </w:pPr>
                </w:p>
              </w:tc>
              <w:tc>
                <w:tcPr>
                  <w:tcW w:w="2127" w:type="pct"/>
                  <w:gridSpan w:val="3"/>
                  <w:vAlign w:val="center"/>
                </w:tcPr>
                <w:p>
                  <w:pPr>
                    <w:pStyle w:val="4"/>
                    <w:spacing w:line="240" w:lineRule="auto"/>
                    <w:ind w:firstLine="0" w:firstLineChars="0"/>
                    <w:rPr>
                      <w:rFonts w:hint="eastAsia" w:ascii="Times New Roman" w:hAnsi="Times New Roman" w:eastAsia="宋体"/>
                      <w:b w:val="0"/>
                      <w:color w:val="auto"/>
                      <w:sz w:val="21"/>
                      <w:szCs w:val="21"/>
                      <w:highlight w:val="none"/>
                      <w:u w:color="000000"/>
                    </w:rPr>
                  </w:pPr>
                  <w:r>
                    <w:rPr>
                      <w:rFonts w:hint="eastAsia" w:ascii="Times New Roman" w:hAnsi="Times New Roman" w:eastAsia="宋体"/>
                      <w:b w:val="0"/>
                      <w:color w:val="auto"/>
                      <w:sz w:val="21"/>
                      <w:szCs w:val="21"/>
                      <w:highlight w:val="none"/>
                      <w:u w:color="000000"/>
                    </w:rPr>
                    <w:t>大型煤炭、矿石、干散货堆场，全面完成抑尘设施建设和物料输送系统封闭改造。鼓励有条件的堆场实施全封闭改造。</w:t>
                  </w:r>
                </w:p>
              </w:tc>
              <w:tc>
                <w:tcPr>
                  <w:tcW w:w="1096" w:type="pct"/>
                  <w:vAlign w:val="center"/>
                </w:tcPr>
                <w:p>
                  <w:pPr>
                    <w:rPr>
                      <w:rFonts w:hint="eastAsia"/>
                      <w:color w:val="auto"/>
                      <w:sz w:val="21"/>
                      <w:szCs w:val="21"/>
                      <w:highlight w:val="none"/>
                      <w:u w:color="000000"/>
                    </w:rPr>
                  </w:pPr>
                  <w:r>
                    <w:rPr>
                      <w:rFonts w:hint="eastAsia"/>
                      <w:color w:val="auto"/>
                      <w:sz w:val="21"/>
                      <w:szCs w:val="21"/>
                      <w:highlight w:val="none"/>
                      <w:u w:color="000000"/>
                    </w:rPr>
                    <w:t>本项目对料棚进行封闭处理并于料棚顶部加装喷淋设备。厂区定时洒水抑尘。在水泥筒仓仓顶设置除尘设备。在生产过程中，骨料、粉料密闭输送，并在卸料口配有集气罩，拌合楼配有引风管道，并安装有袋式除尘系统。</w:t>
                  </w:r>
                </w:p>
              </w:tc>
              <w:tc>
                <w:tcPr>
                  <w:tcW w:w="518" w:type="pct"/>
                  <w:vAlign w:val="center"/>
                </w:tcPr>
                <w:p>
                  <w:pPr>
                    <w:jc w:val="center"/>
                    <w:rPr>
                      <w:rFonts w:hint="eastAsia"/>
                      <w:color w:val="auto"/>
                      <w:sz w:val="21"/>
                      <w:szCs w:val="21"/>
                      <w:highlight w:val="none"/>
                    </w:rPr>
                  </w:pPr>
                  <w:r>
                    <w:rPr>
                      <w:rFonts w:hint="eastAsia"/>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7" w:type="pct"/>
                  <w:vAlign w:val="center"/>
                </w:tcPr>
                <w:p>
                  <w:pPr>
                    <w:jc w:val="center"/>
                    <w:rPr>
                      <w:rFonts w:hint="eastAsia"/>
                      <w:color w:val="auto"/>
                      <w:sz w:val="21"/>
                      <w:szCs w:val="21"/>
                      <w:highlight w:val="none"/>
                      <w:shd w:val="clear" w:color="auto" w:fill="FFFFFF"/>
                    </w:rPr>
                  </w:pPr>
                  <w:r>
                    <w:rPr>
                      <w:rFonts w:hint="default" w:ascii="Times New Roman" w:hAnsi="Times New Roman" w:eastAsia="宋体" w:cs="Times New Roman"/>
                      <w:color w:val="auto"/>
                      <w:sz w:val="21"/>
                      <w:szCs w:val="21"/>
                      <w:highlight w:val="none"/>
                      <w:lang w:val="en-US" w:eastAsia="zh-CN"/>
                    </w:rPr>
                    <w:t>《陕西省蓝天保卫战2022年工作方案》陕政办发〔2022〕8号</w:t>
                  </w:r>
                </w:p>
              </w:tc>
              <w:tc>
                <w:tcPr>
                  <w:tcW w:w="2127" w:type="pct"/>
                  <w:gridSpan w:val="3"/>
                  <w:vAlign w:val="center"/>
                </w:tcPr>
                <w:p>
                  <w:pPr>
                    <w:pStyle w:val="4"/>
                    <w:spacing w:line="240" w:lineRule="auto"/>
                    <w:ind w:firstLine="0" w:firstLineChars="0"/>
                    <w:rPr>
                      <w:rFonts w:hint="eastAsia" w:ascii="Times New Roman" w:hAnsi="Times New Roman" w:eastAsia="宋体"/>
                      <w:b w:val="0"/>
                      <w:color w:val="auto"/>
                      <w:sz w:val="21"/>
                      <w:szCs w:val="21"/>
                      <w:highlight w:val="none"/>
                      <w:u w:color="000000"/>
                    </w:rPr>
                  </w:pPr>
                  <w:r>
                    <w:rPr>
                      <w:rFonts w:hint="eastAsia" w:ascii="Times New Roman" w:hAnsi="Times New Roman" w:eastAsia="宋体"/>
                      <w:b w:val="0"/>
                      <w:color w:val="auto"/>
                      <w:sz w:val="21"/>
                      <w:szCs w:val="21"/>
                      <w:highlight w:val="none"/>
                      <w:u w:color="000000"/>
                    </w:rPr>
                    <w:t>加强物料堆场扬尘管控。针对铸造、铁合金、焦化、水泥、砖瓦、石灰、耐火材料、有色金属冶炼等行业企业，严格控制物料储存、输送及生产工艺过程无组织排放，粉粒类物料堆放场以及大型煤炭和矿石物料堆场，基本完成抑尘设施建设和物料输送系统封闭改造。严禁露天装卸作业和物料干法作业。〔各市（区）政府落实〕</w:t>
                  </w:r>
                </w:p>
              </w:tc>
              <w:tc>
                <w:tcPr>
                  <w:tcW w:w="1096" w:type="pct"/>
                  <w:vAlign w:val="center"/>
                </w:tcPr>
                <w:p>
                  <w:pPr>
                    <w:rPr>
                      <w:rFonts w:hint="eastAsia"/>
                      <w:color w:val="auto"/>
                      <w:sz w:val="21"/>
                      <w:szCs w:val="21"/>
                      <w:highlight w:val="none"/>
                      <w:u w:color="000000"/>
                    </w:rPr>
                  </w:pPr>
                  <w:r>
                    <w:rPr>
                      <w:rFonts w:hint="eastAsia"/>
                      <w:color w:val="auto"/>
                      <w:sz w:val="21"/>
                      <w:szCs w:val="21"/>
                      <w:highlight w:val="none"/>
                      <w:u w:color="000000"/>
                    </w:rPr>
                    <w:t>本项目对料棚进行封闭处理并于料棚顶部加装喷淋设备。厂区定时洒水抑尘。在水泥筒仓仓顶设置除尘设备。在生产过程中，骨料、粉料密闭输送，并在卸料口配有集气罩，拌合楼配有引风管道，并安装有袋式除尘系统。</w:t>
                  </w:r>
                </w:p>
              </w:tc>
              <w:tc>
                <w:tcPr>
                  <w:tcW w:w="518" w:type="pct"/>
                  <w:vAlign w:val="center"/>
                </w:tcPr>
                <w:p>
                  <w:pPr>
                    <w:jc w:val="center"/>
                    <w:rPr>
                      <w:rFonts w:hint="eastAsia"/>
                      <w:color w:val="auto"/>
                      <w:sz w:val="21"/>
                      <w:szCs w:val="21"/>
                      <w:highlight w:val="none"/>
                    </w:rPr>
                  </w:pPr>
                  <w:r>
                    <w:rPr>
                      <w:rFonts w:hint="eastAsia"/>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7" w:type="pct"/>
                  <w:vMerge w:val="restar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《陕西省大气污染防治条例》(修订)</w:t>
                  </w:r>
                </w:p>
              </w:tc>
              <w:tc>
                <w:tcPr>
                  <w:tcW w:w="2127" w:type="pct"/>
                  <w:gridSpan w:val="3"/>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rPr>
                  </w:pPr>
                  <w:r>
                    <w:rPr>
                      <w:rFonts w:hint="eastAsia" w:ascii="Times New Roman" w:hAnsi="Times New Roman" w:eastAsia="宋体"/>
                      <w:b w:val="0"/>
                      <w:color w:val="auto"/>
                      <w:sz w:val="21"/>
                      <w:szCs w:val="21"/>
                      <w:highlight w:val="none"/>
                      <w:u w:color="000000"/>
                    </w:rPr>
                    <w:t>建筑施工工地进出口处应当设置车辆清洗设施及配套的排水、泥浆沉淀设施，运送建筑物料的车辆驶出工地应当进行冲洗，防止泥水溢流</w:t>
                  </w:r>
                </w:p>
              </w:tc>
              <w:tc>
                <w:tcPr>
                  <w:tcW w:w="1096" w:type="pct"/>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rPr>
                  </w:pPr>
                  <w:r>
                    <w:rPr>
                      <w:rFonts w:hint="eastAsia" w:ascii="Times New Roman" w:hAnsi="Times New Roman"/>
                      <w:b w:val="0"/>
                      <w:color w:val="auto"/>
                      <w:szCs w:val="21"/>
                      <w:highlight w:val="none"/>
                      <w:u w:color="000000"/>
                      <w:lang w:eastAsia="zh-CN"/>
                    </w:rPr>
                    <w:t>本</w:t>
                  </w:r>
                  <w:r>
                    <w:rPr>
                      <w:rFonts w:hint="eastAsia" w:ascii="Times New Roman" w:hAnsi="Times New Roman" w:eastAsia="宋体"/>
                      <w:b w:val="0"/>
                      <w:color w:val="auto"/>
                      <w:sz w:val="21"/>
                      <w:szCs w:val="21"/>
                      <w:highlight w:val="none"/>
                      <w:u w:color="000000"/>
                    </w:rPr>
                    <w:t>项目设置洗车装置，清洗废水经沉淀池沉淀后回用</w:t>
                  </w:r>
                </w:p>
              </w:tc>
              <w:tc>
                <w:tcPr>
                  <w:tcW w:w="518" w:type="pct"/>
                  <w:vMerge w:val="restart"/>
                  <w:vAlign w:val="center"/>
                </w:tcPr>
                <w:p>
                  <w:pPr>
                    <w:jc w:val="center"/>
                    <w:rPr>
                      <w:rFonts w:hint="eastAsia"/>
                      <w:color w:val="auto"/>
                      <w:highlight w:val="none"/>
                    </w:rPr>
                  </w:pPr>
                  <w:r>
                    <w:rPr>
                      <w:rFonts w:hint="eastAsia"/>
                      <w:color w:val="auto"/>
                      <w:highlight w:val="none"/>
                    </w:rPr>
                    <w:t>符合</w:t>
                  </w:r>
                </w:p>
                <w:p>
                  <w:pPr>
                    <w:pStyle w:val="2"/>
                    <w:rPr>
                      <w:rFonts w:hint="eastAsia"/>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7" w:hRule="atLeast"/>
              </w:trPr>
              <w:tc>
                <w:tcPr>
                  <w:tcW w:w="1257" w:type="pct"/>
                  <w:vMerge w:val="continue"/>
                  <w:vAlign w:val="center"/>
                </w:tcPr>
                <w:p>
                  <w:pPr>
                    <w:jc w:val="center"/>
                    <w:rPr>
                      <w:rFonts w:hint="default" w:ascii="Times New Roman" w:hAnsi="Times New Roman" w:eastAsia="宋体" w:cs="Times New Roman"/>
                      <w:color w:val="auto"/>
                      <w:sz w:val="21"/>
                      <w:szCs w:val="21"/>
                      <w:highlight w:val="none"/>
                      <w:lang w:val="en-US" w:eastAsia="zh-CN"/>
                    </w:rPr>
                  </w:pPr>
                </w:p>
              </w:tc>
              <w:tc>
                <w:tcPr>
                  <w:tcW w:w="2127" w:type="pct"/>
                  <w:gridSpan w:val="3"/>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rPr>
                  </w:pPr>
                  <w:r>
                    <w:rPr>
                      <w:rFonts w:hint="eastAsia" w:ascii="Times New Roman" w:hAnsi="Times New Roman" w:eastAsia="宋体"/>
                      <w:b w:val="0"/>
                      <w:color w:val="auto"/>
                      <w:sz w:val="21"/>
                      <w:szCs w:val="21"/>
                      <w:highlight w:val="none"/>
                      <w:u w:color="000000"/>
                    </w:rPr>
                    <w:t>堆存、装卸、运输煤炭、水泥、石灰、石膏、砂土、垃圾等易产生扬尘的作业，应当采取遮盖、封闭、喷淋、围挡等措施，防止抛洒、扬尘</w:t>
                  </w:r>
                </w:p>
              </w:tc>
              <w:tc>
                <w:tcPr>
                  <w:tcW w:w="1096" w:type="pct"/>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rPr>
                  </w:pPr>
                  <w:r>
                    <w:rPr>
                      <w:rFonts w:hint="eastAsia" w:ascii="Times New Roman" w:hAnsi="Times New Roman" w:eastAsia="宋体"/>
                      <w:b w:val="0"/>
                      <w:color w:val="auto"/>
                      <w:sz w:val="21"/>
                      <w:szCs w:val="21"/>
                      <w:highlight w:val="none"/>
                      <w:u w:color="000000"/>
                    </w:rPr>
                    <w:t>项目建筑垃圾、砂石等原料在装卸在密闭料棚内进行，装卸过程采取喷淋施抑尘</w:t>
                  </w:r>
                </w:p>
              </w:tc>
              <w:tc>
                <w:tcPr>
                  <w:tcW w:w="518" w:type="pct"/>
                  <w:vMerge w:val="continue"/>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7" w:type="pct"/>
                  <w:vMerge w:val="continue"/>
                  <w:vAlign w:val="center"/>
                </w:tcPr>
                <w:p>
                  <w:pPr>
                    <w:jc w:val="center"/>
                    <w:rPr>
                      <w:rFonts w:hint="default" w:ascii="Times New Roman" w:hAnsi="Times New Roman" w:eastAsia="宋体" w:cs="Times New Roman"/>
                      <w:color w:val="auto"/>
                      <w:sz w:val="21"/>
                      <w:szCs w:val="21"/>
                      <w:highlight w:val="none"/>
                      <w:lang w:val="en-US" w:eastAsia="zh-CN"/>
                    </w:rPr>
                  </w:pPr>
                </w:p>
              </w:tc>
              <w:tc>
                <w:tcPr>
                  <w:tcW w:w="2127" w:type="pct"/>
                  <w:gridSpan w:val="3"/>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rPr>
                  </w:pPr>
                  <w:r>
                    <w:rPr>
                      <w:rFonts w:hint="eastAsia" w:ascii="Times New Roman" w:hAnsi="Times New Roman" w:eastAsia="宋体"/>
                      <w:b w:val="0"/>
                      <w:color w:val="auto"/>
                      <w:sz w:val="21"/>
                      <w:szCs w:val="21"/>
                      <w:highlight w:val="none"/>
                      <w:u w:color="000000"/>
                    </w:rPr>
                    <w:t>加强物料堆场扬尘管控。针对铸造、铁合金、焦化、水泥、砖瓦、石灰、耐火材料、有色金属冶炼等行业企业，严格控制物料储存、输送及生产工艺过程无组织排放，粉粒类物料堆放场以及大型煤炭和</w:t>
                  </w:r>
                  <w:r>
                    <w:rPr>
                      <w:rFonts w:hint="eastAsia" w:ascii="Times New Roman" w:hAnsi="Times New Roman" w:eastAsia="宋体"/>
                      <w:b w:val="0"/>
                      <w:color w:val="auto"/>
                      <w:sz w:val="21"/>
                      <w:szCs w:val="21"/>
                      <w:highlight w:val="none"/>
                      <w:u w:color="000000"/>
                      <w:lang w:val="en-US" w:eastAsia="zh-CN"/>
                    </w:rPr>
                    <w:t>矿石物料堆场，基本完成抑尘设施建设和物料输送系统封闭改造。严禁露天装卸作业和物料干法作业</w:t>
                  </w:r>
                </w:p>
              </w:tc>
              <w:tc>
                <w:tcPr>
                  <w:tcW w:w="1096" w:type="pct"/>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rPr>
                  </w:pPr>
                  <w:r>
                    <w:rPr>
                      <w:rFonts w:hint="eastAsia" w:ascii="Times New Roman" w:hAnsi="Times New Roman" w:eastAsia="宋体"/>
                      <w:b w:val="0"/>
                      <w:color w:val="auto"/>
                      <w:sz w:val="21"/>
                      <w:szCs w:val="21"/>
                      <w:highlight w:val="none"/>
                      <w:u w:color="000000"/>
                    </w:rPr>
                    <w:t>本项目产品为商品混凝土，环评要求项目水泥、粉煤灰采用筒仓储存，建筑材料、砂石等采用密闭料棚储存，料棚内设置喷淋装置；粉尘采取相应的措施收集后有组织排放，产品</w:t>
                  </w:r>
                  <w:r>
                    <w:rPr>
                      <w:rFonts w:hint="eastAsia" w:ascii="Times New Roman" w:hAnsi="Times New Roman" w:eastAsia="宋体"/>
                      <w:b w:val="0"/>
                      <w:color w:val="auto"/>
                      <w:sz w:val="21"/>
                      <w:szCs w:val="21"/>
                      <w:highlight w:val="none"/>
                      <w:u w:color="000000"/>
                      <w:lang w:val="en-US" w:eastAsia="zh-CN"/>
                    </w:rPr>
                    <w:t>均存放在密闭车间内。水泥采用管道密闭输送，其他物料采用皮带密闭输送。项目卸料在密闭料棚内进行，卸料时喷淋装置打开</w:t>
                  </w:r>
                  <w:r>
                    <w:rPr>
                      <w:rFonts w:hint="eastAsia" w:ascii="Times New Roman" w:hAnsi="Times New Roman"/>
                      <w:b w:val="0"/>
                      <w:color w:val="auto"/>
                      <w:sz w:val="21"/>
                      <w:szCs w:val="21"/>
                      <w:highlight w:val="none"/>
                      <w:u w:color="000000"/>
                      <w:lang w:val="en-US" w:eastAsia="zh-CN"/>
                    </w:rPr>
                    <w:t>。</w:t>
                  </w:r>
                </w:p>
              </w:tc>
              <w:tc>
                <w:tcPr>
                  <w:tcW w:w="518" w:type="pct"/>
                  <w:vMerge w:val="continue"/>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4" w:hRule="atLeast"/>
              </w:trPr>
              <w:tc>
                <w:tcPr>
                  <w:tcW w:w="1257" w:type="pct"/>
                  <w:vAlign w:val="center"/>
                </w:tcPr>
                <w:p>
                  <w:pPr>
                    <w:pStyle w:val="4"/>
                    <w:spacing w:line="240" w:lineRule="auto"/>
                    <w:ind w:firstLine="0" w:firstLineChars="0"/>
                    <w:jc w:val="both"/>
                    <w:rPr>
                      <w:rFonts w:hint="default" w:ascii="Times New Roman" w:hAnsi="Times New Roman" w:eastAsia="宋体"/>
                      <w:b w:val="0"/>
                      <w:color w:val="auto"/>
                      <w:sz w:val="21"/>
                      <w:szCs w:val="21"/>
                      <w:highlight w:val="none"/>
                      <w:u w:color="000000"/>
                      <w:lang w:val="en-US" w:eastAsia="zh-CN"/>
                    </w:rPr>
                  </w:pPr>
                  <w:r>
                    <w:rPr>
                      <w:rFonts w:hint="eastAsia" w:ascii="Times New Roman" w:hAnsi="Times New Roman" w:eastAsia="宋体"/>
                      <w:b w:val="0"/>
                      <w:color w:val="auto"/>
                      <w:sz w:val="21"/>
                      <w:szCs w:val="21"/>
                      <w:highlight w:val="none"/>
                      <w:u w:color="000000"/>
                    </w:rPr>
                    <w:t>《商务部关于“十三五”期间加快散装水泥绿色产业发展的指导意见》</w:t>
                  </w:r>
                  <w:r>
                    <w:rPr>
                      <w:rFonts w:hint="eastAsia" w:ascii="Times New Roman" w:hAnsi="Times New Roman" w:eastAsia="宋体"/>
                      <w:b w:val="0"/>
                      <w:color w:val="auto"/>
                      <w:sz w:val="21"/>
                      <w:szCs w:val="21"/>
                      <w:highlight w:val="none"/>
                      <w:u w:color="000000"/>
                      <w:lang w:eastAsia="zh-CN"/>
                    </w:rPr>
                    <w:t>（</w:t>
                  </w:r>
                  <w:r>
                    <w:rPr>
                      <w:rFonts w:hint="eastAsia" w:ascii="Times New Roman" w:hAnsi="Times New Roman" w:eastAsia="宋体"/>
                      <w:b w:val="0"/>
                      <w:color w:val="auto"/>
                      <w:sz w:val="21"/>
                      <w:szCs w:val="21"/>
                      <w:highlight w:val="none"/>
                      <w:u w:color="000000"/>
                    </w:rPr>
                    <w:t>商流通发〔2016〕354号</w:t>
                  </w:r>
                  <w:r>
                    <w:rPr>
                      <w:rFonts w:hint="eastAsia" w:ascii="Times New Roman" w:hAnsi="Times New Roman" w:eastAsia="宋体"/>
                      <w:b w:val="0"/>
                      <w:color w:val="auto"/>
                      <w:sz w:val="21"/>
                      <w:szCs w:val="21"/>
                      <w:highlight w:val="none"/>
                      <w:u w:color="000000"/>
                      <w:lang w:eastAsia="zh-CN"/>
                    </w:rPr>
                    <w:t>）</w:t>
                  </w:r>
                </w:p>
              </w:tc>
              <w:tc>
                <w:tcPr>
                  <w:tcW w:w="2127" w:type="pct"/>
                  <w:gridSpan w:val="3"/>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rPr>
                  </w:pPr>
                  <w:r>
                    <w:rPr>
                      <w:rFonts w:hint="eastAsia" w:ascii="Times New Roman" w:hAnsi="Times New Roman" w:eastAsia="宋体"/>
                      <w:b w:val="0"/>
                      <w:color w:val="auto"/>
                      <w:sz w:val="21"/>
                      <w:szCs w:val="21"/>
                      <w:highlight w:val="none"/>
                      <w:u w:color="000000"/>
                    </w:rPr>
                    <w:t>加快建成以散装水泥应用为核心的预拌混凝土、预拌砂浆、水泥预制构件一体化的绿色产业体系</w:t>
                  </w:r>
                </w:p>
              </w:tc>
              <w:tc>
                <w:tcPr>
                  <w:tcW w:w="1096" w:type="pct"/>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rPr>
                  </w:pPr>
                  <w:r>
                    <w:rPr>
                      <w:rFonts w:hint="eastAsia" w:ascii="Times New Roman" w:hAnsi="Times New Roman" w:eastAsia="宋体"/>
                      <w:b w:val="0"/>
                      <w:color w:val="auto"/>
                      <w:sz w:val="21"/>
                      <w:szCs w:val="21"/>
                      <w:highlight w:val="none"/>
                      <w:u w:color="000000"/>
                    </w:rPr>
                    <w:t>本项目产品为商品混凝土</w:t>
                  </w:r>
                </w:p>
              </w:tc>
              <w:tc>
                <w:tcPr>
                  <w:tcW w:w="518" w:type="pct"/>
                  <w:vAlign w:val="center"/>
                </w:tcPr>
                <w:p>
                  <w:pPr>
                    <w:pStyle w:val="4"/>
                    <w:spacing w:line="240" w:lineRule="auto"/>
                    <w:ind w:firstLine="0" w:firstLineChars="0"/>
                    <w:jc w:val="center"/>
                    <w:rPr>
                      <w:rFonts w:hint="eastAsia" w:ascii="Times New Roman" w:hAnsi="Times New Roman" w:eastAsia="宋体"/>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4" w:hRule="atLeast"/>
              </w:trPr>
              <w:tc>
                <w:tcPr>
                  <w:tcW w:w="1257" w:type="pct"/>
                  <w:vMerge w:val="restart"/>
                  <w:vAlign w:val="center"/>
                </w:tcPr>
                <w:p>
                  <w:pPr>
                    <w:pStyle w:val="4"/>
                    <w:spacing w:line="240" w:lineRule="auto"/>
                    <w:ind w:firstLine="0" w:firstLineChars="0"/>
                    <w:jc w:val="center"/>
                    <w:rPr>
                      <w:rFonts w:hint="eastAsia" w:ascii="Times New Roman" w:hAnsi="Times New Roman" w:eastAsia="宋体"/>
                      <w:b w:val="0"/>
                      <w:color w:val="auto"/>
                      <w:sz w:val="21"/>
                      <w:szCs w:val="21"/>
                      <w:highlight w:val="none"/>
                      <w:u w:color="000000"/>
                    </w:rPr>
                  </w:pPr>
                  <w:r>
                    <w:rPr>
                      <w:rFonts w:hint="eastAsia" w:ascii="Times New Roman" w:hAnsi="Times New Roman" w:eastAsia="宋体" w:cs="Times New Roman"/>
                      <w:b w:val="0"/>
                      <w:color w:val="auto"/>
                      <w:sz w:val="21"/>
                      <w:szCs w:val="21"/>
                      <w:highlight w:val="none"/>
                      <w:u w:color="000000"/>
                    </w:rPr>
                    <w:t>《</w:t>
                  </w:r>
                  <w:r>
                    <w:rPr>
                      <w:rFonts w:hint="eastAsia" w:ascii="Times New Roman" w:hAnsi="Times New Roman" w:eastAsia="宋体" w:cs="Times New Roman"/>
                      <w:b w:val="0"/>
                      <w:color w:val="auto"/>
                      <w:sz w:val="21"/>
                      <w:szCs w:val="21"/>
                      <w:highlight w:val="none"/>
                      <w:u w:color="000000"/>
                      <w:lang w:eastAsia="zh-CN"/>
                    </w:rPr>
                    <w:t>预拌混凝土绿色生产及管理技术规程》</w:t>
                  </w:r>
                  <w:r>
                    <w:rPr>
                      <w:rFonts w:hint="eastAsia" w:ascii="Times New Roman" w:hAnsi="Times New Roman" w:eastAsia="宋体" w:cs="Times New Roman"/>
                      <w:b w:val="0"/>
                      <w:color w:val="auto"/>
                      <w:sz w:val="21"/>
                      <w:szCs w:val="21"/>
                      <w:highlight w:val="none"/>
                      <w:u w:color="000000"/>
                      <w:lang w:val="en-US" w:eastAsia="zh-CN"/>
                    </w:rPr>
                    <w:t>（JGJ/T328-2014）</w:t>
                  </w:r>
                </w:p>
              </w:tc>
              <w:tc>
                <w:tcPr>
                  <w:tcW w:w="465" w:type="pct"/>
                  <w:vAlign w:val="center"/>
                </w:tcPr>
                <w:p>
                  <w:pPr>
                    <w:pStyle w:val="4"/>
                    <w:spacing w:line="240" w:lineRule="auto"/>
                    <w:ind w:firstLine="0" w:firstLineChars="0"/>
                    <w:jc w:val="center"/>
                    <w:rPr>
                      <w:rFonts w:hint="default" w:ascii="Times New Roman" w:hAnsi="Times New Roman" w:eastAsia="宋体"/>
                      <w:b w:val="0"/>
                      <w:color w:val="auto"/>
                      <w:sz w:val="21"/>
                      <w:szCs w:val="21"/>
                      <w:highlight w:val="none"/>
                      <w:u w:color="000000"/>
                      <w:lang w:val="en-US" w:eastAsia="zh-CN"/>
                    </w:rPr>
                  </w:pPr>
                  <w:r>
                    <w:rPr>
                      <w:rFonts w:hint="eastAsia" w:ascii="Times New Roman" w:hAnsi="Times New Roman"/>
                      <w:b w:val="0"/>
                      <w:color w:val="auto"/>
                      <w:sz w:val="21"/>
                      <w:szCs w:val="21"/>
                      <w:highlight w:val="none"/>
                      <w:u w:color="000000"/>
                      <w:lang w:val="en-US" w:eastAsia="zh-CN"/>
                    </w:rPr>
                    <w:t>厂区要求</w:t>
                  </w:r>
                </w:p>
              </w:tc>
              <w:tc>
                <w:tcPr>
                  <w:tcW w:w="1661" w:type="pct"/>
                  <w:gridSpan w:val="2"/>
                  <w:vAlign w:val="center"/>
                </w:tcPr>
                <w:p>
                  <w:pPr>
                    <w:pStyle w:val="4"/>
                    <w:spacing w:line="240" w:lineRule="auto"/>
                    <w:ind w:firstLine="0" w:firstLineChars="0"/>
                    <w:jc w:val="both"/>
                    <w:rPr>
                      <w:rFonts w:hint="eastAsia" w:ascii="Times New Roman" w:hAnsi="Times New Roman"/>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厂区的生产区、办公区和生活区宜分区布置。厂区内道路应硬化，功能应满足生产和运输需求。厂区内未硬化的空地应进行绿化或采取其他防止</w:t>
                  </w:r>
                  <w:r>
                    <w:rPr>
                      <w:rFonts w:hint="eastAsia" w:ascii="Times New Roman" w:hAnsi="Times New Roman"/>
                      <w:b w:val="0"/>
                      <w:color w:val="auto"/>
                      <w:sz w:val="21"/>
                      <w:szCs w:val="21"/>
                      <w:highlight w:val="none"/>
                      <w:u w:color="000000"/>
                      <w:lang w:val="en-US" w:eastAsia="zh-CN"/>
                    </w:rPr>
                    <w:t>扬尘措施，且应保持卫生清洁。厂区内应配置生产废水处置系统。</w:t>
                  </w:r>
                </w:p>
              </w:tc>
              <w:tc>
                <w:tcPr>
                  <w:tcW w:w="1096" w:type="pct"/>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厂区的生产区在西北侧，生活区在东、南侧，进行了分区布局。厂区道路进行硬化，并设置有绿化带。厂区道路定期打扫、冲洗，保持清洁卫生。厂区设置了两座沉淀池对污水进行处理。</w:t>
                  </w:r>
                </w:p>
              </w:tc>
              <w:tc>
                <w:tcPr>
                  <w:tcW w:w="518" w:type="pct"/>
                  <w:vAlign w:val="center"/>
                </w:tcPr>
                <w:p>
                  <w:pPr>
                    <w:pStyle w:val="4"/>
                    <w:spacing w:line="240" w:lineRule="auto"/>
                    <w:ind w:firstLine="0" w:firstLineChars="0"/>
                    <w:jc w:val="center"/>
                    <w:rPr>
                      <w:rFonts w:hint="eastAsia" w:ascii="Times New Roman" w:hAnsi="Times New Roman"/>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4" w:hRule="atLeast"/>
              </w:trPr>
              <w:tc>
                <w:tcPr>
                  <w:tcW w:w="1257" w:type="pct"/>
                  <w:vMerge w:val="continue"/>
                  <w:vAlign w:val="center"/>
                </w:tcPr>
                <w:p>
                  <w:pPr>
                    <w:pStyle w:val="4"/>
                    <w:spacing w:line="240" w:lineRule="auto"/>
                    <w:ind w:firstLine="0" w:firstLineChars="0"/>
                    <w:jc w:val="center"/>
                    <w:rPr>
                      <w:rFonts w:hint="eastAsia" w:ascii="Times New Roman" w:hAnsi="Times New Roman" w:eastAsia="宋体" w:cs="Times New Roman"/>
                      <w:b w:val="0"/>
                      <w:color w:val="auto"/>
                      <w:sz w:val="21"/>
                      <w:szCs w:val="21"/>
                      <w:highlight w:val="none"/>
                      <w:u w:color="000000"/>
                    </w:rPr>
                  </w:pPr>
                </w:p>
              </w:tc>
              <w:tc>
                <w:tcPr>
                  <w:tcW w:w="465" w:type="pct"/>
                  <w:vMerge w:val="restart"/>
                  <w:vAlign w:val="center"/>
                </w:tcPr>
                <w:p>
                  <w:pPr>
                    <w:pStyle w:val="4"/>
                    <w:spacing w:line="240" w:lineRule="auto"/>
                    <w:ind w:firstLine="0" w:firstLineChars="0"/>
                    <w:jc w:val="center"/>
                    <w:rPr>
                      <w:rFonts w:hint="eastAsia" w:ascii="Times New Roman" w:hAnsi="Times New Roman"/>
                      <w:b w:val="0"/>
                      <w:color w:val="auto"/>
                      <w:sz w:val="21"/>
                      <w:szCs w:val="21"/>
                      <w:highlight w:val="none"/>
                      <w:u w:color="000000"/>
                      <w:lang w:val="en-US" w:eastAsia="zh-CN"/>
                    </w:rPr>
                  </w:pPr>
                  <w:r>
                    <w:rPr>
                      <w:rFonts w:hint="eastAsia" w:ascii="Times New Roman" w:hAnsi="Times New Roman"/>
                      <w:b w:val="0"/>
                      <w:color w:val="auto"/>
                      <w:sz w:val="21"/>
                      <w:szCs w:val="21"/>
                      <w:highlight w:val="none"/>
                      <w:u w:color="000000"/>
                      <w:lang w:val="en-US" w:eastAsia="zh-CN"/>
                    </w:rPr>
                    <w:t>设备设施</w:t>
                  </w:r>
                </w:p>
              </w:tc>
              <w:tc>
                <w:tcPr>
                  <w:tcW w:w="1661" w:type="pct"/>
                  <w:gridSpan w:val="2"/>
                  <w:vAlign w:val="center"/>
                </w:tcPr>
                <w:p>
                  <w:pPr>
                    <w:pStyle w:val="4"/>
                    <w:spacing w:line="240" w:lineRule="auto"/>
                    <w:ind w:firstLine="0" w:firstLineChars="0"/>
                    <w:jc w:val="both"/>
                    <w:rPr>
                      <w:rFonts w:hint="eastAsia" w:ascii="Times New Roman" w:hAnsi="Times New Roman"/>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搅拌站（楼）宜采用整体封闭方式，应安装除尘装置，并应保持正常使用。</w:t>
                  </w:r>
                </w:p>
              </w:tc>
              <w:tc>
                <w:tcPr>
                  <w:tcW w:w="1096" w:type="pct"/>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搅拌站整体进行了密封设置，对筒仓及搅拌机安装了布袋除尘器，厂区均设置喷淋。</w:t>
                  </w:r>
                </w:p>
              </w:tc>
              <w:tc>
                <w:tcPr>
                  <w:tcW w:w="518" w:type="pct"/>
                  <w:vAlign w:val="center"/>
                </w:tcPr>
                <w:p>
                  <w:pPr>
                    <w:pStyle w:val="4"/>
                    <w:spacing w:line="240" w:lineRule="auto"/>
                    <w:ind w:firstLine="0" w:firstLineChars="0"/>
                    <w:jc w:val="center"/>
                    <w:rPr>
                      <w:rFonts w:hint="eastAsia" w:ascii="Times New Roman" w:hAnsi="Times New Roman"/>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4" w:hRule="atLeast"/>
              </w:trPr>
              <w:tc>
                <w:tcPr>
                  <w:tcW w:w="1257" w:type="pct"/>
                  <w:vMerge w:val="continue"/>
                  <w:vAlign w:val="center"/>
                </w:tcPr>
                <w:p>
                  <w:pPr>
                    <w:pStyle w:val="4"/>
                    <w:spacing w:line="240" w:lineRule="auto"/>
                    <w:ind w:firstLine="0" w:firstLineChars="0"/>
                    <w:jc w:val="center"/>
                    <w:rPr>
                      <w:rFonts w:hint="eastAsia" w:ascii="Times New Roman" w:hAnsi="Times New Roman" w:eastAsia="宋体" w:cs="Times New Roman"/>
                      <w:b w:val="0"/>
                      <w:color w:val="auto"/>
                      <w:sz w:val="21"/>
                      <w:szCs w:val="21"/>
                      <w:highlight w:val="none"/>
                      <w:u w:color="000000"/>
                    </w:rPr>
                  </w:pPr>
                </w:p>
              </w:tc>
              <w:tc>
                <w:tcPr>
                  <w:tcW w:w="465" w:type="pct"/>
                  <w:vMerge w:val="continue"/>
                  <w:vAlign w:val="center"/>
                </w:tcPr>
                <w:p>
                  <w:pPr>
                    <w:pStyle w:val="4"/>
                    <w:spacing w:line="240" w:lineRule="auto"/>
                    <w:ind w:firstLine="0" w:firstLineChars="0"/>
                    <w:jc w:val="center"/>
                    <w:rPr>
                      <w:rFonts w:hint="eastAsia" w:ascii="Times New Roman" w:hAnsi="Times New Roman"/>
                      <w:b w:val="0"/>
                      <w:color w:val="auto"/>
                      <w:sz w:val="21"/>
                      <w:szCs w:val="21"/>
                      <w:highlight w:val="none"/>
                      <w:u w:color="000000"/>
                      <w:lang w:val="en-US" w:eastAsia="zh-CN"/>
                    </w:rPr>
                  </w:pPr>
                </w:p>
              </w:tc>
              <w:tc>
                <w:tcPr>
                  <w:tcW w:w="1661" w:type="pct"/>
                  <w:gridSpan w:val="2"/>
                  <w:vAlign w:val="center"/>
                </w:tcPr>
                <w:p>
                  <w:pPr>
                    <w:pStyle w:val="4"/>
                    <w:spacing w:line="240" w:lineRule="auto"/>
                    <w:ind w:firstLine="0" w:firstLineChars="0"/>
                    <w:jc w:val="both"/>
                    <w:rPr>
                      <w:rFonts w:hint="eastAsia" w:ascii="Times New Roman" w:hAnsi="Times New Roman"/>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骨料堆场地面应硬化并保持排水通畅；粗、细骨料应分隔堆放；骨料堆场宜建成封闭式堆场，宜安装喷淋抑尘装置。</w:t>
                  </w:r>
                </w:p>
              </w:tc>
              <w:tc>
                <w:tcPr>
                  <w:tcW w:w="1096" w:type="pct"/>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骨料堆场地面作硬化处置，进行全封闭，并分隔堆放，安装喷淋装置。</w:t>
                  </w:r>
                </w:p>
              </w:tc>
              <w:tc>
                <w:tcPr>
                  <w:tcW w:w="518" w:type="pct"/>
                  <w:vAlign w:val="center"/>
                </w:tcPr>
                <w:p>
                  <w:pPr>
                    <w:pStyle w:val="4"/>
                    <w:spacing w:line="240" w:lineRule="auto"/>
                    <w:ind w:firstLine="0" w:firstLineChars="0"/>
                    <w:jc w:val="center"/>
                    <w:rPr>
                      <w:rFonts w:hint="eastAsia" w:ascii="Times New Roman" w:hAnsi="Times New Roman"/>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4" w:hRule="atLeast"/>
              </w:trPr>
              <w:tc>
                <w:tcPr>
                  <w:tcW w:w="1257" w:type="pct"/>
                  <w:vMerge w:val="continue"/>
                  <w:vAlign w:val="center"/>
                </w:tcPr>
                <w:p>
                  <w:pPr>
                    <w:pStyle w:val="4"/>
                    <w:spacing w:line="240" w:lineRule="auto"/>
                    <w:ind w:firstLine="0" w:firstLineChars="0"/>
                    <w:jc w:val="center"/>
                    <w:rPr>
                      <w:rFonts w:hint="eastAsia" w:ascii="Times New Roman" w:hAnsi="Times New Roman" w:eastAsia="宋体" w:cs="Times New Roman"/>
                      <w:b w:val="0"/>
                      <w:color w:val="auto"/>
                      <w:sz w:val="21"/>
                      <w:szCs w:val="21"/>
                      <w:highlight w:val="none"/>
                      <w:u w:color="000000"/>
                    </w:rPr>
                  </w:pPr>
                </w:p>
              </w:tc>
              <w:tc>
                <w:tcPr>
                  <w:tcW w:w="465" w:type="pct"/>
                  <w:vMerge w:val="continue"/>
                  <w:vAlign w:val="center"/>
                </w:tcPr>
                <w:p>
                  <w:pPr>
                    <w:pStyle w:val="4"/>
                    <w:spacing w:line="240" w:lineRule="auto"/>
                    <w:ind w:firstLine="0" w:firstLineChars="0"/>
                    <w:jc w:val="center"/>
                    <w:rPr>
                      <w:rFonts w:hint="eastAsia" w:ascii="Times New Roman" w:hAnsi="Times New Roman"/>
                      <w:b w:val="0"/>
                      <w:color w:val="auto"/>
                      <w:sz w:val="21"/>
                      <w:szCs w:val="21"/>
                      <w:highlight w:val="none"/>
                      <w:u w:color="000000"/>
                      <w:lang w:val="en-US" w:eastAsia="zh-CN"/>
                    </w:rPr>
                  </w:pPr>
                </w:p>
              </w:tc>
              <w:tc>
                <w:tcPr>
                  <w:tcW w:w="1661" w:type="pct"/>
                  <w:gridSpan w:val="2"/>
                  <w:vAlign w:val="center"/>
                </w:tcPr>
                <w:p>
                  <w:pPr>
                    <w:pStyle w:val="4"/>
                    <w:spacing w:line="240" w:lineRule="auto"/>
                    <w:ind w:firstLine="0" w:firstLineChars="0"/>
                    <w:jc w:val="both"/>
                    <w:rPr>
                      <w:rFonts w:hint="eastAsia" w:ascii="Times New Roman" w:hAnsi="Times New Roman"/>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预拌混凝土绿色生产应配备运输车清洗装置，冲洗的废水应通过专用管道进入生产废水处置系统。</w:t>
                  </w:r>
                </w:p>
              </w:tc>
              <w:tc>
                <w:tcPr>
                  <w:tcW w:w="1096" w:type="pct"/>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厂区设置运输车冲洗台（洗车机）、“压滤机</w:t>
                  </w:r>
                  <w:r>
                    <w:rPr>
                      <w:rFonts w:hint="eastAsia" w:ascii="Times New Roman" w:hAnsi="Times New Roman"/>
                      <w:b w:val="0"/>
                      <w:color w:val="auto"/>
                      <w:sz w:val="21"/>
                      <w:szCs w:val="21"/>
                      <w:highlight w:val="none"/>
                      <w:u w:color="000000"/>
                      <w:lang w:val="en-US" w:eastAsia="zh-CN"/>
                    </w:rPr>
                    <w:t>+砂石分离机+三级</w:t>
                  </w:r>
                  <w:r>
                    <w:rPr>
                      <w:rFonts w:hint="eastAsia" w:ascii="Times New Roman" w:hAnsi="Times New Roman"/>
                      <w:b w:val="0"/>
                      <w:color w:val="auto"/>
                      <w:sz w:val="21"/>
                      <w:szCs w:val="21"/>
                      <w:highlight w:val="none"/>
                      <w:u w:color="000000"/>
                      <w:lang w:eastAsia="zh-CN"/>
                    </w:rPr>
                    <w:t>沉淀池”、沉淀池对污水进行处理。</w:t>
                  </w:r>
                </w:p>
              </w:tc>
              <w:tc>
                <w:tcPr>
                  <w:tcW w:w="518" w:type="pct"/>
                  <w:vAlign w:val="center"/>
                </w:tcPr>
                <w:p>
                  <w:pPr>
                    <w:pStyle w:val="4"/>
                    <w:spacing w:line="240" w:lineRule="auto"/>
                    <w:ind w:firstLine="0" w:firstLineChars="0"/>
                    <w:jc w:val="center"/>
                    <w:rPr>
                      <w:rFonts w:hint="eastAsia" w:ascii="Times New Roman" w:hAnsi="Times New Roman"/>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4" w:hRule="atLeast"/>
              </w:trPr>
              <w:tc>
                <w:tcPr>
                  <w:tcW w:w="1257" w:type="pct"/>
                  <w:vMerge w:val="continue"/>
                  <w:vAlign w:val="center"/>
                </w:tcPr>
                <w:p>
                  <w:pPr>
                    <w:pStyle w:val="4"/>
                    <w:spacing w:line="240" w:lineRule="auto"/>
                    <w:ind w:firstLine="0" w:firstLineChars="0"/>
                    <w:jc w:val="center"/>
                    <w:rPr>
                      <w:rFonts w:hint="eastAsia" w:ascii="Times New Roman" w:hAnsi="Times New Roman" w:eastAsia="宋体" w:cs="Times New Roman"/>
                      <w:b w:val="0"/>
                      <w:color w:val="auto"/>
                      <w:sz w:val="21"/>
                      <w:szCs w:val="21"/>
                      <w:highlight w:val="none"/>
                      <w:u w:color="000000"/>
                    </w:rPr>
                  </w:pPr>
                </w:p>
              </w:tc>
              <w:tc>
                <w:tcPr>
                  <w:tcW w:w="465" w:type="pct"/>
                  <w:vAlign w:val="center"/>
                </w:tcPr>
                <w:p>
                  <w:pPr>
                    <w:pStyle w:val="4"/>
                    <w:spacing w:line="240" w:lineRule="auto"/>
                    <w:ind w:firstLine="0" w:firstLineChars="0"/>
                    <w:jc w:val="center"/>
                    <w:rPr>
                      <w:rFonts w:hint="eastAsia" w:ascii="Times New Roman" w:hAnsi="Times New Roman"/>
                      <w:b w:val="0"/>
                      <w:color w:val="auto"/>
                      <w:sz w:val="21"/>
                      <w:szCs w:val="21"/>
                      <w:highlight w:val="none"/>
                      <w:u w:color="000000"/>
                      <w:lang w:val="en-US" w:eastAsia="zh-CN"/>
                    </w:rPr>
                  </w:pPr>
                  <w:r>
                    <w:rPr>
                      <w:rFonts w:hint="eastAsia" w:ascii="Times New Roman" w:hAnsi="Times New Roman"/>
                      <w:b w:val="0"/>
                      <w:color w:val="auto"/>
                      <w:sz w:val="21"/>
                      <w:szCs w:val="21"/>
                      <w:highlight w:val="none"/>
                      <w:u w:color="000000"/>
                      <w:lang w:val="en-US" w:eastAsia="zh-CN"/>
                    </w:rPr>
                    <w:t>噪声</w:t>
                  </w:r>
                </w:p>
              </w:tc>
              <w:tc>
                <w:tcPr>
                  <w:tcW w:w="1661" w:type="pct"/>
                  <w:gridSpan w:val="2"/>
                  <w:vAlign w:val="center"/>
                </w:tcPr>
                <w:p>
                  <w:pPr>
                    <w:pStyle w:val="4"/>
                    <w:spacing w:line="240" w:lineRule="auto"/>
                    <w:ind w:firstLine="0" w:firstLineChars="0"/>
                    <w:jc w:val="both"/>
                    <w:rPr>
                      <w:rFonts w:hint="default" w:ascii="Times New Roman" w:hAnsi="Times New Roman"/>
                      <w:b w:val="0"/>
                      <w:color w:val="auto"/>
                      <w:sz w:val="21"/>
                      <w:szCs w:val="21"/>
                      <w:highlight w:val="none"/>
                      <w:u w:color="000000"/>
                      <w:lang w:val="en-US" w:eastAsia="zh-CN"/>
                    </w:rPr>
                  </w:pPr>
                  <w:r>
                    <w:rPr>
                      <w:rFonts w:hint="eastAsia" w:ascii="Times New Roman" w:hAnsi="Times New Roman"/>
                      <w:b w:val="0"/>
                      <w:color w:val="auto"/>
                      <w:sz w:val="21"/>
                      <w:szCs w:val="21"/>
                      <w:highlight w:val="none"/>
                      <w:u w:color="000000"/>
                      <w:lang w:eastAsia="zh-CN"/>
                    </w:rPr>
                    <w:t>搅拌站（楼）的厂界声环境功能区类别划分和环境噪声最大限值应符合</w:t>
                  </w:r>
                  <w:r>
                    <w:rPr>
                      <w:rFonts w:hint="eastAsia" w:ascii="Times New Roman" w:hAnsi="Times New Roman"/>
                      <w:b w:val="0"/>
                      <w:color w:val="auto"/>
                      <w:sz w:val="21"/>
                      <w:szCs w:val="21"/>
                      <w:highlight w:val="none"/>
                      <w:u w:color="000000"/>
                      <w:lang w:val="en-US" w:eastAsia="zh-CN"/>
                    </w:rPr>
                    <w:t>《环境空气质量标准》（GB3095-2012）规定。对产生噪声的主要设备设施进行降噪处理。</w:t>
                  </w:r>
                </w:p>
              </w:tc>
              <w:tc>
                <w:tcPr>
                  <w:tcW w:w="1096" w:type="pct"/>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val="en-US" w:eastAsia="zh-CN"/>
                    </w:rPr>
                    <w:t>项目对噪声产生设备进行封闭等方式降噪。</w:t>
                  </w:r>
                  <w:r>
                    <w:rPr>
                      <w:rFonts w:hint="eastAsia" w:ascii="Times New Roman" w:hAnsi="Times New Roman"/>
                      <w:b w:val="0"/>
                      <w:color w:val="auto"/>
                      <w:sz w:val="21"/>
                      <w:szCs w:val="21"/>
                      <w:highlight w:val="none"/>
                      <w:u w:color="000000"/>
                      <w:lang w:eastAsia="zh-CN"/>
                    </w:rPr>
                    <w:t>根据原有项目生产正常运行下的现状监测可知环境噪声最大限值应符合</w:t>
                  </w:r>
                  <w:r>
                    <w:rPr>
                      <w:rFonts w:hint="eastAsia" w:ascii="Times New Roman" w:hAnsi="Times New Roman"/>
                      <w:b w:val="0"/>
                      <w:color w:val="auto"/>
                      <w:sz w:val="21"/>
                      <w:szCs w:val="21"/>
                      <w:highlight w:val="none"/>
                      <w:u w:color="000000"/>
                      <w:lang w:val="en-US" w:eastAsia="zh-CN"/>
                    </w:rPr>
                    <w:t>《环境空气质量标准》（GB3095-2012）规定。根据本项目预测结果可知噪声排放达标。</w:t>
                  </w:r>
                </w:p>
              </w:tc>
              <w:tc>
                <w:tcPr>
                  <w:tcW w:w="518" w:type="pct"/>
                  <w:vAlign w:val="center"/>
                </w:tcPr>
                <w:p>
                  <w:pPr>
                    <w:pStyle w:val="4"/>
                    <w:spacing w:line="240" w:lineRule="auto"/>
                    <w:ind w:firstLine="0" w:firstLineChars="0"/>
                    <w:jc w:val="center"/>
                    <w:rPr>
                      <w:rFonts w:hint="eastAsia" w:ascii="Times New Roman" w:hAnsi="Times New Roman"/>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4" w:hRule="atLeast"/>
              </w:trPr>
              <w:tc>
                <w:tcPr>
                  <w:tcW w:w="1257" w:type="pct"/>
                  <w:vAlign w:val="center"/>
                </w:tcPr>
                <w:p>
                  <w:pPr>
                    <w:pStyle w:val="4"/>
                    <w:spacing w:line="240" w:lineRule="auto"/>
                    <w:ind w:firstLine="0" w:firstLineChars="0"/>
                    <w:jc w:val="center"/>
                    <w:rPr>
                      <w:rFonts w:hint="eastAsia" w:ascii="Times New Roman" w:hAnsi="Times New Roman" w:eastAsia="宋体" w:cs="Times New Roman"/>
                      <w:b w:val="0"/>
                      <w:color w:val="auto"/>
                      <w:sz w:val="21"/>
                      <w:szCs w:val="21"/>
                      <w:highlight w:val="none"/>
                      <w:u w:color="000000"/>
                    </w:rPr>
                  </w:pPr>
                  <w:r>
                    <w:rPr>
                      <w:rFonts w:hint="eastAsia" w:ascii="Times New Roman" w:hAnsi="Times New Roman" w:eastAsia="宋体" w:cs="Times New Roman"/>
                      <w:b w:val="0"/>
                      <w:color w:val="auto"/>
                      <w:sz w:val="21"/>
                      <w:szCs w:val="21"/>
                      <w:highlight w:val="none"/>
                      <w:u w:color="000000"/>
                    </w:rPr>
                    <w:t>《秦汉新城蓝天碧水净土保卫战2022年工作实施方案》</w:t>
                  </w:r>
                </w:p>
              </w:tc>
              <w:tc>
                <w:tcPr>
                  <w:tcW w:w="2127" w:type="pct"/>
                  <w:gridSpan w:val="3"/>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lang w:eastAsia="zh-CN"/>
                    </w:rPr>
                  </w:pPr>
                  <w:r>
                    <w:rPr>
                      <w:rFonts w:hint="eastAsia" w:ascii="Times New Roman" w:hAnsi="Times New Roman" w:eastAsia="宋体" w:cs="Times New Roman"/>
                      <w:b w:val="0"/>
                      <w:i w:val="0"/>
                      <w:iCs w:val="0"/>
                      <w:caps w:val="0"/>
                      <w:color w:val="auto"/>
                      <w:spacing w:val="0"/>
                      <w:sz w:val="21"/>
                      <w:szCs w:val="21"/>
                      <w:highlight w:val="none"/>
                      <w:u w:color="000000"/>
                      <w:shd w:val="clear"/>
                    </w:rPr>
                    <w:t>持续推进扬尘在线监测系统安装，按照市生态委办公室《关于开展重点扬尘污染源在线监测整治工作的通知》要求和《西安市2022年重点扬尘污染源名录》，督促名录中未安装扬尘监测设备的工地，限期完成设备安装调试，并与西安市智慧环保综合指挥中心平台联网，保证其正常运行和数据正常传输</w:t>
                  </w:r>
                  <w:r>
                    <w:rPr>
                      <w:rFonts w:hint="eastAsia" w:ascii="Times New Roman" w:hAnsi="Times New Roman" w:cs="Times New Roman"/>
                      <w:b w:val="0"/>
                      <w:i w:val="0"/>
                      <w:iCs w:val="0"/>
                      <w:caps w:val="0"/>
                      <w:color w:val="auto"/>
                      <w:spacing w:val="0"/>
                      <w:sz w:val="21"/>
                      <w:szCs w:val="21"/>
                      <w:highlight w:val="none"/>
                      <w:u w:color="000000"/>
                      <w:shd w:val="clear"/>
                      <w:lang w:eastAsia="zh-CN"/>
                    </w:rPr>
                    <w:t>。</w:t>
                  </w:r>
                </w:p>
              </w:tc>
              <w:tc>
                <w:tcPr>
                  <w:tcW w:w="1096" w:type="pct"/>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已安装</w:t>
                  </w:r>
                  <w:r>
                    <w:rPr>
                      <w:rFonts w:hint="eastAsia" w:ascii="Times New Roman" w:hAnsi="Times New Roman" w:eastAsia="宋体" w:cs="Times New Roman"/>
                      <w:b w:val="0"/>
                      <w:i w:val="0"/>
                      <w:iCs w:val="0"/>
                      <w:caps w:val="0"/>
                      <w:color w:val="auto"/>
                      <w:spacing w:val="0"/>
                      <w:sz w:val="21"/>
                      <w:szCs w:val="21"/>
                      <w:highlight w:val="none"/>
                      <w:u w:color="000000"/>
                      <w:shd w:val="clear"/>
                    </w:rPr>
                    <w:t>扬尘在线监测系统并与西安市智慧环保综合指挥中心平台联网</w:t>
                  </w:r>
                  <w:r>
                    <w:rPr>
                      <w:rFonts w:hint="eastAsia" w:ascii="Times New Roman" w:hAnsi="Times New Roman" w:eastAsia="宋体" w:cs="Times New Roman"/>
                      <w:b w:val="0"/>
                      <w:i w:val="0"/>
                      <w:iCs w:val="0"/>
                      <w:caps w:val="0"/>
                      <w:color w:val="auto"/>
                      <w:spacing w:val="0"/>
                      <w:sz w:val="21"/>
                      <w:szCs w:val="21"/>
                      <w:highlight w:val="none"/>
                      <w:u w:color="000000"/>
                      <w:shd w:val="clear"/>
                      <w:lang w:eastAsia="zh-CN"/>
                    </w:rPr>
                    <w:t>。</w:t>
                  </w:r>
                </w:p>
              </w:tc>
              <w:tc>
                <w:tcPr>
                  <w:tcW w:w="518" w:type="pct"/>
                  <w:vAlign w:val="center"/>
                </w:tcPr>
                <w:p>
                  <w:pPr>
                    <w:pStyle w:val="4"/>
                    <w:spacing w:line="240" w:lineRule="auto"/>
                    <w:ind w:firstLine="0" w:firstLineChars="0"/>
                    <w:jc w:val="center"/>
                    <w:rPr>
                      <w:rFonts w:hint="eastAsia" w:ascii="Times New Roman" w:hAnsi="Times New Roman"/>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4" w:hRule="atLeast"/>
              </w:trPr>
              <w:tc>
                <w:tcPr>
                  <w:tcW w:w="1257" w:type="pct"/>
                  <w:vAlign w:val="center"/>
                </w:tcPr>
                <w:p>
                  <w:pPr>
                    <w:pStyle w:val="4"/>
                    <w:spacing w:line="240" w:lineRule="auto"/>
                    <w:ind w:firstLine="0" w:firstLineChars="0"/>
                    <w:jc w:val="center"/>
                    <w:rPr>
                      <w:rFonts w:hint="eastAsia" w:ascii="Times New Roman" w:hAnsi="Times New Roman" w:eastAsia="宋体" w:cs="Times New Roman"/>
                      <w:b w:val="0"/>
                      <w:color w:val="auto"/>
                      <w:sz w:val="21"/>
                      <w:szCs w:val="21"/>
                      <w:highlight w:val="none"/>
                      <w:u w:color="000000"/>
                      <w:lang w:val="en-US" w:eastAsia="zh-CN"/>
                    </w:rPr>
                  </w:pPr>
                  <w:r>
                    <w:rPr>
                      <w:rFonts w:hint="eastAsia" w:ascii="Times New Roman" w:hAnsi="Times New Roman" w:eastAsia="宋体" w:cs="Times New Roman"/>
                      <w:b w:val="0"/>
                      <w:color w:val="auto"/>
                      <w:sz w:val="21"/>
                      <w:szCs w:val="21"/>
                      <w:highlight w:val="none"/>
                      <w:u w:color="000000"/>
                      <w:lang w:val="en-US" w:eastAsia="zh-CN"/>
                    </w:rPr>
                    <w:t>西安市生态环境保护委员会</w:t>
                  </w:r>
                </w:p>
                <w:p>
                  <w:pPr>
                    <w:pStyle w:val="4"/>
                    <w:spacing w:line="240" w:lineRule="auto"/>
                    <w:ind w:firstLine="0" w:firstLineChars="0"/>
                    <w:jc w:val="center"/>
                    <w:rPr>
                      <w:rFonts w:hint="eastAsia" w:ascii="Times New Roman" w:hAnsi="Times New Roman" w:eastAsia="宋体" w:cs="Times New Roman"/>
                      <w:b w:val="0"/>
                      <w:color w:val="auto"/>
                      <w:sz w:val="21"/>
                      <w:szCs w:val="21"/>
                      <w:highlight w:val="none"/>
                      <w:u w:color="000000"/>
                    </w:rPr>
                  </w:pPr>
                  <w:r>
                    <w:rPr>
                      <w:rFonts w:hint="eastAsia" w:ascii="Times New Roman" w:hAnsi="Times New Roman" w:eastAsia="宋体" w:cs="Times New Roman"/>
                      <w:b w:val="0"/>
                      <w:color w:val="auto"/>
                      <w:sz w:val="21"/>
                      <w:szCs w:val="21"/>
                      <w:highlight w:val="none"/>
                      <w:u w:color="000000"/>
                      <w:lang w:val="en-US" w:eastAsia="zh-CN"/>
                    </w:rPr>
                    <w:t>关于印发《西安市2022年（9月—12月）大气污染防治集中攻坚方案》的通知</w:t>
                  </w:r>
                </w:p>
              </w:tc>
              <w:tc>
                <w:tcPr>
                  <w:tcW w:w="2127" w:type="pct"/>
                  <w:gridSpan w:val="3"/>
                  <w:vAlign w:val="center"/>
                </w:tcPr>
                <w:p>
                  <w:pPr>
                    <w:pStyle w:val="4"/>
                    <w:spacing w:line="240" w:lineRule="auto"/>
                    <w:ind w:firstLine="0" w:firstLineChars="0"/>
                    <w:jc w:val="both"/>
                    <w:rPr>
                      <w:rFonts w:hint="eastAsia" w:ascii="Times New Roman" w:hAnsi="Times New Roman" w:eastAsia="宋体" w:cs="Times New Roman"/>
                      <w:b w:val="0"/>
                      <w:i w:val="0"/>
                      <w:iCs w:val="0"/>
                      <w:caps w:val="0"/>
                      <w:color w:val="auto"/>
                      <w:spacing w:val="0"/>
                      <w:sz w:val="21"/>
                      <w:szCs w:val="21"/>
                      <w:highlight w:val="none"/>
                      <w:u w:color="000000"/>
                      <w:shd w:val="clear"/>
                      <w:lang w:eastAsia="zh-CN"/>
                    </w:rPr>
                  </w:pPr>
                  <w:r>
                    <w:rPr>
                      <w:rFonts w:hint="eastAsia" w:ascii="Times New Roman" w:hAnsi="Times New Roman" w:cs="Times New Roman"/>
                      <w:b w:val="0"/>
                      <w:i w:val="0"/>
                      <w:iCs w:val="0"/>
                      <w:caps w:val="0"/>
                      <w:color w:val="auto"/>
                      <w:spacing w:val="0"/>
                      <w:sz w:val="21"/>
                      <w:szCs w:val="21"/>
                      <w:highlight w:val="none"/>
                      <w:u w:color="000000"/>
                      <w:shd w:val="clear"/>
                      <w:lang w:val="en-US" w:eastAsia="zh-CN"/>
                    </w:rPr>
                    <w:t>14.</w:t>
                  </w:r>
                  <w:r>
                    <w:rPr>
                      <w:rFonts w:hint="eastAsia" w:ascii="Times New Roman" w:hAnsi="Times New Roman" w:cs="Times New Roman"/>
                      <w:b w:val="0"/>
                      <w:i w:val="0"/>
                      <w:iCs w:val="0"/>
                      <w:caps w:val="0"/>
                      <w:color w:val="auto"/>
                      <w:spacing w:val="0"/>
                      <w:sz w:val="21"/>
                      <w:szCs w:val="21"/>
                      <w:highlight w:val="none"/>
                      <w:u w:color="000000"/>
                      <w:shd w:val="clear"/>
                      <w:lang w:eastAsia="zh-CN"/>
                    </w:rPr>
                    <w:t>集中整治道路扬尘突出问题。</w:t>
                  </w:r>
                </w:p>
              </w:tc>
              <w:tc>
                <w:tcPr>
                  <w:tcW w:w="1096" w:type="pct"/>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已安装喷淋装置和洗车机，抑止</w:t>
                  </w:r>
                  <w:r>
                    <w:rPr>
                      <w:rFonts w:hint="eastAsia" w:ascii="Times New Roman" w:hAnsi="Times New Roman" w:cs="Times New Roman"/>
                      <w:b w:val="0"/>
                      <w:color w:val="auto"/>
                      <w:sz w:val="21"/>
                      <w:szCs w:val="21"/>
                      <w:highlight w:val="none"/>
                      <w:u w:color="000000"/>
                      <w:lang w:val="en-US" w:eastAsia="zh-CN"/>
                    </w:rPr>
                    <w:t>道路运输扬尘。运输车辆密闭。</w:t>
                  </w:r>
                </w:p>
              </w:tc>
              <w:tc>
                <w:tcPr>
                  <w:tcW w:w="518" w:type="pct"/>
                  <w:vAlign w:val="center"/>
                </w:tcPr>
                <w:p>
                  <w:pPr>
                    <w:pStyle w:val="4"/>
                    <w:spacing w:line="240" w:lineRule="auto"/>
                    <w:ind w:firstLine="0" w:firstLineChars="0"/>
                    <w:jc w:val="center"/>
                    <w:rPr>
                      <w:rFonts w:hint="eastAsia" w:ascii="Times New Roman" w:hAnsi="Times New Roman"/>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9" w:hRule="atLeast"/>
              </w:trPr>
              <w:tc>
                <w:tcPr>
                  <w:tcW w:w="1257" w:type="pct"/>
                  <w:vAlign w:val="center"/>
                </w:tcPr>
                <w:p>
                  <w:pPr>
                    <w:pStyle w:val="4"/>
                    <w:spacing w:line="240" w:lineRule="auto"/>
                    <w:ind w:firstLine="0" w:firstLineChars="0"/>
                    <w:jc w:val="center"/>
                    <w:rPr>
                      <w:rFonts w:hint="eastAsia" w:ascii="Times New Roman" w:hAnsi="Times New Roman" w:eastAsia="宋体" w:cs="Times New Roman"/>
                      <w:b w:val="0"/>
                      <w:color w:val="auto"/>
                      <w:sz w:val="21"/>
                      <w:szCs w:val="21"/>
                      <w:highlight w:val="none"/>
                      <w:u w:color="000000"/>
                      <w:lang w:val="en-US" w:eastAsia="zh-CN"/>
                    </w:rPr>
                  </w:pPr>
                  <w:r>
                    <w:rPr>
                      <w:rFonts w:hint="eastAsia" w:ascii="Times New Roman" w:hAnsi="Times New Roman" w:eastAsia="宋体" w:cs="Times New Roman"/>
                      <w:b w:val="0"/>
                      <w:color w:val="auto"/>
                      <w:sz w:val="21"/>
                      <w:szCs w:val="21"/>
                      <w:highlight w:val="none"/>
                      <w:u w:color="000000"/>
                      <w:lang w:val="en-US" w:eastAsia="zh-CN"/>
                    </w:rPr>
                    <w:t>西安市人民政府办公厅关于印发</w:t>
                  </w:r>
                </w:p>
                <w:p>
                  <w:pPr>
                    <w:pStyle w:val="4"/>
                    <w:spacing w:line="240" w:lineRule="auto"/>
                    <w:ind w:firstLine="0" w:firstLineChars="0"/>
                    <w:jc w:val="center"/>
                    <w:rPr>
                      <w:rFonts w:hint="eastAsia" w:ascii="Times New Roman" w:hAnsi="Times New Roman" w:eastAsia="宋体" w:cs="Times New Roman"/>
                      <w:b w:val="0"/>
                      <w:color w:val="auto"/>
                      <w:sz w:val="21"/>
                      <w:szCs w:val="21"/>
                      <w:highlight w:val="none"/>
                      <w:u w:color="000000"/>
                      <w:lang w:val="en-US" w:eastAsia="zh-CN"/>
                    </w:rPr>
                  </w:pPr>
                  <w:r>
                    <w:rPr>
                      <w:rFonts w:hint="eastAsia" w:ascii="Times New Roman" w:hAnsi="Times New Roman" w:eastAsia="宋体" w:cs="Times New Roman"/>
                      <w:b w:val="0"/>
                      <w:color w:val="auto"/>
                      <w:sz w:val="21"/>
                      <w:szCs w:val="21"/>
                      <w:highlight w:val="none"/>
                      <w:u w:color="000000"/>
                      <w:lang w:val="en-US" w:eastAsia="zh-CN"/>
                    </w:rPr>
                    <w:t>《西安市蓝天碧水净土保卫战2022年工作方案》的通知</w:t>
                  </w:r>
                </w:p>
                <w:p>
                  <w:pPr>
                    <w:pStyle w:val="4"/>
                    <w:spacing w:line="240" w:lineRule="auto"/>
                    <w:ind w:firstLine="0" w:firstLineChars="0"/>
                    <w:jc w:val="center"/>
                    <w:rPr>
                      <w:rFonts w:hint="eastAsia" w:ascii="Times New Roman" w:hAnsi="Times New Roman" w:eastAsia="宋体" w:cs="Times New Roman"/>
                      <w:b w:val="0"/>
                      <w:color w:val="auto"/>
                      <w:sz w:val="21"/>
                      <w:szCs w:val="21"/>
                      <w:highlight w:val="none"/>
                      <w:u w:color="000000"/>
                      <w:lang w:val="en-US" w:eastAsia="zh-CN"/>
                    </w:rPr>
                  </w:pPr>
                </w:p>
              </w:tc>
              <w:tc>
                <w:tcPr>
                  <w:tcW w:w="2127" w:type="pct"/>
                  <w:gridSpan w:val="3"/>
                  <w:vAlign w:val="center"/>
                </w:tcPr>
                <w:p>
                  <w:pPr>
                    <w:pStyle w:val="4"/>
                    <w:spacing w:line="240" w:lineRule="auto"/>
                    <w:ind w:firstLine="0" w:firstLineChars="0"/>
                    <w:jc w:val="both"/>
                    <w:rPr>
                      <w:rFonts w:hint="eastAsia" w:ascii="Times New Roman" w:hAnsi="Times New Roman" w:eastAsia="宋体" w:cs="Times New Roman"/>
                      <w:b w:val="0"/>
                      <w:i w:val="0"/>
                      <w:iCs w:val="0"/>
                      <w:caps w:val="0"/>
                      <w:color w:val="auto"/>
                      <w:spacing w:val="0"/>
                      <w:sz w:val="21"/>
                      <w:szCs w:val="21"/>
                      <w:highlight w:val="none"/>
                      <w:u w:color="000000"/>
                      <w:shd w:val="clear"/>
                    </w:rPr>
                  </w:pPr>
                  <w:r>
                    <w:rPr>
                      <w:rFonts w:hint="eastAsia" w:ascii="Times New Roman" w:hAnsi="Times New Roman" w:eastAsia="宋体" w:cs="Times New Roman"/>
                      <w:b w:val="0"/>
                      <w:i w:val="0"/>
                      <w:iCs w:val="0"/>
                      <w:caps w:val="0"/>
                      <w:color w:val="auto"/>
                      <w:spacing w:val="0"/>
                      <w:sz w:val="21"/>
                      <w:szCs w:val="21"/>
                      <w:highlight w:val="none"/>
                      <w:u w:color="000000"/>
                      <w:shd w:val="clear"/>
                    </w:rPr>
                    <w:t>加强物料堆场扬尘管控。针对铸造、铁合金、焦化、水泥、砖瓦、石灰、耐火材料、有色金属冶炼等行业，严格控制物料储存、输送及生产工艺过程无组织排放，粉粒类物料堆放场以及大型煤炭和矿石物料堆场，基本完成抑尘设施建设和物料输送系统封闭改造。严禁露天装卸作业和物料干法作业。</w:t>
                  </w:r>
                </w:p>
              </w:tc>
              <w:tc>
                <w:tcPr>
                  <w:tcW w:w="1096" w:type="pct"/>
                  <w:vAlign w:val="center"/>
                </w:tcPr>
                <w:p>
                  <w:pPr>
                    <w:pStyle w:val="4"/>
                    <w:spacing w:line="240" w:lineRule="auto"/>
                    <w:ind w:firstLine="0" w:firstLineChars="0"/>
                    <w:jc w:val="both"/>
                    <w:rPr>
                      <w:rFonts w:hint="eastAsia" w:ascii="Times New Roman" w:hAnsi="Times New Roman" w:eastAsia="宋体"/>
                      <w:b w:val="0"/>
                      <w:color w:val="auto"/>
                      <w:sz w:val="21"/>
                      <w:szCs w:val="21"/>
                      <w:highlight w:val="none"/>
                      <w:u w:color="000000"/>
                    </w:rPr>
                  </w:pPr>
                  <w:r>
                    <w:rPr>
                      <w:rFonts w:hint="eastAsia" w:ascii="Times New Roman" w:hAnsi="Times New Roman"/>
                      <w:b w:val="0"/>
                      <w:color w:val="auto"/>
                      <w:sz w:val="21"/>
                      <w:szCs w:val="21"/>
                      <w:highlight w:val="none"/>
                      <w:u w:color="000000"/>
                      <w:lang w:eastAsia="zh-CN"/>
                    </w:rPr>
                    <w:t>已安装</w:t>
                  </w:r>
                  <w:r>
                    <w:rPr>
                      <w:rFonts w:hint="eastAsia" w:ascii="Times New Roman" w:hAnsi="Times New Roman" w:eastAsia="宋体" w:cs="Times New Roman"/>
                      <w:b w:val="0"/>
                      <w:i w:val="0"/>
                      <w:iCs w:val="0"/>
                      <w:caps w:val="0"/>
                      <w:color w:val="auto"/>
                      <w:spacing w:val="0"/>
                      <w:sz w:val="21"/>
                      <w:szCs w:val="21"/>
                      <w:highlight w:val="none"/>
                      <w:u w:color="000000"/>
                      <w:shd w:val="clear"/>
                    </w:rPr>
                    <w:t>扬尘在线监测系统</w:t>
                  </w:r>
                  <w:r>
                    <w:rPr>
                      <w:rFonts w:hint="eastAsia" w:ascii="Times New Roman" w:hAnsi="Times New Roman" w:cs="Times New Roman"/>
                      <w:b w:val="0"/>
                      <w:i w:val="0"/>
                      <w:iCs w:val="0"/>
                      <w:caps w:val="0"/>
                      <w:color w:val="auto"/>
                      <w:spacing w:val="0"/>
                      <w:sz w:val="21"/>
                      <w:szCs w:val="21"/>
                      <w:highlight w:val="none"/>
                      <w:u w:color="000000"/>
                      <w:shd w:val="clear"/>
                      <w:lang w:eastAsia="zh-CN"/>
                    </w:rPr>
                    <w:t>，并对堆场采取全密闭</w:t>
                  </w:r>
                  <w:r>
                    <w:rPr>
                      <w:rFonts w:hint="eastAsia" w:ascii="Times New Roman" w:hAnsi="Times New Roman" w:eastAsia="宋体" w:cs="Times New Roman"/>
                      <w:b w:val="0"/>
                      <w:i w:val="0"/>
                      <w:iCs w:val="0"/>
                      <w:caps w:val="0"/>
                      <w:color w:val="auto"/>
                      <w:spacing w:val="0"/>
                      <w:sz w:val="21"/>
                      <w:szCs w:val="21"/>
                      <w:highlight w:val="none"/>
                      <w:u w:color="000000"/>
                      <w:shd w:val="clear"/>
                      <w:lang w:eastAsia="zh-CN"/>
                    </w:rPr>
                    <w:t>。</w:t>
                  </w:r>
                </w:p>
              </w:tc>
              <w:tc>
                <w:tcPr>
                  <w:tcW w:w="518" w:type="pct"/>
                  <w:vAlign w:val="center"/>
                </w:tcPr>
                <w:p>
                  <w:pPr>
                    <w:pStyle w:val="4"/>
                    <w:spacing w:line="240" w:lineRule="auto"/>
                    <w:ind w:firstLine="0" w:firstLineChars="0"/>
                    <w:jc w:val="center"/>
                    <w:rPr>
                      <w:rFonts w:hint="eastAsia" w:ascii="Times New Roman" w:hAnsi="Times New Roman"/>
                      <w:b w:val="0"/>
                      <w:color w:val="auto"/>
                      <w:sz w:val="21"/>
                      <w:szCs w:val="21"/>
                      <w:highlight w:val="none"/>
                      <w:u w:color="000000"/>
                      <w:lang w:eastAsia="zh-CN"/>
                    </w:rPr>
                  </w:pPr>
                  <w:r>
                    <w:rPr>
                      <w:rFonts w:hint="eastAsia" w:ascii="Times New Roman" w:hAnsi="Times New Roman"/>
                      <w:b w:val="0"/>
                      <w:color w:val="auto"/>
                      <w:sz w:val="21"/>
                      <w:szCs w:val="21"/>
                      <w:highlight w:val="none"/>
                      <w:u w:color="000000"/>
                      <w:lang w:eastAsia="zh-CN"/>
                    </w:rPr>
                    <w:t>符合</w:t>
                  </w:r>
                </w:p>
              </w:tc>
            </w:tr>
          </w:tbl>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“三线一单”符合性分析</w:t>
            </w:r>
          </w:p>
          <w:p>
            <w:pPr>
              <w:spacing w:line="360" w:lineRule="auto"/>
              <w:jc w:val="center"/>
              <w:rPr>
                <w:rFonts w:hint="eastAsia" w:ascii="Times New Roman" w:hAnsi="Times New Roman" w:cs="宋体"/>
                <w:b/>
                <w:color w:val="auto"/>
                <w:szCs w:val="21"/>
                <w:highlight w:val="none"/>
                <w:lang w:bidi="ar"/>
              </w:rPr>
            </w:pPr>
            <w:r>
              <w:rPr>
                <w:rFonts w:hint="eastAsia" w:ascii="Times New Roman" w:hAnsi="Times New Roman" w:cs="宋体"/>
                <w:b/>
                <w:color w:val="auto"/>
                <w:szCs w:val="21"/>
                <w:highlight w:val="none"/>
                <w:lang w:bidi="ar"/>
              </w:rPr>
              <w:t>表1-</w:t>
            </w:r>
            <w:r>
              <w:rPr>
                <w:rFonts w:hint="eastAsia" w:ascii="Times New Roman" w:hAnsi="Times New Roman" w:cs="宋体"/>
                <w:b/>
                <w:color w:val="auto"/>
                <w:szCs w:val="21"/>
                <w:highlight w:val="none"/>
                <w:lang w:val="en-US" w:eastAsia="zh-CN" w:bidi="ar"/>
              </w:rPr>
              <w:t>4</w:t>
            </w:r>
            <w:r>
              <w:rPr>
                <w:rFonts w:hint="eastAsia" w:ascii="Times New Roman" w:hAnsi="Times New Roman" w:cs="宋体"/>
                <w:b/>
                <w:color w:val="auto"/>
                <w:szCs w:val="21"/>
                <w:highlight w:val="none"/>
                <w:lang w:bidi="ar"/>
              </w:rPr>
              <w:t xml:space="preserve"> </w:t>
            </w:r>
            <w:r>
              <w:rPr>
                <w:rFonts w:hint="eastAsia" w:ascii="Times New Roman" w:hAnsi="Times New Roman" w:cs="宋体"/>
                <w:b/>
                <w:color w:val="auto"/>
                <w:szCs w:val="21"/>
                <w:highlight w:val="none"/>
                <w:lang w:eastAsia="zh-CN" w:bidi="ar"/>
              </w:rPr>
              <w:t>西安市</w:t>
            </w:r>
            <w:r>
              <w:rPr>
                <w:rFonts w:hint="eastAsia" w:ascii="Times New Roman" w:hAnsi="Times New Roman" w:cs="宋体"/>
                <w:b/>
                <w:color w:val="auto"/>
                <w:szCs w:val="21"/>
                <w:highlight w:val="none"/>
                <w:lang w:bidi="ar"/>
              </w:rPr>
              <w:t>“三线一单”符合性分析</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6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00" w:type="pct"/>
                  <w:shd w:val="clear" w:color="auto" w:fill="auto"/>
                  <w:vAlign w:val="center"/>
                </w:tcPr>
                <w:p>
                  <w:pPr>
                    <w:spacing w:line="240" w:lineRule="auto"/>
                    <w:jc w:val="center"/>
                    <w:rPr>
                      <w:rFonts w:hint="default" w:ascii="Times New Roman" w:hAnsi="Times New Roman" w:cs="Times New Roman"/>
                      <w:b/>
                      <w:color w:val="auto"/>
                      <w:sz w:val="21"/>
                      <w:szCs w:val="21"/>
                      <w:highlight w:val="none"/>
                      <w:lang w:bidi="ar"/>
                    </w:rPr>
                  </w:pPr>
                  <w:r>
                    <w:rPr>
                      <w:rFonts w:hint="default" w:ascii="Times New Roman" w:hAnsi="Times New Roman" w:cs="Times New Roman"/>
                      <w:b/>
                      <w:color w:val="auto"/>
                      <w:sz w:val="21"/>
                      <w:szCs w:val="21"/>
                      <w:highlight w:val="none"/>
                      <w:lang w:bidi="ar"/>
                    </w:rPr>
                    <w:t>内容</w:t>
                  </w:r>
                </w:p>
              </w:tc>
              <w:tc>
                <w:tcPr>
                  <w:tcW w:w="4199" w:type="pct"/>
                  <w:shd w:val="clear" w:color="auto" w:fill="auto"/>
                  <w:vAlign w:val="center"/>
                </w:tcPr>
                <w:p>
                  <w:pPr>
                    <w:spacing w:line="240" w:lineRule="auto"/>
                    <w:jc w:val="center"/>
                    <w:rPr>
                      <w:rFonts w:hint="default" w:ascii="Times New Roman" w:hAnsi="Times New Roman" w:cs="Times New Roman"/>
                      <w:b/>
                      <w:color w:val="auto"/>
                      <w:sz w:val="21"/>
                      <w:szCs w:val="21"/>
                      <w:highlight w:val="none"/>
                      <w:lang w:bidi="ar"/>
                    </w:rPr>
                  </w:pPr>
                  <w:r>
                    <w:rPr>
                      <w:rFonts w:hint="default" w:ascii="Times New Roman" w:hAnsi="Times New Roman" w:cs="Times New Roman"/>
                      <w:b/>
                      <w:color w:val="auto"/>
                      <w:sz w:val="21"/>
                      <w:szCs w:val="21"/>
                      <w:highlight w:val="none"/>
                      <w:lang w:bidi="ar"/>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800" w:type="pct"/>
                  <w:vAlign w:val="center"/>
                </w:tcPr>
                <w:p>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生态保护红线</w:t>
                  </w:r>
                </w:p>
              </w:tc>
              <w:tc>
                <w:tcPr>
                  <w:tcW w:w="4199" w:type="pct"/>
                  <w:vAlign w:val="center"/>
                </w:tcPr>
                <w:p>
                  <w:pPr>
                    <w:jc w:val="both"/>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rPr>
                    <w:t>本项目</w:t>
                  </w:r>
                  <w:r>
                    <w:rPr>
                      <w:rFonts w:hint="eastAsia"/>
                      <w:bCs/>
                      <w:color w:val="auto"/>
                      <w:sz w:val="21"/>
                      <w:szCs w:val="21"/>
                      <w:highlight w:val="none"/>
                      <w:lang w:eastAsia="zh-CN" w:bidi="ar"/>
                    </w:rPr>
                    <w:t>位于</w:t>
                  </w:r>
                  <w:r>
                    <w:rPr>
                      <w:rFonts w:hint="default"/>
                      <w:bCs/>
                      <w:color w:val="auto"/>
                      <w:sz w:val="21"/>
                      <w:szCs w:val="21"/>
                      <w:highlight w:val="none"/>
                      <w:lang w:val="en-US" w:eastAsia="zh-CN" w:bidi="ar"/>
                    </w:rPr>
                    <w:t>西咸新区秦汉新城渭城街办石何杨村</w:t>
                  </w:r>
                  <w:r>
                    <w:rPr>
                      <w:rFonts w:hint="default" w:ascii="Times New Roman" w:hAnsi="Times New Roman" w:cs="Times New Roman"/>
                      <w:color w:val="auto"/>
                      <w:sz w:val="21"/>
                      <w:szCs w:val="21"/>
                      <w:highlight w:val="none"/>
                    </w:rPr>
                    <w:t>，项目地周边无自然保护区、饮用水源保护区等生态保护目标，符合生态保护红线要求。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trPr>
              <w:tc>
                <w:tcPr>
                  <w:tcW w:w="800" w:type="pct"/>
                  <w:vAlign w:val="center"/>
                </w:tcPr>
                <w:p>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环境质量底线</w:t>
                  </w:r>
                </w:p>
              </w:tc>
              <w:tc>
                <w:tcPr>
                  <w:tcW w:w="4199" w:type="pct"/>
                  <w:vAlign w:val="center"/>
                </w:tcPr>
                <w:p>
                  <w:pPr>
                    <w:jc w:val="both"/>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rPr>
                    <w:t>项目</w:t>
                  </w:r>
                  <w:r>
                    <w:rPr>
                      <w:rFonts w:hint="default" w:ascii="Times New Roman" w:hAnsi="Times New Roman" w:cs="Times New Roman"/>
                      <w:color w:val="auto"/>
                      <w:sz w:val="21"/>
                      <w:szCs w:val="21"/>
                      <w:highlight w:val="none"/>
                      <w:lang w:val="en-US" w:eastAsia="zh-CN"/>
                    </w:rPr>
                    <w:t>产生的</w:t>
                  </w:r>
                  <w:r>
                    <w:rPr>
                      <w:rFonts w:hint="eastAsia" w:cs="Times New Roman"/>
                      <w:color w:val="auto"/>
                      <w:sz w:val="21"/>
                      <w:szCs w:val="21"/>
                      <w:highlight w:val="none"/>
                      <w:lang w:val="en-US" w:eastAsia="zh-CN"/>
                    </w:rPr>
                    <w:t>生产</w:t>
                  </w:r>
                  <w:r>
                    <w:rPr>
                      <w:rFonts w:hint="default" w:ascii="Times New Roman" w:hAnsi="Times New Roman" w:cs="Times New Roman"/>
                      <w:color w:val="auto"/>
                      <w:sz w:val="21"/>
                      <w:szCs w:val="21"/>
                      <w:highlight w:val="none"/>
                      <w:lang w:val="en-US" w:eastAsia="zh-CN"/>
                    </w:rPr>
                    <w:t>废水全部回用，</w:t>
                  </w:r>
                  <w:r>
                    <w:rPr>
                      <w:rFonts w:hint="eastAsia" w:cs="Times New Roman"/>
                      <w:color w:val="auto"/>
                      <w:sz w:val="21"/>
                      <w:szCs w:val="21"/>
                      <w:highlight w:val="none"/>
                      <w:lang w:val="en-US" w:eastAsia="zh-CN"/>
                    </w:rPr>
                    <w:t>不外排</w:t>
                  </w:r>
                  <w:r>
                    <w:rPr>
                      <w:rFonts w:hint="default" w:ascii="Times New Roman" w:hAnsi="Times New Roman" w:cs="Times New Roman"/>
                      <w:color w:val="auto"/>
                      <w:sz w:val="21"/>
                      <w:szCs w:val="21"/>
                      <w:highlight w:val="none"/>
                    </w:rPr>
                    <w:t>，餐饮废水经</w:t>
                  </w:r>
                  <w:r>
                    <w:rPr>
                      <w:rFonts w:hint="eastAsia" w:cs="Times New Roman"/>
                      <w:color w:val="auto"/>
                      <w:sz w:val="21"/>
                      <w:szCs w:val="21"/>
                      <w:highlight w:val="none"/>
                      <w:lang w:eastAsia="zh-CN"/>
                    </w:rPr>
                    <w:t>油水分离器</w:t>
                  </w:r>
                  <w:r>
                    <w:rPr>
                      <w:rFonts w:hint="default" w:ascii="Times New Roman" w:hAnsi="Times New Roman" w:cs="Times New Roman"/>
                      <w:color w:val="auto"/>
                      <w:sz w:val="21"/>
                      <w:szCs w:val="21"/>
                      <w:highlight w:val="none"/>
                    </w:rPr>
                    <w:t>处理后与生活污水一起经化粪池处理后</w:t>
                  </w:r>
                  <w:r>
                    <w:rPr>
                      <w:rFonts w:hint="default" w:ascii="Times New Roman" w:hAnsi="Times New Roman" w:cs="Times New Roman"/>
                      <w:color w:val="auto"/>
                      <w:kern w:val="24"/>
                      <w:sz w:val="21"/>
                      <w:szCs w:val="21"/>
                      <w:highlight w:val="none"/>
                    </w:rPr>
                    <w:t>定期清掏用作农肥</w:t>
                  </w:r>
                  <w:r>
                    <w:rPr>
                      <w:rFonts w:hint="default" w:ascii="Times New Roman" w:hAnsi="Times New Roman" w:cs="Times New Roman"/>
                      <w:color w:val="auto"/>
                      <w:sz w:val="21"/>
                      <w:szCs w:val="21"/>
                      <w:highlight w:val="none"/>
                    </w:rPr>
                    <w:t>，对水环境影响较小；项目废气通过脉冲除尘器收尘、喷淋抑尘、封闭厂房阻隔后无组织排放；设备均在室内，通过厂房隔声和设备减振，噪声可达标排放；产生的固体废物均合理处置。不会突破环境质量底线。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800" w:type="pct"/>
                  <w:vAlign w:val="center"/>
                </w:tcPr>
                <w:p>
                  <w:pPr>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资源利用上线</w:t>
                  </w:r>
                </w:p>
              </w:tc>
              <w:tc>
                <w:tcPr>
                  <w:tcW w:w="4199" w:type="pct"/>
                  <w:vAlign w:val="center"/>
                </w:tcPr>
                <w:p>
                  <w:pPr>
                    <w:jc w:val="both"/>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rPr>
                    <w:t>本项目运营过程会消耗一定的电能、水资源等，电能由市政供给，水由</w:t>
                  </w:r>
                  <w:r>
                    <w:rPr>
                      <w:rFonts w:hint="eastAsia" w:ascii="Times New Roman" w:hAnsi="Times New Roman" w:cs="Times New Roman"/>
                      <w:color w:val="auto"/>
                      <w:sz w:val="21"/>
                      <w:szCs w:val="21"/>
                      <w:highlight w:val="none"/>
                      <w:lang w:eastAsia="zh-CN"/>
                    </w:rPr>
                    <w:t>地下水井</w:t>
                  </w:r>
                  <w:r>
                    <w:rPr>
                      <w:rFonts w:hint="default" w:ascii="Times New Roman" w:hAnsi="Times New Roman" w:cs="Times New Roman"/>
                      <w:color w:val="auto"/>
                      <w:sz w:val="21"/>
                      <w:szCs w:val="21"/>
                      <w:highlight w:val="none"/>
                    </w:rPr>
                    <w:t>供水</w:t>
                  </w:r>
                  <w:r>
                    <w:rPr>
                      <w:rFonts w:hint="eastAsia" w:ascii="Times New Roman" w:hAnsi="Times New Roman" w:cs="Times New Roman"/>
                      <w:color w:val="auto"/>
                      <w:sz w:val="21"/>
                      <w:szCs w:val="21"/>
                      <w:highlight w:val="none"/>
                      <w:lang w:eastAsia="zh-CN"/>
                    </w:rPr>
                    <w:t>，已获取地下水采水证</w:t>
                  </w:r>
                  <w:r>
                    <w:rPr>
                      <w:rFonts w:hint="default" w:ascii="Times New Roman" w:hAnsi="Times New Roman" w:cs="Times New Roman"/>
                      <w:color w:val="auto"/>
                      <w:sz w:val="21"/>
                      <w:szCs w:val="21"/>
                      <w:highlight w:val="none"/>
                    </w:rPr>
                    <w:t>，项目资源利用量相对区域资源利用总量占比较小，不会突破资源利用上线。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00"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生态环境准入清单</w:t>
                  </w:r>
                </w:p>
              </w:tc>
              <w:tc>
                <w:tcPr>
                  <w:tcW w:w="4199" w:type="pct"/>
                  <w:vAlign w:val="center"/>
                </w:tcPr>
                <w:p>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本项目不属于区域环境准入负面清单内容，满足要求</w:t>
                  </w:r>
                </w:p>
              </w:tc>
            </w:tr>
          </w:tbl>
          <w:p>
            <w:pPr>
              <w:spacing w:line="360" w:lineRule="auto"/>
              <w:jc w:val="center"/>
              <w:rPr>
                <w:rFonts w:cs="宋体"/>
                <w:b/>
                <w:color w:val="auto"/>
                <w:szCs w:val="21"/>
                <w:highlight w:val="none"/>
                <w:lang w:bidi="ar"/>
              </w:rPr>
            </w:pPr>
            <w:r>
              <w:rPr>
                <w:rFonts w:hint="eastAsia" w:cs="宋体"/>
                <w:b/>
                <w:color w:val="auto"/>
                <w:szCs w:val="21"/>
                <w:highlight w:val="none"/>
                <w:lang w:bidi="ar"/>
              </w:rPr>
              <w:t>表1</w:t>
            </w:r>
            <w:r>
              <w:rPr>
                <w:rFonts w:cs="宋体"/>
                <w:b/>
                <w:color w:val="auto"/>
                <w:szCs w:val="21"/>
                <w:highlight w:val="none"/>
                <w:lang w:bidi="ar"/>
              </w:rPr>
              <w:t>-</w:t>
            </w:r>
            <w:r>
              <w:rPr>
                <w:rFonts w:hint="eastAsia" w:cs="宋体"/>
                <w:b/>
                <w:color w:val="auto"/>
                <w:szCs w:val="21"/>
                <w:highlight w:val="none"/>
                <w:lang w:val="en-US" w:eastAsia="zh-CN" w:bidi="ar"/>
              </w:rPr>
              <w:t>5</w:t>
            </w:r>
            <w:r>
              <w:rPr>
                <w:rFonts w:cs="宋体"/>
                <w:b/>
                <w:color w:val="auto"/>
                <w:szCs w:val="21"/>
                <w:highlight w:val="none"/>
                <w:lang w:bidi="ar"/>
              </w:rPr>
              <w:t xml:space="preserve"> </w:t>
            </w:r>
            <w:r>
              <w:rPr>
                <w:rFonts w:hint="eastAsia" w:cs="宋体"/>
                <w:b/>
                <w:color w:val="auto"/>
                <w:szCs w:val="21"/>
                <w:highlight w:val="none"/>
                <w:lang w:eastAsia="zh-CN" w:bidi="ar"/>
              </w:rPr>
              <w:t>陕西省</w:t>
            </w:r>
            <w:r>
              <w:rPr>
                <w:rFonts w:hint="eastAsia" w:cs="宋体"/>
                <w:b/>
                <w:color w:val="auto"/>
                <w:szCs w:val="21"/>
                <w:highlight w:val="none"/>
                <w:lang w:bidi="ar"/>
              </w:rPr>
              <w:t>“三线一单”符合性分析</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926"/>
              <w:gridCol w:w="1855"/>
              <w:gridCol w:w="1854"/>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1" w:type="pct"/>
                  <w:shd w:val="clear" w:color="auto" w:fill="auto"/>
                  <w:vAlign w:val="center"/>
                </w:tcPr>
                <w:p>
                  <w:pPr>
                    <w:jc w:val="center"/>
                    <w:rPr>
                      <w:rFonts w:hint="eastAsia" w:ascii="宋体" w:hAnsi="宋体" w:eastAsia="宋体" w:cs="宋体"/>
                      <w:b/>
                      <w:color w:val="auto"/>
                      <w:sz w:val="21"/>
                      <w:szCs w:val="21"/>
                      <w:highlight w:val="none"/>
                      <w:lang w:bidi="ar"/>
                    </w:rPr>
                  </w:pPr>
                  <w:r>
                    <w:rPr>
                      <w:rFonts w:hint="eastAsia" w:ascii="宋体" w:hAnsi="宋体" w:eastAsia="宋体" w:cs="宋体"/>
                      <w:b/>
                      <w:color w:val="auto"/>
                      <w:sz w:val="21"/>
                      <w:szCs w:val="21"/>
                      <w:highlight w:val="none"/>
                      <w:lang w:bidi="ar"/>
                    </w:rPr>
                    <w:t>相关政策文件</w:t>
                  </w:r>
                </w:p>
              </w:tc>
              <w:tc>
                <w:tcPr>
                  <w:tcW w:w="1850" w:type="pct"/>
                  <w:gridSpan w:val="2"/>
                  <w:shd w:val="clear" w:color="auto" w:fill="auto"/>
                  <w:vAlign w:val="center"/>
                </w:tcPr>
                <w:p>
                  <w:pPr>
                    <w:jc w:val="center"/>
                    <w:rPr>
                      <w:rFonts w:hint="eastAsia" w:ascii="宋体" w:hAnsi="宋体" w:eastAsia="宋体" w:cs="宋体"/>
                      <w:b/>
                      <w:color w:val="auto"/>
                      <w:sz w:val="21"/>
                      <w:szCs w:val="21"/>
                      <w:highlight w:val="none"/>
                      <w:lang w:bidi="ar"/>
                    </w:rPr>
                  </w:pPr>
                  <w:r>
                    <w:rPr>
                      <w:rFonts w:hint="eastAsia" w:ascii="宋体" w:hAnsi="宋体" w:eastAsia="宋体" w:cs="宋体"/>
                      <w:b/>
                      <w:color w:val="auto"/>
                      <w:sz w:val="21"/>
                      <w:szCs w:val="21"/>
                      <w:highlight w:val="none"/>
                      <w:lang w:bidi="ar"/>
                    </w:rPr>
                    <w:t>要求</w:t>
                  </w:r>
                </w:p>
              </w:tc>
              <w:tc>
                <w:tcPr>
                  <w:tcW w:w="1233" w:type="pct"/>
                  <w:shd w:val="clear" w:color="auto" w:fill="auto"/>
                  <w:vAlign w:val="center"/>
                </w:tcPr>
                <w:p>
                  <w:pPr>
                    <w:jc w:val="center"/>
                    <w:rPr>
                      <w:rFonts w:hint="eastAsia" w:ascii="宋体" w:hAnsi="宋体" w:eastAsia="宋体" w:cs="宋体"/>
                      <w:b/>
                      <w:color w:val="auto"/>
                      <w:sz w:val="21"/>
                      <w:szCs w:val="21"/>
                      <w:highlight w:val="none"/>
                      <w:lang w:bidi="ar"/>
                    </w:rPr>
                  </w:pPr>
                  <w:r>
                    <w:rPr>
                      <w:rFonts w:hint="eastAsia" w:ascii="宋体" w:hAnsi="宋体" w:eastAsia="宋体" w:cs="宋体"/>
                      <w:b/>
                      <w:color w:val="auto"/>
                      <w:sz w:val="21"/>
                      <w:szCs w:val="21"/>
                      <w:highlight w:val="none"/>
                      <w:lang w:bidi="ar"/>
                    </w:rPr>
                    <w:t>本项目符合情况</w:t>
                  </w:r>
                </w:p>
              </w:tc>
              <w:tc>
                <w:tcPr>
                  <w:tcW w:w="704" w:type="pct"/>
                  <w:shd w:val="clear" w:color="auto" w:fill="auto"/>
                  <w:vAlign w:val="center"/>
                </w:tcPr>
                <w:p>
                  <w:pPr>
                    <w:jc w:val="center"/>
                    <w:rPr>
                      <w:rFonts w:hint="eastAsia" w:ascii="宋体" w:hAnsi="宋体" w:eastAsia="宋体" w:cs="宋体"/>
                      <w:b/>
                      <w:color w:val="auto"/>
                      <w:sz w:val="21"/>
                      <w:szCs w:val="21"/>
                      <w:highlight w:val="none"/>
                      <w:lang w:bidi="ar"/>
                    </w:rPr>
                  </w:pPr>
                  <w:r>
                    <w:rPr>
                      <w:rFonts w:hint="eastAsia" w:ascii="宋体" w:hAnsi="宋体" w:eastAsia="宋体" w:cs="宋体"/>
                      <w:b/>
                      <w:color w:val="auto"/>
                      <w:sz w:val="21"/>
                      <w:szCs w:val="21"/>
                      <w:highlight w:val="none"/>
                      <w:lang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1" w:type="pct"/>
                  <w:vAlign w:val="center"/>
                </w:tcPr>
                <w:p>
                  <w:pPr>
                    <w:jc w:val="center"/>
                    <w:rPr>
                      <w:rFonts w:hint="eastAsia" w:ascii="宋体" w:hAnsi="宋体" w:eastAsia="宋体" w:cs="宋体"/>
                      <w:color w:val="auto"/>
                      <w:sz w:val="21"/>
                      <w:szCs w:val="21"/>
                      <w:highlight w:val="none"/>
                      <w:lang w:bidi="ar"/>
                    </w:rPr>
                  </w:pPr>
                  <w:r>
                    <w:rPr>
                      <w:rFonts w:hint="default" w:ascii="Times New Roman" w:hAnsi="Times New Roman" w:eastAsia="宋体" w:cs="Times New Roman"/>
                      <w:color w:val="auto"/>
                      <w:sz w:val="21"/>
                      <w:szCs w:val="21"/>
                      <w:highlight w:val="none"/>
                      <w:lang w:bidi="ar"/>
                    </w:rPr>
                    <w:t>《陕西省人民政府关于加块实施“三线一单”生态环境分区管控的意见》（陕政发〔2020〕11号</w:t>
                  </w:r>
                  <w:r>
                    <w:rPr>
                      <w:rFonts w:hint="eastAsia" w:ascii="宋体" w:hAnsi="宋体" w:eastAsia="宋体" w:cs="宋体"/>
                      <w:color w:val="auto"/>
                      <w:sz w:val="21"/>
                      <w:szCs w:val="21"/>
                      <w:highlight w:val="none"/>
                      <w:lang w:bidi="ar"/>
                    </w:rPr>
                    <w:t>）</w:t>
                  </w:r>
                </w:p>
              </w:tc>
              <w:tc>
                <w:tcPr>
                  <w:tcW w:w="616" w:type="pct"/>
                  <w:vAlign w:val="center"/>
                </w:tcPr>
                <w:p>
                  <w:pPr>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明确生态环境分区管控要求</w:t>
                  </w:r>
                </w:p>
              </w:tc>
              <w:tc>
                <w:tcPr>
                  <w:tcW w:w="1234" w:type="pct"/>
                  <w:vAlign w:val="center"/>
                </w:tcPr>
                <w:p>
                  <w:pPr>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重点管控单元以提升资源利用效率、加强污染物减排治理和环境风险防控为重点，解决突出生态环境问题</w:t>
                  </w:r>
                </w:p>
              </w:tc>
              <w:tc>
                <w:tcPr>
                  <w:tcW w:w="1233" w:type="pct"/>
                  <w:vAlign w:val="center"/>
                </w:tcPr>
                <w:p>
                  <w:pPr>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本项目位于重点管控单元内，所用原料为粉煤灰、水泥及砂石，提升了资源利用效率。</w:t>
                  </w:r>
                </w:p>
              </w:tc>
              <w:tc>
                <w:tcPr>
                  <w:tcW w:w="704" w:type="pct"/>
                  <w:vAlign w:val="center"/>
                </w:tcPr>
                <w:p>
                  <w:pPr>
                    <w:spacing w:line="360"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pct"/>
            <w:vMerge w:val="continue"/>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p>
        </w:tc>
        <w:tc>
          <w:tcPr>
            <w:tcW w:w="4275" w:type="pct"/>
            <w:noWrap w:val="0"/>
            <w:vAlign w:val="top"/>
          </w:tcPr>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陕西省人民政府关于加快实施“三线一单”生态环境分区管控的意见》（陕政发〔2020〕11号）、《西安市“三线一单”生态环境分区管控实施方案》，本项目位于全省重点管控单元。项目所在的重点管控单元以提升资源利用效率、加强污染物减排治理和环境风险防控为重点，解决突出生态环境问题。</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SA"/>
              </w:rPr>
              <w:t>本项目符合“三线一单”生态环境分区管控要求。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3、项目选址合理性分析</w:t>
            </w:r>
          </w:p>
          <w:p>
            <w:pPr>
              <w:pStyle w:val="72"/>
              <w:tabs>
                <w:tab w:val="right" w:leader="dot" w:pos="8306"/>
              </w:tabs>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本项目位于</w:t>
            </w:r>
            <w:r>
              <w:rPr>
                <w:rFonts w:hint="eastAsia" w:ascii="Times New Roman" w:hAnsi="Times New Roman" w:eastAsia="宋体" w:cs="Times New Roman"/>
                <w:color w:val="auto"/>
                <w:sz w:val="24"/>
                <w:szCs w:val="24"/>
                <w:highlight w:val="none"/>
                <w:lang w:val="en-US" w:eastAsia="zh-CN"/>
              </w:rPr>
              <w:fldChar w:fldCharType="begin"/>
            </w:r>
            <w:r>
              <w:rPr>
                <w:rFonts w:hint="eastAsia" w:ascii="Times New Roman" w:hAnsi="Times New Roman" w:eastAsia="宋体" w:cs="Times New Roman"/>
                <w:color w:val="auto"/>
                <w:sz w:val="24"/>
                <w:szCs w:val="24"/>
                <w:highlight w:val="none"/>
                <w:lang w:val="en-US" w:eastAsia="zh-CN"/>
              </w:rPr>
              <w:instrText xml:space="preserve"> HYPERLINK "https://baike.baidu.com/item/%E8%A5%BF%E5%92%B8%E6%96%B0%E5%8C%BA/8134358" \t "_blank" </w:instrText>
            </w:r>
            <w:r>
              <w:rPr>
                <w:rFonts w:hint="eastAsia" w:ascii="Times New Roman" w:hAnsi="Times New Roman" w:eastAsia="宋体" w:cs="Times New Roman"/>
                <w:color w:val="auto"/>
                <w:sz w:val="24"/>
                <w:szCs w:val="24"/>
                <w:highlight w:val="none"/>
                <w:lang w:val="en-US" w:eastAsia="zh-CN"/>
              </w:rPr>
              <w:fldChar w:fldCharType="separate"/>
            </w:r>
            <w:r>
              <w:rPr>
                <w:rFonts w:hint="eastAsia" w:ascii="Times New Roman" w:hAnsi="Times New Roman" w:eastAsia="宋体" w:cs="Times New Roman"/>
                <w:color w:val="auto"/>
                <w:sz w:val="24"/>
                <w:szCs w:val="24"/>
                <w:highlight w:val="none"/>
                <w:lang w:val="en-US" w:eastAsia="zh-CN"/>
              </w:rPr>
              <w:t>西咸新区秦汉新城</w:t>
            </w:r>
            <w:r>
              <w:rPr>
                <w:rFonts w:hint="eastAsia" w:ascii="Times New Roman" w:hAnsi="Times New Roman" w:eastAsia="宋体" w:cs="Times New Roman"/>
                <w:color w:val="auto"/>
                <w:sz w:val="24"/>
                <w:szCs w:val="24"/>
                <w:highlight w:val="none"/>
                <w:lang w:val="en-US" w:eastAsia="zh-CN"/>
              </w:rPr>
              <w:fldChar w:fldCharType="end"/>
            </w:r>
            <w:r>
              <w:rPr>
                <w:rFonts w:hint="eastAsia" w:ascii="Times New Roman" w:hAnsi="Times New Roman" w:eastAsia="宋体" w:cs="Times New Roman"/>
                <w:color w:val="auto"/>
                <w:sz w:val="24"/>
                <w:szCs w:val="24"/>
                <w:highlight w:val="none"/>
                <w:lang w:val="en-US" w:eastAsia="zh-CN"/>
              </w:rPr>
              <w:t>渭城街办石何杨村，项目周边学校已空置，石桥村居民区正在进行拆迁准备工作，周边工业企业已搬离。项目周边交通便利，便于运输，</w:t>
            </w:r>
            <w:r>
              <w:rPr>
                <w:rFonts w:hint="default" w:ascii="Times New Roman" w:hAnsi="Times New Roman" w:eastAsia="宋体" w:cs="Times New Roman"/>
                <w:color w:val="auto"/>
                <w:kern w:val="0"/>
                <w:sz w:val="24"/>
                <w:szCs w:val="24"/>
                <w:highlight w:val="none"/>
                <w:lang w:val="en-US" w:eastAsia="zh-CN" w:bidi="ar-SA"/>
              </w:rPr>
              <w:t>给水、排水、供电等基础配套设施完善，可满足本项目生产建设要求</w:t>
            </w:r>
            <w:r>
              <w:rPr>
                <w:rFonts w:hint="eastAsia" w:ascii="Times New Roman" w:hAnsi="Times New Roman" w:eastAsia="宋体" w:cs="Times New Roman"/>
                <w:color w:val="auto"/>
                <w:sz w:val="24"/>
                <w:szCs w:val="24"/>
                <w:highlight w:val="none"/>
                <w:lang w:val="en-US" w:eastAsia="zh-CN"/>
              </w:rPr>
              <w:t>。项目用地为租赁渭城镇石何杨村村委会（一组）所有地，于2010年签订土地租赁合同，合同期限为15年。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所在区域不在自然保护区、风景名胜区、水源地保护区、生态功能保护区等需要特殊保护的地区范围内</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和周边环境现状相适应，无相互制约</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项目产生的废气、废水、噪声及工业固废等采取相应的环保措施后，不会对当地的环境质量造成明显的不利影响</w:t>
            </w:r>
            <w:r>
              <w:rPr>
                <w:rFonts w:hint="eastAsia"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因此，</w:t>
            </w:r>
            <w:r>
              <w:rPr>
                <w:rFonts w:hint="eastAsia" w:ascii="Times New Roman" w:hAnsi="Times New Roman" w:eastAsia="宋体" w:cs="Times New Roman"/>
                <w:color w:val="auto"/>
                <w:sz w:val="24"/>
                <w:szCs w:val="24"/>
                <w:highlight w:val="none"/>
                <w:lang w:val="en-US" w:eastAsia="zh-CN"/>
              </w:rPr>
              <w:t>项目选址合理。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p>
          <w:p>
            <w:pPr>
              <w:pStyle w:val="2"/>
              <w:rPr>
                <w:rFonts w:hint="eastAsia" w:ascii="Times New Roman" w:hAnsi="Times New Roman" w:eastAsia="宋体" w:cs="Times New Roman"/>
                <w:color w:val="auto"/>
                <w:sz w:val="24"/>
                <w:szCs w:val="24"/>
                <w:highlight w:val="none"/>
                <w:lang w:val="en-US" w:eastAsia="zh-CN"/>
              </w:rPr>
            </w:pPr>
          </w:p>
          <w:p>
            <w:pPr>
              <w:rPr>
                <w:rFonts w:hint="eastAsia" w:ascii="Times New Roman" w:hAnsi="Times New Roman" w:eastAsia="宋体" w:cs="Times New Roman"/>
                <w:color w:val="auto"/>
                <w:sz w:val="24"/>
                <w:szCs w:val="24"/>
                <w:highlight w:val="none"/>
                <w:lang w:val="en-US" w:eastAsia="zh-CN"/>
              </w:rPr>
            </w:pPr>
          </w:p>
          <w:p>
            <w:pPr>
              <w:pStyle w:val="2"/>
              <w:rPr>
                <w:rFonts w:hint="eastAsia" w:ascii="Times New Roman" w:hAnsi="Times New Roman" w:eastAsia="宋体" w:cs="Times New Roman"/>
                <w:color w:val="auto"/>
                <w:sz w:val="24"/>
                <w:szCs w:val="24"/>
                <w:highlight w:val="none"/>
                <w:lang w:val="en-US" w:eastAsia="zh-CN"/>
              </w:rPr>
            </w:pPr>
          </w:p>
          <w:p>
            <w:pPr>
              <w:rPr>
                <w:rFonts w:hint="eastAsia" w:ascii="Times New Roman" w:hAnsi="Times New Roman" w:eastAsia="宋体" w:cs="Times New Roman"/>
                <w:color w:val="auto"/>
                <w:sz w:val="24"/>
                <w:szCs w:val="24"/>
                <w:highlight w:val="none"/>
                <w:lang w:val="en-US" w:eastAsia="zh-CN"/>
              </w:rPr>
            </w:pPr>
          </w:p>
          <w:p>
            <w:pPr>
              <w:pStyle w:val="2"/>
              <w:rPr>
                <w:rFonts w:hint="eastAsia" w:ascii="Times New Roman" w:hAnsi="Times New Roman" w:eastAsia="宋体" w:cs="Times New Roman"/>
                <w:color w:val="auto"/>
                <w:sz w:val="24"/>
                <w:szCs w:val="24"/>
                <w:highlight w:val="none"/>
                <w:lang w:val="en-US" w:eastAsia="zh-CN"/>
              </w:rPr>
            </w:pPr>
          </w:p>
          <w:p>
            <w:pPr>
              <w:rPr>
                <w:rFonts w:hint="eastAsia" w:ascii="Times New Roman" w:hAnsi="Times New Roman" w:eastAsia="宋体" w:cs="Times New Roman"/>
                <w:color w:val="auto"/>
                <w:sz w:val="24"/>
                <w:szCs w:val="24"/>
                <w:highlight w:val="none"/>
                <w:lang w:val="en-US" w:eastAsia="zh-CN"/>
              </w:rPr>
            </w:pPr>
          </w:p>
          <w:p>
            <w:pPr>
              <w:pStyle w:val="2"/>
              <w:rPr>
                <w:rFonts w:hint="eastAsia" w:ascii="Times New Roman" w:hAnsi="Times New Roman" w:eastAsia="宋体" w:cs="Times New Roman"/>
                <w:color w:val="auto"/>
                <w:sz w:val="24"/>
                <w:szCs w:val="24"/>
                <w:highlight w:val="none"/>
                <w:lang w:val="en-US" w:eastAsia="zh-CN"/>
              </w:rPr>
            </w:pPr>
          </w:p>
          <w:p>
            <w:pPr>
              <w:rPr>
                <w:rFonts w:hint="eastAsia" w:ascii="Times New Roman" w:hAnsi="Times New Roman" w:eastAsia="宋体" w:cs="Times New Roman"/>
                <w:color w:val="auto"/>
                <w:sz w:val="24"/>
                <w:szCs w:val="24"/>
                <w:highlight w:val="none"/>
                <w:lang w:val="en-US" w:eastAsia="zh-CN"/>
              </w:rPr>
            </w:pPr>
          </w:p>
          <w:p>
            <w:pPr>
              <w:pStyle w:val="2"/>
              <w:rPr>
                <w:rFonts w:hint="eastAsia" w:ascii="Times New Roman" w:hAnsi="Times New Roman" w:eastAsia="宋体" w:cs="Times New Roman"/>
                <w:color w:val="auto"/>
                <w:sz w:val="24"/>
                <w:szCs w:val="24"/>
                <w:highlight w:val="none"/>
                <w:lang w:val="en-US" w:eastAsia="zh-CN"/>
              </w:rPr>
            </w:pPr>
          </w:p>
          <w:p>
            <w:pPr>
              <w:rPr>
                <w:rFonts w:hint="eastAsia" w:ascii="Times New Roman" w:hAnsi="Times New Roman" w:eastAsia="宋体" w:cs="Times New Roman"/>
                <w:color w:val="auto"/>
                <w:sz w:val="24"/>
                <w:szCs w:val="24"/>
                <w:highlight w:val="none"/>
                <w:lang w:val="en-US" w:eastAsia="zh-CN"/>
              </w:rPr>
            </w:pPr>
          </w:p>
          <w:p>
            <w:pPr>
              <w:pStyle w:val="2"/>
              <w:rPr>
                <w:rFonts w:hint="eastAsia" w:ascii="Times New Roman" w:hAnsi="Times New Roman" w:eastAsia="宋体" w:cs="Times New Roman"/>
                <w:color w:val="auto"/>
                <w:sz w:val="24"/>
                <w:szCs w:val="24"/>
                <w:highlight w:val="none"/>
                <w:lang w:val="en-US" w:eastAsia="zh-CN"/>
              </w:rPr>
            </w:pPr>
          </w:p>
          <w:p>
            <w:pPr>
              <w:rPr>
                <w:rFonts w:hint="eastAsia" w:ascii="Times New Roman" w:hAnsi="Times New Roman" w:eastAsia="宋体" w:cs="Times New Roman"/>
                <w:color w:val="auto"/>
                <w:sz w:val="24"/>
                <w:szCs w:val="24"/>
                <w:highlight w:val="none"/>
                <w:lang w:val="en-US" w:eastAsia="zh-CN"/>
              </w:rPr>
            </w:pPr>
          </w:p>
          <w:p>
            <w:pPr>
              <w:pStyle w:val="2"/>
              <w:rPr>
                <w:rFonts w:hint="eastAsia" w:ascii="Times New Roman" w:hAnsi="Times New Roman" w:eastAsia="宋体" w:cs="Times New Roman"/>
                <w:color w:val="auto"/>
                <w:sz w:val="24"/>
                <w:szCs w:val="24"/>
                <w:highlight w:val="none"/>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cs="Times New Roman"/>
                <w:color w:val="auto"/>
                <w:sz w:val="24"/>
                <w:szCs w:val="24"/>
                <w:highlight w:val="none"/>
                <w:lang w:val="en-US" w:eastAsia="zh-CN"/>
              </w:rPr>
            </w:pPr>
          </w:p>
        </w:tc>
      </w:tr>
    </w:tbl>
    <w:p>
      <w:pPr>
        <w:spacing w:line="360" w:lineRule="auto"/>
        <w:outlineLvl w:val="0"/>
        <w:rPr>
          <w:rFonts w:hint="default" w:ascii="Times New Roman" w:hAnsi="Times New Roman" w:eastAsia="宋体" w:cs="Times New Roman"/>
          <w:color w:val="auto"/>
          <w:sz w:val="30"/>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9"/>
        <w:gridCol w:w="86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dxa"/>
            <w:noWrap w:val="0"/>
            <w:vAlign w:val="center"/>
          </w:tcPr>
          <w:p>
            <w:pPr>
              <w:pStyle w:val="25"/>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c>
          <w:tcPr>
            <w:tcW w:w="8633"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、项目概况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项目名称：</w:t>
            </w:r>
            <w:r>
              <w:rPr>
                <w:rFonts w:hint="default" w:ascii="Times New Roman" w:hAnsi="Times New Roman" w:eastAsia="宋体" w:cs="Times New Roman"/>
                <w:color w:val="auto"/>
                <w:sz w:val="24"/>
                <w:szCs w:val="24"/>
                <w:highlight w:val="none"/>
                <w:lang w:val="en-US" w:eastAsia="zh-CN"/>
              </w:rPr>
              <w:t>陕西合为商品混凝土扩建项目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trike/>
                <w:color w:val="auto"/>
                <w:sz w:val="24"/>
                <w:szCs w:val="24"/>
                <w:highlight w:val="none"/>
              </w:rPr>
            </w:pPr>
            <w:r>
              <w:rPr>
                <w:rFonts w:hint="default" w:ascii="Times New Roman" w:hAnsi="Times New Roman" w:eastAsia="宋体" w:cs="Times New Roman"/>
                <w:color w:val="auto"/>
                <w:sz w:val="24"/>
                <w:szCs w:val="24"/>
                <w:highlight w:val="none"/>
              </w:rPr>
              <w:t>建设地点：</w:t>
            </w:r>
            <w:r>
              <w:rPr>
                <w:rFonts w:hint="default" w:ascii="Times New Roman" w:hAnsi="Times New Roman" w:eastAsia="宋体" w:cs="Times New Roman"/>
                <w:color w:val="auto"/>
                <w:sz w:val="24"/>
                <w:szCs w:val="24"/>
                <w:highlight w:val="none"/>
                <w:lang w:val="en-US" w:eastAsia="zh-CN"/>
              </w:rPr>
              <w:t>西咸新区秦汉新城渭城街办石何杨村</w:t>
            </w:r>
            <w:r>
              <w:rPr>
                <w:rFonts w:hint="eastAsia" w:cs="Times New Roman"/>
                <w:color w:val="auto"/>
                <w:sz w:val="24"/>
                <w:szCs w:val="24"/>
                <w:highlight w:val="none"/>
                <w:lang w:val="en-US" w:eastAsia="zh-CN"/>
              </w:rPr>
              <w:t>，项目经纬度为东经108°47'35.922"，北纬34°23'3.071"</w:t>
            </w:r>
            <w:r>
              <w:rPr>
                <w:rFonts w:hint="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四邻关系：</w:t>
            </w:r>
            <w:r>
              <w:rPr>
                <w:rFonts w:hint="eastAsia" w:ascii="Times New Roman" w:hAnsi="Times New Roman" w:eastAsia="宋体" w:cs="Times New Roman"/>
                <w:color w:val="auto"/>
                <w:sz w:val="24"/>
                <w:szCs w:val="24"/>
                <w:highlight w:val="none"/>
                <w:lang w:val="en-US" w:eastAsia="zh-CN"/>
              </w:rPr>
              <w:t>项目正北侧为渭阳佳苑项目部（17m），石桥中学</w:t>
            </w:r>
            <w:r>
              <w:rPr>
                <w:rFonts w:hint="eastAsia" w:ascii="Times New Roman" w:hAnsi="Times New Roman" w:cs="Times New Roman"/>
                <w:color w:val="auto"/>
                <w:sz w:val="24"/>
                <w:szCs w:val="24"/>
                <w:highlight w:val="none"/>
                <w:lang w:val="en-US" w:eastAsia="zh-CN"/>
              </w:rPr>
              <w:t>（140m，已空置）</w:t>
            </w:r>
            <w:r>
              <w:rPr>
                <w:rFonts w:hint="eastAsia" w:ascii="Times New Roman" w:hAnsi="Times New Roman" w:eastAsia="宋体" w:cs="Times New Roman"/>
                <w:color w:val="auto"/>
                <w:sz w:val="24"/>
                <w:szCs w:val="24"/>
                <w:highlight w:val="none"/>
                <w:lang w:val="en-US" w:eastAsia="zh-CN"/>
              </w:rPr>
              <w:t>，西侧为闲置工业企业厂房</w:t>
            </w:r>
            <w:r>
              <w:rPr>
                <w:rFonts w:hint="eastAsia" w:cs="Times New Roman"/>
                <w:color w:val="auto"/>
                <w:sz w:val="24"/>
                <w:szCs w:val="24"/>
                <w:highlight w:val="none"/>
                <w:lang w:val="en-US" w:eastAsia="zh-CN"/>
              </w:rPr>
              <w:t>（绿树成荫环保科技有限公司等）及石桥村居民区</w:t>
            </w:r>
            <w:r>
              <w:rPr>
                <w:rFonts w:hint="eastAsia"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东</w:t>
            </w:r>
            <w:r>
              <w:rPr>
                <w:rFonts w:hint="eastAsia" w:ascii="Times New Roman" w:hAnsi="Times New Roman" w:eastAsia="宋体" w:cs="Times New Roman"/>
                <w:color w:val="auto"/>
                <w:sz w:val="24"/>
                <w:szCs w:val="24"/>
                <w:highlight w:val="none"/>
                <w:lang w:val="en-US" w:eastAsia="zh-CN"/>
              </w:rPr>
              <w:t>侧为渭阳佳苑</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紧邻，在建</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，正南侧</w:t>
            </w:r>
            <w:r>
              <w:rPr>
                <w:rFonts w:hint="eastAsia" w:cs="Times New Roman"/>
                <w:color w:val="auto"/>
                <w:sz w:val="24"/>
                <w:szCs w:val="24"/>
                <w:highlight w:val="none"/>
                <w:lang w:val="en-US" w:eastAsia="zh-CN"/>
              </w:rPr>
              <w:t>为咸铜铁路（紧邻）</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建设单位：</w:t>
            </w:r>
            <w:r>
              <w:rPr>
                <w:rFonts w:hint="default" w:ascii="Times New Roman" w:hAnsi="Times New Roman" w:eastAsia="宋体" w:cs="Times New Roman"/>
                <w:color w:val="auto"/>
                <w:sz w:val="24"/>
                <w:szCs w:val="24"/>
                <w:highlight w:val="none"/>
                <w:lang w:eastAsia="zh-CN"/>
              </w:rPr>
              <w:t>陕西合为混凝土有限公司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color w:val="auto"/>
                <w:sz w:val="24"/>
                <w:szCs w:val="24"/>
                <w:highlight w:val="none"/>
                <w:lang w:val="en-US" w:eastAsia="zh-CN"/>
              </w:rPr>
            </w:pPr>
            <w:r>
              <w:rPr>
                <w:rFonts w:hint="default" w:cs="Times New Roman"/>
                <w:color w:val="auto"/>
                <w:sz w:val="24"/>
                <w:szCs w:val="24"/>
                <w:highlight w:val="none"/>
                <w:lang w:eastAsia="zh-CN"/>
              </w:rPr>
              <w:t>建设性质：</w:t>
            </w:r>
            <w:r>
              <w:rPr>
                <w:rFonts w:hint="eastAsia" w:cs="Times New Roman"/>
                <w:color w:val="auto"/>
                <w:sz w:val="24"/>
                <w:szCs w:val="24"/>
                <w:highlight w:val="none"/>
                <w:lang w:val="en-US" w:eastAsia="zh-CN"/>
              </w:rPr>
              <w:t>扩建</w:t>
            </w:r>
            <w:r>
              <w:rPr>
                <w:rFonts w:hint="default"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2、建设内容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本项目为扩建工程，建设规模为年产25万m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商品混凝土，本项目主要在原有项目基础上新增技术设备，提高产能，其他设施依托原有。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主要建设内容见表2-</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p>
          <w:p>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1"/>
                <w:szCs w:val="21"/>
                <w:highlight w:val="none"/>
              </w:rPr>
              <w:t>表2-</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 xml:space="preserve">  </w:t>
            </w:r>
            <w:r>
              <w:rPr>
                <w:rFonts w:hint="eastAsia"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工程组成表</w:t>
            </w:r>
          </w:p>
          <w:tbl>
            <w:tblPr>
              <w:tblStyle w:val="30"/>
              <w:tblW w:w="49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499"/>
              <w:gridCol w:w="1089"/>
              <w:gridCol w:w="3282"/>
              <w:gridCol w:w="14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5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项目组成</w:t>
                  </w: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类别</w:t>
                  </w:r>
                </w:p>
              </w:tc>
              <w:tc>
                <w:tcPr>
                  <w:tcW w:w="2609" w:type="pct"/>
                  <w:gridSpan w:val="2"/>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主要建设内容及规模</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59"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主体工程</w:t>
                  </w:r>
                </w:p>
              </w:tc>
              <w:tc>
                <w:tcPr>
                  <w:tcW w:w="895"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搅拌站基础设施</w:t>
                  </w:r>
                </w:p>
              </w:tc>
              <w:tc>
                <w:tcPr>
                  <w:tcW w:w="65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配料系统</w:t>
                  </w:r>
                </w:p>
              </w:tc>
              <w:tc>
                <w:tcPr>
                  <w:tcW w:w="195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配料机，2套</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59"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65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上料系统</w:t>
                  </w:r>
                </w:p>
              </w:tc>
              <w:tc>
                <w:tcPr>
                  <w:tcW w:w="195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皮带机，</w:t>
                  </w:r>
                  <w:r>
                    <w:rPr>
                      <w:rFonts w:hint="eastAsia" w:cs="Times New Roman"/>
                      <w:b w:val="0"/>
                      <w:bCs/>
                      <w:color w:val="auto"/>
                      <w:kern w:val="0"/>
                      <w:sz w:val="21"/>
                      <w:szCs w:val="21"/>
                      <w:highlight w:val="none"/>
                      <w:lang w:val="en-US" w:eastAsia="zh-CN"/>
                    </w:rPr>
                    <w:t>4</w:t>
                  </w:r>
                  <w:r>
                    <w:rPr>
                      <w:rFonts w:hint="default" w:ascii="Times New Roman" w:hAnsi="Times New Roman" w:cs="Times New Roman"/>
                      <w:b w:val="0"/>
                      <w:bCs/>
                      <w:color w:val="auto"/>
                      <w:kern w:val="0"/>
                      <w:sz w:val="21"/>
                      <w:szCs w:val="21"/>
                      <w:highlight w:val="none"/>
                      <w:lang w:val="en-US" w:eastAsia="zh-CN"/>
                    </w:rPr>
                    <w:t>条</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2条依托原有，新增2条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65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粉料筒仓</w:t>
                  </w:r>
                </w:p>
              </w:tc>
              <w:tc>
                <w:tcPr>
                  <w:tcW w:w="195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10</w:t>
                  </w:r>
                  <w:r>
                    <w:rPr>
                      <w:rFonts w:hint="default" w:ascii="Times New Roman" w:hAnsi="Times New Roman" w:cs="Times New Roman"/>
                      <w:b w:val="0"/>
                      <w:bCs/>
                      <w:color w:val="auto"/>
                      <w:kern w:val="0"/>
                      <w:sz w:val="21"/>
                      <w:szCs w:val="21"/>
                      <w:highlight w:val="none"/>
                      <w:lang w:val="en-US" w:eastAsia="zh-CN"/>
                    </w:rPr>
                    <w:t>个（水泥仓</w:t>
                  </w:r>
                  <w:r>
                    <w:rPr>
                      <w:rFonts w:hint="eastAsia" w:cs="Times New Roman"/>
                      <w:b w:val="0"/>
                      <w:bCs/>
                      <w:color w:val="auto"/>
                      <w:kern w:val="0"/>
                      <w:sz w:val="21"/>
                      <w:szCs w:val="21"/>
                      <w:highlight w:val="none"/>
                      <w:lang w:val="en-US" w:eastAsia="zh-CN"/>
                    </w:rPr>
                    <w:t>6</w:t>
                  </w:r>
                  <w:r>
                    <w:rPr>
                      <w:rFonts w:hint="default" w:ascii="Times New Roman" w:hAnsi="Times New Roman" w:cs="Times New Roman"/>
                      <w:b w:val="0"/>
                      <w:bCs/>
                      <w:color w:val="auto"/>
                      <w:kern w:val="0"/>
                      <w:sz w:val="21"/>
                      <w:szCs w:val="21"/>
                      <w:highlight w:val="none"/>
                      <w:lang w:val="en-US" w:eastAsia="zh-CN"/>
                    </w:rPr>
                    <w:t>个，粉煤灰仓</w:t>
                  </w:r>
                  <w:r>
                    <w:rPr>
                      <w:rFonts w:hint="eastAsia" w:cs="Times New Roman"/>
                      <w:b w:val="0"/>
                      <w:bCs/>
                      <w:color w:val="auto"/>
                      <w:kern w:val="0"/>
                      <w:sz w:val="21"/>
                      <w:szCs w:val="21"/>
                      <w:highlight w:val="none"/>
                      <w:lang w:val="en-US" w:eastAsia="zh-CN"/>
                    </w:rPr>
                    <w:t>2</w:t>
                  </w:r>
                  <w:r>
                    <w:rPr>
                      <w:rFonts w:hint="default" w:ascii="Times New Roman" w:hAnsi="Times New Roman" w:cs="Times New Roman"/>
                      <w:b w:val="0"/>
                      <w:bCs/>
                      <w:color w:val="auto"/>
                      <w:kern w:val="0"/>
                      <w:sz w:val="21"/>
                      <w:szCs w:val="21"/>
                      <w:highlight w:val="none"/>
                      <w:lang w:val="en-US" w:eastAsia="zh-CN"/>
                    </w:rPr>
                    <w:t>个，</w:t>
                  </w:r>
                  <w:r>
                    <w:rPr>
                      <w:rFonts w:hint="eastAsia" w:cs="Times New Roman"/>
                      <w:b w:val="0"/>
                      <w:bCs/>
                      <w:color w:val="auto"/>
                      <w:kern w:val="0"/>
                      <w:sz w:val="21"/>
                      <w:szCs w:val="21"/>
                      <w:highlight w:val="none"/>
                      <w:lang w:val="en-US" w:eastAsia="zh-CN"/>
                    </w:rPr>
                    <w:t>矿粉仓2个</w:t>
                  </w:r>
                  <w:r>
                    <w:rPr>
                      <w:rFonts w:hint="default" w:ascii="Times New Roman" w:hAnsi="Times New Roman" w:cs="Times New Roman"/>
                      <w:b w:val="0"/>
                      <w:bCs/>
                      <w:color w:val="auto"/>
                      <w:kern w:val="0"/>
                      <w:sz w:val="21"/>
                      <w:szCs w:val="21"/>
                      <w:highlight w:val="none"/>
                      <w:lang w:val="en-US" w:eastAsia="zh-CN"/>
                    </w:rPr>
                    <w:t>）</w:t>
                  </w:r>
                  <w:r>
                    <w:rPr>
                      <w:rFonts w:hint="eastAsia" w:cs="Times New Roman"/>
                      <w:b w:val="0"/>
                      <w:bCs/>
                      <w:color w:val="auto"/>
                      <w:kern w:val="0"/>
                      <w:sz w:val="21"/>
                      <w:szCs w:val="21"/>
                      <w:highlight w:val="none"/>
                      <w:lang w:val="en-US" w:eastAsia="zh-CN"/>
                    </w:rPr>
                    <w:t>，</w:t>
                  </w:r>
                  <w:r>
                    <w:rPr>
                      <w:rFonts w:hint="default" w:ascii="Times New Roman" w:hAnsi="Times New Roman" w:cs="Times New Roman"/>
                      <w:b w:val="0"/>
                      <w:bCs/>
                      <w:color w:val="auto"/>
                      <w:kern w:val="0"/>
                      <w:sz w:val="21"/>
                      <w:szCs w:val="21"/>
                      <w:highlight w:val="none"/>
                      <w:lang w:val="en-US" w:eastAsia="zh-CN"/>
                    </w:rPr>
                    <w:t>外加剂仓</w:t>
                  </w:r>
                  <w:r>
                    <w:rPr>
                      <w:rFonts w:hint="eastAsia" w:cs="Times New Roman"/>
                      <w:b w:val="0"/>
                      <w:bCs/>
                      <w:color w:val="auto"/>
                      <w:kern w:val="0"/>
                      <w:sz w:val="21"/>
                      <w:szCs w:val="21"/>
                      <w:highlight w:val="none"/>
                      <w:lang w:val="en-US" w:eastAsia="zh-CN"/>
                    </w:rPr>
                    <w:t>4</w:t>
                  </w:r>
                  <w:r>
                    <w:rPr>
                      <w:rFonts w:hint="default" w:ascii="Times New Roman" w:hAnsi="Times New Roman" w:cs="Times New Roman"/>
                      <w:b w:val="0"/>
                      <w:bCs/>
                      <w:color w:val="auto"/>
                      <w:kern w:val="0"/>
                      <w:sz w:val="21"/>
                      <w:szCs w:val="21"/>
                      <w:highlight w:val="none"/>
                      <w:lang w:val="en-US" w:eastAsia="zh-CN"/>
                    </w:rPr>
                    <w:t>个</w:t>
                  </w:r>
                </w:p>
              </w:tc>
              <w:tc>
                <w:tcPr>
                  <w:tcW w:w="835" w:type="pct"/>
                  <w:tcBorders>
                    <w:tl2br w:val="nil"/>
                    <w:tr2bl w:val="nil"/>
                  </w:tcBorders>
                  <w:noWrap w:val="0"/>
                  <w:vAlign w:val="center"/>
                </w:tcPr>
                <w:p>
                  <w:pPr>
                    <w:spacing w:line="240" w:lineRule="auto"/>
                    <w:ind w:firstLine="0" w:firstLineChars="0"/>
                    <w:jc w:val="center"/>
                    <w:rPr>
                      <w:rFonts w:hint="default"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新增水泥仓4个，粉煤灰仓1个，矿粉仓2个，外加剂仓3个，其他依托原有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59"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65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输送系统</w:t>
                  </w:r>
                </w:p>
              </w:tc>
              <w:tc>
                <w:tcPr>
                  <w:tcW w:w="195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输送机，</w:t>
                  </w:r>
                  <w:r>
                    <w:rPr>
                      <w:rFonts w:hint="eastAsia" w:cs="Times New Roman"/>
                      <w:b w:val="0"/>
                      <w:bCs/>
                      <w:color w:val="auto"/>
                      <w:kern w:val="0"/>
                      <w:sz w:val="21"/>
                      <w:szCs w:val="21"/>
                      <w:highlight w:val="none"/>
                      <w:lang w:val="en-US" w:eastAsia="zh-CN"/>
                    </w:rPr>
                    <w:t>10根</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新增4根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59"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650"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搅拌系统</w:t>
                  </w:r>
                </w:p>
              </w:tc>
              <w:tc>
                <w:tcPr>
                  <w:tcW w:w="195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封闭搅拌楼，</w:t>
                  </w:r>
                  <w:r>
                    <w:rPr>
                      <w:rFonts w:hint="eastAsia" w:ascii="Times New Roman" w:hAnsi="Times New Roman" w:cs="Times New Roman"/>
                      <w:b w:val="0"/>
                      <w:bCs/>
                      <w:color w:val="auto"/>
                      <w:kern w:val="0"/>
                      <w:sz w:val="21"/>
                      <w:szCs w:val="21"/>
                      <w:highlight w:val="none"/>
                      <w:lang w:val="en-US" w:eastAsia="zh-CN"/>
                    </w:rPr>
                    <w:t>180</w:t>
                  </w:r>
                  <w:r>
                    <w:rPr>
                      <w:rFonts w:hint="default" w:ascii="Times New Roman" w:hAnsi="Times New Roman" w:cs="Times New Roman"/>
                      <w:b w:val="0"/>
                      <w:bCs/>
                      <w:color w:val="auto"/>
                      <w:kern w:val="0"/>
                      <w:sz w:val="21"/>
                      <w:szCs w:val="21"/>
                      <w:highlight w:val="none"/>
                      <w:lang w:val="en-US" w:eastAsia="zh-CN"/>
                    </w:rPr>
                    <w:t>搅拌机</w:t>
                  </w:r>
                  <w:r>
                    <w:rPr>
                      <w:rFonts w:hint="eastAsia" w:cs="Times New Roman"/>
                      <w:b w:val="0"/>
                      <w:bCs/>
                      <w:color w:val="auto"/>
                      <w:kern w:val="0"/>
                      <w:sz w:val="21"/>
                      <w:szCs w:val="21"/>
                      <w:highlight w:val="none"/>
                      <w:lang w:val="en-US" w:eastAsia="zh-CN"/>
                    </w:rPr>
                    <w:t>2</w:t>
                  </w:r>
                  <w:r>
                    <w:rPr>
                      <w:rFonts w:hint="eastAsia" w:ascii="Times New Roman" w:hAnsi="Times New Roman" w:cs="Times New Roman"/>
                      <w:b w:val="0"/>
                      <w:bCs/>
                      <w:color w:val="auto"/>
                      <w:kern w:val="0"/>
                      <w:sz w:val="21"/>
                      <w:szCs w:val="21"/>
                      <w:highlight w:val="none"/>
                      <w:lang w:val="en-US" w:eastAsia="zh-CN"/>
                    </w:rPr>
                    <w:t>台</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59"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辅助工程</w:t>
                  </w: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办公楼</w:t>
                  </w:r>
                </w:p>
              </w:tc>
              <w:tc>
                <w:tcPr>
                  <w:tcW w:w="2609" w:type="pct"/>
                  <w:gridSpan w:val="2"/>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1</w:t>
                  </w:r>
                  <w:r>
                    <w:rPr>
                      <w:rFonts w:hint="eastAsia" w:cs="Times New Roman"/>
                      <w:b w:val="0"/>
                      <w:bCs/>
                      <w:color w:val="auto"/>
                      <w:kern w:val="0"/>
                      <w:sz w:val="21"/>
                      <w:szCs w:val="21"/>
                      <w:highlight w:val="none"/>
                      <w:lang w:val="en-US" w:eastAsia="zh-CN"/>
                    </w:rPr>
                    <w:t>20</w:t>
                  </w:r>
                  <w:r>
                    <w:rPr>
                      <w:rFonts w:hint="eastAsia" w:ascii="Times New Roman" w:hAnsi="Times New Roman" w:cs="Times New Roman"/>
                      <w:b w:val="0"/>
                      <w:bCs/>
                      <w:color w:val="auto"/>
                      <w:kern w:val="0"/>
                      <w:sz w:val="21"/>
                      <w:szCs w:val="21"/>
                      <w:highlight w:val="none"/>
                      <w:lang w:val="en-US" w:eastAsia="zh-CN"/>
                    </w:rPr>
                    <w:t>0</w:t>
                  </w:r>
                  <w:r>
                    <w:rPr>
                      <w:rFonts w:hint="default" w:ascii="Times New Roman" w:hAnsi="Times New Roman" w:cs="Times New Roman"/>
                      <w:b w:val="0"/>
                      <w:bCs/>
                      <w:color w:val="auto"/>
                      <w:kern w:val="0"/>
                      <w:sz w:val="21"/>
                      <w:szCs w:val="21"/>
                      <w:highlight w:val="none"/>
                      <w:lang w:val="en-US" w:eastAsia="zh-CN"/>
                    </w:rPr>
                    <w:t>m</w:t>
                  </w:r>
                  <w:r>
                    <w:rPr>
                      <w:rFonts w:hint="default" w:ascii="Times New Roman" w:hAnsi="Times New Roman" w:cs="Times New Roman"/>
                      <w:b w:val="0"/>
                      <w:bCs/>
                      <w:color w:val="auto"/>
                      <w:kern w:val="0"/>
                      <w:sz w:val="21"/>
                      <w:szCs w:val="21"/>
                      <w:highlight w:val="none"/>
                      <w:vertAlign w:val="superscript"/>
                      <w:lang w:val="en-US" w:eastAsia="zh-CN"/>
                    </w:rPr>
                    <w:t>2</w:t>
                  </w:r>
                  <w:r>
                    <w:rPr>
                      <w:rFonts w:hint="eastAsia" w:cs="Times New Roman"/>
                      <w:b w:val="0"/>
                      <w:bCs/>
                      <w:color w:val="auto"/>
                      <w:kern w:val="0"/>
                      <w:sz w:val="21"/>
                      <w:szCs w:val="21"/>
                      <w:highlight w:val="none"/>
                      <w:lang w:val="en-US" w:eastAsia="zh-CN"/>
                    </w:rPr>
                    <w:t>，3</w:t>
                  </w:r>
                  <w:r>
                    <w:rPr>
                      <w:rFonts w:hint="default" w:ascii="Times New Roman" w:hAnsi="Times New Roman" w:cs="Times New Roman"/>
                      <w:b w:val="0"/>
                      <w:bCs/>
                      <w:color w:val="auto"/>
                      <w:kern w:val="0"/>
                      <w:sz w:val="21"/>
                      <w:szCs w:val="21"/>
                      <w:highlight w:val="none"/>
                      <w:lang w:val="en-US" w:eastAsia="zh-CN"/>
                    </w:rPr>
                    <w:t>层，</w:t>
                  </w:r>
                  <w:r>
                    <w:rPr>
                      <w:rFonts w:hint="eastAsia" w:ascii="Times New Roman" w:hAnsi="Times New Roman" w:cs="Times New Roman"/>
                      <w:b w:val="0"/>
                      <w:bCs/>
                      <w:color w:val="auto"/>
                      <w:kern w:val="0"/>
                      <w:sz w:val="21"/>
                      <w:szCs w:val="21"/>
                      <w:highlight w:val="none"/>
                      <w:lang w:val="en-US" w:eastAsia="zh-CN"/>
                    </w:rPr>
                    <w:t>一</w:t>
                  </w:r>
                  <w:r>
                    <w:rPr>
                      <w:rFonts w:hint="eastAsia" w:cs="Times New Roman"/>
                      <w:b w:val="0"/>
                      <w:bCs/>
                      <w:color w:val="auto"/>
                      <w:kern w:val="0"/>
                      <w:sz w:val="21"/>
                      <w:szCs w:val="21"/>
                      <w:highlight w:val="none"/>
                      <w:lang w:val="en-US" w:eastAsia="zh-CN"/>
                    </w:rPr>
                    <w:t>、二</w:t>
                  </w:r>
                  <w:r>
                    <w:rPr>
                      <w:rFonts w:hint="eastAsia" w:ascii="Times New Roman" w:hAnsi="Times New Roman" w:cs="Times New Roman"/>
                      <w:b w:val="0"/>
                      <w:bCs/>
                      <w:color w:val="auto"/>
                      <w:kern w:val="0"/>
                      <w:sz w:val="21"/>
                      <w:szCs w:val="21"/>
                      <w:highlight w:val="none"/>
                      <w:lang w:val="en-US" w:eastAsia="zh-CN"/>
                    </w:rPr>
                    <w:t>层为办公楼，</w:t>
                  </w:r>
                  <w:r>
                    <w:rPr>
                      <w:rFonts w:hint="eastAsia" w:cs="Times New Roman"/>
                      <w:b w:val="0"/>
                      <w:bCs/>
                      <w:color w:val="auto"/>
                      <w:kern w:val="0"/>
                      <w:sz w:val="21"/>
                      <w:szCs w:val="21"/>
                      <w:highlight w:val="none"/>
                      <w:lang w:val="en-US" w:eastAsia="zh-CN"/>
                    </w:rPr>
                    <w:t>三</w:t>
                  </w:r>
                  <w:r>
                    <w:rPr>
                      <w:rFonts w:hint="eastAsia" w:ascii="Times New Roman" w:hAnsi="Times New Roman" w:cs="Times New Roman"/>
                      <w:b w:val="0"/>
                      <w:bCs/>
                      <w:color w:val="auto"/>
                      <w:kern w:val="0"/>
                      <w:sz w:val="21"/>
                      <w:szCs w:val="21"/>
                      <w:highlight w:val="none"/>
                      <w:lang w:val="en-US" w:eastAsia="zh-CN"/>
                    </w:rPr>
                    <w:t>层为宿舍</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改建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59"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食堂</w:t>
                  </w:r>
                </w:p>
              </w:tc>
              <w:tc>
                <w:tcPr>
                  <w:tcW w:w="2609" w:type="pct"/>
                  <w:gridSpan w:val="2"/>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96</w:t>
                  </w:r>
                  <w:r>
                    <w:rPr>
                      <w:rFonts w:hint="default" w:ascii="Times New Roman" w:hAnsi="Times New Roman" w:cs="Times New Roman"/>
                      <w:b w:val="0"/>
                      <w:bCs/>
                      <w:color w:val="auto"/>
                      <w:kern w:val="0"/>
                      <w:sz w:val="21"/>
                      <w:szCs w:val="21"/>
                      <w:highlight w:val="none"/>
                      <w:lang w:val="en-US" w:eastAsia="zh-CN"/>
                    </w:rPr>
                    <w:t>m</w:t>
                  </w:r>
                  <w:r>
                    <w:rPr>
                      <w:rFonts w:hint="default" w:ascii="Times New Roman" w:hAnsi="Times New Roman" w:cs="Times New Roman"/>
                      <w:b w:val="0"/>
                      <w:bCs/>
                      <w:color w:val="auto"/>
                      <w:kern w:val="0"/>
                      <w:sz w:val="21"/>
                      <w:szCs w:val="21"/>
                      <w:highlight w:val="none"/>
                      <w:vertAlign w:val="superscript"/>
                      <w:lang w:val="en-US" w:eastAsia="zh-CN"/>
                    </w:rPr>
                    <w:t>2</w:t>
                  </w:r>
                  <w:r>
                    <w:rPr>
                      <w:rFonts w:hint="eastAsia" w:cs="Times New Roman"/>
                      <w:b w:val="0"/>
                      <w:bCs/>
                      <w:color w:val="auto"/>
                      <w:kern w:val="0"/>
                      <w:sz w:val="21"/>
                      <w:szCs w:val="21"/>
                      <w:highlight w:val="none"/>
                      <w:lang w:val="en-US" w:eastAsia="zh-CN"/>
                    </w:rPr>
                    <w:t>，</w:t>
                  </w:r>
                  <w:r>
                    <w:rPr>
                      <w:rFonts w:hint="default" w:ascii="Times New Roman" w:hAnsi="Times New Roman" w:cs="Times New Roman"/>
                      <w:b w:val="0"/>
                      <w:bCs/>
                      <w:color w:val="auto"/>
                      <w:kern w:val="0"/>
                      <w:sz w:val="21"/>
                      <w:szCs w:val="21"/>
                      <w:highlight w:val="none"/>
                      <w:lang w:val="en-US" w:eastAsia="zh-CN"/>
                    </w:rPr>
                    <w:t>单层砖混结构</w:t>
                  </w:r>
                  <w:r>
                    <w:rPr>
                      <w:rFonts w:hint="eastAsia" w:cs="Times New Roman"/>
                      <w:b w:val="0"/>
                      <w:bCs/>
                      <w:color w:val="auto"/>
                      <w:kern w:val="0"/>
                      <w:sz w:val="21"/>
                      <w:szCs w:val="21"/>
                      <w:highlight w:val="none"/>
                      <w:lang w:val="en-US" w:eastAsia="zh-CN"/>
                    </w:rPr>
                    <w:t>，灶头使用电作为能源</w:t>
                  </w:r>
                </w:p>
              </w:tc>
              <w:tc>
                <w:tcPr>
                  <w:tcW w:w="835"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59"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车辆调度室</w:t>
                  </w:r>
                </w:p>
              </w:tc>
              <w:tc>
                <w:tcPr>
                  <w:tcW w:w="2609" w:type="pct"/>
                  <w:gridSpan w:val="2"/>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4</w:t>
                  </w:r>
                  <w:r>
                    <w:rPr>
                      <w:rFonts w:hint="default" w:ascii="Times New Roman" w:hAnsi="Times New Roman" w:cs="Times New Roman"/>
                      <w:b w:val="0"/>
                      <w:bCs/>
                      <w:color w:val="auto"/>
                      <w:kern w:val="0"/>
                      <w:sz w:val="21"/>
                      <w:szCs w:val="21"/>
                      <w:highlight w:val="none"/>
                      <w:lang w:val="en-US" w:eastAsia="zh-CN"/>
                    </w:rPr>
                    <w:t>0m</w:t>
                  </w:r>
                  <w:r>
                    <w:rPr>
                      <w:rFonts w:hint="default" w:ascii="Times New Roman" w:hAnsi="Times New Roman" w:cs="Times New Roman"/>
                      <w:b w:val="0"/>
                      <w:bCs/>
                      <w:color w:val="auto"/>
                      <w:kern w:val="0"/>
                      <w:sz w:val="21"/>
                      <w:szCs w:val="21"/>
                      <w:highlight w:val="none"/>
                      <w:vertAlign w:val="superscript"/>
                      <w:lang w:val="en-US" w:eastAsia="zh-CN"/>
                    </w:rPr>
                    <w:t>2</w:t>
                  </w:r>
                  <w:r>
                    <w:rPr>
                      <w:rFonts w:hint="default" w:ascii="Times New Roman" w:hAnsi="Times New Roman" w:cs="Times New Roman"/>
                      <w:b w:val="0"/>
                      <w:bCs/>
                      <w:color w:val="auto"/>
                      <w:kern w:val="0"/>
                      <w:sz w:val="21"/>
                      <w:szCs w:val="21"/>
                      <w:highlight w:val="none"/>
                      <w:lang w:val="en-US" w:eastAsia="zh-CN"/>
                    </w:rPr>
                    <w:t>，单层砖混结构</w:t>
                  </w:r>
                </w:p>
              </w:tc>
              <w:tc>
                <w:tcPr>
                  <w:tcW w:w="835"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59"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供应部</w:t>
                  </w:r>
                </w:p>
              </w:tc>
              <w:tc>
                <w:tcPr>
                  <w:tcW w:w="2609" w:type="pct"/>
                  <w:gridSpan w:val="2"/>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60</w:t>
                  </w:r>
                  <w:r>
                    <w:rPr>
                      <w:rFonts w:hint="default" w:ascii="Times New Roman" w:hAnsi="Times New Roman" w:cs="Times New Roman"/>
                      <w:b w:val="0"/>
                      <w:bCs/>
                      <w:color w:val="auto"/>
                      <w:kern w:val="0"/>
                      <w:sz w:val="21"/>
                      <w:szCs w:val="21"/>
                      <w:highlight w:val="none"/>
                      <w:lang w:val="en-US" w:eastAsia="zh-CN"/>
                    </w:rPr>
                    <w:t>m</w:t>
                  </w:r>
                  <w:r>
                    <w:rPr>
                      <w:rFonts w:hint="default" w:ascii="Times New Roman" w:hAnsi="Times New Roman" w:cs="Times New Roman"/>
                      <w:b w:val="0"/>
                      <w:bCs/>
                      <w:color w:val="auto"/>
                      <w:kern w:val="0"/>
                      <w:sz w:val="21"/>
                      <w:szCs w:val="21"/>
                      <w:highlight w:val="none"/>
                      <w:vertAlign w:val="superscript"/>
                      <w:lang w:val="en-US" w:eastAsia="zh-CN"/>
                    </w:rPr>
                    <w:t>2</w:t>
                  </w:r>
                  <w:r>
                    <w:rPr>
                      <w:rFonts w:hint="default" w:ascii="Times New Roman" w:hAnsi="Times New Roman" w:cs="Times New Roman"/>
                      <w:b w:val="0"/>
                      <w:bCs/>
                      <w:color w:val="auto"/>
                      <w:kern w:val="0"/>
                      <w:sz w:val="21"/>
                      <w:szCs w:val="21"/>
                      <w:highlight w:val="none"/>
                      <w:lang w:val="en-US" w:eastAsia="zh-CN"/>
                    </w:rPr>
                    <w:t>，单层砖混结构</w:t>
                  </w:r>
                </w:p>
              </w:tc>
              <w:tc>
                <w:tcPr>
                  <w:tcW w:w="835"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59"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实验室</w:t>
                  </w:r>
                </w:p>
              </w:tc>
              <w:tc>
                <w:tcPr>
                  <w:tcW w:w="2609" w:type="pct"/>
                  <w:gridSpan w:val="2"/>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80</w:t>
                  </w:r>
                  <w:r>
                    <w:rPr>
                      <w:rFonts w:hint="default" w:ascii="Times New Roman" w:hAnsi="Times New Roman" w:cs="Times New Roman"/>
                      <w:b w:val="0"/>
                      <w:bCs/>
                      <w:color w:val="auto"/>
                      <w:kern w:val="0"/>
                      <w:sz w:val="21"/>
                      <w:szCs w:val="21"/>
                      <w:highlight w:val="none"/>
                      <w:lang w:val="en-US" w:eastAsia="zh-CN"/>
                    </w:rPr>
                    <w:t>m</w:t>
                  </w:r>
                  <w:r>
                    <w:rPr>
                      <w:rFonts w:hint="default" w:ascii="Times New Roman" w:hAnsi="Times New Roman" w:cs="Times New Roman"/>
                      <w:b w:val="0"/>
                      <w:bCs/>
                      <w:color w:val="auto"/>
                      <w:kern w:val="0"/>
                      <w:sz w:val="21"/>
                      <w:szCs w:val="21"/>
                      <w:highlight w:val="none"/>
                      <w:vertAlign w:val="superscript"/>
                      <w:lang w:val="en-US" w:eastAsia="zh-CN"/>
                    </w:rPr>
                    <w:t>2</w:t>
                  </w:r>
                  <w:r>
                    <w:rPr>
                      <w:rFonts w:hint="default" w:ascii="Times New Roman" w:hAnsi="Times New Roman" w:cs="Times New Roman"/>
                      <w:b w:val="0"/>
                      <w:bCs/>
                      <w:color w:val="auto"/>
                      <w:kern w:val="0"/>
                      <w:sz w:val="21"/>
                      <w:szCs w:val="21"/>
                      <w:highlight w:val="none"/>
                      <w:lang w:val="en-US" w:eastAsia="zh-CN"/>
                    </w:rPr>
                    <w:t>，单层砖混结构</w:t>
                  </w:r>
                  <w:r>
                    <w:rPr>
                      <w:rFonts w:hint="eastAsia" w:cs="Times New Roman"/>
                      <w:b w:val="0"/>
                      <w:bCs/>
                      <w:color w:val="auto"/>
                      <w:kern w:val="0"/>
                      <w:sz w:val="21"/>
                      <w:szCs w:val="21"/>
                      <w:highlight w:val="none"/>
                      <w:lang w:val="en-US" w:eastAsia="zh-CN"/>
                    </w:rPr>
                    <w:t>，主要包括水泥抗压实验、砂（石）细度、级配、含水率检测实验，无污染物产生</w:t>
                  </w:r>
                </w:p>
              </w:tc>
              <w:tc>
                <w:tcPr>
                  <w:tcW w:w="835"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磅房</w:t>
                  </w:r>
                </w:p>
              </w:tc>
              <w:tc>
                <w:tcPr>
                  <w:tcW w:w="2609" w:type="pct"/>
                  <w:gridSpan w:val="2"/>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20</w:t>
                  </w:r>
                  <w:r>
                    <w:rPr>
                      <w:rFonts w:hint="default" w:ascii="Times New Roman" w:hAnsi="Times New Roman" w:cs="Times New Roman"/>
                      <w:b w:val="0"/>
                      <w:bCs/>
                      <w:color w:val="auto"/>
                      <w:kern w:val="0"/>
                      <w:sz w:val="21"/>
                      <w:szCs w:val="21"/>
                      <w:highlight w:val="none"/>
                      <w:lang w:val="en-US" w:eastAsia="zh-CN"/>
                    </w:rPr>
                    <w:t>m</w:t>
                  </w:r>
                  <w:r>
                    <w:rPr>
                      <w:rFonts w:hint="default" w:ascii="Times New Roman" w:hAnsi="Times New Roman" w:cs="Times New Roman"/>
                      <w:b w:val="0"/>
                      <w:bCs/>
                      <w:color w:val="auto"/>
                      <w:kern w:val="0"/>
                      <w:sz w:val="21"/>
                      <w:szCs w:val="21"/>
                      <w:highlight w:val="none"/>
                      <w:vertAlign w:val="superscript"/>
                      <w:lang w:val="en-US" w:eastAsia="zh-CN"/>
                    </w:rPr>
                    <w:t>2</w:t>
                  </w:r>
                  <w:r>
                    <w:rPr>
                      <w:rFonts w:hint="default" w:ascii="Times New Roman" w:hAnsi="Times New Roman" w:cs="Times New Roman"/>
                      <w:b w:val="0"/>
                      <w:bCs/>
                      <w:color w:val="auto"/>
                      <w:kern w:val="0"/>
                      <w:sz w:val="21"/>
                      <w:szCs w:val="21"/>
                      <w:highlight w:val="none"/>
                      <w:lang w:val="en-US" w:eastAsia="zh-CN"/>
                    </w:rPr>
                    <w:t>，单层砖混结构</w:t>
                  </w:r>
                </w:p>
              </w:tc>
              <w:tc>
                <w:tcPr>
                  <w:tcW w:w="835"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59"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门房</w:t>
                  </w:r>
                </w:p>
              </w:tc>
              <w:tc>
                <w:tcPr>
                  <w:tcW w:w="2609" w:type="pct"/>
                  <w:gridSpan w:val="2"/>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20m</w:t>
                  </w:r>
                  <w:r>
                    <w:rPr>
                      <w:rFonts w:hint="default" w:ascii="Times New Roman" w:hAnsi="Times New Roman" w:cs="Times New Roman"/>
                      <w:b w:val="0"/>
                      <w:bCs/>
                      <w:color w:val="auto"/>
                      <w:kern w:val="0"/>
                      <w:sz w:val="21"/>
                      <w:szCs w:val="21"/>
                      <w:highlight w:val="none"/>
                      <w:vertAlign w:val="superscript"/>
                      <w:lang w:val="en-US" w:eastAsia="zh-CN"/>
                    </w:rPr>
                    <w:t>2</w:t>
                  </w:r>
                  <w:r>
                    <w:rPr>
                      <w:rFonts w:hint="default" w:ascii="Times New Roman" w:hAnsi="Times New Roman" w:cs="Times New Roman"/>
                      <w:b w:val="0"/>
                      <w:bCs/>
                      <w:color w:val="auto"/>
                      <w:kern w:val="0"/>
                      <w:sz w:val="21"/>
                      <w:szCs w:val="21"/>
                      <w:highlight w:val="none"/>
                      <w:lang w:val="en-US" w:eastAsia="zh-CN"/>
                    </w:rPr>
                    <w:t>，单层砖混结构</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车辆冲洗台</w:t>
                  </w:r>
                </w:p>
              </w:tc>
              <w:tc>
                <w:tcPr>
                  <w:tcW w:w="2609" w:type="pct"/>
                  <w:gridSpan w:val="2"/>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2</w:t>
                  </w:r>
                  <w:r>
                    <w:rPr>
                      <w:rFonts w:hint="default" w:ascii="Times New Roman" w:hAnsi="Times New Roman" w:cs="Times New Roman"/>
                      <w:b w:val="0"/>
                      <w:bCs/>
                      <w:color w:val="auto"/>
                      <w:kern w:val="0"/>
                      <w:sz w:val="21"/>
                      <w:szCs w:val="21"/>
                      <w:highlight w:val="none"/>
                      <w:lang w:val="en-US" w:eastAsia="zh-CN"/>
                    </w:rPr>
                    <w:t>个</w:t>
                  </w:r>
                  <w:r>
                    <w:rPr>
                      <w:rFonts w:hint="eastAsia" w:ascii="Times New Roman" w:hAnsi="Times New Roman" w:cs="Times New Roman"/>
                      <w:b w:val="0"/>
                      <w:bCs/>
                      <w:color w:val="auto"/>
                      <w:kern w:val="0"/>
                      <w:sz w:val="21"/>
                      <w:szCs w:val="21"/>
                      <w:highlight w:val="none"/>
                      <w:lang w:val="en-US" w:eastAsia="zh-CN"/>
                    </w:rPr>
                    <w:t>，位于厂区大门口，厂区西南角</w:t>
                  </w:r>
                  <w:r>
                    <w:rPr>
                      <w:rFonts w:hint="eastAsia" w:cs="Times New Roman"/>
                      <w:b w:val="0"/>
                      <w:bCs/>
                      <w:color w:val="auto"/>
                      <w:kern w:val="0"/>
                      <w:sz w:val="21"/>
                      <w:szCs w:val="21"/>
                      <w:highlight w:val="none"/>
                      <w:lang w:val="en-US" w:eastAsia="zh-CN"/>
                    </w:rPr>
                    <w:t>，一出一进</w:t>
                  </w:r>
                </w:p>
              </w:tc>
              <w:tc>
                <w:tcPr>
                  <w:tcW w:w="835" w:type="pct"/>
                  <w:tcBorders>
                    <w:tl2br w:val="nil"/>
                    <w:tr2bl w:val="nil"/>
                  </w:tcBorders>
                  <w:noWrap w:val="0"/>
                  <w:vAlign w:val="center"/>
                </w:tcPr>
                <w:p>
                  <w:pPr>
                    <w:spacing w:line="240" w:lineRule="auto"/>
                    <w:ind w:firstLine="0" w:firstLineChars="0"/>
                    <w:jc w:val="center"/>
                    <w:rPr>
                      <w:rFonts w:hint="eastAsia"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新建1个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洗车台</w:t>
                  </w:r>
                </w:p>
              </w:tc>
              <w:tc>
                <w:tcPr>
                  <w:tcW w:w="2609" w:type="pct"/>
                  <w:gridSpan w:val="2"/>
                  <w:tcBorders>
                    <w:tl2br w:val="nil"/>
                    <w:tr2bl w:val="nil"/>
                  </w:tcBorders>
                  <w:noWrap w:val="0"/>
                  <w:vAlign w:val="center"/>
                </w:tcPr>
                <w:p>
                  <w:pPr>
                    <w:spacing w:line="240" w:lineRule="auto"/>
                    <w:ind w:firstLine="0" w:firstLineChars="0"/>
                    <w:jc w:val="center"/>
                    <w:rPr>
                      <w:rFonts w:hint="default"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1个，位于厂区西北角</w:t>
                  </w:r>
                </w:p>
              </w:tc>
              <w:tc>
                <w:tcPr>
                  <w:tcW w:w="835" w:type="pct"/>
                  <w:tcBorders>
                    <w:tl2br w:val="nil"/>
                    <w:tr2bl w:val="nil"/>
                  </w:tcBorders>
                  <w:noWrap w:val="0"/>
                  <w:vAlign w:val="center"/>
                </w:tcPr>
                <w:p>
                  <w:pPr>
                    <w:spacing w:line="240" w:lineRule="auto"/>
                    <w:ind w:firstLine="0" w:firstLineChars="0"/>
                    <w:jc w:val="center"/>
                    <w:rPr>
                      <w:rFonts w:hint="eastAsia"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eastAsia"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喷淋系统</w:t>
                  </w:r>
                </w:p>
              </w:tc>
              <w:tc>
                <w:tcPr>
                  <w:tcW w:w="2609" w:type="pct"/>
                  <w:gridSpan w:val="2"/>
                  <w:tcBorders>
                    <w:tl2br w:val="nil"/>
                    <w:tr2bl w:val="nil"/>
                  </w:tcBorders>
                  <w:noWrap w:val="0"/>
                  <w:vAlign w:val="center"/>
                </w:tcPr>
                <w:p>
                  <w:pPr>
                    <w:spacing w:line="240" w:lineRule="auto"/>
                    <w:ind w:firstLine="0" w:firstLineChars="0"/>
                    <w:jc w:val="center"/>
                    <w:rPr>
                      <w:rFonts w:hint="default"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3套，分布于全厂，用于抑尘</w:t>
                  </w:r>
                </w:p>
              </w:tc>
              <w:tc>
                <w:tcPr>
                  <w:tcW w:w="835" w:type="pct"/>
                  <w:tcBorders>
                    <w:tl2br w:val="nil"/>
                    <w:tr2bl w:val="nil"/>
                  </w:tcBorders>
                  <w:noWrap w:val="0"/>
                  <w:vAlign w:val="center"/>
                </w:tcPr>
                <w:p>
                  <w:pPr>
                    <w:spacing w:line="240" w:lineRule="auto"/>
                    <w:ind w:firstLine="0" w:firstLineChars="0"/>
                    <w:jc w:val="center"/>
                    <w:rPr>
                      <w:rFonts w:hint="eastAsia"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659"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储运工程</w:t>
                  </w: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砂、石料</w:t>
                  </w:r>
                  <w:r>
                    <w:rPr>
                      <w:rFonts w:hint="default" w:ascii="Times New Roman" w:hAnsi="Times New Roman" w:cs="Times New Roman"/>
                      <w:b w:val="0"/>
                      <w:bCs/>
                      <w:color w:val="auto"/>
                      <w:kern w:val="0"/>
                      <w:sz w:val="21"/>
                      <w:szCs w:val="21"/>
                      <w:highlight w:val="none"/>
                      <w:lang w:val="en-US" w:eastAsia="zh-CN"/>
                    </w:rPr>
                    <w:t>堆场</w:t>
                  </w:r>
                </w:p>
              </w:tc>
              <w:tc>
                <w:tcPr>
                  <w:tcW w:w="2609" w:type="pct"/>
                  <w:gridSpan w:val="2"/>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位于厂区西北侧，全封闭拱形钢棚，长约80m，宽约</w:t>
                  </w:r>
                  <w:r>
                    <w:rPr>
                      <w:rFonts w:hint="eastAsia" w:ascii="Times New Roman" w:hAnsi="Times New Roman" w:cs="Times New Roman"/>
                      <w:b w:val="0"/>
                      <w:bCs/>
                      <w:color w:val="auto"/>
                      <w:kern w:val="0"/>
                      <w:sz w:val="21"/>
                      <w:szCs w:val="21"/>
                      <w:highlight w:val="none"/>
                      <w:lang w:val="en-US" w:eastAsia="zh-CN"/>
                    </w:rPr>
                    <w:t>5</w:t>
                  </w:r>
                  <w:r>
                    <w:rPr>
                      <w:rFonts w:hint="default" w:ascii="Times New Roman" w:hAnsi="Times New Roman" w:cs="Times New Roman"/>
                      <w:b w:val="0"/>
                      <w:bCs/>
                      <w:color w:val="auto"/>
                      <w:kern w:val="0"/>
                      <w:sz w:val="21"/>
                      <w:szCs w:val="21"/>
                      <w:highlight w:val="none"/>
                      <w:lang w:val="en-US" w:eastAsia="zh-CN"/>
                    </w:rPr>
                    <w:t>0m，中间高</w:t>
                  </w:r>
                  <w:r>
                    <w:rPr>
                      <w:rFonts w:hint="eastAsia" w:cs="Times New Roman"/>
                      <w:b w:val="0"/>
                      <w:bCs/>
                      <w:color w:val="auto"/>
                      <w:kern w:val="0"/>
                      <w:sz w:val="21"/>
                      <w:szCs w:val="21"/>
                      <w:highlight w:val="none"/>
                      <w:lang w:val="en-US" w:eastAsia="zh-CN"/>
                    </w:rPr>
                    <w:t>2</w:t>
                  </w:r>
                  <w:r>
                    <w:rPr>
                      <w:rFonts w:hint="default" w:ascii="Times New Roman" w:hAnsi="Times New Roman" w:cs="Times New Roman"/>
                      <w:b w:val="0"/>
                      <w:bCs/>
                      <w:color w:val="auto"/>
                      <w:kern w:val="0"/>
                      <w:sz w:val="21"/>
                      <w:szCs w:val="21"/>
                      <w:highlight w:val="none"/>
                      <w:lang w:val="en-US" w:eastAsia="zh-CN"/>
                    </w:rPr>
                    <w:t>5m，两侧高</w:t>
                  </w:r>
                  <w:r>
                    <w:rPr>
                      <w:rFonts w:hint="eastAsia" w:cs="Times New Roman"/>
                      <w:b w:val="0"/>
                      <w:bCs/>
                      <w:color w:val="auto"/>
                      <w:kern w:val="0"/>
                      <w:sz w:val="21"/>
                      <w:szCs w:val="21"/>
                      <w:highlight w:val="none"/>
                      <w:lang w:val="en-US" w:eastAsia="zh-CN"/>
                    </w:rPr>
                    <w:t>15</w:t>
                  </w:r>
                  <w:r>
                    <w:rPr>
                      <w:rFonts w:hint="default" w:ascii="Times New Roman" w:hAnsi="Times New Roman" w:cs="Times New Roman"/>
                      <w:b w:val="0"/>
                      <w:bCs/>
                      <w:color w:val="auto"/>
                      <w:kern w:val="0"/>
                      <w:sz w:val="21"/>
                      <w:szCs w:val="21"/>
                      <w:highlight w:val="none"/>
                      <w:lang w:val="en-US" w:eastAsia="zh-CN"/>
                    </w:rPr>
                    <w:t>m，分两仓，一般储存7天用量，储量为2</w:t>
                  </w:r>
                  <w:r>
                    <w:rPr>
                      <w:rFonts w:hint="eastAsia" w:ascii="Times New Roman" w:hAnsi="Times New Roman" w:cs="Times New Roman"/>
                      <w:b w:val="0"/>
                      <w:bCs/>
                      <w:color w:val="auto"/>
                      <w:kern w:val="0"/>
                      <w:sz w:val="21"/>
                      <w:szCs w:val="21"/>
                      <w:highlight w:val="none"/>
                      <w:lang w:val="en-US" w:eastAsia="zh-CN"/>
                    </w:rPr>
                    <w:t>0</w:t>
                  </w:r>
                  <w:r>
                    <w:rPr>
                      <w:rFonts w:hint="default" w:ascii="Times New Roman" w:hAnsi="Times New Roman" w:cs="Times New Roman"/>
                      <w:b w:val="0"/>
                      <w:bCs/>
                      <w:color w:val="auto"/>
                      <w:kern w:val="0"/>
                      <w:sz w:val="21"/>
                      <w:szCs w:val="21"/>
                      <w:highlight w:val="none"/>
                      <w:lang w:val="en-US" w:eastAsia="zh-CN"/>
                    </w:rPr>
                    <w:t>00m</w:t>
                  </w:r>
                  <w:r>
                    <w:rPr>
                      <w:rFonts w:hint="default" w:ascii="Times New Roman" w:hAnsi="Times New Roman" w:cs="Times New Roman"/>
                      <w:b w:val="0"/>
                      <w:bCs/>
                      <w:color w:val="auto"/>
                      <w:kern w:val="0"/>
                      <w:sz w:val="21"/>
                      <w:szCs w:val="21"/>
                      <w:highlight w:val="none"/>
                      <w:vertAlign w:val="superscript"/>
                      <w:lang w:val="en-US" w:eastAsia="zh-CN"/>
                    </w:rPr>
                    <w:t>3</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改建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59"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eastAsia"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运输</w:t>
                  </w:r>
                </w:p>
              </w:tc>
              <w:tc>
                <w:tcPr>
                  <w:tcW w:w="2609" w:type="pct"/>
                  <w:gridSpan w:val="2"/>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运输由其他公司承接，签订合作合同</w:t>
                  </w:r>
                </w:p>
              </w:tc>
              <w:tc>
                <w:tcPr>
                  <w:tcW w:w="835" w:type="pct"/>
                  <w:tcBorders>
                    <w:tl2br w:val="nil"/>
                    <w:tr2bl w:val="nil"/>
                  </w:tcBorders>
                  <w:noWrap w:val="0"/>
                  <w:vAlign w:val="center"/>
                </w:tcPr>
                <w:p>
                  <w:pPr>
                    <w:spacing w:line="240" w:lineRule="auto"/>
                    <w:ind w:firstLine="0" w:firstLineChars="0"/>
                    <w:jc w:val="center"/>
                    <w:rPr>
                      <w:rFonts w:hint="eastAsia"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外委给运输公司及汽车维修公司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9"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公用工程</w:t>
                  </w: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供电</w:t>
                  </w:r>
                </w:p>
              </w:tc>
              <w:tc>
                <w:tcPr>
                  <w:tcW w:w="2609" w:type="pct"/>
                  <w:gridSpan w:val="2"/>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由乡镇供电电网提供，厂内设有变压器</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59"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供水</w:t>
                  </w:r>
                </w:p>
              </w:tc>
              <w:tc>
                <w:tcPr>
                  <w:tcW w:w="2609" w:type="pct"/>
                  <w:gridSpan w:val="2"/>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由厂内水井提供，供生产、生活使用</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59"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采暖</w:t>
                  </w:r>
                </w:p>
              </w:tc>
              <w:tc>
                <w:tcPr>
                  <w:tcW w:w="2609" w:type="pct"/>
                  <w:gridSpan w:val="2"/>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冬季采用分体式空调取暖</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bl>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4"/>
              <w:gridCol w:w="680"/>
              <w:gridCol w:w="1499"/>
              <w:gridCol w:w="4371"/>
              <w:gridCol w:w="14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3"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环保工程</w:t>
                  </w:r>
                </w:p>
              </w:tc>
              <w:tc>
                <w:tcPr>
                  <w:tcW w:w="405"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环境空气</w:t>
                  </w: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原料堆场</w:t>
                  </w:r>
                </w:p>
              </w:tc>
              <w:tc>
                <w:tcPr>
                  <w:tcW w:w="26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地面硬化，全封闭储料场</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3"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405"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投料</w:t>
                  </w:r>
                  <w:r>
                    <w:rPr>
                      <w:rFonts w:hint="eastAsia" w:cs="Times New Roman"/>
                      <w:b w:val="0"/>
                      <w:bCs/>
                      <w:color w:val="auto"/>
                      <w:kern w:val="0"/>
                      <w:sz w:val="21"/>
                      <w:szCs w:val="21"/>
                      <w:highlight w:val="none"/>
                      <w:lang w:val="en-US" w:eastAsia="zh-CN"/>
                    </w:rPr>
                    <w:t>口</w:t>
                  </w:r>
                </w:p>
              </w:tc>
              <w:tc>
                <w:tcPr>
                  <w:tcW w:w="26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置于全封闭料场内</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3"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405"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原料输送</w:t>
                  </w:r>
                </w:p>
              </w:tc>
              <w:tc>
                <w:tcPr>
                  <w:tcW w:w="26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全封闭皮带走廊</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405"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搅拌主机</w:t>
                  </w:r>
                </w:p>
              </w:tc>
              <w:tc>
                <w:tcPr>
                  <w:tcW w:w="26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设备</w:t>
                  </w:r>
                  <w:r>
                    <w:rPr>
                      <w:rFonts w:hint="eastAsia" w:cs="Times New Roman"/>
                      <w:b w:val="0"/>
                      <w:bCs/>
                      <w:color w:val="auto"/>
                      <w:kern w:val="0"/>
                      <w:sz w:val="21"/>
                      <w:szCs w:val="21"/>
                      <w:highlight w:val="none"/>
                      <w:lang w:val="en-US" w:eastAsia="zh-CN"/>
                    </w:rPr>
                    <w:t>布袋</w:t>
                  </w:r>
                  <w:r>
                    <w:rPr>
                      <w:rFonts w:hint="default" w:ascii="Times New Roman" w:hAnsi="Times New Roman" w:cs="Times New Roman"/>
                      <w:b w:val="0"/>
                      <w:bCs/>
                      <w:color w:val="auto"/>
                      <w:kern w:val="0"/>
                      <w:sz w:val="21"/>
                      <w:szCs w:val="21"/>
                      <w:highlight w:val="none"/>
                      <w:lang w:val="en-US" w:eastAsia="zh-CN"/>
                    </w:rPr>
                    <w:t>除尘器，全封闭搅拌楼</w:t>
                  </w:r>
                  <w:r>
                    <w:rPr>
                      <w:rFonts w:hint="eastAsia" w:ascii="Times New Roman" w:hAnsi="Times New Roman" w:cs="Times New Roman"/>
                      <w:b w:val="0"/>
                      <w:bCs/>
                      <w:color w:val="auto"/>
                      <w:kern w:val="0"/>
                      <w:sz w:val="21"/>
                      <w:szCs w:val="21"/>
                      <w:highlight w:val="none"/>
                      <w:lang w:val="en-US" w:eastAsia="zh-CN"/>
                    </w:rPr>
                    <w:t>（180双站操作楼）</w:t>
                  </w:r>
                  <w:r>
                    <w:rPr>
                      <w:rFonts w:hint="eastAsia" w:cs="Times New Roman"/>
                      <w:b w:val="0"/>
                      <w:bCs/>
                      <w:color w:val="auto"/>
                      <w:kern w:val="0"/>
                      <w:sz w:val="21"/>
                      <w:szCs w:val="21"/>
                      <w:highlight w:val="none"/>
                      <w:lang w:val="en-US" w:eastAsia="zh-CN"/>
                    </w:rPr>
                    <w:t>，设置2台布袋除尘器</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3"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405"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粉料筒仓</w:t>
                  </w:r>
                </w:p>
              </w:tc>
              <w:tc>
                <w:tcPr>
                  <w:tcW w:w="26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4台</w:t>
                  </w:r>
                  <w:r>
                    <w:rPr>
                      <w:rFonts w:hint="default" w:ascii="Times New Roman" w:hAnsi="Times New Roman" w:cs="Times New Roman"/>
                      <w:b w:val="0"/>
                      <w:bCs/>
                      <w:color w:val="auto"/>
                      <w:kern w:val="0"/>
                      <w:sz w:val="21"/>
                      <w:szCs w:val="21"/>
                      <w:highlight w:val="none"/>
                      <w:lang w:val="en-US" w:eastAsia="zh-CN"/>
                    </w:rPr>
                    <w:t>布袋除尘器</w:t>
                  </w:r>
                  <w:r>
                    <w:rPr>
                      <w:rFonts w:hint="eastAsia" w:cs="Times New Roman"/>
                      <w:b w:val="0"/>
                      <w:bCs/>
                      <w:color w:val="auto"/>
                      <w:kern w:val="0"/>
                      <w:sz w:val="21"/>
                      <w:szCs w:val="21"/>
                      <w:highlight w:val="none"/>
                      <w:lang w:val="en-US" w:eastAsia="zh-CN"/>
                    </w:rPr>
                    <w:t>，每3个水泥筒仓共用1台除尘器，共有2台袋式除尘器用于水泥筒仓；2个粉煤灰筒仓共用一台布袋除尘器；2个矿粉筒仓共用一台布袋除尘器</w:t>
                  </w:r>
                </w:p>
              </w:tc>
              <w:tc>
                <w:tcPr>
                  <w:tcW w:w="1400"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color w:val="auto"/>
                      <w:sz w:val="21"/>
                      <w:szCs w:val="21"/>
                      <w:highlight w:val="none"/>
                      <w:lang w:val="en-US" w:eastAsia="zh-CN"/>
                    </w:rPr>
                    <w:t>新建2台，2台依托原有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3"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405"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食堂</w:t>
                  </w:r>
                </w:p>
              </w:tc>
              <w:tc>
                <w:tcPr>
                  <w:tcW w:w="26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安装油烟净化装置，油烟去除率为60%</w:t>
                  </w:r>
                  <w:r>
                    <w:rPr>
                      <w:rFonts w:hint="eastAsia" w:cs="Times New Roman"/>
                      <w:b w:val="0"/>
                      <w:bCs/>
                      <w:color w:val="auto"/>
                      <w:kern w:val="0"/>
                      <w:sz w:val="21"/>
                      <w:szCs w:val="21"/>
                      <w:highlight w:val="none"/>
                      <w:lang w:val="en-US" w:eastAsia="zh-CN"/>
                    </w:rPr>
                    <w:t>，处理达标后经排气筒排放</w:t>
                  </w:r>
                </w:p>
              </w:tc>
              <w:tc>
                <w:tcPr>
                  <w:tcW w:w="1400"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53"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405"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水</w:t>
                  </w:r>
                </w:p>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环</w:t>
                  </w:r>
                </w:p>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境</w:t>
                  </w: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生活污水</w:t>
                  </w:r>
                </w:p>
              </w:tc>
              <w:tc>
                <w:tcPr>
                  <w:tcW w:w="26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厨房废水经油水分离器处理</w:t>
                  </w:r>
                  <w:r>
                    <w:rPr>
                      <w:rFonts w:hint="default" w:ascii="Times New Roman" w:hAnsi="Times New Roman" w:cs="Times New Roman"/>
                      <w:b w:val="0"/>
                      <w:bCs/>
                      <w:color w:val="auto"/>
                      <w:kern w:val="0"/>
                      <w:sz w:val="21"/>
                      <w:szCs w:val="21"/>
                      <w:highlight w:val="none"/>
                      <w:lang w:val="en-US" w:eastAsia="zh-CN"/>
                    </w:rPr>
                    <w:t>后</w:t>
                  </w:r>
                  <w:r>
                    <w:rPr>
                      <w:rFonts w:hint="eastAsia" w:ascii="Times New Roman" w:hAnsi="Times New Roman" w:cs="Times New Roman"/>
                      <w:b w:val="0"/>
                      <w:bCs/>
                      <w:color w:val="auto"/>
                      <w:kern w:val="0"/>
                      <w:sz w:val="21"/>
                      <w:szCs w:val="21"/>
                      <w:highlight w:val="none"/>
                      <w:lang w:val="en-US" w:eastAsia="zh-CN"/>
                    </w:rPr>
                    <w:t>与其他生活污水一起</w:t>
                  </w:r>
                  <w:r>
                    <w:rPr>
                      <w:rFonts w:hint="default" w:ascii="Times New Roman" w:hAnsi="Times New Roman" w:cs="Times New Roman"/>
                      <w:b w:val="0"/>
                      <w:bCs/>
                      <w:color w:val="auto"/>
                      <w:kern w:val="0"/>
                      <w:sz w:val="21"/>
                      <w:szCs w:val="21"/>
                      <w:highlight w:val="none"/>
                      <w:lang w:val="en-US" w:eastAsia="zh-CN"/>
                    </w:rPr>
                    <w:t>进</w:t>
                  </w:r>
                  <w:r>
                    <w:rPr>
                      <w:rFonts w:hint="eastAsia" w:ascii="Times New Roman" w:hAnsi="Times New Roman" w:cs="Times New Roman"/>
                      <w:b w:val="0"/>
                      <w:bCs/>
                      <w:color w:val="auto"/>
                      <w:kern w:val="0"/>
                      <w:sz w:val="21"/>
                      <w:szCs w:val="21"/>
                      <w:highlight w:val="none"/>
                      <w:lang w:val="en-US" w:eastAsia="zh-CN"/>
                    </w:rPr>
                    <w:t>入化粪池（</w:t>
                  </w:r>
                  <w:r>
                    <w:rPr>
                      <w:rFonts w:hint="eastAsia" w:cs="Times New Roman"/>
                      <w:b w:val="0"/>
                      <w:bCs/>
                      <w:color w:val="auto"/>
                      <w:kern w:val="0"/>
                      <w:sz w:val="21"/>
                      <w:szCs w:val="21"/>
                      <w:highlight w:val="none"/>
                      <w:lang w:val="en-US" w:eastAsia="zh-CN"/>
                    </w:rPr>
                    <w:t>20m</w:t>
                  </w:r>
                  <w:r>
                    <w:rPr>
                      <w:rFonts w:hint="eastAsia" w:cs="Times New Roman"/>
                      <w:b w:val="0"/>
                      <w:bCs/>
                      <w:color w:val="auto"/>
                      <w:kern w:val="0"/>
                      <w:sz w:val="21"/>
                      <w:szCs w:val="21"/>
                      <w:highlight w:val="none"/>
                      <w:vertAlign w:val="superscript"/>
                      <w:lang w:val="en-US" w:eastAsia="zh-CN"/>
                    </w:rPr>
                    <w:t>3</w:t>
                  </w:r>
                  <w:r>
                    <w:rPr>
                      <w:rFonts w:hint="eastAsia" w:ascii="Times New Roman" w:hAnsi="Times New Roman" w:cs="Times New Roman"/>
                      <w:b w:val="0"/>
                      <w:bCs/>
                      <w:color w:val="auto"/>
                      <w:kern w:val="0"/>
                      <w:sz w:val="21"/>
                      <w:szCs w:val="21"/>
                      <w:highlight w:val="none"/>
                      <w:lang w:val="en-US" w:eastAsia="zh-CN"/>
                    </w:rPr>
                    <w:t>），定期清掏处理</w:t>
                  </w:r>
                </w:p>
              </w:tc>
              <w:tc>
                <w:tcPr>
                  <w:tcW w:w="835" w:type="pct"/>
                  <w:tcBorders>
                    <w:tl2br w:val="nil"/>
                    <w:tr2bl w:val="nil"/>
                  </w:tcBorders>
                  <w:noWrap w:val="0"/>
                  <w:vAlign w:val="center"/>
                </w:tcPr>
                <w:p>
                  <w:pPr>
                    <w:spacing w:line="240" w:lineRule="auto"/>
                    <w:ind w:firstLine="0" w:firstLineChars="0"/>
                    <w:jc w:val="center"/>
                    <w:rPr>
                      <w:rFonts w:hint="eastAsia"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405"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洗车台及搅拌车冲洗设备</w:t>
                  </w:r>
                </w:p>
              </w:tc>
              <w:tc>
                <w:tcPr>
                  <w:tcW w:w="2609" w:type="pct"/>
                  <w:tcBorders>
                    <w:tl2br w:val="nil"/>
                    <w:tr2bl w:val="nil"/>
                  </w:tcBorders>
                  <w:noWrap w:val="0"/>
                  <w:vAlign w:val="center"/>
                </w:tcPr>
                <w:p>
                  <w:pPr>
                    <w:numPr>
                      <w:ilvl w:val="0"/>
                      <w:numId w:val="2"/>
                    </w:numPr>
                    <w:spacing w:line="240" w:lineRule="auto"/>
                    <w:ind w:left="630" w:leftChars="0" w:firstLine="0" w:firstLineChars="0"/>
                    <w:jc w:val="center"/>
                    <w:rPr>
                      <w:rFonts w:hint="default" w:ascii="Times New Roman" w:hAnsi="Times New Roman" w:cs="Times New Roman"/>
                      <w:b w:val="0"/>
                      <w:bCs/>
                      <w:color w:val="auto"/>
                      <w:kern w:val="0"/>
                      <w:sz w:val="21"/>
                      <w:szCs w:val="21"/>
                      <w:highlight w:val="none"/>
                      <w:vertAlign w:val="baseline"/>
                      <w:lang w:val="en-US" w:eastAsia="zh-CN"/>
                    </w:rPr>
                  </w:pPr>
                  <w:r>
                    <w:rPr>
                      <w:rFonts w:hint="default" w:ascii="Times New Roman" w:hAnsi="Times New Roman" w:cs="Times New Roman"/>
                      <w:b w:val="0"/>
                      <w:bCs/>
                      <w:color w:val="auto"/>
                      <w:kern w:val="0"/>
                      <w:sz w:val="21"/>
                      <w:szCs w:val="21"/>
                      <w:highlight w:val="none"/>
                      <w:lang w:val="en-US" w:eastAsia="zh-CN"/>
                    </w:rPr>
                    <w:t>车辆自动冲洗设备，</w:t>
                  </w:r>
                  <w:r>
                    <w:rPr>
                      <w:rFonts w:hint="eastAsia" w:ascii="Times New Roman" w:hAnsi="Times New Roman" w:cs="Times New Roman"/>
                      <w:b w:val="0"/>
                      <w:bCs/>
                      <w:color w:val="auto"/>
                      <w:kern w:val="0"/>
                      <w:sz w:val="21"/>
                      <w:szCs w:val="21"/>
                      <w:highlight w:val="none"/>
                      <w:lang w:val="en-US" w:eastAsia="zh-CN"/>
                    </w:rPr>
                    <w:t>配有60</w:t>
                  </w:r>
                  <w:r>
                    <w:rPr>
                      <w:rFonts w:hint="default" w:ascii="Times New Roman" w:hAnsi="Times New Roman" w:cs="Times New Roman"/>
                      <w:b w:val="0"/>
                      <w:bCs/>
                      <w:color w:val="auto"/>
                      <w:kern w:val="0"/>
                      <w:sz w:val="21"/>
                      <w:szCs w:val="21"/>
                      <w:highlight w:val="none"/>
                      <w:lang w:val="en-US" w:eastAsia="zh-CN"/>
                    </w:rPr>
                    <w:t>m</w:t>
                  </w:r>
                  <w:r>
                    <w:rPr>
                      <w:rFonts w:hint="default" w:ascii="Times New Roman" w:hAnsi="Times New Roman" w:cs="Times New Roman"/>
                      <w:b w:val="0"/>
                      <w:bCs/>
                      <w:color w:val="auto"/>
                      <w:kern w:val="0"/>
                      <w:sz w:val="21"/>
                      <w:szCs w:val="21"/>
                      <w:highlight w:val="none"/>
                      <w:vertAlign w:val="superscript"/>
                      <w:lang w:val="en-US" w:eastAsia="zh-CN"/>
                    </w:rPr>
                    <w:t>3</w:t>
                  </w:r>
                  <w:r>
                    <w:rPr>
                      <w:rFonts w:hint="eastAsia" w:ascii="Times New Roman" w:hAnsi="Times New Roman" w:cs="Times New Roman"/>
                      <w:b w:val="0"/>
                      <w:bCs/>
                      <w:color w:val="auto"/>
                      <w:kern w:val="0"/>
                      <w:sz w:val="21"/>
                      <w:szCs w:val="21"/>
                      <w:highlight w:val="none"/>
                      <w:vertAlign w:val="baseline"/>
                      <w:lang w:val="en-US" w:eastAsia="zh-CN"/>
                    </w:rPr>
                    <w:t>沉淀池，冲洗水循环利用。</w:t>
                  </w:r>
                </w:p>
                <w:p>
                  <w:pPr>
                    <w:numPr>
                      <w:ilvl w:val="0"/>
                      <w:numId w:val="2"/>
                    </w:numPr>
                    <w:spacing w:line="240" w:lineRule="auto"/>
                    <w:ind w:left="630" w:leftChars="0"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1座容积为</w:t>
                  </w:r>
                  <w:r>
                    <w:rPr>
                      <w:rFonts w:hint="eastAsia" w:ascii="Times New Roman" w:hAnsi="Times New Roman" w:cs="Times New Roman"/>
                      <w:b w:val="0"/>
                      <w:bCs/>
                      <w:color w:val="auto"/>
                      <w:kern w:val="0"/>
                      <w:sz w:val="21"/>
                      <w:szCs w:val="21"/>
                      <w:highlight w:val="none"/>
                      <w:lang w:val="en-US" w:eastAsia="zh-CN"/>
                    </w:rPr>
                    <w:t>180</w:t>
                  </w:r>
                  <w:r>
                    <w:rPr>
                      <w:rFonts w:hint="default" w:ascii="Times New Roman" w:hAnsi="Times New Roman" w:cs="Times New Roman"/>
                      <w:b w:val="0"/>
                      <w:bCs/>
                      <w:color w:val="auto"/>
                      <w:kern w:val="0"/>
                      <w:sz w:val="21"/>
                      <w:szCs w:val="21"/>
                      <w:highlight w:val="none"/>
                      <w:lang w:val="en-US" w:eastAsia="zh-CN"/>
                    </w:rPr>
                    <w:t>m</w:t>
                  </w:r>
                  <w:r>
                    <w:rPr>
                      <w:rFonts w:hint="default" w:ascii="Times New Roman" w:hAnsi="Times New Roman" w:cs="Times New Roman"/>
                      <w:b w:val="0"/>
                      <w:bCs/>
                      <w:color w:val="auto"/>
                      <w:kern w:val="0"/>
                      <w:sz w:val="21"/>
                      <w:szCs w:val="21"/>
                      <w:highlight w:val="none"/>
                      <w:vertAlign w:val="superscript"/>
                      <w:lang w:val="en-US" w:eastAsia="zh-CN"/>
                    </w:rPr>
                    <w:t>3</w:t>
                  </w:r>
                  <w:r>
                    <w:rPr>
                      <w:rFonts w:hint="default" w:ascii="Times New Roman" w:hAnsi="Times New Roman" w:cs="Times New Roman"/>
                      <w:b w:val="0"/>
                      <w:bCs/>
                      <w:color w:val="auto"/>
                      <w:kern w:val="0"/>
                      <w:sz w:val="21"/>
                      <w:szCs w:val="21"/>
                      <w:highlight w:val="none"/>
                      <w:lang w:val="en-US" w:eastAsia="zh-CN"/>
                    </w:rPr>
                    <w:t>冲洗水</w:t>
                  </w:r>
                  <w:r>
                    <w:rPr>
                      <w:rFonts w:hint="eastAsia" w:cs="Times New Roman"/>
                      <w:b w:val="0"/>
                      <w:bCs/>
                      <w:color w:val="auto"/>
                      <w:kern w:val="0"/>
                      <w:sz w:val="21"/>
                      <w:szCs w:val="21"/>
                      <w:highlight w:val="none"/>
                      <w:lang w:val="en-US" w:eastAsia="zh-CN"/>
                    </w:rPr>
                    <w:t>三级</w:t>
                  </w:r>
                  <w:r>
                    <w:rPr>
                      <w:rFonts w:hint="default" w:ascii="Times New Roman" w:hAnsi="Times New Roman" w:cs="Times New Roman"/>
                      <w:b w:val="0"/>
                      <w:bCs/>
                      <w:color w:val="auto"/>
                      <w:kern w:val="0"/>
                      <w:sz w:val="21"/>
                      <w:szCs w:val="21"/>
                      <w:highlight w:val="none"/>
                      <w:lang w:val="en-US" w:eastAsia="zh-CN"/>
                    </w:rPr>
                    <w:t>沉淀池，</w:t>
                  </w:r>
                  <w:r>
                    <w:rPr>
                      <w:rFonts w:hint="eastAsia" w:ascii="Times New Roman" w:hAnsi="Times New Roman" w:cs="Times New Roman"/>
                      <w:b w:val="0"/>
                      <w:bCs/>
                      <w:color w:val="auto"/>
                      <w:kern w:val="0"/>
                      <w:sz w:val="21"/>
                      <w:szCs w:val="21"/>
                      <w:highlight w:val="none"/>
                      <w:lang w:val="en-US" w:eastAsia="zh-CN"/>
                    </w:rPr>
                    <w:t>配有压滤设备，</w:t>
                  </w:r>
                  <w:r>
                    <w:rPr>
                      <w:rFonts w:hint="default" w:ascii="Times New Roman" w:hAnsi="Times New Roman" w:cs="Times New Roman"/>
                      <w:b w:val="0"/>
                      <w:bCs/>
                      <w:color w:val="auto"/>
                      <w:kern w:val="0"/>
                      <w:sz w:val="21"/>
                      <w:szCs w:val="21"/>
                      <w:highlight w:val="none"/>
                      <w:lang w:val="en-US" w:eastAsia="zh-CN"/>
                    </w:rPr>
                    <w:t>混凝土结构、防渗处理</w:t>
                  </w:r>
                  <w:r>
                    <w:rPr>
                      <w:rFonts w:hint="eastAsia" w:ascii="Times New Roman" w:hAnsi="Times New Roman" w:cs="Times New Roman"/>
                      <w:b w:val="0"/>
                      <w:bCs/>
                      <w:color w:val="auto"/>
                      <w:kern w:val="0"/>
                      <w:sz w:val="21"/>
                      <w:szCs w:val="21"/>
                      <w:highlight w:val="none"/>
                      <w:lang w:val="en-US" w:eastAsia="zh-CN"/>
                    </w:rPr>
                    <w:t>。</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3"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405"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固废</w:t>
                  </w:r>
                </w:p>
              </w:tc>
              <w:tc>
                <w:tcPr>
                  <w:tcW w:w="89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生活垃圾</w:t>
                  </w:r>
                </w:p>
              </w:tc>
              <w:tc>
                <w:tcPr>
                  <w:tcW w:w="26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设垃圾桶若干，收集后</w:t>
                  </w:r>
                  <w:r>
                    <w:rPr>
                      <w:rFonts w:hint="eastAsia" w:cs="Times New Roman"/>
                      <w:b w:val="0"/>
                      <w:bCs/>
                      <w:color w:val="auto"/>
                      <w:kern w:val="0"/>
                      <w:sz w:val="21"/>
                      <w:szCs w:val="21"/>
                      <w:highlight w:val="none"/>
                      <w:lang w:val="en-US" w:eastAsia="zh-CN"/>
                    </w:rPr>
                    <w:t>由</w:t>
                  </w:r>
                  <w:r>
                    <w:rPr>
                      <w:rFonts w:hint="default" w:ascii="Times New Roman" w:hAnsi="Times New Roman" w:cs="Times New Roman"/>
                      <w:b w:val="0"/>
                      <w:bCs/>
                      <w:color w:val="auto"/>
                      <w:kern w:val="0"/>
                      <w:sz w:val="21"/>
                      <w:szCs w:val="21"/>
                      <w:highlight w:val="none"/>
                      <w:lang w:val="en-US" w:eastAsia="zh-CN"/>
                    </w:rPr>
                    <w:t>环卫部门</w:t>
                  </w:r>
                  <w:r>
                    <w:rPr>
                      <w:rFonts w:hint="eastAsia" w:cs="Times New Roman"/>
                      <w:b w:val="0"/>
                      <w:bCs/>
                      <w:color w:val="auto"/>
                      <w:kern w:val="0"/>
                      <w:sz w:val="21"/>
                      <w:szCs w:val="21"/>
                      <w:highlight w:val="none"/>
                      <w:lang w:val="en-US" w:eastAsia="zh-CN"/>
                    </w:rPr>
                    <w:t>统一</w:t>
                  </w:r>
                  <w:r>
                    <w:rPr>
                      <w:rFonts w:hint="default" w:ascii="Times New Roman" w:hAnsi="Times New Roman" w:cs="Times New Roman"/>
                      <w:b w:val="0"/>
                      <w:bCs/>
                      <w:color w:val="auto"/>
                      <w:kern w:val="0"/>
                      <w:sz w:val="21"/>
                      <w:szCs w:val="21"/>
                      <w:highlight w:val="none"/>
                      <w:lang w:val="en-US" w:eastAsia="zh-CN"/>
                    </w:rPr>
                    <w:t>处理</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3"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405"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color w:val="auto"/>
                      <w:szCs w:val="21"/>
                      <w:highlight w:val="none"/>
                      <w:lang w:val="en-US" w:eastAsia="zh-CN"/>
                    </w:rPr>
                    <w:t>沉淀池沉砂</w:t>
                  </w:r>
                </w:p>
              </w:tc>
              <w:tc>
                <w:tcPr>
                  <w:tcW w:w="26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回用于生产</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3"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405"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895" w:type="pct"/>
                  <w:tcBorders>
                    <w:tl2br w:val="nil"/>
                    <w:tr2bl w:val="nil"/>
                  </w:tcBorders>
                  <w:noWrap w:val="0"/>
                  <w:vAlign w:val="center"/>
                </w:tcPr>
                <w:p>
                  <w:pPr>
                    <w:adjustRightInd w:val="0"/>
                    <w:snapToGrid w:val="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color w:val="auto"/>
                      <w:szCs w:val="21"/>
                      <w:highlight w:val="none"/>
                      <w:lang w:val="en-US" w:eastAsia="zh-CN"/>
                    </w:rPr>
                    <w:t>除尘器收集粉尘</w:t>
                  </w:r>
                </w:p>
              </w:tc>
              <w:tc>
                <w:tcPr>
                  <w:tcW w:w="26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回用于生产</w:t>
                  </w:r>
                </w:p>
              </w:tc>
              <w:tc>
                <w:tcPr>
                  <w:tcW w:w="835" w:type="pct"/>
                  <w:tcBorders>
                    <w:tl2br w:val="nil"/>
                    <w:tr2bl w:val="nil"/>
                  </w:tcBorders>
                  <w:noWrap w:val="0"/>
                  <w:vAlign w:val="center"/>
                </w:tcPr>
                <w:p>
                  <w:pPr>
                    <w:spacing w:line="240" w:lineRule="auto"/>
                    <w:ind w:firstLine="0" w:firstLineChars="0"/>
                    <w:jc w:val="center"/>
                    <w:rPr>
                      <w:rFonts w:hint="eastAsia" w:ascii="Times New Roman" w:hAnsi="Times New Roman"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依托原有</w:t>
                  </w:r>
                </w:p>
              </w:tc>
            </w:tr>
          </w:tbl>
          <w:tbl>
            <w:tblPr>
              <w:tblStyle w:val="30"/>
              <w:tblW w:w="49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4"/>
              <w:gridCol w:w="2179"/>
              <w:gridCol w:w="4371"/>
              <w:gridCol w:w="14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3"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130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声环境</w:t>
                  </w:r>
                </w:p>
              </w:tc>
              <w:tc>
                <w:tcPr>
                  <w:tcW w:w="26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低噪声设备、隔音、基础减震设施</w:t>
                  </w:r>
                  <w:r>
                    <w:rPr>
                      <w:rFonts w:hint="eastAsia" w:cs="Times New Roman"/>
                      <w:b w:val="0"/>
                      <w:bCs/>
                      <w:color w:val="auto"/>
                      <w:kern w:val="0"/>
                      <w:sz w:val="21"/>
                      <w:szCs w:val="21"/>
                      <w:highlight w:val="none"/>
                      <w:lang w:val="en-US" w:eastAsia="zh-CN"/>
                    </w:rPr>
                    <w:t>；降低车速，禁止鸣笛</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53"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p>
              </w:tc>
              <w:tc>
                <w:tcPr>
                  <w:tcW w:w="130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绿化</w:t>
                  </w:r>
                </w:p>
              </w:tc>
              <w:tc>
                <w:tcPr>
                  <w:tcW w:w="2609"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绿化面积</w:t>
                  </w:r>
                  <w:r>
                    <w:rPr>
                      <w:rFonts w:hint="eastAsia" w:cs="Times New Roman"/>
                      <w:b w:val="0"/>
                      <w:bCs/>
                      <w:color w:val="auto"/>
                      <w:kern w:val="0"/>
                      <w:sz w:val="21"/>
                      <w:szCs w:val="21"/>
                      <w:highlight w:val="none"/>
                      <w:lang w:val="en-US" w:eastAsia="zh-CN"/>
                    </w:rPr>
                    <w:t>2130</w:t>
                  </w:r>
                  <w:r>
                    <w:rPr>
                      <w:rFonts w:hint="default" w:ascii="Times New Roman" w:hAnsi="Times New Roman" w:cs="Times New Roman"/>
                      <w:b w:val="0"/>
                      <w:bCs/>
                      <w:color w:val="auto"/>
                      <w:kern w:val="0"/>
                      <w:sz w:val="21"/>
                      <w:szCs w:val="21"/>
                      <w:highlight w:val="none"/>
                      <w:lang w:val="en-US" w:eastAsia="zh-CN"/>
                    </w:rPr>
                    <w:t>m</w:t>
                  </w:r>
                  <w:r>
                    <w:rPr>
                      <w:rFonts w:hint="default" w:ascii="Times New Roman" w:hAnsi="Times New Roman" w:cs="Times New Roman"/>
                      <w:b w:val="0"/>
                      <w:bCs/>
                      <w:color w:val="auto"/>
                      <w:kern w:val="0"/>
                      <w:sz w:val="21"/>
                      <w:szCs w:val="21"/>
                      <w:highlight w:val="none"/>
                      <w:vertAlign w:val="superscript"/>
                      <w:lang w:val="en-US" w:eastAsia="zh-CN"/>
                    </w:rPr>
                    <w:t>2</w:t>
                  </w:r>
                </w:p>
              </w:tc>
              <w:tc>
                <w:tcPr>
                  <w:tcW w:w="83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依托原有</w:t>
                  </w:r>
                </w:p>
              </w:tc>
            </w:tr>
          </w:tbl>
          <w:p>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left"/>
              <w:textAlignment w:val="auto"/>
              <w:rPr>
                <w:rFonts w:hint="default" w:ascii="Times New Roman" w:hAnsi="Times New Roman" w:eastAsia="宋体" w:cs="Times New Roman"/>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、主要生产设备设施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本项目主要设备清单详见表</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p>
          <w:p>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p>
          <w:p>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p>
          <w:p>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 xml:space="preserve"> </w:t>
            </w:r>
            <w:r>
              <w:rPr>
                <w:rFonts w:hint="eastAsia" w:cs="Times New Roman"/>
                <w:color w:val="auto"/>
                <w:sz w:val="21"/>
                <w:szCs w:val="21"/>
                <w:highlight w:val="none"/>
                <w:lang w:eastAsia="zh-CN"/>
              </w:rPr>
              <w:t>主要</w:t>
            </w:r>
            <w:r>
              <w:rPr>
                <w:rFonts w:hint="default" w:ascii="Times New Roman" w:hAnsi="Times New Roman" w:eastAsia="宋体" w:cs="Times New Roman"/>
                <w:color w:val="auto"/>
                <w:sz w:val="21"/>
                <w:szCs w:val="21"/>
                <w:highlight w:val="none"/>
              </w:rPr>
              <w:t>设备名称一览表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1844"/>
              <w:gridCol w:w="1544"/>
              <w:gridCol w:w="1395"/>
              <w:gridCol w:w="1237"/>
              <w:gridCol w:w="1938"/>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254" w:type="pct"/>
                  <w:tcBorders>
                    <w:top w:val="single" w:color="auto" w:sz="12" w:space="0"/>
                  </w:tcBorders>
                  <w:noWrap w:val="0"/>
                  <w:vAlign w:val="center"/>
                </w:tcPr>
                <w:p>
                  <w:pPr>
                    <w:spacing w:line="30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rPr>
                    <w:t>序号</w:t>
                  </w:r>
                </w:p>
              </w:tc>
              <w:tc>
                <w:tcPr>
                  <w:tcW w:w="1099" w:type="pct"/>
                  <w:tcBorders>
                    <w:top w:val="single" w:color="auto" w:sz="12" w:space="0"/>
                  </w:tcBorders>
                  <w:noWrap w:val="0"/>
                  <w:vAlign w:val="center"/>
                </w:tcPr>
                <w:p>
                  <w:pPr>
                    <w:spacing w:line="30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设备名称</w:t>
                  </w:r>
                </w:p>
              </w:tc>
              <w:tc>
                <w:tcPr>
                  <w:tcW w:w="920" w:type="pct"/>
                  <w:tcBorders>
                    <w:top w:val="single" w:color="auto" w:sz="12" w:space="0"/>
                  </w:tcBorders>
                  <w:noWrap w:val="0"/>
                  <w:vAlign w:val="center"/>
                </w:tcPr>
                <w:p>
                  <w:pPr>
                    <w:spacing w:line="300" w:lineRule="exact"/>
                    <w:ind w:firstLine="0" w:firstLineChars="0"/>
                    <w:jc w:val="center"/>
                    <w:rPr>
                      <w:rFonts w:hint="eastAsia" w:ascii="Times New Roman" w:hAnsi="Times New Roman" w:cs="Times New Roman"/>
                      <w:b/>
                      <w:color w:val="auto"/>
                      <w:kern w:val="0"/>
                      <w:sz w:val="21"/>
                      <w:szCs w:val="21"/>
                      <w:highlight w:val="none"/>
                      <w:lang w:val="en-US" w:eastAsia="zh-CN"/>
                    </w:rPr>
                  </w:pPr>
                  <w:r>
                    <w:rPr>
                      <w:rFonts w:hint="eastAsia" w:ascii="Times New Roman" w:hAnsi="Times New Roman" w:cs="Times New Roman"/>
                      <w:b/>
                      <w:color w:val="auto"/>
                      <w:kern w:val="0"/>
                      <w:sz w:val="21"/>
                      <w:szCs w:val="21"/>
                      <w:highlight w:val="none"/>
                      <w:lang w:val="en-US" w:eastAsia="zh-CN"/>
                    </w:rPr>
                    <w:t>型号</w:t>
                  </w:r>
                </w:p>
              </w:tc>
              <w:tc>
                <w:tcPr>
                  <w:tcW w:w="831" w:type="pct"/>
                  <w:tcBorders>
                    <w:top w:val="single" w:color="auto" w:sz="12" w:space="0"/>
                  </w:tcBorders>
                  <w:noWrap w:val="0"/>
                  <w:vAlign w:val="center"/>
                </w:tcPr>
                <w:p>
                  <w:pPr>
                    <w:spacing w:line="300" w:lineRule="exact"/>
                    <w:ind w:firstLine="0" w:firstLineChars="0"/>
                    <w:jc w:val="center"/>
                    <w:rPr>
                      <w:rFonts w:hint="default" w:ascii="Times New Roman" w:hAnsi="Times New Roman" w:cs="Times New Roman"/>
                      <w:b/>
                      <w:color w:val="auto"/>
                      <w:kern w:val="0"/>
                      <w:sz w:val="21"/>
                      <w:szCs w:val="21"/>
                      <w:highlight w:val="none"/>
                      <w:lang w:eastAsia="zh-CN"/>
                    </w:rPr>
                  </w:pPr>
                  <w:r>
                    <w:rPr>
                      <w:rFonts w:hint="default" w:ascii="Times New Roman" w:hAnsi="Times New Roman" w:cs="Times New Roman"/>
                      <w:b/>
                      <w:color w:val="auto"/>
                      <w:kern w:val="0"/>
                      <w:sz w:val="21"/>
                      <w:szCs w:val="21"/>
                      <w:highlight w:val="none"/>
                      <w:lang w:eastAsia="zh-CN"/>
                    </w:rPr>
                    <w:t>单位</w:t>
                  </w:r>
                </w:p>
              </w:tc>
              <w:tc>
                <w:tcPr>
                  <w:tcW w:w="737" w:type="pct"/>
                  <w:tcBorders>
                    <w:top w:val="single" w:color="auto" w:sz="12" w:space="0"/>
                  </w:tcBorders>
                  <w:noWrap w:val="0"/>
                  <w:vAlign w:val="center"/>
                </w:tcPr>
                <w:p>
                  <w:pPr>
                    <w:spacing w:line="30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数量</w:t>
                  </w:r>
                </w:p>
              </w:tc>
              <w:tc>
                <w:tcPr>
                  <w:tcW w:w="1155" w:type="pct"/>
                  <w:tcBorders>
                    <w:top w:val="single" w:color="auto" w:sz="12" w:space="0"/>
                  </w:tcBorders>
                  <w:noWrap w:val="0"/>
                  <w:vAlign w:val="center"/>
                </w:tcPr>
                <w:p>
                  <w:pPr>
                    <w:spacing w:line="300" w:lineRule="exact"/>
                    <w:ind w:firstLine="0" w:firstLineChars="0"/>
                    <w:jc w:val="center"/>
                    <w:rPr>
                      <w:rFonts w:hint="eastAsia" w:ascii="Times New Roman" w:hAnsi="Times New Roman" w:eastAsia="宋体" w:cs="Times New Roman"/>
                      <w:b/>
                      <w:color w:val="auto"/>
                      <w:kern w:val="0"/>
                      <w:sz w:val="21"/>
                      <w:szCs w:val="21"/>
                      <w:highlight w:val="none"/>
                      <w:lang w:eastAsia="zh-CN"/>
                    </w:rPr>
                  </w:pPr>
                  <w:r>
                    <w:rPr>
                      <w:rFonts w:hint="eastAsia" w:cs="Times New Roman"/>
                      <w:b/>
                      <w:color w:val="auto"/>
                      <w:kern w:val="0"/>
                      <w:sz w:val="21"/>
                      <w:szCs w:val="21"/>
                      <w:highlight w:val="none"/>
                      <w:lang w:eastAsia="zh-CN"/>
                    </w:rPr>
                    <w:t>备注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254" w:type="pct"/>
                  <w:noWrap w:val="0"/>
                  <w:vAlign w:val="center"/>
                </w:tcPr>
                <w:p>
                  <w:pPr>
                    <w:spacing w:line="30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0"/>
                      <w:sz w:val="21"/>
                      <w:szCs w:val="21"/>
                      <w:highlight w:val="none"/>
                    </w:rPr>
                    <w:t>1</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斜皮带减速机</w:t>
                  </w:r>
                </w:p>
              </w:tc>
              <w:tc>
                <w:tcPr>
                  <w:tcW w:w="920"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ZJYJ2250-10.S</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台</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2</w:t>
                  </w:r>
                </w:p>
              </w:tc>
              <w:tc>
                <w:tcPr>
                  <w:tcW w:w="1155" w:type="pct"/>
                  <w:noWrap w:val="0"/>
                  <w:vAlign w:val="center"/>
                </w:tcPr>
                <w:p>
                  <w:pPr>
                    <w:spacing w:line="300" w:lineRule="exact"/>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新建1台，1台依托原有</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54" w:type="pct"/>
                  <w:noWrap w:val="0"/>
                  <w:vAlign w:val="center"/>
                </w:tcPr>
                <w:p>
                  <w:pPr>
                    <w:spacing w:line="300" w:lineRule="exact"/>
                    <w:ind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2</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装载机</w:t>
                  </w:r>
                </w:p>
              </w:tc>
              <w:tc>
                <w:tcPr>
                  <w:tcW w:w="920"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Cs w:val="21"/>
                      <w:highlight w:val="none"/>
                      <w:lang w:val="en-US" w:eastAsia="zh-CN"/>
                    </w:rPr>
                  </w:pPr>
                  <w:r>
                    <w:rPr>
                      <w:rFonts w:hint="eastAsia" w:ascii="Times New Roman" w:hAnsi="Times New Roman" w:eastAsia="宋体" w:cs="Times New Roman"/>
                      <w:bCs/>
                      <w:color w:val="auto"/>
                      <w:kern w:val="0"/>
                      <w:szCs w:val="21"/>
                      <w:highlight w:val="none"/>
                      <w:lang w:val="en-US" w:eastAsia="zh-CN"/>
                    </w:rPr>
                    <w:t>ZL50 NC</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台</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2</w:t>
                  </w:r>
                </w:p>
              </w:tc>
              <w:tc>
                <w:tcPr>
                  <w:tcW w:w="1155" w:type="pct"/>
                  <w:noWrap w:val="0"/>
                  <w:vAlign w:val="center"/>
                </w:tcPr>
                <w:p>
                  <w:pPr>
                    <w:spacing w:line="300" w:lineRule="exact"/>
                    <w:ind w:left="0" w:leftChars="0" w:firstLine="0" w:firstLineChars="0"/>
                    <w:jc w:val="center"/>
                    <w:rPr>
                      <w:rFonts w:hint="default" w:ascii="Times New Roman" w:hAnsi="Times New Roman" w:cs="Times New Roman"/>
                      <w:bCs/>
                      <w:color w:val="auto"/>
                      <w:kern w:val="0"/>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254" w:type="pct"/>
                  <w:noWrap w:val="0"/>
                  <w:vAlign w:val="center"/>
                </w:tcPr>
                <w:p>
                  <w:pPr>
                    <w:spacing w:line="300" w:lineRule="exact"/>
                    <w:ind w:firstLine="0" w:firstLineChars="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3</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zh-TW" w:eastAsia="zh-TW"/>
                    </w:rPr>
                    <w:t>斜皮带</w:t>
                  </w:r>
                </w:p>
              </w:tc>
              <w:tc>
                <w:tcPr>
                  <w:tcW w:w="920"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M509R2A-26.5</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条</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2</w:t>
                  </w:r>
                </w:p>
              </w:tc>
              <w:tc>
                <w:tcPr>
                  <w:tcW w:w="1155" w:type="pct"/>
                  <w:noWrap w:val="0"/>
                  <w:vAlign w:val="center"/>
                </w:tcPr>
                <w:p>
                  <w:pPr>
                    <w:spacing w:line="300" w:lineRule="exact"/>
                    <w:ind w:left="0" w:leftChars="0" w:firstLine="0" w:firstLineChars="0"/>
                    <w:jc w:val="center"/>
                    <w:rPr>
                      <w:rFonts w:hint="eastAsia" w:cs="Times New Roman"/>
                      <w:bCs/>
                      <w:color w:val="auto"/>
                      <w:kern w:val="0"/>
                      <w:sz w:val="21"/>
                      <w:szCs w:val="21"/>
                      <w:highlight w:val="none"/>
                      <w:lang w:val="en-US" w:eastAsia="zh-CN"/>
                    </w:rPr>
                  </w:pPr>
                  <w:r>
                    <w:rPr>
                      <w:rFonts w:hint="eastAsia" w:cs="Times New Roman"/>
                      <w:color w:val="auto"/>
                      <w:sz w:val="21"/>
                      <w:szCs w:val="21"/>
                      <w:highlight w:val="none"/>
                      <w:lang w:val="en-US" w:eastAsia="zh-CN"/>
                    </w:rPr>
                    <w:t>新建1条，1条依托原有</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43" w:hRule="atLeast"/>
                <w:jc w:val="center"/>
              </w:trPr>
              <w:tc>
                <w:tcPr>
                  <w:tcW w:w="254" w:type="pct"/>
                  <w:noWrap w:val="0"/>
                  <w:vAlign w:val="center"/>
                </w:tcPr>
                <w:p>
                  <w:pPr>
                    <w:spacing w:line="300" w:lineRule="exact"/>
                    <w:ind w:firstLine="0" w:firstLineChars="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4</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zh-TW" w:eastAsia="zh-CN"/>
                    </w:rPr>
                  </w:pPr>
                  <w:r>
                    <w:rPr>
                      <w:rFonts w:hint="eastAsia" w:ascii="Times New Roman" w:hAnsi="Times New Roman" w:cs="Times New Roman"/>
                      <w:color w:val="auto"/>
                      <w:sz w:val="21"/>
                      <w:szCs w:val="21"/>
                      <w:highlight w:val="none"/>
                      <w:lang w:val="zh-TW" w:eastAsia="zh-CN"/>
                    </w:rPr>
                    <w:t>平皮带</w:t>
                  </w:r>
                </w:p>
              </w:tc>
              <w:tc>
                <w:tcPr>
                  <w:tcW w:w="920"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M509R2A</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条</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2</w:t>
                  </w:r>
                </w:p>
              </w:tc>
              <w:tc>
                <w:tcPr>
                  <w:tcW w:w="1155" w:type="pct"/>
                  <w:noWrap w:val="0"/>
                  <w:vAlign w:val="center"/>
                </w:tcPr>
                <w:p>
                  <w:pPr>
                    <w:spacing w:line="300" w:lineRule="exact"/>
                    <w:ind w:left="0" w:leftChars="0" w:firstLine="0" w:firstLineChars="0"/>
                    <w:jc w:val="center"/>
                    <w:rPr>
                      <w:rFonts w:hint="eastAsia" w:cs="Times New Roman"/>
                      <w:bCs/>
                      <w:color w:val="auto"/>
                      <w:kern w:val="0"/>
                      <w:sz w:val="21"/>
                      <w:szCs w:val="21"/>
                      <w:highlight w:val="none"/>
                      <w:lang w:val="en-US" w:eastAsia="zh-CN"/>
                    </w:rPr>
                  </w:pPr>
                  <w:r>
                    <w:rPr>
                      <w:rFonts w:hint="eastAsia" w:cs="Times New Roman"/>
                      <w:color w:val="auto"/>
                      <w:sz w:val="21"/>
                      <w:szCs w:val="21"/>
                      <w:highlight w:val="none"/>
                      <w:lang w:val="en-US" w:eastAsia="zh-CN"/>
                    </w:rPr>
                    <w:t>新建1条，1条依托原有</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43" w:hRule="atLeast"/>
                <w:jc w:val="center"/>
              </w:trPr>
              <w:tc>
                <w:tcPr>
                  <w:tcW w:w="254" w:type="pct"/>
                  <w:noWrap w:val="0"/>
                  <w:vAlign w:val="center"/>
                </w:tcPr>
                <w:p>
                  <w:pPr>
                    <w:spacing w:line="300" w:lineRule="exact"/>
                    <w:ind w:firstLine="0" w:firstLineChars="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5</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zh-TW" w:eastAsia="zh-TW"/>
                    </w:rPr>
                  </w:pPr>
                  <w:r>
                    <w:rPr>
                      <w:rFonts w:hint="eastAsia" w:ascii="Times New Roman" w:hAnsi="Times New Roman" w:cs="Times New Roman"/>
                      <w:color w:val="auto"/>
                      <w:sz w:val="21"/>
                      <w:szCs w:val="21"/>
                      <w:highlight w:val="none"/>
                      <w:lang w:val="zh-TW" w:eastAsia="zh-TW"/>
                    </w:rPr>
                    <w:t>水泥螺旋输送机</w:t>
                  </w:r>
                </w:p>
              </w:tc>
              <w:tc>
                <w:tcPr>
                  <w:tcW w:w="920" w:type="pct"/>
                  <w:noWrap w:val="0"/>
                  <w:vAlign w:val="center"/>
                </w:tcPr>
                <w:p>
                  <w:pPr>
                    <w:spacing w:line="240" w:lineRule="auto"/>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SC-323</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根</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3</w:t>
                  </w:r>
                </w:p>
              </w:tc>
              <w:tc>
                <w:tcPr>
                  <w:tcW w:w="1155" w:type="pct"/>
                  <w:noWrap w:val="0"/>
                  <w:vAlign w:val="center"/>
                </w:tcPr>
                <w:p>
                  <w:pPr>
                    <w:spacing w:line="300" w:lineRule="exact"/>
                    <w:ind w:left="0" w:leftChars="0" w:firstLine="0" w:firstLineChars="0"/>
                    <w:jc w:val="center"/>
                    <w:rPr>
                      <w:rFonts w:hint="eastAsia" w:cs="Times New Roman"/>
                      <w:bCs/>
                      <w:color w:val="auto"/>
                      <w:kern w:val="0"/>
                      <w:sz w:val="21"/>
                      <w:szCs w:val="21"/>
                      <w:highlight w:val="none"/>
                      <w:lang w:val="en-US" w:eastAsia="zh-CN"/>
                    </w:rPr>
                  </w:pPr>
                  <w:r>
                    <w:rPr>
                      <w:rFonts w:hint="eastAsia" w:cs="Times New Roman"/>
                      <w:color w:val="auto"/>
                      <w:sz w:val="21"/>
                      <w:szCs w:val="21"/>
                      <w:highlight w:val="none"/>
                      <w:lang w:val="en-US" w:eastAsia="zh-CN"/>
                    </w:rPr>
                    <w:t>新建2根，1根依托原有</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43" w:hRule="atLeast"/>
                <w:jc w:val="center"/>
              </w:trPr>
              <w:tc>
                <w:tcPr>
                  <w:tcW w:w="254" w:type="pct"/>
                  <w:noWrap w:val="0"/>
                  <w:vAlign w:val="center"/>
                </w:tcPr>
                <w:p>
                  <w:pPr>
                    <w:spacing w:line="300" w:lineRule="exact"/>
                    <w:ind w:firstLine="0" w:firstLineChars="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6</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zh-TW" w:eastAsia="zh-TW"/>
                    </w:rPr>
                  </w:pPr>
                  <w:r>
                    <w:rPr>
                      <w:rFonts w:hint="eastAsia" w:ascii="Times New Roman" w:hAnsi="Times New Roman" w:cs="Times New Roman"/>
                      <w:color w:val="auto"/>
                      <w:sz w:val="21"/>
                      <w:szCs w:val="21"/>
                      <w:highlight w:val="none"/>
                      <w:lang w:val="zh-TW" w:eastAsia="zh-TW"/>
                    </w:rPr>
                    <w:t>粉煤灰螺旋输送机</w:t>
                  </w:r>
                </w:p>
              </w:tc>
              <w:tc>
                <w:tcPr>
                  <w:tcW w:w="920" w:type="pct"/>
                  <w:noWrap w:val="0"/>
                  <w:vAlign w:val="center"/>
                </w:tcPr>
                <w:p>
                  <w:pPr>
                    <w:spacing w:line="240" w:lineRule="auto"/>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SC-323</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根</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1</w:t>
                  </w:r>
                </w:p>
              </w:tc>
              <w:tc>
                <w:tcPr>
                  <w:tcW w:w="1155" w:type="pct"/>
                  <w:noWrap w:val="0"/>
                  <w:vAlign w:val="center"/>
                </w:tcPr>
                <w:p>
                  <w:pPr>
                    <w:spacing w:line="300" w:lineRule="exact"/>
                    <w:ind w:left="0" w:leftChars="0" w:firstLine="0" w:firstLineChars="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color w:val="auto"/>
                      <w:szCs w:val="21"/>
                      <w:highlight w:val="none"/>
                      <w:vertAlign w:val="baseli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43" w:hRule="atLeast"/>
                <w:jc w:val="center"/>
              </w:trPr>
              <w:tc>
                <w:tcPr>
                  <w:tcW w:w="254" w:type="pct"/>
                  <w:noWrap w:val="0"/>
                  <w:vAlign w:val="center"/>
                </w:tcPr>
                <w:p>
                  <w:pPr>
                    <w:spacing w:line="300" w:lineRule="exact"/>
                    <w:ind w:firstLine="0" w:firstLineChars="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7</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zh-TW" w:eastAsia="zh-CN"/>
                    </w:rPr>
                  </w:pPr>
                  <w:r>
                    <w:rPr>
                      <w:rFonts w:hint="eastAsia" w:ascii="Times New Roman" w:hAnsi="Times New Roman" w:cs="Times New Roman"/>
                      <w:color w:val="auto"/>
                      <w:sz w:val="21"/>
                      <w:szCs w:val="21"/>
                      <w:highlight w:val="none"/>
                      <w:lang w:val="zh-TW" w:eastAsia="zh-CN"/>
                    </w:rPr>
                    <w:t>矿粉螺旋输送机</w:t>
                  </w:r>
                </w:p>
              </w:tc>
              <w:tc>
                <w:tcPr>
                  <w:tcW w:w="920" w:type="pct"/>
                  <w:noWrap w:val="0"/>
                  <w:vAlign w:val="center"/>
                </w:tcPr>
                <w:p>
                  <w:pPr>
                    <w:spacing w:line="240" w:lineRule="auto"/>
                    <w:jc w:val="center"/>
                    <w:rPr>
                      <w:rFonts w:hint="eastAsia" w:ascii="Times New Roman" w:hAnsi="Times New Roman" w:eastAsia="宋体" w:cs="Times New Roman"/>
                      <w:bCs/>
                      <w:color w:val="auto"/>
                      <w:kern w:val="0"/>
                      <w:sz w:val="21"/>
                      <w:szCs w:val="21"/>
                      <w:highlight w:val="none"/>
                      <w:lang w:val="en-US" w:eastAsia="zh-CN"/>
                    </w:rPr>
                  </w:pP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根</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1</w:t>
                  </w:r>
                </w:p>
              </w:tc>
              <w:tc>
                <w:tcPr>
                  <w:tcW w:w="1155" w:type="pct"/>
                  <w:noWrap w:val="0"/>
                  <w:vAlign w:val="center"/>
                </w:tcPr>
                <w:p>
                  <w:pPr>
                    <w:spacing w:line="300" w:lineRule="exact"/>
                    <w:ind w:left="0" w:leftChars="0" w:firstLine="0" w:firstLineChars="0"/>
                    <w:jc w:val="center"/>
                    <w:rPr>
                      <w:rFonts w:hint="eastAsia" w:cs="Times New Roman"/>
                      <w:bCs/>
                      <w:color w:val="auto"/>
                      <w:kern w:val="0"/>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43" w:hRule="atLeast"/>
                <w:jc w:val="center"/>
              </w:trPr>
              <w:tc>
                <w:tcPr>
                  <w:tcW w:w="254" w:type="pct"/>
                  <w:noWrap w:val="0"/>
                  <w:vAlign w:val="center"/>
                </w:tcPr>
                <w:p>
                  <w:pPr>
                    <w:spacing w:line="300" w:lineRule="exact"/>
                    <w:ind w:firstLine="0" w:firstLineChars="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8</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zh-TW" w:eastAsia="zh-TW"/>
                    </w:rPr>
                  </w:pPr>
                  <w:r>
                    <w:rPr>
                      <w:rFonts w:hint="eastAsia" w:ascii="Times New Roman" w:hAnsi="Times New Roman" w:cs="Times New Roman"/>
                      <w:color w:val="auto"/>
                      <w:sz w:val="21"/>
                      <w:szCs w:val="21"/>
                      <w:highlight w:val="none"/>
                      <w:lang w:val="zh-TW" w:eastAsia="zh-TW"/>
                    </w:rPr>
                    <w:t>水泥螺旋减速机</w:t>
                  </w:r>
                </w:p>
              </w:tc>
              <w:tc>
                <w:tcPr>
                  <w:tcW w:w="920"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RM30/10/48</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台</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3</w:t>
                  </w:r>
                </w:p>
              </w:tc>
              <w:tc>
                <w:tcPr>
                  <w:tcW w:w="1155" w:type="pct"/>
                  <w:noWrap w:val="0"/>
                  <w:vAlign w:val="center"/>
                </w:tcPr>
                <w:p>
                  <w:pPr>
                    <w:spacing w:line="300" w:lineRule="exact"/>
                    <w:ind w:left="0" w:leftChars="0" w:firstLine="0" w:firstLineChars="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新建2根，1根依托原有</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94" w:hRule="atLeast"/>
                <w:jc w:val="center"/>
              </w:trPr>
              <w:tc>
                <w:tcPr>
                  <w:tcW w:w="254" w:type="pct"/>
                  <w:noWrap w:val="0"/>
                  <w:vAlign w:val="center"/>
                </w:tcPr>
                <w:p>
                  <w:pPr>
                    <w:spacing w:line="300" w:lineRule="exact"/>
                    <w:ind w:firstLine="0" w:firstLineChars="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9</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zh-TW" w:eastAsia="zh-TW"/>
                    </w:rPr>
                  </w:pPr>
                  <w:r>
                    <w:rPr>
                      <w:rFonts w:hint="eastAsia" w:ascii="Times New Roman" w:hAnsi="Times New Roman" w:cs="Times New Roman"/>
                      <w:color w:val="auto"/>
                      <w:sz w:val="21"/>
                      <w:szCs w:val="21"/>
                      <w:highlight w:val="none"/>
                      <w:lang w:val="zh-TW" w:eastAsia="zh-TW"/>
                    </w:rPr>
                    <w:t>粉煤灰螺旋减速机</w:t>
                  </w:r>
                </w:p>
              </w:tc>
              <w:tc>
                <w:tcPr>
                  <w:tcW w:w="920"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RM20/07/42</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台</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1</w:t>
                  </w:r>
                </w:p>
              </w:tc>
              <w:tc>
                <w:tcPr>
                  <w:tcW w:w="1155" w:type="pct"/>
                  <w:noWrap w:val="0"/>
                  <w:vAlign w:val="center"/>
                </w:tcPr>
                <w:p>
                  <w:pPr>
                    <w:spacing w:line="300" w:lineRule="exact"/>
                    <w:ind w:left="0" w:leftChars="0" w:firstLine="0" w:firstLineChars="0"/>
                    <w:jc w:val="center"/>
                    <w:rPr>
                      <w:rFonts w:hint="eastAsia" w:cs="Times New Roman"/>
                      <w:bCs/>
                      <w:color w:val="auto"/>
                      <w:kern w:val="0"/>
                      <w:sz w:val="21"/>
                      <w:szCs w:val="21"/>
                      <w:highlight w:val="none"/>
                      <w:lang w:val="en-US" w:eastAsia="zh-CN"/>
                    </w:rPr>
                  </w:pPr>
                  <w:r>
                    <w:rPr>
                      <w:rFonts w:hint="eastAsia" w:ascii="Times New Roman" w:hAnsi="Times New Roman" w:eastAsia="宋体" w:cs="Times New Roman"/>
                      <w:color w:val="auto"/>
                      <w:szCs w:val="21"/>
                      <w:highlight w:val="none"/>
                      <w:vertAlign w:val="baseli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09" w:hRule="atLeast"/>
                <w:jc w:val="center"/>
              </w:trPr>
              <w:tc>
                <w:tcPr>
                  <w:tcW w:w="254" w:type="pct"/>
                  <w:noWrap w:val="0"/>
                  <w:vAlign w:val="center"/>
                </w:tcPr>
                <w:p>
                  <w:pPr>
                    <w:spacing w:line="300" w:lineRule="exact"/>
                    <w:ind w:firstLine="0" w:firstLineChars="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10</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zh-TW" w:eastAsia="zh-TW"/>
                    </w:rPr>
                  </w:pPr>
                  <w:r>
                    <w:rPr>
                      <w:rFonts w:hint="eastAsia" w:ascii="Times New Roman" w:hAnsi="Times New Roman" w:cs="Times New Roman"/>
                      <w:color w:val="auto"/>
                      <w:sz w:val="21"/>
                      <w:szCs w:val="21"/>
                      <w:highlight w:val="none"/>
                      <w:lang w:val="zh-TW" w:eastAsia="zh-CN"/>
                    </w:rPr>
                    <w:t>矿粉螺旋减速机</w:t>
                  </w:r>
                </w:p>
              </w:tc>
              <w:tc>
                <w:tcPr>
                  <w:tcW w:w="920"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台</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1</w:t>
                  </w:r>
                </w:p>
              </w:tc>
              <w:tc>
                <w:tcPr>
                  <w:tcW w:w="1155" w:type="pct"/>
                  <w:noWrap w:val="0"/>
                  <w:vAlign w:val="center"/>
                </w:tcPr>
                <w:p>
                  <w:pPr>
                    <w:spacing w:line="300" w:lineRule="exact"/>
                    <w:ind w:left="0" w:leftChars="0" w:firstLine="0" w:firstLineChars="0"/>
                    <w:jc w:val="center"/>
                    <w:rPr>
                      <w:rFonts w:hint="eastAsia" w:cs="Times New Roman"/>
                      <w:bCs/>
                      <w:color w:val="auto"/>
                      <w:kern w:val="0"/>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09" w:hRule="atLeast"/>
                <w:jc w:val="center"/>
              </w:trPr>
              <w:tc>
                <w:tcPr>
                  <w:tcW w:w="254" w:type="pct"/>
                  <w:noWrap w:val="0"/>
                  <w:vAlign w:val="center"/>
                </w:tcPr>
                <w:p>
                  <w:pPr>
                    <w:spacing w:line="300" w:lineRule="exact"/>
                    <w:ind w:firstLine="0" w:firstLineChars="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11</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zh-TW" w:eastAsia="zh-CN"/>
                    </w:rPr>
                  </w:pPr>
                  <w:r>
                    <w:rPr>
                      <w:rFonts w:hint="eastAsia" w:ascii="Times New Roman" w:hAnsi="Times New Roman" w:cs="Times New Roman"/>
                      <w:color w:val="auto"/>
                      <w:sz w:val="21"/>
                      <w:szCs w:val="21"/>
                      <w:highlight w:val="none"/>
                      <w:lang w:val="en-US" w:eastAsia="zh-CN"/>
                    </w:rPr>
                    <w:t>搅拌机</w:t>
                  </w:r>
                  <w:r>
                    <w:rPr>
                      <w:rFonts w:hint="eastAsia" w:cs="Times New Roman"/>
                      <w:color w:val="auto"/>
                      <w:sz w:val="21"/>
                      <w:szCs w:val="21"/>
                      <w:highlight w:val="none"/>
                      <w:lang w:val="en-US" w:eastAsia="zh-CN"/>
                    </w:rPr>
                    <w:t>（180）</w:t>
                  </w:r>
                </w:p>
              </w:tc>
              <w:tc>
                <w:tcPr>
                  <w:tcW w:w="920"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spacing w:val="0"/>
                      <w:w w:val="100"/>
                      <w:kern w:val="0"/>
                      <w:position w:val="0"/>
                      <w:szCs w:val="21"/>
                      <w:highlight w:val="none"/>
                      <w:lang w:val="en-US" w:eastAsia="zh-CN" w:bidi="en-US"/>
                    </w:rPr>
                    <w:t>JS3000E</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台</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2</w:t>
                  </w:r>
                </w:p>
              </w:tc>
              <w:tc>
                <w:tcPr>
                  <w:tcW w:w="1155" w:type="pct"/>
                  <w:noWrap w:val="0"/>
                  <w:vAlign w:val="center"/>
                </w:tcPr>
                <w:p>
                  <w:pPr>
                    <w:spacing w:line="300" w:lineRule="exact"/>
                    <w:ind w:left="0" w:leftChars="0" w:firstLine="0" w:firstLineChars="0"/>
                    <w:jc w:val="center"/>
                    <w:rPr>
                      <w:rFonts w:hint="default" w:cs="Times New Roman"/>
                      <w:bCs/>
                      <w:color w:val="auto"/>
                      <w:kern w:val="0"/>
                      <w:sz w:val="21"/>
                      <w:szCs w:val="21"/>
                      <w:highlight w:val="none"/>
                      <w:lang w:val="en-US" w:eastAsia="zh-CN"/>
                    </w:rPr>
                  </w:pPr>
                  <w:r>
                    <w:rPr>
                      <w:rFonts w:hint="eastAsia" w:cs="Times New Roman"/>
                      <w:color w:val="auto"/>
                      <w:sz w:val="21"/>
                      <w:szCs w:val="21"/>
                      <w:highlight w:val="none"/>
                      <w:lang w:val="en-US" w:eastAsia="zh-CN"/>
                    </w:rPr>
                    <w:t>替换原有130搅拌机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254" w:type="pct"/>
                  <w:noWrap w:val="0"/>
                  <w:vAlign w:val="center"/>
                </w:tcPr>
                <w:p>
                  <w:pPr>
                    <w:spacing w:line="300" w:lineRule="exact"/>
                    <w:ind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eastAsia" w:ascii="Times New Roman" w:hAnsi="Times New Roman" w:cs="Times New Roman"/>
                      <w:b/>
                      <w:color w:val="auto"/>
                      <w:kern w:val="0"/>
                      <w:sz w:val="21"/>
                      <w:szCs w:val="21"/>
                      <w:highlight w:val="none"/>
                      <w:lang w:val="en-US" w:eastAsia="zh-CN"/>
                    </w:rPr>
                    <w:t>12</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color w:val="auto"/>
                      <w:sz w:val="21"/>
                      <w:szCs w:val="21"/>
                      <w:highlight w:val="none"/>
                      <w:lang w:val="en-US" w:eastAsia="zh-CN"/>
                    </w:rPr>
                    <w:t>装载机</w:t>
                  </w:r>
                </w:p>
              </w:tc>
              <w:tc>
                <w:tcPr>
                  <w:tcW w:w="920" w:type="pct"/>
                  <w:noWrap w:val="0"/>
                  <w:vAlign w:val="center"/>
                </w:tcPr>
                <w:p>
                  <w:pPr>
                    <w:spacing w:line="240" w:lineRule="auto"/>
                    <w:ind w:left="0" w:leftChars="0" w:firstLine="0" w:firstLineChars="0"/>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Cs/>
                      <w:color w:val="auto"/>
                      <w:kern w:val="0"/>
                      <w:szCs w:val="21"/>
                      <w:highlight w:val="none"/>
                      <w:lang w:val="en-US" w:eastAsia="zh-CN"/>
                    </w:rPr>
                    <w:t>DL501-9C</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kern w:val="0"/>
                      <w:sz w:val="21"/>
                      <w:szCs w:val="21"/>
                      <w:highlight w:val="none"/>
                      <w:lang w:eastAsia="zh-CN"/>
                    </w:rPr>
                  </w:pPr>
                  <w:r>
                    <w:rPr>
                      <w:rFonts w:hint="default" w:ascii="Times New Roman" w:hAnsi="Times New Roman" w:cs="Times New Roman"/>
                      <w:color w:val="auto"/>
                      <w:sz w:val="21"/>
                      <w:szCs w:val="21"/>
                      <w:highlight w:val="none"/>
                      <w:lang w:val="en-US" w:eastAsia="zh-CN"/>
                    </w:rPr>
                    <w:t>台</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 w:val="0"/>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w:t>
                  </w:r>
                </w:p>
              </w:tc>
              <w:tc>
                <w:tcPr>
                  <w:tcW w:w="1155" w:type="pct"/>
                  <w:noWrap w:val="0"/>
                  <w:vAlign w:val="center"/>
                </w:tcPr>
                <w:p>
                  <w:pPr>
                    <w:spacing w:line="300" w:lineRule="exact"/>
                    <w:ind w:left="0" w:leftChars="0" w:firstLine="0" w:firstLineChars="0"/>
                    <w:jc w:val="center"/>
                    <w:rPr>
                      <w:rFonts w:hint="eastAsia" w:cs="Times New Roman"/>
                      <w:bCs/>
                      <w:color w:val="auto"/>
                      <w:kern w:val="0"/>
                      <w:sz w:val="21"/>
                      <w:szCs w:val="21"/>
                      <w:highlight w:val="none"/>
                      <w:lang w:val="en-US" w:eastAsia="zh-CN"/>
                    </w:rPr>
                  </w:pPr>
                  <w:r>
                    <w:rPr>
                      <w:rFonts w:hint="eastAsia" w:cs="Times New Roman"/>
                      <w:color w:val="auto"/>
                      <w:sz w:val="21"/>
                      <w:szCs w:val="21"/>
                      <w:highlight w:val="none"/>
                      <w:lang w:val="en-US" w:eastAsia="zh-CN"/>
                    </w:rPr>
                    <w:t>淘汰</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09" w:hRule="atLeast"/>
                <w:jc w:val="center"/>
              </w:trPr>
              <w:tc>
                <w:tcPr>
                  <w:tcW w:w="254" w:type="pct"/>
                  <w:noWrap w:val="0"/>
                  <w:vAlign w:val="center"/>
                </w:tcPr>
                <w:p>
                  <w:pPr>
                    <w:spacing w:line="300" w:lineRule="exact"/>
                    <w:ind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eastAsia" w:ascii="Times New Roman" w:hAnsi="Times New Roman" w:cs="Times New Roman"/>
                      <w:b/>
                      <w:color w:val="auto"/>
                      <w:kern w:val="0"/>
                      <w:sz w:val="21"/>
                      <w:szCs w:val="21"/>
                      <w:highlight w:val="none"/>
                      <w:lang w:val="en-US" w:eastAsia="zh-CN"/>
                    </w:rPr>
                    <w:t>13</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olor w:val="auto"/>
                      <w:kern w:val="0"/>
                      <w:sz w:val="21"/>
                      <w:szCs w:val="21"/>
                      <w:highlight w:val="none"/>
                      <w:lang w:eastAsia="zh-CN"/>
                    </w:rPr>
                  </w:pPr>
                  <w:r>
                    <w:rPr>
                      <w:rFonts w:hint="default" w:ascii="Times New Roman" w:hAnsi="Times New Roman" w:cs="Times New Roman"/>
                      <w:color w:val="auto"/>
                      <w:sz w:val="21"/>
                      <w:szCs w:val="21"/>
                      <w:lang w:val="en-US" w:eastAsia="zh-CN"/>
                    </w:rPr>
                    <w:t>混凝土罐车</w:t>
                  </w:r>
                </w:p>
              </w:tc>
              <w:tc>
                <w:tcPr>
                  <w:tcW w:w="920" w:type="pct"/>
                  <w:noWrap w:val="0"/>
                  <w:vAlign w:val="center"/>
                </w:tcPr>
                <w:p>
                  <w:pPr>
                    <w:spacing w:line="300" w:lineRule="exact"/>
                    <w:ind w:left="0" w:leftChars="0" w:firstLine="0" w:firstLineChars="0"/>
                    <w:jc w:val="center"/>
                    <w:rPr>
                      <w:rFonts w:hint="eastAsia" w:ascii="Times New Roman" w:hAnsi="Times New Roman" w:cs="Times New Roman"/>
                      <w:b/>
                      <w:color w:val="auto"/>
                      <w:kern w:val="0"/>
                      <w:sz w:val="21"/>
                      <w:szCs w:val="21"/>
                      <w:highlight w:val="none"/>
                      <w:lang w:val="en-US" w:eastAsia="zh-CN"/>
                    </w:rPr>
                  </w:pP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kern w:val="0"/>
                      <w:sz w:val="21"/>
                      <w:szCs w:val="21"/>
                      <w:highlight w:val="none"/>
                      <w:lang w:eastAsia="zh-CN"/>
                    </w:rPr>
                  </w:pPr>
                  <w:r>
                    <w:rPr>
                      <w:rFonts w:hint="default" w:ascii="Times New Roman" w:hAnsi="Times New Roman" w:cs="Times New Roman"/>
                      <w:color w:val="auto"/>
                      <w:sz w:val="21"/>
                      <w:szCs w:val="21"/>
                      <w:lang w:val="en-US" w:eastAsia="zh-CN"/>
                    </w:rPr>
                    <w:t>台</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 w:val="0"/>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15</w:t>
                  </w:r>
                </w:p>
              </w:tc>
              <w:tc>
                <w:tcPr>
                  <w:tcW w:w="1155" w:type="pct"/>
                  <w:noWrap w:val="0"/>
                  <w:vAlign w:val="center"/>
                </w:tcPr>
                <w:p>
                  <w:pPr>
                    <w:spacing w:line="300" w:lineRule="exact"/>
                    <w:jc w:val="center"/>
                    <w:rPr>
                      <w:rFonts w:hint="default" w:ascii="Times New Roman" w:hAnsi="Times New Roman" w:cs="Times New Roman"/>
                      <w:b/>
                      <w:color w:val="auto"/>
                      <w:kern w:val="0"/>
                      <w:sz w:val="21"/>
                      <w:szCs w:val="21"/>
                      <w:highlight w:val="none"/>
                      <w:lang w:val="en-US"/>
                    </w:rPr>
                  </w:pPr>
                  <w:r>
                    <w:rPr>
                      <w:rFonts w:hint="eastAsia"/>
                      <w:color w:val="auto"/>
                      <w:lang w:val="en-US" w:eastAsia="zh-CN"/>
                    </w:rPr>
                    <w:t>5辆10m</w:t>
                  </w:r>
                  <w:r>
                    <w:rPr>
                      <w:rFonts w:hint="eastAsia"/>
                      <w:color w:val="auto"/>
                      <w:vertAlign w:val="superscript"/>
                      <w:lang w:val="en-US" w:eastAsia="zh-CN"/>
                    </w:rPr>
                    <w:t>3</w:t>
                  </w:r>
                  <w:r>
                    <w:rPr>
                      <w:rFonts w:hint="eastAsia"/>
                      <w:color w:val="auto"/>
                      <w:lang w:val="en-US" w:eastAsia="zh-CN"/>
                    </w:rPr>
                    <w:t>，10辆12m</w:t>
                  </w:r>
                  <w:r>
                    <w:rPr>
                      <w:rFonts w:hint="eastAsia"/>
                      <w:color w:val="auto"/>
                      <w:vertAlign w:val="superscript"/>
                      <w:lang w:val="en-US" w:eastAsia="zh-CN"/>
                    </w:rPr>
                    <w:t>3</w:t>
                  </w:r>
                  <w:r>
                    <w:rPr>
                      <w:rFonts w:hint="eastAsia"/>
                      <w:color w:val="auto"/>
                      <w:vertAlign w:val="baseli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09" w:hRule="atLeast"/>
                <w:jc w:val="center"/>
              </w:trPr>
              <w:tc>
                <w:tcPr>
                  <w:tcW w:w="254" w:type="pct"/>
                  <w:noWrap w:val="0"/>
                  <w:vAlign w:val="center"/>
                </w:tcPr>
                <w:p>
                  <w:pPr>
                    <w:spacing w:line="300" w:lineRule="exact"/>
                    <w:ind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eastAsia" w:ascii="Times New Roman" w:hAnsi="Times New Roman" w:cs="Times New Roman"/>
                      <w:b/>
                      <w:color w:val="auto"/>
                      <w:kern w:val="0"/>
                      <w:sz w:val="21"/>
                      <w:szCs w:val="21"/>
                      <w:highlight w:val="none"/>
                      <w:lang w:val="en-US" w:eastAsia="zh-CN"/>
                    </w:rPr>
                    <w:t>14</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color w:val="auto"/>
                      <w:sz w:val="21"/>
                      <w:szCs w:val="21"/>
                      <w:lang w:val="en-US" w:eastAsia="zh-CN"/>
                    </w:rPr>
                    <w:t>混凝土输送泵（车）</w:t>
                  </w:r>
                </w:p>
              </w:tc>
              <w:tc>
                <w:tcPr>
                  <w:tcW w:w="920" w:type="pct"/>
                  <w:noWrap w:val="0"/>
                  <w:vAlign w:val="center"/>
                </w:tcPr>
                <w:p>
                  <w:pPr>
                    <w:spacing w:line="300" w:lineRule="exact"/>
                    <w:ind w:left="0" w:leftChars="0" w:firstLine="0" w:firstLineChars="0"/>
                    <w:jc w:val="center"/>
                    <w:rPr>
                      <w:rFonts w:hint="eastAsia" w:ascii="Times New Roman" w:hAnsi="Times New Roman" w:cs="Times New Roman"/>
                      <w:b/>
                      <w:color w:val="auto"/>
                      <w:kern w:val="0"/>
                      <w:sz w:val="21"/>
                      <w:szCs w:val="21"/>
                      <w:highlight w:val="none"/>
                      <w:lang w:val="en-US" w:eastAsia="zh-CN"/>
                    </w:rPr>
                  </w:pP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kern w:val="0"/>
                      <w:sz w:val="21"/>
                      <w:szCs w:val="21"/>
                      <w:highlight w:val="none"/>
                      <w:lang w:eastAsia="zh-CN"/>
                    </w:rPr>
                  </w:pPr>
                  <w:r>
                    <w:rPr>
                      <w:rFonts w:hint="default" w:ascii="Times New Roman" w:hAnsi="Times New Roman" w:cs="Times New Roman"/>
                      <w:color w:val="auto"/>
                      <w:sz w:val="21"/>
                      <w:szCs w:val="21"/>
                      <w:lang w:val="en-US" w:eastAsia="zh-CN"/>
                    </w:rPr>
                    <w:t>台</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 w:val="0"/>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4</w:t>
                  </w:r>
                </w:p>
              </w:tc>
              <w:tc>
                <w:tcPr>
                  <w:tcW w:w="1155" w:type="pct"/>
                  <w:noWrap w:val="0"/>
                  <w:vAlign w:val="center"/>
                </w:tcPr>
                <w:p>
                  <w:pPr>
                    <w:spacing w:line="240" w:lineRule="auto"/>
                    <w:ind w:left="0" w:leftChars="0" w:firstLine="0" w:firstLineChars="0"/>
                    <w:jc w:val="center"/>
                    <w:rPr>
                      <w:rFonts w:hint="eastAsia" w:ascii="Times New Roman" w:hAnsi="Times New Roman" w:eastAsia="宋体" w:cs="Times New Roman"/>
                      <w:b w:val="0"/>
                      <w:color w:val="auto"/>
                      <w:kern w:val="2"/>
                      <w:sz w:val="21"/>
                      <w:szCs w:val="21"/>
                      <w:highlight w:val="none"/>
                    </w:rPr>
                  </w:pPr>
                  <w:r>
                    <w:rPr>
                      <w:rFonts w:hint="eastAsia" w:ascii="Times New Roman" w:hAnsi="Times New Roman" w:eastAsia="宋体" w:cs="Times New Roman"/>
                      <w:color w:val="auto"/>
                      <w:szCs w:val="21"/>
                      <w:highlight w:val="none"/>
                      <w:vertAlign w:val="baseli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09" w:hRule="atLeast"/>
                <w:jc w:val="center"/>
              </w:trPr>
              <w:tc>
                <w:tcPr>
                  <w:tcW w:w="254" w:type="pct"/>
                  <w:noWrap w:val="0"/>
                  <w:vAlign w:val="center"/>
                </w:tcPr>
                <w:p>
                  <w:pPr>
                    <w:spacing w:line="300" w:lineRule="exact"/>
                    <w:ind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eastAsia" w:ascii="Times New Roman" w:hAnsi="Times New Roman" w:cs="Times New Roman"/>
                      <w:b/>
                      <w:color w:val="auto"/>
                      <w:kern w:val="0"/>
                      <w:sz w:val="21"/>
                      <w:szCs w:val="21"/>
                      <w:highlight w:val="none"/>
                      <w:lang w:val="en-US" w:eastAsia="zh-CN"/>
                    </w:rPr>
                    <w:t>15</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压滤机</w:t>
                  </w:r>
                </w:p>
              </w:tc>
              <w:tc>
                <w:tcPr>
                  <w:tcW w:w="920" w:type="pct"/>
                  <w:noWrap w:val="0"/>
                  <w:vAlign w:val="center"/>
                </w:tcPr>
                <w:p>
                  <w:pPr>
                    <w:spacing w:line="240" w:lineRule="auto"/>
                    <w:ind w:left="0" w:leftChars="0" w:firstLine="0" w:firstLineChars="0"/>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Cs/>
                      <w:color w:val="auto"/>
                      <w:spacing w:val="0"/>
                      <w:w w:val="100"/>
                      <w:kern w:val="0"/>
                      <w:position w:val="0"/>
                      <w:szCs w:val="21"/>
                      <w:highlight w:val="none"/>
                      <w:lang w:val="en-US" w:eastAsia="zh-CN" w:bidi="en-US"/>
                    </w:rPr>
                    <w:t>XMZF60/870-30U</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1</w:t>
                  </w:r>
                </w:p>
              </w:tc>
              <w:tc>
                <w:tcPr>
                  <w:tcW w:w="1155" w:type="pct"/>
                  <w:noWrap w:val="0"/>
                  <w:vAlign w:val="center"/>
                </w:tcPr>
                <w:p>
                  <w:pPr>
                    <w:spacing w:line="240" w:lineRule="auto"/>
                    <w:ind w:left="0" w:leftChars="0" w:firstLine="0" w:firstLineChars="0"/>
                    <w:jc w:val="center"/>
                    <w:rPr>
                      <w:rFonts w:hint="eastAsia" w:ascii="Times New Roman" w:hAnsi="Times New Roman" w:eastAsia="宋体" w:cs="Times New Roman"/>
                      <w:color w:val="auto"/>
                      <w:szCs w:val="21"/>
                      <w:highlight w:val="none"/>
                      <w:vertAlign w:val="baseline"/>
                      <w:lang w:val="en-US" w:eastAsia="zh-CN"/>
                    </w:rPr>
                  </w:pPr>
                  <w:r>
                    <w:rPr>
                      <w:rFonts w:hint="eastAsia" w:ascii="Times New Roman" w:hAnsi="Times New Roman" w:eastAsia="宋体" w:cs="Times New Roman"/>
                      <w:color w:val="auto"/>
                      <w:szCs w:val="21"/>
                      <w:highlight w:val="none"/>
                      <w:vertAlign w:val="baseli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09" w:hRule="atLeast"/>
                <w:jc w:val="center"/>
              </w:trPr>
              <w:tc>
                <w:tcPr>
                  <w:tcW w:w="254" w:type="pct"/>
                  <w:noWrap w:val="0"/>
                  <w:vAlign w:val="center"/>
                </w:tcPr>
                <w:p>
                  <w:pPr>
                    <w:spacing w:line="300" w:lineRule="exact"/>
                    <w:ind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eastAsia" w:ascii="Times New Roman" w:hAnsi="Times New Roman" w:cs="Times New Roman"/>
                      <w:b/>
                      <w:color w:val="auto"/>
                      <w:kern w:val="0"/>
                      <w:sz w:val="21"/>
                      <w:szCs w:val="21"/>
                      <w:highlight w:val="none"/>
                      <w:lang w:val="en-US" w:eastAsia="zh-CN"/>
                    </w:rPr>
                    <w:t>16</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脉冲式布袋除尘器</w:t>
                  </w:r>
                </w:p>
              </w:tc>
              <w:tc>
                <w:tcPr>
                  <w:tcW w:w="920"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spacing w:val="0"/>
                      <w:w w:val="100"/>
                      <w:kern w:val="0"/>
                      <w:position w:val="0"/>
                      <w:szCs w:val="21"/>
                      <w:highlight w:val="none"/>
                      <w:lang w:val="en-US" w:eastAsia="zh-CN" w:bidi="en-US"/>
                    </w:rPr>
                  </w:pP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台</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6</w:t>
                  </w:r>
                </w:p>
              </w:tc>
              <w:tc>
                <w:tcPr>
                  <w:tcW w:w="1155" w:type="pct"/>
                  <w:noWrap w:val="0"/>
                  <w:vAlign w:val="center"/>
                </w:tcPr>
                <w:p>
                  <w:pPr>
                    <w:spacing w:line="240" w:lineRule="auto"/>
                    <w:ind w:left="0" w:leftChars="0" w:firstLine="0" w:firstLineChars="0"/>
                    <w:jc w:val="center"/>
                    <w:rPr>
                      <w:rFonts w:hint="eastAsia" w:ascii="Times New Roman" w:hAnsi="Times New Roman" w:eastAsia="宋体" w:cs="Times New Roman"/>
                      <w:color w:val="auto"/>
                      <w:szCs w:val="21"/>
                      <w:highlight w:val="none"/>
                      <w:vertAlign w:val="baseline"/>
                      <w:lang w:val="en-US" w:eastAsia="zh-CN"/>
                    </w:rPr>
                  </w:pPr>
                  <w:r>
                    <w:rPr>
                      <w:rFonts w:hint="eastAsia" w:cs="Times New Roman"/>
                      <w:color w:val="auto"/>
                      <w:sz w:val="21"/>
                      <w:szCs w:val="21"/>
                      <w:highlight w:val="none"/>
                      <w:lang w:val="en-US" w:eastAsia="zh-CN"/>
                    </w:rPr>
                    <w:t>新建2台，4台依托原有</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09" w:hRule="atLeast"/>
                <w:jc w:val="center"/>
              </w:trPr>
              <w:tc>
                <w:tcPr>
                  <w:tcW w:w="254" w:type="pct"/>
                  <w:noWrap w:val="0"/>
                  <w:vAlign w:val="center"/>
                </w:tcPr>
                <w:p>
                  <w:pPr>
                    <w:spacing w:line="300" w:lineRule="exact"/>
                    <w:ind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eastAsia" w:ascii="Times New Roman" w:hAnsi="Times New Roman" w:cs="Times New Roman"/>
                      <w:b/>
                      <w:color w:val="auto"/>
                      <w:kern w:val="0"/>
                      <w:sz w:val="21"/>
                      <w:szCs w:val="21"/>
                      <w:highlight w:val="none"/>
                      <w:lang w:val="en-US" w:eastAsia="zh-CN"/>
                    </w:rPr>
                    <w:t>17</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zh-TW" w:eastAsia="zh-TW"/>
                    </w:rPr>
                    <w:t>砂石分离机</w:t>
                  </w:r>
                </w:p>
              </w:tc>
              <w:tc>
                <w:tcPr>
                  <w:tcW w:w="920"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spacing w:val="0"/>
                      <w:w w:val="100"/>
                      <w:kern w:val="0"/>
                      <w:position w:val="0"/>
                      <w:szCs w:val="21"/>
                      <w:highlight w:val="none"/>
                      <w:lang w:val="en-US" w:eastAsia="zh-CN" w:bidi="en-US"/>
                    </w:rPr>
                  </w:pPr>
                  <w:r>
                    <w:rPr>
                      <w:rFonts w:hint="eastAsia" w:ascii="Times New Roman" w:hAnsi="Times New Roman" w:eastAsia="宋体" w:cs="Times New Roman"/>
                      <w:bCs/>
                      <w:color w:val="auto"/>
                      <w:kern w:val="0"/>
                      <w:sz w:val="21"/>
                      <w:szCs w:val="21"/>
                      <w:highlight w:val="none"/>
                      <w:lang w:val="en-US" w:eastAsia="zh-CN"/>
                    </w:rPr>
                    <w:t>JSF系列</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台</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1</w:t>
                  </w:r>
                </w:p>
              </w:tc>
              <w:tc>
                <w:tcPr>
                  <w:tcW w:w="1155" w:type="pct"/>
                  <w:noWrap w:val="0"/>
                  <w:vAlign w:val="center"/>
                </w:tcPr>
                <w:p>
                  <w:pPr>
                    <w:spacing w:line="240" w:lineRule="auto"/>
                    <w:ind w:left="0" w:leftChars="0" w:firstLine="0" w:firstLineChars="0"/>
                    <w:jc w:val="center"/>
                    <w:rPr>
                      <w:rFonts w:hint="eastAsia"/>
                      <w:color w:val="auto"/>
                      <w:vertAlign w:val="baseline"/>
                      <w:lang w:val="en-US" w:eastAsia="zh-CN"/>
                    </w:rPr>
                  </w:pPr>
                  <w:r>
                    <w:rPr>
                      <w:rFonts w:hint="eastAsia" w:ascii="Times New Roman" w:hAnsi="Times New Roman" w:eastAsia="宋体" w:cs="Times New Roman"/>
                      <w:color w:val="auto"/>
                      <w:szCs w:val="21"/>
                      <w:highlight w:val="none"/>
                      <w:vertAlign w:val="baseline"/>
                      <w:lang w:val="en-US" w:eastAsia="zh-CN"/>
                    </w:rPr>
                    <w:t>依托原有</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09" w:hRule="atLeast"/>
                <w:jc w:val="center"/>
              </w:trPr>
              <w:tc>
                <w:tcPr>
                  <w:tcW w:w="254" w:type="pct"/>
                  <w:noWrap w:val="0"/>
                  <w:vAlign w:val="center"/>
                </w:tcPr>
                <w:p>
                  <w:pPr>
                    <w:spacing w:line="300" w:lineRule="exact"/>
                    <w:ind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eastAsia" w:ascii="Times New Roman" w:hAnsi="Times New Roman" w:cs="Times New Roman"/>
                      <w:b/>
                      <w:color w:val="auto"/>
                      <w:kern w:val="0"/>
                      <w:sz w:val="21"/>
                      <w:szCs w:val="21"/>
                      <w:highlight w:val="none"/>
                      <w:lang w:val="en-US" w:eastAsia="zh-CN"/>
                    </w:rPr>
                    <w:t>18</w:t>
                  </w:r>
                </w:p>
              </w:tc>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污水泵</w:t>
                  </w:r>
                </w:p>
              </w:tc>
              <w:tc>
                <w:tcPr>
                  <w:tcW w:w="920"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spacing w:val="0"/>
                      <w:w w:val="100"/>
                      <w:kern w:val="0"/>
                      <w:position w:val="0"/>
                      <w:szCs w:val="21"/>
                      <w:highlight w:val="none"/>
                      <w:lang w:val="en-US" w:eastAsia="zh-CN" w:bidi="en-US"/>
                    </w:rPr>
                  </w:pPr>
                  <w:r>
                    <w:rPr>
                      <w:rFonts w:hint="eastAsia" w:ascii="Times New Roman" w:hAnsi="Times New Roman" w:eastAsia="宋体" w:cs="Times New Roman"/>
                      <w:bCs/>
                      <w:color w:val="auto"/>
                      <w:kern w:val="0"/>
                      <w:sz w:val="21"/>
                      <w:szCs w:val="21"/>
                      <w:highlight w:val="none"/>
                      <w:lang w:val="en-US" w:eastAsia="zh-CN"/>
                    </w:rPr>
                    <w:t>100WQ65-18-5.5</w:t>
                  </w:r>
                </w:p>
              </w:tc>
              <w:tc>
                <w:tcPr>
                  <w:tcW w:w="8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台</w:t>
                  </w:r>
                </w:p>
              </w:tc>
              <w:tc>
                <w:tcPr>
                  <w:tcW w:w="737" w:type="pct"/>
                  <w:noWrap w:val="0"/>
                  <w:vAlign w:val="center"/>
                </w:tcPr>
                <w:p>
                  <w:pPr>
                    <w:spacing w:line="240" w:lineRule="auto"/>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1</w:t>
                  </w:r>
                </w:p>
              </w:tc>
              <w:tc>
                <w:tcPr>
                  <w:tcW w:w="1155" w:type="pct"/>
                  <w:noWrap w:val="0"/>
                  <w:vAlign w:val="center"/>
                </w:tcPr>
                <w:p>
                  <w:pPr>
                    <w:spacing w:line="240" w:lineRule="auto"/>
                    <w:ind w:left="0" w:leftChars="0" w:firstLine="0" w:firstLineChars="0"/>
                    <w:jc w:val="center"/>
                    <w:rPr>
                      <w:rFonts w:hint="eastAsia"/>
                      <w:color w:val="auto"/>
                      <w:vertAlign w:val="baseline"/>
                      <w:lang w:val="en-US" w:eastAsia="zh-CN"/>
                    </w:rPr>
                  </w:pPr>
                  <w:r>
                    <w:rPr>
                      <w:rFonts w:hint="eastAsia" w:ascii="Times New Roman" w:hAnsi="Times New Roman" w:eastAsia="宋体" w:cs="Times New Roman"/>
                      <w:color w:val="auto"/>
                      <w:szCs w:val="21"/>
                      <w:highlight w:val="none"/>
                      <w:vertAlign w:val="baseline"/>
                      <w:lang w:val="en-US" w:eastAsia="zh-CN"/>
                    </w:rPr>
                    <w:t>依托原有</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4、产品方案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本项目产品为</w:t>
            </w:r>
            <w:r>
              <w:rPr>
                <w:rFonts w:hint="eastAsia" w:cs="Times New Roman"/>
                <w:color w:val="auto"/>
                <w:sz w:val="24"/>
                <w:szCs w:val="24"/>
                <w:highlight w:val="none"/>
                <w:lang w:val="en-US" w:eastAsia="zh-CN"/>
              </w:rPr>
              <w:t>商品混凝土</w:t>
            </w:r>
            <w:r>
              <w:rPr>
                <w:rFonts w:hint="eastAsia" w:ascii="Times New Roman" w:hAnsi="Times New Roman" w:eastAsia="宋体" w:cs="Times New Roman"/>
                <w:color w:val="auto"/>
                <w:sz w:val="24"/>
                <w:szCs w:val="24"/>
                <w:highlight w:val="none"/>
                <w:lang w:val="en-US" w:eastAsia="zh-CN"/>
              </w:rPr>
              <w:t>。</w:t>
            </w:r>
          </w:p>
          <w:p>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宋体"/>
                <w:b/>
                <w:color w:val="auto"/>
                <w:kern w:val="2"/>
                <w:sz w:val="21"/>
                <w:szCs w:val="21"/>
                <w:highlight w:val="none"/>
                <w:lang w:val="en-US" w:eastAsia="zh-CN" w:bidi="ar"/>
              </w:rPr>
              <w:t>表2-</w:t>
            </w:r>
            <w:r>
              <w:rPr>
                <w:rFonts w:hint="eastAsia" w:ascii="Times New Roman" w:hAnsi="Times New Roman" w:eastAsia="宋体" w:cs="宋体"/>
                <w:b/>
                <w:color w:val="auto"/>
                <w:kern w:val="2"/>
                <w:sz w:val="21"/>
                <w:szCs w:val="21"/>
                <w:highlight w:val="none"/>
                <w:lang w:val="en-US" w:eastAsia="zh-CN" w:bidi="ar"/>
              </w:rPr>
              <w:t>3</w:t>
            </w:r>
            <w:r>
              <w:rPr>
                <w:rFonts w:hint="default" w:ascii="Times New Roman" w:hAnsi="Times New Roman" w:eastAsia="宋体" w:cs="宋体"/>
                <w:b/>
                <w:color w:val="auto"/>
                <w:kern w:val="2"/>
                <w:sz w:val="21"/>
                <w:szCs w:val="21"/>
                <w:highlight w:val="none"/>
                <w:lang w:val="en-US" w:eastAsia="zh-CN" w:bidi="ar"/>
              </w:rPr>
              <w:t xml:space="preserve">  </w:t>
            </w:r>
            <w:r>
              <w:rPr>
                <w:rFonts w:hint="eastAsia" w:ascii="Times New Roman" w:hAnsi="Times New Roman" w:eastAsia="宋体" w:cs="宋体"/>
                <w:b/>
                <w:color w:val="auto"/>
                <w:kern w:val="2"/>
                <w:sz w:val="21"/>
                <w:szCs w:val="21"/>
                <w:highlight w:val="none"/>
                <w:lang w:val="en-US" w:eastAsia="zh-CN" w:bidi="ar"/>
              </w:rPr>
              <w:t>产品方案一览表</w:t>
            </w:r>
          </w:p>
          <w:tbl>
            <w:tblPr>
              <w:tblStyle w:val="29"/>
              <w:tblW w:w="4997"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74"/>
              <w:gridCol w:w="1742"/>
              <w:gridCol w:w="1441"/>
              <w:gridCol w:w="1441"/>
              <w:gridCol w:w="1442"/>
              <w:gridCol w:w="1442"/>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521" w:type="pct"/>
                  <w:tcBorders>
                    <w:top w:val="single" w:color="auto" w:sz="12" w:space="0"/>
                  </w:tcBorders>
                  <w:noWrap w:val="0"/>
                  <w:vAlign w:val="center"/>
                </w:tcPr>
                <w:p>
                  <w:pPr>
                    <w:spacing w:line="30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rPr>
                    <w:t>序号</w:t>
                  </w:r>
                </w:p>
              </w:tc>
              <w:tc>
                <w:tcPr>
                  <w:tcW w:w="1038" w:type="pct"/>
                  <w:tcBorders>
                    <w:top w:val="single" w:color="auto" w:sz="12" w:space="0"/>
                  </w:tcBorders>
                  <w:noWrap w:val="0"/>
                  <w:vAlign w:val="center"/>
                </w:tcPr>
                <w:p>
                  <w:pPr>
                    <w:spacing w:line="300" w:lineRule="exact"/>
                    <w:ind w:firstLine="422"/>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rPr>
                    <w:t>产品名称</w:t>
                  </w:r>
                </w:p>
              </w:tc>
              <w:tc>
                <w:tcPr>
                  <w:tcW w:w="1443" w:type="dxa"/>
                  <w:tcBorders>
                    <w:top w:val="single" w:color="auto" w:sz="12" w:space="0"/>
                  </w:tcBorders>
                  <w:noWrap w:val="0"/>
                  <w:vAlign w:val="center"/>
                </w:tcPr>
                <w:p>
                  <w:pPr>
                    <w:spacing w:before="24" w:after="24"/>
                    <w:jc w:val="center"/>
                    <w:rPr>
                      <w:rFonts w:hint="eastAsia" w:cs="Times New Roman"/>
                      <w:b/>
                      <w:color w:val="auto"/>
                      <w:kern w:val="0"/>
                      <w:sz w:val="21"/>
                      <w:szCs w:val="21"/>
                      <w:highlight w:val="none"/>
                      <w:lang w:val="en-US" w:eastAsia="zh-CN"/>
                    </w:rPr>
                  </w:pPr>
                  <w:r>
                    <w:rPr>
                      <w:rFonts w:hint="eastAsia"/>
                      <w:b/>
                      <w:bCs/>
                      <w:color w:val="auto"/>
                      <w:szCs w:val="21"/>
                      <w:highlight w:val="none"/>
                    </w:rPr>
                    <w:t>原项目产量</w:t>
                  </w:r>
                </w:p>
              </w:tc>
              <w:tc>
                <w:tcPr>
                  <w:tcW w:w="1443" w:type="dxa"/>
                  <w:tcBorders>
                    <w:top w:val="single" w:color="auto" w:sz="12" w:space="0"/>
                  </w:tcBorders>
                  <w:noWrap w:val="0"/>
                  <w:vAlign w:val="center"/>
                </w:tcPr>
                <w:p>
                  <w:pPr>
                    <w:spacing w:before="24" w:after="24"/>
                    <w:jc w:val="center"/>
                    <w:rPr>
                      <w:rFonts w:hint="eastAsia" w:cs="Times New Roman"/>
                      <w:b/>
                      <w:color w:val="auto"/>
                      <w:kern w:val="0"/>
                      <w:sz w:val="21"/>
                      <w:szCs w:val="21"/>
                      <w:highlight w:val="none"/>
                      <w:lang w:val="en-US" w:eastAsia="zh-CN"/>
                    </w:rPr>
                  </w:pPr>
                  <w:r>
                    <w:rPr>
                      <w:rFonts w:hint="eastAsia"/>
                      <w:b/>
                      <w:bCs/>
                      <w:color w:val="auto"/>
                      <w:szCs w:val="21"/>
                      <w:highlight w:val="none"/>
                    </w:rPr>
                    <w:t>扩建增加产量</w:t>
                  </w:r>
                </w:p>
              </w:tc>
              <w:tc>
                <w:tcPr>
                  <w:tcW w:w="1443" w:type="dxa"/>
                  <w:tcBorders>
                    <w:top w:val="single" w:color="auto" w:sz="12" w:space="0"/>
                  </w:tcBorders>
                  <w:noWrap w:val="0"/>
                  <w:vAlign w:val="center"/>
                </w:tcPr>
                <w:p>
                  <w:pPr>
                    <w:spacing w:before="24" w:after="24"/>
                    <w:jc w:val="center"/>
                    <w:rPr>
                      <w:rFonts w:hint="eastAsia" w:ascii="Times New Roman" w:hAnsi="Times New Roman" w:eastAsia="宋体" w:cs="Times New Roman"/>
                      <w:b/>
                      <w:color w:val="auto"/>
                      <w:kern w:val="2"/>
                      <w:sz w:val="21"/>
                      <w:szCs w:val="21"/>
                      <w:highlight w:val="none"/>
                      <w:lang w:val="en-US" w:eastAsia="zh-CN" w:bidi="ar-SA"/>
                    </w:rPr>
                  </w:pPr>
                  <w:r>
                    <w:rPr>
                      <w:rFonts w:hint="eastAsia"/>
                      <w:b/>
                      <w:bCs/>
                      <w:color w:val="auto"/>
                      <w:szCs w:val="21"/>
                      <w:highlight w:val="none"/>
                    </w:rPr>
                    <w:t>扩建后总产量</w:t>
                  </w:r>
                </w:p>
              </w:tc>
              <w:tc>
                <w:tcPr>
                  <w:tcW w:w="859" w:type="pct"/>
                  <w:tcBorders>
                    <w:top w:val="single" w:color="auto" w:sz="12" w:space="0"/>
                  </w:tcBorders>
                  <w:noWrap w:val="0"/>
                  <w:vAlign w:val="center"/>
                </w:tcPr>
                <w:p>
                  <w:pPr>
                    <w:spacing w:line="300" w:lineRule="exact"/>
                    <w:ind w:left="0" w:leftChars="0" w:firstLine="0" w:firstLineChars="0"/>
                    <w:jc w:val="center"/>
                    <w:rPr>
                      <w:rFonts w:hint="eastAsia"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rPr>
                    <w:t>合格率</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521" w:type="pct"/>
                  <w:noWrap w:val="0"/>
                  <w:vAlign w:val="center"/>
                </w:tcPr>
                <w:p>
                  <w:pPr>
                    <w:spacing w:line="30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0"/>
                      <w:sz w:val="21"/>
                      <w:szCs w:val="21"/>
                      <w:highlight w:val="none"/>
                    </w:rPr>
                    <w:t>1</w:t>
                  </w:r>
                </w:p>
              </w:tc>
              <w:tc>
                <w:tcPr>
                  <w:tcW w:w="1038" w:type="pct"/>
                  <w:noWrap w:val="0"/>
                  <w:vAlign w:val="center"/>
                </w:tcPr>
                <w:p>
                  <w:pPr>
                    <w:spacing w:line="300" w:lineRule="exact"/>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C</w:t>
                  </w:r>
                  <w:r>
                    <w:rPr>
                      <w:rFonts w:hint="eastAsia" w:cs="Times New Roman"/>
                      <w:bCs/>
                      <w:color w:val="auto"/>
                      <w:kern w:val="0"/>
                      <w:sz w:val="21"/>
                      <w:szCs w:val="21"/>
                      <w:highlight w:val="none"/>
                      <w:lang w:val="en-US" w:eastAsia="zh-CN"/>
                    </w:rPr>
                    <w:t>1</w:t>
                  </w:r>
                  <w:r>
                    <w:rPr>
                      <w:rFonts w:hint="default" w:ascii="Times New Roman" w:hAnsi="Times New Roman" w:cs="Times New Roman"/>
                      <w:bCs/>
                      <w:color w:val="auto"/>
                      <w:kern w:val="0"/>
                      <w:sz w:val="21"/>
                      <w:szCs w:val="21"/>
                      <w:highlight w:val="none"/>
                      <w:lang w:val="en-US" w:eastAsia="zh-CN"/>
                    </w:rPr>
                    <w:t>5-C</w:t>
                  </w:r>
                  <w:r>
                    <w:rPr>
                      <w:rFonts w:hint="eastAsia" w:cs="Times New Roman"/>
                      <w:bCs/>
                      <w:color w:val="auto"/>
                      <w:kern w:val="0"/>
                      <w:sz w:val="21"/>
                      <w:szCs w:val="21"/>
                      <w:highlight w:val="none"/>
                      <w:lang w:val="en-US" w:eastAsia="zh-CN"/>
                    </w:rPr>
                    <w:t>60</w:t>
                  </w:r>
                </w:p>
              </w:tc>
              <w:tc>
                <w:tcPr>
                  <w:tcW w:w="859" w:type="pct"/>
                  <w:noWrap w:val="0"/>
                  <w:vAlign w:val="center"/>
                </w:tcPr>
                <w:p>
                  <w:pPr>
                    <w:spacing w:line="300" w:lineRule="exact"/>
                    <w:ind w:firstLine="0" w:firstLineChars="0"/>
                    <w:jc w:val="center"/>
                    <w:rPr>
                      <w:rFonts w:hint="eastAsia"/>
                      <w:color w:val="auto"/>
                      <w:szCs w:val="21"/>
                      <w:highlight w:val="none"/>
                    </w:rPr>
                  </w:pPr>
                  <w:r>
                    <w:rPr>
                      <w:rFonts w:hint="eastAsia"/>
                      <w:color w:val="auto"/>
                      <w:szCs w:val="21"/>
                      <w:highlight w:val="none"/>
                      <w:lang w:val="en-US" w:eastAsia="zh-CN"/>
                    </w:rPr>
                    <w:t>15</w:t>
                  </w:r>
                  <w:r>
                    <w:rPr>
                      <w:rFonts w:hint="eastAsia"/>
                      <w:color w:val="auto"/>
                      <w:szCs w:val="21"/>
                      <w:highlight w:val="none"/>
                    </w:rPr>
                    <w:t>万m</w:t>
                  </w:r>
                  <w:r>
                    <w:rPr>
                      <w:color w:val="auto"/>
                      <w:szCs w:val="21"/>
                      <w:highlight w:val="none"/>
                      <w:vertAlign w:val="superscript"/>
                    </w:rPr>
                    <w:t>3</w:t>
                  </w:r>
                  <w:r>
                    <w:rPr>
                      <w:rFonts w:hint="eastAsia"/>
                      <w:color w:val="auto"/>
                      <w:szCs w:val="21"/>
                      <w:highlight w:val="none"/>
                    </w:rPr>
                    <w:t>/a</w:t>
                  </w:r>
                </w:p>
                <w:p>
                  <w:pPr>
                    <w:spacing w:line="300" w:lineRule="exact"/>
                    <w:ind w:firstLine="0" w:firstLineChars="0"/>
                    <w:jc w:val="center"/>
                    <w:rPr>
                      <w:rFonts w:hint="eastAsia" w:ascii="Times New Roman" w:hAnsi="Times New Roman" w:cs="Times New Roman"/>
                      <w:bCs/>
                      <w:color w:val="auto"/>
                      <w:kern w:val="0"/>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（约</w:t>
                  </w:r>
                  <w:r>
                    <w:rPr>
                      <w:rFonts w:hint="eastAsia" w:cs="Times New Roman"/>
                      <w:bCs/>
                      <w:color w:val="auto"/>
                      <w:kern w:val="0"/>
                      <w:sz w:val="21"/>
                      <w:szCs w:val="21"/>
                      <w:highlight w:val="none"/>
                      <w:lang w:val="en-US" w:eastAsia="zh-CN"/>
                    </w:rPr>
                    <w:t>3</w:t>
                  </w:r>
                  <w:r>
                    <w:rPr>
                      <w:rFonts w:hint="eastAsia" w:ascii="Times New Roman" w:hAnsi="Times New Roman" w:cs="Times New Roman"/>
                      <w:bCs/>
                      <w:color w:val="auto"/>
                      <w:kern w:val="0"/>
                      <w:sz w:val="21"/>
                      <w:szCs w:val="21"/>
                      <w:highlight w:val="none"/>
                      <w:lang w:val="en-US" w:eastAsia="zh-CN"/>
                    </w:rPr>
                    <w:t>6万吨）</w:t>
                  </w:r>
                </w:p>
              </w:tc>
              <w:tc>
                <w:tcPr>
                  <w:tcW w:w="859" w:type="pct"/>
                  <w:noWrap w:val="0"/>
                  <w:vAlign w:val="center"/>
                </w:tcPr>
                <w:p>
                  <w:pPr>
                    <w:spacing w:line="300" w:lineRule="exact"/>
                    <w:ind w:firstLine="0" w:firstLineChars="0"/>
                    <w:jc w:val="center"/>
                    <w:rPr>
                      <w:rFonts w:hint="eastAsia"/>
                      <w:color w:val="auto"/>
                      <w:szCs w:val="21"/>
                      <w:highlight w:val="none"/>
                    </w:rPr>
                  </w:pPr>
                  <w:r>
                    <w:rPr>
                      <w:rFonts w:hint="eastAsia"/>
                      <w:color w:val="auto"/>
                      <w:szCs w:val="21"/>
                      <w:highlight w:val="none"/>
                      <w:lang w:val="en-US" w:eastAsia="zh-CN"/>
                    </w:rPr>
                    <w:t>25</w:t>
                  </w:r>
                  <w:r>
                    <w:rPr>
                      <w:rFonts w:hint="eastAsia"/>
                      <w:color w:val="auto"/>
                      <w:szCs w:val="21"/>
                      <w:highlight w:val="none"/>
                    </w:rPr>
                    <w:t>万m</w:t>
                  </w:r>
                  <w:r>
                    <w:rPr>
                      <w:color w:val="auto"/>
                      <w:szCs w:val="21"/>
                      <w:highlight w:val="none"/>
                      <w:vertAlign w:val="superscript"/>
                    </w:rPr>
                    <w:t>3</w:t>
                  </w:r>
                  <w:r>
                    <w:rPr>
                      <w:rFonts w:hint="eastAsia"/>
                      <w:color w:val="auto"/>
                      <w:szCs w:val="21"/>
                      <w:highlight w:val="none"/>
                    </w:rPr>
                    <w:t>/a</w:t>
                  </w:r>
                </w:p>
                <w:p>
                  <w:pPr>
                    <w:spacing w:line="300" w:lineRule="exact"/>
                    <w:ind w:firstLine="0" w:firstLineChars="0"/>
                    <w:jc w:val="center"/>
                    <w:rPr>
                      <w:rFonts w:hint="eastAsia" w:ascii="Times New Roman" w:hAnsi="Times New Roman" w:cs="Times New Roman"/>
                      <w:bCs/>
                      <w:color w:val="auto"/>
                      <w:kern w:val="0"/>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（约</w:t>
                  </w:r>
                  <w:r>
                    <w:rPr>
                      <w:rFonts w:hint="eastAsia" w:cs="Times New Roman"/>
                      <w:bCs/>
                      <w:color w:val="auto"/>
                      <w:kern w:val="0"/>
                      <w:sz w:val="21"/>
                      <w:szCs w:val="21"/>
                      <w:highlight w:val="none"/>
                      <w:lang w:val="en-US" w:eastAsia="zh-CN"/>
                    </w:rPr>
                    <w:t>60</w:t>
                  </w:r>
                  <w:r>
                    <w:rPr>
                      <w:rFonts w:hint="eastAsia" w:ascii="Times New Roman" w:hAnsi="Times New Roman" w:cs="Times New Roman"/>
                      <w:bCs/>
                      <w:color w:val="auto"/>
                      <w:kern w:val="0"/>
                      <w:sz w:val="21"/>
                      <w:szCs w:val="21"/>
                      <w:highlight w:val="none"/>
                      <w:lang w:val="en-US" w:eastAsia="zh-CN"/>
                    </w:rPr>
                    <w:t>万吨）</w:t>
                  </w:r>
                </w:p>
              </w:tc>
              <w:tc>
                <w:tcPr>
                  <w:tcW w:w="859" w:type="pct"/>
                  <w:noWrap w:val="0"/>
                  <w:vAlign w:val="center"/>
                </w:tcPr>
                <w:p>
                  <w:pPr>
                    <w:spacing w:line="300" w:lineRule="exact"/>
                    <w:ind w:firstLine="0" w:firstLineChars="0"/>
                    <w:jc w:val="center"/>
                    <w:rPr>
                      <w:rFonts w:hint="eastAsia"/>
                      <w:color w:val="auto"/>
                      <w:szCs w:val="21"/>
                      <w:highlight w:val="none"/>
                    </w:rPr>
                  </w:pPr>
                  <w:r>
                    <w:rPr>
                      <w:rFonts w:hint="eastAsia" w:ascii="Times New Roman" w:hAnsi="Times New Roman" w:cs="Times New Roman"/>
                      <w:bCs/>
                      <w:color w:val="auto"/>
                      <w:kern w:val="0"/>
                      <w:sz w:val="21"/>
                      <w:szCs w:val="21"/>
                      <w:highlight w:val="none"/>
                      <w:lang w:val="en-US" w:eastAsia="zh-CN"/>
                    </w:rPr>
                    <w:t>40</w:t>
                  </w:r>
                  <w:r>
                    <w:rPr>
                      <w:rFonts w:hint="eastAsia"/>
                      <w:color w:val="auto"/>
                      <w:szCs w:val="21"/>
                      <w:highlight w:val="none"/>
                    </w:rPr>
                    <w:t>万m</w:t>
                  </w:r>
                  <w:r>
                    <w:rPr>
                      <w:color w:val="auto"/>
                      <w:szCs w:val="21"/>
                      <w:highlight w:val="none"/>
                      <w:vertAlign w:val="superscript"/>
                    </w:rPr>
                    <w:t>3</w:t>
                  </w:r>
                  <w:r>
                    <w:rPr>
                      <w:rFonts w:hint="eastAsia"/>
                      <w:color w:val="auto"/>
                      <w:szCs w:val="21"/>
                      <w:highlight w:val="none"/>
                    </w:rPr>
                    <w:t>/a</w:t>
                  </w:r>
                </w:p>
                <w:p>
                  <w:pPr>
                    <w:spacing w:line="300" w:lineRule="exact"/>
                    <w:ind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rPr>
                    <w:t>（约96万吨）</w:t>
                  </w:r>
                </w:p>
              </w:tc>
              <w:tc>
                <w:tcPr>
                  <w:tcW w:w="859" w:type="pct"/>
                  <w:noWrap w:val="0"/>
                  <w:vAlign w:val="center"/>
                </w:tcPr>
                <w:p>
                  <w:pPr>
                    <w:spacing w:line="300" w:lineRule="exact"/>
                    <w:ind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rPr>
                    <w:t>100%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、原辅材料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项目原辅材料</w:t>
            </w:r>
            <w:r>
              <w:rPr>
                <w:rFonts w:hint="eastAsia" w:ascii="Times New Roman" w:hAnsi="Times New Roman" w:eastAsia="宋体" w:cs="Times New Roman"/>
                <w:color w:val="auto"/>
                <w:sz w:val="24"/>
                <w:szCs w:val="24"/>
                <w:highlight w:val="none"/>
                <w:lang w:val="en-US" w:eastAsia="zh-CN"/>
              </w:rPr>
              <w:t>及能源</w:t>
            </w:r>
            <w:r>
              <w:rPr>
                <w:rFonts w:hint="default" w:ascii="Times New Roman" w:hAnsi="Times New Roman" w:eastAsia="宋体" w:cs="Times New Roman"/>
                <w:color w:val="auto"/>
                <w:sz w:val="24"/>
                <w:szCs w:val="24"/>
                <w:highlight w:val="none"/>
              </w:rPr>
              <w:t>消耗情况详见表2-</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宋体"/>
                <w:b/>
                <w:color w:val="auto"/>
                <w:kern w:val="2"/>
                <w:sz w:val="21"/>
                <w:szCs w:val="21"/>
                <w:highlight w:val="none"/>
                <w:lang w:val="en-US" w:eastAsia="zh-CN" w:bidi="ar"/>
              </w:rPr>
              <w:t>表2-</w:t>
            </w:r>
            <w:r>
              <w:rPr>
                <w:rFonts w:hint="eastAsia" w:ascii="Times New Roman" w:hAnsi="Times New Roman" w:eastAsia="宋体" w:cs="宋体"/>
                <w:b/>
                <w:color w:val="auto"/>
                <w:kern w:val="2"/>
                <w:sz w:val="21"/>
                <w:szCs w:val="21"/>
                <w:highlight w:val="none"/>
                <w:lang w:val="en-US" w:eastAsia="zh-CN" w:bidi="ar"/>
              </w:rPr>
              <w:t>4</w:t>
            </w:r>
            <w:r>
              <w:rPr>
                <w:rFonts w:hint="default" w:ascii="Times New Roman" w:hAnsi="Times New Roman" w:eastAsia="宋体" w:cs="宋体"/>
                <w:b/>
                <w:color w:val="auto"/>
                <w:kern w:val="2"/>
                <w:sz w:val="21"/>
                <w:szCs w:val="21"/>
                <w:highlight w:val="none"/>
                <w:lang w:val="en-US" w:eastAsia="zh-CN" w:bidi="ar"/>
              </w:rPr>
              <w:t xml:space="preserve">  主要原辅材料及能源消耗一览表</w:t>
            </w:r>
          </w:p>
          <w:tbl>
            <w:tblPr>
              <w:tblStyle w:val="29"/>
              <w:tblW w:w="4997" w:type="pct"/>
              <w:jc w:val="center"/>
              <w:tblBorders>
                <w:top w:val="single" w:color="auto" w:sz="12" w:space="0"/>
                <w:left w:val="single" w:color="auto" w:sz="12" w:space="0"/>
                <w:bottom w:val="single" w:color="auto" w:sz="12" w:space="0"/>
                <w:right w:val="single" w:color="auto" w:sz="12" w:space="0"/>
                <w:insideH w:val="single" w:color="000000" w:sz="4" w:space="0"/>
                <w:insideV w:val="single" w:color="auto" w:sz="4" w:space="0"/>
              </w:tblBorders>
              <w:tblLayout w:type="fixed"/>
              <w:tblCellMar>
                <w:top w:w="0" w:type="dxa"/>
                <w:left w:w="108" w:type="dxa"/>
                <w:bottom w:w="0" w:type="dxa"/>
                <w:right w:w="108" w:type="dxa"/>
              </w:tblCellMar>
            </w:tblPr>
            <w:tblGrid>
              <w:gridCol w:w="532"/>
              <w:gridCol w:w="1005"/>
              <w:gridCol w:w="1310"/>
              <w:gridCol w:w="1223"/>
              <w:gridCol w:w="1225"/>
              <w:gridCol w:w="1332"/>
              <w:gridCol w:w="678"/>
              <w:gridCol w:w="1077"/>
            </w:tblGrid>
            <w:tr>
              <w:tblPrEx>
                <w:tblBorders>
                  <w:top w:val="single" w:color="auto" w:sz="12" w:space="0"/>
                  <w:left w:val="single" w:color="auto" w:sz="12" w:space="0"/>
                  <w:bottom w:val="single" w:color="auto" w:sz="12" w:space="0"/>
                  <w:right w:val="single" w:color="auto" w:sz="12" w:space="0"/>
                  <w:insideH w:val="single" w:color="000000" w:sz="4" w:space="0"/>
                  <w:insideV w:val="single" w:color="auto" w:sz="4" w:space="0"/>
                </w:tblBorders>
                <w:tblCellMar>
                  <w:top w:w="0" w:type="dxa"/>
                  <w:left w:w="108" w:type="dxa"/>
                  <w:bottom w:w="0" w:type="dxa"/>
                  <w:right w:w="108" w:type="dxa"/>
                </w:tblCellMar>
              </w:tblPrEx>
              <w:trPr>
                <w:trHeight w:val="90" w:hRule="atLeast"/>
                <w:jc w:val="center"/>
              </w:trPr>
              <w:tc>
                <w:tcPr>
                  <w:tcW w:w="318" w:type="pct"/>
                  <w:tcBorders>
                    <w:top w:val="single" w:color="auto" w:sz="12" w:space="0"/>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599" w:type="pct"/>
                  <w:tcBorders>
                    <w:top w:val="single" w:color="auto" w:sz="12" w:space="0"/>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原辅材料</w:t>
                  </w:r>
                </w:p>
              </w:tc>
              <w:tc>
                <w:tcPr>
                  <w:tcW w:w="781" w:type="pct"/>
                  <w:tcBorders>
                    <w:top w:val="single" w:color="auto" w:sz="12" w:space="0"/>
                  </w:tcBorders>
                  <w:noWrap w:val="0"/>
                  <w:vAlign w:val="center"/>
                </w:tcPr>
                <w:p>
                  <w:pPr>
                    <w:spacing w:before="24" w:after="24"/>
                    <w:jc w:val="center"/>
                    <w:rPr>
                      <w:rFonts w:hint="default" w:ascii="Times New Roman" w:hAnsi="Times New Roman" w:eastAsia="宋体" w:cs="Times New Roman"/>
                      <w:b/>
                      <w:bCs/>
                      <w:color w:val="auto"/>
                      <w:sz w:val="21"/>
                      <w:szCs w:val="21"/>
                      <w:highlight w:val="none"/>
                      <w:lang w:val="en-US" w:eastAsia="zh-CN"/>
                    </w:rPr>
                  </w:pPr>
                  <w:r>
                    <w:rPr>
                      <w:rFonts w:hint="eastAsia"/>
                      <w:b/>
                      <w:bCs/>
                      <w:color w:val="auto"/>
                      <w:szCs w:val="21"/>
                      <w:highlight w:val="none"/>
                    </w:rPr>
                    <w:t>原项目</w:t>
                  </w:r>
                  <w:r>
                    <w:rPr>
                      <w:rFonts w:hint="eastAsia"/>
                      <w:b/>
                      <w:bCs/>
                      <w:color w:val="auto"/>
                      <w:szCs w:val="21"/>
                      <w:highlight w:val="none"/>
                      <w:lang w:eastAsia="zh-CN"/>
                    </w:rPr>
                    <w:t>用</w:t>
                  </w:r>
                  <w:r>
                    <w:rPr>
                      <w:rFonts w:hint="eastAsia"/>
                      <w:b/>
                      <w:bCs/>
                      <w:color w:val="auto"/>
                      <w:szCs w:val="21"/>
                      <w:highlight w:val="none"/>
                    </w:rPr>
                    <w:t>量</w:t>
                  </w:r>
                </w:p>
              </w:tc>
              <w:tc>
                <w:tcPr>
                  <w:tcW w:w="729" w:type="pct"/>
                  <w:tcBorders>
                    <w:top w:val="single" w:color="auto" w:sz="12" w:space="0"/>
                  </w:tcBorders>
                  <w:noWrap w:val="0"/>
                  <w:vAlign w:val="center"/>
                </w:tcPr>
                <w:p>
                  <w:pPr>
                    <w:spacing w:before="24" w:after="24"/>
                    <w:jc w:val="center"/>
                    <w:rPr>
                      <w:rFonts w:hint="default" w:ascii="Times New Roman" w:hAnsi="Times New Roman" w:eastAsia="宋体" w:cs="Times New Roman"/>
                      <w:b/>
                      <w:bCs/>
                      <w:color w:val="auto"/>
                      <w:sz w:val="21"/>
                      <w:szCs w:val="21"/>
                      <w:highlight w:val="none"/>
                      <w:lang w:val="en-US" w:eastAsia="zh-CN"/>
                    </w:rPr>
                  </w:pPr>
                  <w:r>
                    <w:rPr>
                      <w:rFonts w:hint="eastAsia"/>
                      <w:b/>
                      <w:bCs/>
                      <w:color w:val="auto"/>
                      <w:szCs w:val="21"/>
                      <w:highlight w:val="none"/>
                    </w:rPr>
                    <w:t>扩建增加</w:t>
                  </w:r>
                  <w:r>
                    <w:rPr>
                      <w:rFonts w:hint="eastAsia"/>
                      <w:b/>
                      <w:bCs/>
                      <w:color w:val="auto"/>
                      <w:szCs w:val="21"/>
                      <w:highlight w:val="none"/>
                      <w:lang w:eastAsia="zh-CN"/>
                    </w:rPr>
                    <w:t>用</w:t>
                  </w:r>
                  <w:r>
                    <w:rPr>
                      <w:rFonts w:hint="eastAsia"/>
                      <w:b/>
                      <w:bCs/>
                      <w:color w:val="auto"/>
                      <w:szCs w:val="21"/>
                      <w:highlight w:val="none"/>
                    </w:rPr>
                    <w:t>量</w:t>
                  </w:r>
                </w:p>
              </w:tc>
              <w:tc>
                <w:tcPr>
                  <w:tcW w:w="730" w:type="pct"/>
                  <w:tcBorders>
                    <w:top w:val="single" w:color="auto" w:sz="12" w:space="0"/>
                  </w:tcBorders>
                  <w:noWrap w:val="0"/>
                  <w:vAlign w:val="center"/>
                </w:tcPr>
                <w:p>
                  <w:pPr>
                    <w:spacing w:before="24" w:after="24"/>
                    <w:jc w:val="center"/>
                    <w:rPr>
                      <w:rFonts w:hint="default" w:ascii="Times New Roman" w:hAnsi="Times New Roman" w:eastAsia="宋体" w:cs="Times New Roman"/>
                      <w:b/>
                      <w:bCs/>
                      <w:color w:val="auto"/>
                      <w:sz w:val="21"/>
                      <w:szCs w:val="21"/>
                      <w:highlight w:val="none"/>
                      <w:lang w:eastAsia="zh-CN"/>
                    </w:rPr>
                  </w:pPr>
                  <w:r>
                    <w:rPr>
                      <w:rFonts w:hint="eastAsia"/>
                      <w:b/>
                      <w:bCs/>
                      <w:color w:val="auto"/>
                      <w:szCs w:val="21"/>
                      <w:highlight w:val="none"/>
                    </w:rPr>
                    <w:t>扩建后总</w:t>
                  </w:r>
                  <w:r>
                    <w:rPr>
                      <w:rFonts w:hint="eastAsia"/>
                      <w:b/>
                      <w:bCs/>
                      <w:color w:val="auto"/>
                      <w:szCs w:val="21"/>
                      <w:highlight w:val="none"/>
                      <w:lang w:eastAsia="zh-CN"/>
                    </w:rPr>
                    <w:t>用</w:t>
                  </w:r>
                  <w:r>
                    <w:rPr>
                      <w:rFonts w:hint="eastAsia"/>
                      <w:b/>
                      <w:bCs/>
                      <w:color w:val="auto"/>
                      <w:szCs w:val="21"/>
                      <w:highlight w:val="none"/>
                    </w:rPr>
                    <w:t>量</w:t>
                  </w:r>
                </w:p>
              </w:tc>
              <w:tc>
                <w:tcPr>
                  <w:tcW w:w="794" w:type="pct"/>
                  <w:tcBorders>
                    <w:top w:val="single" w:color="auto" w:sz="12" w:space="0"/>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最大储存量</w:t>
                  </w:r>
                </w:p>
              </w:tc>
              <w:tc>
                <w:tcPr>
                  <w:tcW w:w="404" w:type="pct"/>
                  <w:tcBorders>
                    <w:top w:val="single" w:color="auto" w:sz="12" w:space="0"/>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运输方式</w:t>
                  </w:r>
                </w:p>
              </w:tc>
              <w:tc>
                <w:tcPr>
                  <w:tcW w:w="642" w:type="pct"/>
                  <w:tcBorders>
                    <w:top w:val="single" w:color="auto" w:sz="12" w:space="0"/>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储存</w:t>
                  </w:r>
                  <w:r>
                    <w:rPr>
                      <w:rFonts w:hint="eastAsia" w:cs="Times New Roman"/>
                      <w:b/>
                      <w:bCs/>
                      <w:color w:val="auto"/>
                      <w:sz w:val="21"/>
                      <w:szCs w:val="21"/>
                      <w:highlight w:val="none"/>
                      <w:lang w:eastAsia="zh-CN"/>
                    </w:rPr>
                    <w:t>方式、</w:t>
                  </w:r>
                  <w:r>
                    <w:rPr>
                      <w:rFonts w:hint="default" w:ascii="Times New Roman" w:hAnsi="Times New Roman" w:eastAsia="宋体" w:cs="Times New Roman"/>
                      <w:b/>
                      <w:bCs/>
                      <w:color w:val="auto"/>
                      <w:sz w:val="21"/>
                      <w:szCs w:val="21"/>
                      <w:highlight w:val="none"/>
                    </w:rPr>
                    <w:t>地点</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auto" w:sz="4" w:space="0"/>
                </w:tblBorders>
                <w:tblCellMar>
                  <w:top w:w="0" w:type="dxa"/>
                  <w:left w:w="108" w:type="dxa"/>
                  <w:bottom w:w="0" w:type="dxa"/>
                  <w:right w:w="108" w:type="dxa"/>
                </w:tblCellMar>
              </w:tblPrEx>
              <w:trPr>
                <w:trHeight w:val="483" w:hRule="atLeast"/>
                <w:jc w:val="center"/>
              </w:trPr>
              <w:tc>
                <w:tcPr>
                  <w:tcW w:w="31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99"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kern w:val="0"/>
                      <w:sz w:val="21"/>
                      <w:szCs w:val="21"/>
                      <w:highlight w:val="none"/>
                    </w:rPr>
                    <w:t>水泥</w:t>
                  </w:r>
                </w:p>
              </w:tc>
              <w:tc>
                <w:tcPr>
                  <w:tcW w:w="781"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3.52万吨/年</w:t>
                  </w:r>
                </w:p>
              </w:tc>
              <w:tc>
                <w:tcPr>
                  <w:tcW w:w="1224" w:type="dxa"/>
                  <w:noWrap w:val="0"/>
                  <w:vAlign w:val="center"/>
                </w:tcPr>
                <w:p>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5.84</w:t>
                  </w:r>
                  <w:r>
                    <w:rPr>
                      <w:rFonts w:hint="eastAsia" w:cs="Times New Roman"/>
                      <w:color w:val="auto"/>
                      <w:sz w:val="21"/>
                      <w:szCs w:val="21"/>
                      <w:highlight w:val="none"/>
                      <w:lang w:val="en-US" w:eastAsia="zh-CN"/>
                    </w:rPr>
                    <w:t>万吨/年</w:t>
                  </w:r>
                </w:p>
              </w:tc>
              <w:tc>
                <w:tcPr>
                  <w:tcW w:w="7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9.36万吨/年</w:t>
                  </w:r>
                </w:p>
              </w:tc>
              <w:tc>
                <w:tcPr>
                  <w:tcW w:w="794" w:type="pct"/>
                  <w:noWrap w:val="0"/>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万吨/年</w:t>
                  </w:r>
                </w:p>
              </w:tc>
              <w:tc>
                <w:tcPr>
                  <w:tcW w:w="404"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汽运</w:t>
                  </w:r>
                </w:p>
                <w:p>
                  <w:pPr>
                    <w:spacing w:line="240" w:lineRule="auto"/>
                    <w:ind w:firstLine="0" w:firstLineChars="0"/>
                    <w:jc w:val="center"/>
                    <w:rPr>
                      <w:rFonts w:hint="default" w:ascii="Times New Roman" w:hAnsi="Times New Roman" w:eastAsia="宋体" w:cs="Times New Roman"/>
                      <w:color w:val="auto"/>
                      <w:sz w:val="21"/>
                      <w:szCs w:val="21"/>
                      <w:highlight w:val="none"/>
                    </w:rPr>
                  </w:pPr>
                </w:p>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4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粉料筒仓</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auto" w:sz="4" w:space="0"/>
                </w:tblBorders>
                <w:tblCellMar>
                  <w:top w:w="0" w:type="dxa"/>
                  <w:left w:w="108" w:type="dxa"/>
                  <w:bottom w:w="0" w:type="dxa"/>
                  <w:right w:w="108" w:type="dxa"/>
                </w:tblCellMar>
              </w:tblPrEx>
              <w:trPr>
                <w:trHeight w:val="90" w:hRule="atLeast"/>
                <w:jc w:val="center"/>
              </w:trPr>
              <w:tc>
                <w:tcPr>
                  <w:tcW w:w="31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599"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砂子</w:t>
                  </w:r>
                </w:p>
              </w:tc>
              <w:tc>
                <w:tcPr>
                  <w:tcW w:w="781" w:type="pct"/>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12.75万吨/年</w:t>
                  </w:r>
                </w:p>
              </w:tc>
              <w:tc>
                <w:tcPr>
                  <w:tcW w:w="1224" w:type="dxa"/>
                  <w:noWrap w:val="0"/>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21.25</w:t>
                  </w:r>
                  <w:r>
                    <w:rPr>
                      <w:rFonts w:hint="eastAsia" w:cs="Times New Roman"/>
                      <w:color w:val="auto"/>
                      <w:sz w:val="21"/>
                      <w:szCs w:val="21"/>
                      <w:highlight w:val="none"/>
                      <w:lang w:val="en-US" w:eastAsia="zh-CN"/>
                    </w:rPr>
                    <w:t>万吨/年</w:t>
                  </w:r>
                </w:p>
              </w:tc>
              <w:tc>
                <w:tcPr>
                  <w:tcW w:w="7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lang w:val="en-US" w:eastAsia="zh-CN"/>
                    </w:rPr>
                    <w:t>4万吨/年</w:t>
                  </w:r>
                </w:p>
              </w:tc>
              <w:tc>
                <w:tcPr>
                  <w:tcW w:w="79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r>
                    <w:rPr>
                      <w:rFonts w:hint="eastAsia" w:cs="Times New Roman"/>
                      <w:color w:val="auto"/>
                      <w:sz w:val="21"/>
                      <w:szCs w:val="21"/>
                      <w:highlight w:val="none"/>
                      <w:lang w:val="en-US" w:eastAsia="zh-CN"/>
                    </w:rPr>
                    <w:t>万吨/年</w:t>
                  </w:r>
                </w:p>
              </w:tc>
              <w:tc>
                <w:tcPr>
                  <w:tcW w:w="404"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4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bCs/>
                      <w:color w:val="auto"/>
                      <w:kern w:val="0"/>
                      <w:sz w:val="21"/>
                      <w:szCs w:val="21"/>
                      <w:highlight w:val="none"/>
                      <w:lang w:val="en-US" w:eastAsia="zh-CN"/>
                    </w:rPr>
                    <w:t>砂、石料仓</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auto" w:sz="4" w:space="0"/>
                </w:tblBorders>
                <w:tblCellMar>
                  <w:top w:w="0" w:type="dxa"/>
                  <w:left w:w="108" w:type="dxa"/>
                  <w:bottom w:w="0" w:type="dxa"/>
                  <w:right w:w="108" w:type="dxa"/>
                </w:tblCellMar>
              </w:tblPrEx>
              <w:trPr>
                <w:trHeight w:val="90" w:hRule="atLeast"/>
                <w:jc w:val="center"/>
              </w:trPr>
              <w:tc>
                <w:tcPr>
                  <w:tcW w:w="31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599"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石子</w:t>
                  </w:r>
                </w:p>
              </w:tc>
              <w:tc>
                <w:tcPr>
                  <w:tcW w:w="781" w:type="pct"/>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15.75万吨/年</w:t>
                  </w:r>
                </w:p>
              </w:tc>
              <w:tc>
                <w:tcPr>
                  <w:tcW w:w="1224" w:type="dxa"/>
                  <w:noWrap w:val="0"/>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26.25</w:t>
                  </w:r>
                  <w:r>
                    <w:rPr>
                      <w:rFonts w:hint="eastAsia" w:cs="Times New Roman"/>
                      <w:color w:val="auto"/>
                      <w:sz w:val="21"/>
                      <w:szCs w:val="21"/>
                      <w:highlight w:val="none"/>
                      <w:lang w:val="en-US" w:eastAsia="zh-CN"/>
                    </w:rPr>
                    <w:t>万吨/年</w:t>
                  </w:r>
                </w:p>
              </w:tc>
              <w:tc>
                <w:tcPr>
                  <w:tcW w:w="7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r>
                    <w:rPr>
                      <w:rFonts w:hint="eastAsia" w:cs="Times New Roman"/>
                      <w:color w:val="auto"/>
                      <w:sz w:val="21"/>
                      <w:szCs w:val="21"/>
                      <w:highlight w:val="none"/>
                      <w:lang w:val="en-US" w:eastAsia="zh-CN"/>
                    </w:rPr>
                    <w:t>2万吨/年</w:t>
                  </w:r>
                </w:p>
              </w:tc>
              <w:tc>
                <w:tcPr>
                  <w:tcW w:w="79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r>
                    <w:rPr>
                      <w:rFonts w:hint="eastAsia" w:cs="Times New Roman"/>
                      <w:color w:val="auto"/>
                      <w:sz w:val="21"/>
                      <w:szCs w:val="21"/>
                      <w:highlight w:val="none"/>
                      <w:lang w:val="en-US" w:eastAsia="zh-CN"/>
                    </w:rPr>
                    <w:t>万吨/年</w:t>
                  </w:r>
                </w:p>
              </w:tc>
              <w:tc>
                <w:tcPr>
                  <w:tcW w:w="404"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4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bCs/>
                      <w:color w:val="auto"/>
                      <w:kern w:val="0"/>
                      <w:sz w:val="21"/>
                      <w:szCs w:val="21"/>
                      <w:highlight w:val="none"/>
                      <w:lang w:val="en-US" w:eastAsia="zh-CN"/>
                    </w:rPr>
                    <w:t>砂、石料仓</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auto" w:sz="4" w:space="0"/>
                </w:tblBorders>
                <w:tblCellMar>
                  <w:top w:w="0" w:type="dxa"/>
                  <w:left w:w="108" w:type="dxa"/>
                  <w:bottom w:w="0" w:type="dxa"/>
                  <w:right w:w="108" w:type="dxa"/>
                </w:tblCellMar>
              </w:tblPrEx>
              <w:trPr>
                <w:trHeight w:val="444" w:hRule="atLeast"/>
                <w:jc w:val="center"/>
              </w:trPr>
              <w:tc>
                <w:tcPr>
                  <w:tcW w:w="31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599"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粉煤灰</w:t>
                  </w:r>
                </w:p>
              </w:tc>
              <w:tc>
                <w:tcPr>
                  <w:tcW w:w="781"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1.30万吨/年</w:t>
                  </w:r>
                </w:p>
              </w:tc>
              <w:tc>
                <w:tcPr>
                  <w:tcW w:w="1224" w:type="dxa"/>
                  <w:noWrap w:val="0"/>
                  <w:vAlign w:val="center"/>
                </w:tcPr>
                <w:p>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cs="Times New Roman"/>
                      <w:color w:val="auto"/>
                      <w:sz w:val="21"/>
                      <w:szCs w:val="21"/>
                      <w:highlight w:val="none"/>
                      <w:lang w:val="en-US" w:eastAsia="zh-CN"/>
                    </w:rPr>
                    <w:t>万吨/年</w:t>
                  </w:r>
                </w:p>
              </w:tc>
              <w:tc>
                <w:tcPr>
                  <w:tcW w:w="7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3.3万吨/年</w:t>
                  </w:r>
                </w:p>
              </w:tc>
              <w:tc>
                <w:tcPr>
                  <w:tcW w:w="79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w:t>
                  </w:r>
                  <w:r>
                    <w:rPr>
                      <w:rFonts w:hint="eastAsia" w:cs="Times New Roman"/>
                      <w:color w:val="auto"/>
                      <w:sz w:val="21"/>
                      <w:szCs w:val="21"/>
                      <w:highlight w:val="none"/>
                      <w:lang w:val="en-US" w:eastAsia="zh-CN"/>
                    </w:rPr>
                    <w:t>万吨/年</w:t>
                  </w:r>
                </w:p>
              </w:tc>
              <w:tc>
                <w:tcPr>
                  <w:tcW w:w="404"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4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粉料筒仓</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auto" w:sz="4" w:space="0"/>
                </w:tblBorders>
                <w:tblCellMar>
                  <w:top w:w="0" w:type="dxa"/>
                  <w:left w:w="108" w:type="dxa"/>
                  <w:bottom w:w="0" w:type="dxa"/>
                  <w:right w:w="108" w:type="dxa"/>
                </w:tblCellMar>
              </w:tblPrEx>
              <w:trPr>
                <w:trHeight w:val="648" w:hRule="atLeast"/>
                <w:jc w:val="center"/>
              </w:trPr>
              <w:tc>
                <w:tcPr>
                  <w:tcW w:w="31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599"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矿粉</w:t>
                  </w:r>
                </w:p>
              </w:tc>
              <w:tc>
                <w:tcPr>
                  <w:tcW w:w="781"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1.30万吨/年</w:t>
                  </w:r>
                </w:p>
              </w:tc>
              <w:tc>
                <w:tcPr>
                  <w:tcW w:w="1224" w:type="dxa"/>
                  <w:noWrap w:val="0"/>
                  <w:vAlign w:val="center"/>
                </w:tcPr>
                <w:p>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cs="Times New Roman"/>
                      <w:color w:val="auto"/>
                      <w:sz w:val="21"/>
                      <w:szCs w:val="21"/>
                      <w:highlight w:val="none"/>
                      <w:lang w:val="en-US" w:eastAsia="zh-CN"/>
                    </w:rPr>
                    <w:t>万吨/年</w:t>
                  </w:r>
                </w:p>
              </w:tc>
              <w:tc>
                <w:tcPr>
                  <w:tcW w:w="7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3.3万吨/年</w:t>
                  </w:r>
                </w:p>
              </w:tc>
              <w:tc>
                <w:tcPr>
                  <w:tcW w:w="79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w:t>
                  </w:r>
                  <w:r>
                    <w:rPr>
                      <w:rFonts w:hint="eastAsia" w:cs="Times New Roman"/>
                      <w:color w:val="auto"/>
                      <w:sz w:val="21"/>
                      <w:szCs w:val="21"/>
                      <w:highlight w:val="none"/>
                      <w:lang w:val="en-US" w:eastAsia="zh-CN"/>
                    </w:rPr>
                    <w:t>万吨/年</w:t>
                  </w:r>
                </w:p>
              </w:tc>
              <w:tc>
                <w:tcPr>
                  <w:tcW w:w="404"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42" w:type="pct"/>
                  <w:noWrap w:val="0"/>
                  <w:vAlign w:val="center"/>
                </w:tcPr>
                <w:p>
                  <w:pPr>
                    <w:spacing w:line="240" w:lineRule="auto"/>
                    <w:ind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color w:val="auto"/>
                      <w:sz w:val="21"/>
                      <w:szCs w:val="21"/>
                      <w:highlight w:val="none"/>
                      <w:lang w:val="en-US" w:eastAsia="zh-CN"/>
                    </w:rPr>
                    <w:t>粉料筒仓</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auto" w:sz="4" w:space="0"/>
                </w:tblBorders>
                <w:tblCellMar>
                  <w:top w:w="0" w:type="dxa"/>
                  <w:left w:w="108" w:type="dxa"/>
                  <w:bottom w:w="0" w:type="dxa"/>
                  <w:right w:w="108" w:type="dxa"/>
                </w:tblCellMar>
              </w:tblPrEx>
              <w:trPr>
                <w:trHeight w:val="90" w:hRule="atLeast"/>
                <w:jc w:val="center"/>
              </w:trPr>
              <w:tc>
                <w:tcPr>
                  <w:tcW w:w="31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599"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外加剂</w:t>
                  </w:r>
                  <w:r>
                    <w:rPr>
                      <w:rFonts w:hint="eastAsia" w:cs="Times New Roman"/>
                      <w:color w:val="auto"/>
                      <w:sz w:val="21"/>
                      <w:szCs w:val="21"/>
                      <w:highlight w:val="none"/>
                      <w:lang w:val="en-US" w:eastAsia="zh-CN"/>
                    </w:rPr>
                    <w:t>（聚羟酸高性能减水剂JT-1、PCA</w:t>
                  </w:r>
                  <w:r>
                    <w:rPr>
                      <w:rFonts w:hint="eastAsia" w:cs="Times New Roman"/>
                      <w:color w:val="auto"/>
                      <w:sz w:val="21"/>
                      <w:szCs w:val="21"/>
                      <w:highlight w:val="none"/>
                      <w:vertAlign w:val="superscript"/>
                      <w:lang w:val="en-US" w:eastAsia="zh-CN"/>
                    </w:rPr>
                    <w:t>R</w:t>
                  </w:r>
                  <w:r>
                    <w:rPr>
                      <w:rFonts w:hint="eastAsia" w:cs="Times New Roman"/>
                      <w:color w:val="auto"/>
                      <w:sz w:val="21"/>
                      <w:szCs w:val="21"/>
                      <w:highlight w:val="none"/>
                      <w:lang w:val="en-US" w:eastAsia="zh-CN"/>
                    </w:rPr>
                    <w:t>-1型）</w:t>
                  </w:r>
                </w:p>
              </w:tc>
              <w:tc>
                <w:tcPr>
                  <w:tcW w:w="781"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0.10万吨/年</w:t>
                  </w:r>
                </w:p>
              </w:tc>
              <w:tc>
                <w:tcPr>
                  <w:tcW w:w="1224" w:type="dxa"/>
                  <w:noWrap w:val="0"/>
                  <w:vAlign w:val="center"/>
                </w:tcPr>
                <w:p>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w:t>
                  </w:r>
                  <w:r>
                    <w:rPr>
                      <w:rFonts w:hint="eastAsia" w:cs="Times New Roman"/>
                      <w:color w:val="auto"/>
                      <w:sz w:val="21"/>
                      <w:szCs w:val="21"/>
                      <w:highlight w:val="none"/>
                      <w:lang w:val="en-US" w:eastAsia="zh-CN"/>
                    </w:rPr>
                    <w:t>万吨/年</w:t>
                  </w:r>
                </w:p>
              </w:tc>
              <w:tc>
                <w:tcPr>
                  <w:tcW w:w="7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0.28万吨/年</w:t>
                  </w:r>
                </w:p>
              </w:tc>
              <w:tc>
                <w:tcPr>
                  <w:tcW w:w="79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r>
                    <w:rPr>
                      <w:rFonts w:hint="eastAsia" w:cs="Times New Roman"/>
                      <w:color w:val="auto"/>
                      <w:sz w:val="21"/>
                      <w:szCs w:val="21"/>
                      <w:highlight w:val="none"/>
                      <w:lang w:val="en-US" w:eastAsia="zh-CN"/>
                    </w:rPr>
                    <w:t>万吨/年</w:t>
                  </w:r>
                </w:p>
              </w:tc>
              <w:tc>
                <w:tcPr>
                  <w:tcW w:w="404"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4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外加剂仓</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auto" w:sz="4" w:space="0"/>
                </w:tblBorders>
                <w:tblCellMar>
                  <w:top w:w="0" w:type="dxa"/>
                  <w:left w:w="108" w:type="dxa"/>
                  <w:bottom w:w="0" w:type="dxa"/>
                  <w:right w:w="108" w:type="dxa"/>
                </w:tblCellMar>
              </w:tblPrEx>
              <w:trPr>
                <w:trHeight w:val="314" w:hRule="atLeast"/>
                <w:jc w:val="center"/>
              </w:trPr>
              <w:tc>
                <w:tcPr>
                  <w:tcW w:w="31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p>
              </w:tc>
              <w:tc>
                <w:tcPr>
                  <w:tcW w:w="599"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w:t>
                  </w:r>
                </w:p>
              </w:tc>
              <w:tc>
                <w:tcPr>
                  <w:tcW w:w="781"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1.94万吨/年</w:t>
                  </w:r>
                </w:p>
              </w:tc>
              <w:tc>
                <w:tcPr>
                  <w:tcW w:w="729"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3.49万吨/年</w:t>
                  </w:r>
                </w:p>
              </w:tc>
              <w:tc>
                <w:tcPr>
                  <w:tcW w:w="730" w:type="pct"/>
                  <w:noWrap w:val="0"/>
                  <w:vAlign w:val="center"/>
                </w:tcPr>
                <w:p>
                  <w:pPr>
                    <w:spacing w:line="300" w:lineRule="exact"/>
                    <w:ind w:firstLine="0" w:firstLineChars="0"/>
                    <w:jc w:val="center"/>
                    <w:rPr>
                      <w:rFonts w:hint="default" w:ascii="Times New Roman" w:hAnsi="Times New Roman" w:eastAsia="宋体" w:cs="Times New Roman"/>
                      <w:bCs/>
                      <w:color w:val="auto"/>
                      <w:kern w:val="0"/>
                      <w:sz w:val="21"/>
                      <w:szCs w:val="21"/>
                      <w:highlight w:val="none"/>
                      <w:lang w:val="en-US"/>
                    </w:rPr>
                  </w:pPr>
                  <w:r>
                    <w:rPr>
                      <w:rFonts w:hint="eastAsia" w:cs="Times New Roman"/>
                      <w:color w:val="auto"/>
                      <w:sz w:val="21"/>
                      <w:szCs w:val="21"/>
                      <w:highlight w:val="none"/>
                      <w:lang w:val="en-US" w:eastAsia="zh-CN"/>
                    </w:rPr>
                    <w:t>5.43万吨/年</w:t>
                  </w:r>
                </w:p>
              </w:tc>
              <w:tc>
                <w:tcPr>
                  <w:tcW w:w="794" w:type="pct"/>
                  <w:noWrap w:val="0"/>
                  <w:vAlign w:val="center"/>
                </w:tcPr>
                <w:p>
                  <w:pPr>
                    <w:spacing w:line="300" w:lineRule="exact"/>
                    <w:ind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40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4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场内水井提供</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auto" w:sz="4" w:space="0"/>
                </w:tblBorders>
                <w:tblCellMar>
                  <w:top w:w="0" w:type="dxa"/>
                  <w:left w:w="108" w:type="dxa"/>
                  <w:bottom w:w="0" w:type="dxa"/>
                  <w:right w:w="108" w:type="dxa"/>
                </w:tblCellMar>
              </w:tblPrEx>
              <w:trPr>
                <w:trHeight w:val="90" w:hRule="atLeast"/>
                <w:jc w:val="center"/>
              </w:trPr>
              <w:tc>
                <w:tcPr>
                  <w:tcW w:w="31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599"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w:t>
                  </w:r>
                </w:p>
              </w:tc>
              <w:tc>
                <w:tcPr>
                  <w:tcW w:w="781" w:type="pct"/>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4.13</w:t>
                  </w:r>
                  <w:r>
                    <w:rPr>
                      <w:rFonts w:hint="default" w:ascii="Times New Roman" w:hAnsi="Times New Roman" w:eastAsia="宋体" w:cs="Times New Roman"/>
                      <w:bCs/>
                      <w:color w:val="auto"/>
                      <w:kern w:val="0"/>
                      <w:sz w:val="21"/>
                      <w:szCs w:val="21"/>
                      <w:highlight w:val="none"/>
                    </w:rPr>
                    <w:t>万kWh/a</w:t>
                  </w:r>
                </w:p>
              </w:tc>
              <w:tc>
                <w:tcPr>
                  <w:tcW w:w="729" w:type="pct"/>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6.88</w:t>
                  </w:r>
                  <w:r>
                    <w:rPr>
                      <w:rFonts w:hint="default" w:ascii="Times New Roman" w:hAnsi="Times New Roman" w:eastAsia="宋体" w:cs="Times New Roman"/>
                      <w:bCs/>
                      <w:color w:val="auto"/>
                      <w:kern w:val="0"/>
                      <w:sz w:val="21"/>
                      <w:szCs w:val="21"/>
                      <w:highlight w:val="none"/>
                    </w:rPr>
                    <w:t>万kWh/a</w:t>
                  </w:r>
                </w:p>
              </w:tc>
              <w:tc>
                <w:tcPr>
                  <w:tcW w:w="730" w:type="pct"/>
                  <w:noWrap w:val="0"/>
                  <w:vAlign w:val="center"/>
                </w:tcPr>
                <w:p>
                  <w:pPr>
                    <w:spacing w:line="300" w:lineRule="exact"/>
                    <w:ind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11</w:t>
                  </w:r>
                  <w:r>
                    <w:rPr>
                      <w:rFonts w:hint="default" w:ascii="Times New Roman" w:hAnsi="Times New Roman" w:eastAsia="宋体" w:cs="Times New Roman"/>
                      <w:bCs/>
                      <w:color w:val="auto"/>
                      <w:kern w:val="0"/>
                      <w:sz w:val="21"/>
                      <w:szCs w:val="21"/>
                      <w:highlight w:val="none"/>
                    </w:rPr>
                    <w:t>万kWh/a</w:t>
                  </w:r>
                </w:p>
              </w:tc>
              <w:tc>
                <w:tcPr>
                  <w:tcW w:w="794" w:type="pct"/>
                  <w:noWrap w:val="0"/>
                  <w:vAlign w:val="center"/>
                </w:tcPr>
                <w:p>
                  <w:pPr>
                    <w:spacing w:line="300" w:lineRule="exact"/>
                    <w:ind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w:t>
                  </w:r>
                </w:p>
              </w:tc>
              <w:tc>
                <w:tcPr>
                  <w:tcW w:w="40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4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kern w:val="0"/>
                      <w:sz w:val="21"/>
                      <w:szCs w:val="21"/>
                      <w:highlight w:val="none"/>
                      <w:lang w:eastAsia="zh-CN"/>
                    </w:rPr>
                    <w:t>乡镇</w:t>
                  </w:r>
                  <w:r>
                    <w:rPr>
                      <w:rFonts w:hint="default" w:ascii="Times New Roman" w:hAnsi="Times New Roman" w:eastAsia="宋体" w:cs="Times New Roman"/>
                      <w:bCs/>
                      <w:color w:val="auto"/>
                      <w:kern w:val="0"/>
                      <w:sz w:val="21"/>
                      <w:szCs w:val="21"/>
                      <w:highlight w:val="none"/>
                    </w:rPr>
                    <w:t>电网提供</w:t>
                  </w:r>
                  <w:r>
                    <w:rPr>
                      <w:rFonts w:hint="default" w:ascii="Times New Roman" w:hAnsi="Times New Roman" w:eastAsia="宋体" w:cs="Times New Roman"/>
                      <w:bCs/>
                      <w:color w:val="auto"/>
                      <w:kern w:val="0"/>
                      <w:sz w:val="21"/>
                      <w:szCs w:val="21"/>
                      <w:highlight w:val="none"/>
                      <w:lang w:eastAsia="zh-CN"/>
                    </w:rPr>
                    <w:t>，厂内安装变压器</w:t>
                  </w:r>
                </w:p>
              </w:tc>
            </w:tr>
          </w:tbl>
          <w:p>
            <w:pPr>
              <w:spacing w:line="360" w:lineRule="auto"/>
              <w:ind w:firstLine="480" w:firstLineChars="200"/>
              <w:jc w:val="left"/>
              <w:rPr>
                <w:color w:val="auto"/>
                <w:kern w:val="0"/>
                <w:sz w:val="24"/>
                <w:highlight w:val="none"/>
              </w:rPr>
            </w:pPr>
            <w:r>
              <w:rPr>
                <w:rFonts w:hAnsi="宋体"/>
                <w:color w:val="auto"/>
                <w:kern w:val="0"/>
                <w:sz w:val="24"/>
                <w:highlight w:val="none"/>
              </w:rPr>
              <w:t>添加剂的理化性质：</w:t>
            </w:r>
          </w:p>
          <w:p>
            <w:pPr>
              <w:spacing w:line="360" w:lineRule="auto"/>
              <w:ind w:firstLine="480" w:firstLineChars="200"/>
              <w:jc w:val="both"/>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本项目主要外加剂为减水剂。聚羧酸泵送剂(Polycarboxylate Superplasticizer)是一种高性能减水剂</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是水泥混凝土运用中的一种水泥分散剂。适用于高速铁路、客运专线、工业与民用建筑、道路、桥梁、港口码头、机场等工程建设的预制和现浇混凝土、钢筋混凝土及预应力混凝土。该品绿色环保，不易燃，不易爆，可以安全使用火车和汽车运输。其具有以下优势：①与各种水泥的相容性好，混凝土的坍落度保持性能好，延长混凝土的施工时间。②掺量低，减水率高，收缩小③大幅度提高混凝土的早期、后期强度。④本产品氯离子含量低、碱含量低，有利于混凝土的耐久性。⑤本产品生产过程无污染，不含甲醛，符合ISO14000环境保护管理国际标准，是一种绿色环保产品。混凝土膨胀剂属硫铝酸钙型膨胀剂，不含钠盐，不会引起混凝土化学反应。耐久性良好，膨胀性能稳定，强度持续上升。普通混凝土由于收缩开裂，往往发生渗漏，从而降低其使用功能和耐久性。添加少量膨胀剂，可拌制成补偿收缩混凝土，大大提高了混凝土结构的抗裂防水能力。可取消外防水作业，延长后浇缝间距，防止大体积混凝土和高强混凝土温差裂缝的出现。</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、总平面布置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厂区的总平面布置结合周围地形并满足设计规范要求，总</w:t>
            </w:r>
            <w:r>
              <w:rPr>
                <w:rFonts w:hint="eastAsia" w:cs="Times New Roman"/>
                <w:color w:val="auto"/>
                <w:sz w:val="24"/>
                <w:szCs w:val="24"/>
                <w:highlight w:val="none"/>
                <w:lang w:val="en-US" w:eastAsia="zh-CN"/>
              </w:rPr>
              <w:t>建筑</w:t>
            </w:r>
            <w:r>
              <w:rPr>
                <w:rFonts w:hint="default" w:ascii="Times New Roman" w:hAnsi="Times New Roman" w:eastAsia="宋体" w:cs="Times New Roman"/>
                <w:color w:val="auto"/>
                <w:sz w:val="24"/>
                <w:szCs w:val="24"/>
                <w:highlight w:val="none"/>
                <w:lang w:val="en-US" w:eastAsia="zh-CN"/>
              </w:rPr>
              <w:t>面积为</w:t>
            </w:r>
            <w:r>
              <w:rPr>
                <w:rFonts w:hint="eastAsia" w:cs="Times New Roman"/>
                <w:color w:val="auto"/>
                <w:sz w:val="24"/>
                <w:szCs w:val="24"/>
                <w:highlight w:val="none"/>
                <w:lang w:val="en-US" w:eastAsia="zh-CN"/>
              </w:rPr>
              <w:t>13500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，主要包括搅拌站、料仓、办公楼、食堂、辅助用房及配套辅助设施等。</w:t>
            </w:r>
            <w:r>
              <w:rPr>
                <w:rFonts w:hint="eastAsia"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辅助生产设施根据工艺流程、方便管理的原则进行布置。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最北侧为料仓，料仓占地较广，是项目的主要构筑物，料仓南侧紧邻180双站操作楼；厂区西南角为大门口，安装了两台洗车设备，一进一出，便于车辆的运输与清洁，洗车设备南侧有沉淀池，便于收集处理洗车废水；厂区南侧为办公楼和实验室，东侧靠近边界处为食堂，食堂西侧紧邻的是员工停车场，西侧为门卫等辅助设施。</w:t>
            </w:r>
          </w:p>
          <w:p>
            <w:pPr>
              <w:adjustRightInd w:val="0"/>
              <w:snapToGrid w:val="0"/>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项目</w:t>
            </w:r>
            <w:r>
              <w:rPr>
                <w:rFonts w:hint="eastAsia"/>
                <w:color w:val="auto"/>
                <w:sz w:val="24"/>
                <w:highlight w:val="none"/>
                <w:lang w:val="en-US" w:eastAsia="zh-CN"/>
              </w:rPr>
              <w:t>东侧厂界紧邻在建的渭阳佳苑小区，厂区东侧为食堂及停车场，项目的噪声产生源（搅拌机）等均分布在厂区西北侧，距离东厂界较远，且搅拌站采用封闭的方式降噪，噪声经衰减后对渭阳佳苑小区影响较小，布局合理。</w:t>
            </w:r>
          </w:p>
          <w:p>
            <w:pPr>
              <w:widowControl w:val="0"/>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总体布局较为</w:t>
            </w:r>
            <w:r>
              <w:rPr>
                <w:rFonts w:hint="eastAsia" w:ascii="Times New Roman" w:hAnsi="Times New Roman" w:eastAsia="宋体" w:cs="Times New Roman"/>
                <w:color w:val="auto"/>
                <w:kern w:val="2"/>
                <w:sz w:val="24"/>
                <w:szCs w:val="24"/>
                <w:highlight w:val="none"/>
                <w:lang w:val="en-US" w:eastAsia="zh-CN" w:bidi="ar-SA"/>
              </w:rPr>
              <w:t>稀疏，为车辆运输预留的空间较大喷淋水管沿建筑物的墙壁分布厂区，有利于抑尘，减少粉尘的逸散，减轻对大气环境的污染。绿化带分散于厂区内部，有效吸收扬尘，降低噪声。具体见</w:t>
            </w:r>
            <w:r>
              <w:rPr>
                <w:rFonts w:hint="eastAsia" w:ascii="Times New Roman" w:eastAsia="宋体" w:cs="Times New Roman"/>
                <w:color w:val="auto"/>
                <w:kern w:val="2"/>
                <w:sz w:val="24"/>
                <w:szCs w:val="24"/>
                <w:highlight w:val="none"/>
                <w:lang w:val="en-US" w:eastAsia="zh-CN" w:bidi="ar-SA"/>
              </w:rPr>
              <w:t>厂区</w:t>
            </w:r>
            <w:r>
              <w:rPr>
                <w:rFonts w:hint="eastAsia" w:ascii="Times New Roman" w:hAnsi="Times New Roman" w:eastAsia="宋体" w:cs="Times New Roman"/>
                <w:color w:val="auto"/>
                <w:kern w:val="2"/>
                <w:sz w:val="24"/>
                <w:szCs w:val="24"/>
                <w:highlight w:val="none"/>
                <w:lang w:val="en-US" w:eastAsia="zh-CN" w:bidi="ar-SA"/>
              </w:rPr>
              <w:t>平面布置图</w:t>
            </w:r>
            <w:r>
              <w:rPr>
                <w:rFonts w:hint="eastAsia" w:ascii="Times New Roman" w:eastAsia="宋体" w:cs="Times New Roman"/>
                <w:color w:val="auto"/>
                <w:kern w:val="2"/>
                <w:sz w:val="24"/>
                <w:szCs w:val="24"/>
                <w:highlight w:val="none"/>
                <w:lang w:val="en-US" w:eastAsia="zh-CN" w:bidi="ar-SA"/>
              </w:rPr>
              <w:t>（附图3）</w:t>
            </w:r>
            <w:r>
              <w:rPr>
                <w:rFonts w:hint="eastAsia"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7、车辆维修、保养依托情况</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eastAsia="宋体" w:cs="Times New Roman"/>
                <w:color w:val="auto"/>
                <w:kern w:val="2"/>
                <w:sz w:val="24"/>
                <w:szCs w:val="24"/>
                <w:highlight w:val="none"/>
                <w:lang w:val="en-US" w:eastAsia="zh-CN" w:bidi="ar-SA"/>
              </w:rPr>
              <w:t>本项目车辆车辆的维修保养不在本项目厂区内进行。</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480" w:firstLineChars="200"/>
              <w:jc w:val="left"/>
              <w:textAlignment w:val="auto"/>
              <w:rPr>
                <w:rFonts w:hint="eastAsia"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w:t>
            </w:r>
            <w:r>
              <w:rPr>
                <w:rFonts w:hint="eastAsia" w:eastAsia="宋体" w:cs="Times New Roman"/>
                <w:color w:val="auto"/>
                <w:kern w:val="2"/>
                <w:sz w:val="24"/>
                <w:szCs w:val="24"/>
                <w:highlight w:val="none"/>
                <w:lang w:val="en-US" w:eastAsia="zh-CN" w:bidi="ar-SA"/>
              </w:rPr>
              <w:t>产品</w:t>
            </w:r>
            <w:r>
              <w:rPr>
                <w:rFonts w:hint="eastAsia" w:ascii="Times New Roman" w:hAnsi="Times New Roman" w:eastAsia="宋体" w:cs="Times New Roman"/>
                <w:color w:val="auto"/>
                <w:kern w:val="2"/>
                <w:sz w:val="24"/>
                <w:szCs w:val="24"/>
                <w:highlight w:val="none"/>
                <w:lang w:val="en-US" w:eastAsia="zh-CN" w:bidi="ar-SA"/>
              </w:rPr>
              <w:t>运输</w:t>
            </w:r>
            <w:r>
              <w:rPr>
                <w:rFonts w:hint="eastAsia" w:eastAsia="宋体" w:cs="Times New Roman"/>
                <w:color w:val="auto"/>
                <w:kern w:val="2"/>
                <w:sz w:val="24"/>
                <w:szCs w:val="24"/>
                <w:highlight w:val="none"/>
                <w:lang w:val="en-US" w:eastAsia="zh-CN" w:bidi="ar-SA"/>
              </w:rPr>
              <w:t>已与陕西鑫达恒泰运输有限公司签订“混凝土搅拌车租赁合同”、“泵车租赁合同”，运输车辆的维修保养等由陕西鑫达恒泰运输有限公司与咸阳安泰汽车维修服务公司签订“定点维修合同”（合同见附件9）及“危险废物处置合同”，咸阳安泰汽车维修服务公司已与陕西环能科技有限公司就汽车维修产生的废机油等危险废物签订“危险废物处置合同”，因此本项目厂区内无危险废物产生。</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22" w:firstLineChars="200"/>
              <w:jc w:val="left"/>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环保投资估算</w:t>
            </w:r>
          </w:p>
          <w:p>
            <w:pPr>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项目总投资</w:t>
            </w:r>
            <w:r>
              <w:rPr>
                <w:rFonts w:hint="eastAsia" w:cs="Times New Roman"/>
                <w:color w:val="auto"/>
                <w:kern w:val="2"/>
                <w:sz w:val="24"/>
                <w:szCs w:val="24"/>
                <w:highlight w:val="none"/>
                <w:lang w:val="en-US" w:eastAsia="zh-CN" w:bidi="ar-SA"/>
              </w:rPr>
              <w:t>2000</w:t>
            </w:r>
            <w:r>
              <w:rPr>
                <w:rFonts w:hint="eastAsia" w:ascii="Times New Roman" w:hAnsi="Times New Roman" w:eastAsia="宋体" w:cs="Times New Roman"/>
                <w:color w:val="auto"/>
                <w:kern w:val="2"/>
                <w:sz w:val="24"/>
                <w:szCs w:val="24"/>
                <w:highlight w:val="none"/>
                <w:lang w:val="en-US" w:eastAsia="zh-CN" w:bidi="ar-SA"/>
              </w:rPr>
              <w:t>万元，其中环保投资</w:t>
            </w:r>
            <w:r>
              <w:rPr>
                <w:rFonts w:hint="eastAsia" w:cs="Times New Roman"/>
                <w:color w:val="auto"/>
                <w:kern w:val="2"/>
                <w:sz w:val="24"/>
                <w:szCs w:val="24"/>
                <w:highlight w:val="none"/>
                <w:lang w:val="en-US" w:eastAsia="zh-CN" w:bidi="ar-SA"/>
              </w:rPr>
              <w:t>72</w:t>
            </w:r>
            <w:r>
              <w:rPr>
                <w:rFonts w:hint="eastAsia" w:ascii="Times New Roman" w:hAnsi="Times New Roman" w:eastAsia="宋体" w:cs="Times New Roman"/>
                <w:color w:val="auto"/>
                <w:kern w:val="2"/>
                <w:sz w:val="24"/>
                <w:szCs w:val="24"/>
                <w:highlight w:val="none"/>
                <w:lang w:val="en-US" w:eastAsia="zh-CN" w:bidi="ar-SA"/>
              </w:rPr>
              <w:t>万元，环保投资占总投资的</w:t>
            </w:r>
            <w:r>
              <w:rPr>
                <w:rFonts w:hint="eastAsia" w:cs="Times New Roman"/>
                <w:color w:val="auto"/>
                <w:kern w:val="2"/>
                <w:sz w:val="24"/>
                <w:szCs w:val="24"/>
                <w:highlight w:val="none"/>
                <w:lang w:val="en-US" w:eastAsia="zh-CN" w:bidi="ar-SA"/>
              </w:rPr>
              <w:t>3.6</w:t>
            </w:r>
            <w:r>
              <w:rPr>
                <w:rFonts w:hint="eastAsia" w:ascii="Times New Roman" w:hAnsi="Times New Roman" w:eastAsia="宋体" w:cs="Times New Roman"/>
                <w:color w:val="auto"/>
                <w:kern w:val="2"/>
                <w:sz w:val="24"/>
                <w:szCs w:val="24"/>
                <w:highlight w:val="none"/>
                <w:lang w:val="en-US" w:eastAsia="zh-CN" w:bidi="ar-SA"/>
              </w:rPr>
              <w:t>%。本项目的环保投资估算见表2-</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w:t>
            </w:r>
          </w:p>
          <w:p>
            <w:pPr>
              <w:spacing w:line="360" w:lineRule="auto"/>
              <w:jc w:val="center"/>
              <w:rPr>
                <w:rFonts w:hint="default" w:cs="宋体"/>
                <w:b/>
                <w:color w:val="auto"/>
                <w:szCs w:val="21"/>
                <w:highlight w:val="none"/>
                <w:lang w:bidi="ar"/>
              </w:rPr>
            </w:pPr>
            <w:r>
              <w:rPr>
                <w:rFonts w:hint="default" w:cs="宋体"/>
                <w:b/>
                <w:color w:val="auto"/>
                <w:szCs w:val="21"/>
                <w:highlight w:val="none"/>
                <w:lang w:bidi="ar"/>
              </w:rPr>
              <w:t>表</w:t>
            </w:r>
            <w:r>
              <w:rPr>
                <w:rFonts w:hint="eastAsia" w:cs="宋体"/>
                <w:b/>
                <w:color w:val="auto"/>
                <w:szCs w:val="21"/>
                <w:highlight w:val="none"/>
                <w:lang w:val="en-US" w:eastAsia="zh-CN" w:bidi="ar"/>
              </w:rPr>
              <w:t>2</w:t>
            </w:r>
            <w:r>
              <w:rPr>
                <w:rFonts w:hint="default" w:cs="宋体"/>
                <w:b/>
                <w:color w:val="auto"/>
                <w:szCs w:val="21"/>
                <w:highlight w:val="none"/>
                <w:lang w:bidi="ar"/>
              </w:rPr>
              <w:t>-</w:t>
            </w:r>
            <w:r>
              <w:rPr>
                <w:rFonts w:hint="eastAsia" w:cs="宋体"/>
                <w:b/>
                <w:color w:val="auto"/>
                <w:szCs w:val="21"/>
                <w:highlight w:val="none"/>
                <w:lang w:val="en-US" w:eastAsia="zh-CN" w:bidi="ar"/>
              </w:rPr>
              <w:t>5</w:t>
            </w:r>
            <w:r>
              <w:rPr>
                <w:rFonts w:hint="default" w:cs="宋体"/>
                <w:b/>
                <w:color w:val="auto"/>
                <w:szCs w:val="21"/>
                <w:highlight w:val="none"/>
                <w:lang w:bidi="ar"/>
              </w:rPr>
              <w:t xml:space="preserve"> 环境保护投入及资金来源表</w:t>
            </w:r>
            <w:r>
              <w:rPr>
                <w:rFonts w:hint="eastAsia" w:cs="宋体"/>
                <w:b/>
                <w:color w:val="auto"/>
                <w:szCs w:val="21"/>
                <w:highlight w:val="none"/>
                <w:lang w:bidi="ar"/>
              </w:rPr>
              <w:t xml:space="preserve">    单位</w:t>
            </w:r>
            <w:r>
              <w:rPr>
                <w:rFonts w:hint="default" w:cs="宋体"/>
                <w:b/>
                <w:color w:val="auto"/>
                <w:szCs w:val="21"/>
                <w:highlight w:val="none"/>
                <w:lang w:bidi="ar"/>
              </w:rPr>
              <w:t>：万元</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94"/>
              <w:gridCol w:w="731"/>
              <w:gridCol w:w="1384"/>
              <w:gridCol w:w="889"/>
              <w:gridCol w:w="2350"/>
              <w:gridCol w:w="1078"/>
              <w:gridCol w:w="107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532"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实施时段</w:t>
                  </w:r>
                </w:p>
              </w:tc>
              <w:tc>
                <w:tcPr>
                  <w:tcW w:w="435"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1352" w:type="pct"/>
                  <w:gridSpan w:val="2"/>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污染源或污染物</w:t>
                  </w:r>
                </w:p>
              </w:tc>
              <w:tc>
                <w:tcPr>
                  <w:tcW w:w="1397"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污染防治措施或设施</w:t>
                  </w:r>
                </w:p>
              </w:tc>
              <w:tc>
                <w:tcPr>
                  <w:tcW w:w="641"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建设费用</w:t>
                  </w:r>
                </w:p>
              </w:tc>
              <w:tc>
                <w:tcPr>
                  <w:tcW w:w="641" w:type="pct"/>
                  <w:shd w:val="clear" w:color="auto" w:fill="auto"/>
                  <w:vAlign w:val="center"/>
                </w:tcPr>
                <w:p>
                  <w:pPr>
                    <w:jc w:val="center"/>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532" w:type="pct"/>
                  <w:vMerge w:val="restar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项目运行期</w:t>
                  </w:r>
                </w:p>
              </w:tc>
              <w:tc>
                <w:tcPr>
                  <w:tcW w:w="435" w:type="pct"/>
                  <w:vMerge w:val="restar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823" w:type="pct"/>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粉料筒仓呼吸粉尘</w:t>
                  </w:r>
                </w:p>
              </w:tc>
              <w:tc>
                <w:tcPr>
                  <w:tcW w:w="529" w:type="pct"/>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1397" w:type="pct"/>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脉冲袋式除尘器</w:t>
                  </w:r>
                </w:p>
              </w:tc>
              <w:tc>
                <w:tcPr>
                  <w:tcW w:w="641" w:type="pct"/>
                  <w:vAlign w:val="center"/>
                </w:tcPr>
                <w:p>
                  <w:pPr>
                    <w:jc w:val="both"/>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依托现有</w:t>
                  </w:r>
                </w:p>
              </w:tc>
              <w:tc>
                <w:tcPr>
                  <w:tcW w:w="641"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不计入本次投资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532" w:type="pct"/>
                  <w:vMerge w:val="continue"/>
                  <w:vAlign w:val="center"/>
                </w:tcPr>
                <w:p>
                  <w:pPr>
                    <w:jc w:val="center"/>
                    <w:rPr>
                      <w:rFonts w:hint="default" w:ascii="Times New Roman" w:hAnsi="Times New Roman" w:eastAsia="宋体" w:cs="Times New Roman"/>
                      <w:color w:val="auto"/>
                      <w:sz w:val="21"/>
                      <w:szCs w:val="21"/>
                      <w:highlight w:val="none"/>
                    </w:rPr>
                  </w:pPr>
                </w:p>
              </w:tc>
              <w:tc>
                <w:tcPr>
                  <w:tcW w:w="435" w:type="pct"/>
                  <w:vMerge w:val="continue"/>
                  <w:vAlign w:val="center"/>
                </w:tcPr>
                <w:p>
                  <w:pPr>
                    <w:jc w:val="center"/>
                    <w:rPr>
                      <w:rFonts w:hint="default" w:ascii="Times New Roman" w:hAnsi="Times New Roman" w:eastAsia="宋体" w:cs="Times New Roman"/>
                      <w:color w:val="auto"/>
                      <w:sz w:val="21"/>
                      <w:szCs w:val="21"/>
                      <w:highlight w:val="none"/>
                    </w:rPr>
                  </w:pPr>
                </w:p>
              </w:tc>
              <w:tc>
                <w:tcPr>
                  <w:tcW w:w="823"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骨料上料料、卸料及堆放粉尘</w:t>
                  </w:r>
                </w:p>
              </w:tc>
              <w:tc>
                <w:tcPr>
                  <w:tcW w:w="529"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397" w:type="pct"/>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喷淋、密闭管道</w:t>
                  </w:r>
                </w:p>
              </w:tc>
              <w:tc>
                <w:tcPr>
                  <w:tcW w:w="641" w:type="pct"/>
                  <w:vAlign w:val="center"/>
                </w:tcPr>
                <w:p>
                  <w:pPr>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10</w:t>
                  </w:r>
                </w:p>
              </w:tc>
              <w:tc>
                <w:tcPr>
                  <w:tcW w:w="641" w:type="pct"/>
                  <w:vAlign w:val="center"/>
                </w:tcPr>
                <w:p>
                  <w:pPr>
                    <w:jc w:val="center"/>
                    <w:rPr>
                      <w:rFonts w:hint="default" w:ascii="Times New Roman" w:hAnsi="Times New Roman" w:eastAsia="宋体" w:cs="Times New Roman"/>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532" w:type="pct"/>
                  <w:vMerge w:val="continue"/>
                  <w:vAlign w:val="center"/>
                </w:tcPr>
                <w:p>
                  <w:pPr>
                    <w:jc w:val="center"/>
                    <w:rPr>
                      <w:rFonts w:hint="default" w:ascii="Times New Roman" w:hAnsi="Times New Roman" w:eastAsia="宋体" w:cs="Times New Roman"/>
                      <w:color w:val="auto"/>
                      <w:sz w:val="21"/>
                      <w:szCs w:val="21"/>
                      <w:highlight w:val="none"/>
                    </w:rPr>
                  </w:pPr>
                </w:p>
              </w:tc>
              <w:tc>
                <w:tcPr>
                  <w:tcW w:w="435" w:type="pct"/>
                  <w:vMerge w:val="continue"/>
                  <w:vAlign w:val="center"/>
                </w:tcPr>
                <w:p>
                  <w:pPr>
                    <w:jc w:val="center"/>
                    <w:rPr>
                      <w:rFonts w:hint="default" w:ascii="Times New Roman" w:hAnsi="Times New Roman" w:eastAsia="宋体" w:cs="Times New Roman"/>
                      <w:color w:val="auto"/>
                      <w:sz w:val="21"/>
                      <w:szCs w:val="21"/>
                      <w:highlight w:val="none"/>
                    </w:rPr>
                  </w:pPr>
                </w:p>
              </w:tc>
              <w:tc>
                <w:tcPr>
                  <w:tcW w:w="823"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搅拌粉尘</w:t>
                  </w:r>
                </w:p>
              </w:tc>
              <w:tc>
                <w:tcPr>
                  <w:tcW w:w="529"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397"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脉冲袋式除尘器</w:t>
                  </w:r>
                </w:p>
              </w:tc>
              <w:tc>
                <w:tcPr>
                  <w:tcW w:w="641" w:type="pct"/>
                  <w:vAlign w:val="center"/>
                </w:tcPr>
                <w:p>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依托现有</w:t>
                  </w:r>
                </w:p>
              </w:tc>
              <w:tc>
                <w:tcPr>
                  <w:tcW w:w="641" w:type="pct"/>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不计入本次投资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532" w:type="pct"/>
                  <w:vMerge w:val="continue"/>
                  <w:vAlign w:val="center"/>
                </w:tcPr>
                <w:p>
                  <w:pPr>
                    <w:jc w:val="center"/>
                    <w:rPr>
                      <w:rFonts w:hint="default" w:ascii="Times New Roman" w:hAnsi="Times New Roman" w:eastAsia="宋体" w:cs="Times New Roman"/>
                      <w:color w:val="auto"/>
                      <w:sz w:val="21"/>
                      <w:szCs w:val="21"/>
                      <w:highlight w:val="none"/>
                    </w:rPr>
                  </w:pPr>
                </w:p>
              </w:tc>
              <w:tc>
                <w:tcPr>
                  <w:tcW w:w="435" w:type="pct"/>
                  <w:vMerge w:val="continue"/>
                  <w:vAlign w:val="center"/>
                </w:tcPr>
                <w:p>
                  <w:pPr>
                    <w:jc w:val="center"/>
                    <w:rPr>
                      <w:rFonts w:hint="default" w:ascii="Times New Roman" w:hAnsi="Times New Roman" w:eastAsia="宋体" w:cs="Times New Roman"/>
                      <w:color w:val="auto"/>
                      <w:sz w:val="21"/>
                      <w:szCs w:val="21"/>
                      <w:highlight w:val="none"/>
                    </w:rPr>
                  </w:pPr>
                </w:p>
              </w:tc>
              <w:tc>
                <w:tcPr>
                  <w:tcW w:w="823"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运输扬尘</w:t>
                  </w:r>
                </w:p>
              </w:tc>
              <w:tc>
                <w:tcPr>
                  <w:tcW w:w="529"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397"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喷淋</w:t>
                  </w:r>
                </w:p>
              </w:tc>
              <w:tc>
                <w:tcPr>
                  <w:tcW w:w="641" w:type="pct"/>
                  <w:vAlign w:val="center"/>
                </w:tcPr>
                <w:p>
                  <w:pPr>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10</w:t>
                  </w:r>
                </w:p>
              </w:tc>
              <w:tc>
                <w:tcPr>
                  <w:tcW w:w="641" w:type="pct"/>
                  <w:vAlign w:val="center"/>
                </w:tcPr>
                <w:p>
                  <w:pPr>
                    <w:jc w:val="center"/>
                    <w:rPr>
                      <w:rFonts w:hint="default" w:ascii="Times New Roman" w:hAnsi="Times New Roman" w:eastAsia="宋体" w:cs="Times New Roman"/>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55" w:hRule="atLeast"/>
                <w:jc w:val="center"/>
              </w:trPr>
              <w:tc>
                <w:tcPr>
                  <w:tcW w:w="532" w:type="pct"/>
                  <w:vMerge w:val="continue"/>
                  <w:vAlign w:val="center"/>
                </w:tcPr>
                <w:p>
                  <w:pPr>
                    <w:jc w:val="center"/>
                    <w:rPr>
                      <w:rFonts w:hint="default" w:ascii="Times New Roman" w:hAnsi="Times New Roman" w:eastAsia="宋体" w:cs="Times New Roman"/>
                      <w:color w:val="auto"/>
                      <w:sz w:val="21"/>
                      <w:szCs w:val="21"/>
                      <w:highlight w:val="none"/>
                    </w:rPr>
                  </w:pPr>
                </w:p>
              </w:tc>
              <w:tc>
                <w:tcPr>
                  <w:tcW w:w="435"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823"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冲洗废水</w:t>
                  </w:r>
                </w:p>
              </w:tc>
              <w:tc>
                <w:tcPr>
                  <w:tcW w:w="529"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1397" w:type="pct"/>
                  <w:vAlign w:val="center"/>
                </w:tcPr>
                <w:p>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压滤机</w:t>
                  </w:r>
                  <w:r>
                    <w:rPr>
                      <w:rFonts w:hint="eastAsia" w:cs="Times New Roman"/>
                      <w:color w:val="auto"/>
                      <w:sz w:val="21"/>
                      <w:szCs w:val="21"/>
                      <w:highlight w:val="none"/>
                      <w:lang w:val="en-US" w:eastAsia="zh-CN"/>
                    </w:rPr>
                    <w:t>+砂石分离机+三级</w:t>
                  </w:r>
                  <w:r>
                    <w:rPr>
                      <w:rFonts w:hint="eastAsia" w:cs="Times New Roman"/>
                      <w:color w:val="auto"/>
                      <w:sz w:val="21"/>
                      <w:szCs w:val="21"/>
                      <w:highlight w:val="none"/>
                      <w:lang w:eastAsia="zh-CN"/>
                    </w:rPr>
                    <w:t>沉淀池</w:t>
                  </w:r>
                </w:p>
              </w:tc>
              <w:tc>
                <w:tcPr>
                  <w:tcW w:w="641" w:type="pct"/>
                  <w:vAlign w:val="center"/>
                </w:tcPr>
                <w:p>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依托现有</w:t>
                  </w:r>
                </w:p>
              </w:tc>
              <w:tc>
                <w:tcPr>
                  <w:tcW w:w="641"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不计入本次投资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8" w:hRule="atLeast"/>
                <w:jc w:val="center"/>
              </w:trPr>
              <w:tc>
                <w:tcPr>
                  <w:tcW w:w="532" w:type="pct"/>
                  <w:vMerge w:val="continue"/>
                  <w:vAlign w:val="center"/>
                </w:tcPr>
                <w:p>
                  <w:pPr>
                    <w:jc w:val="center"/>
                    <w:rPr>
                      <w:rFonts w:hint="default" w:ascii="Times New Roman" w:hAnsi="Times New Roman" w:eastAsia="宋体" w:cs="Times New Roman"/>
                      <w:color w:val="auto"/>
                      <w:sz w:val="21"/>
                      <w:szCs w:val="21"/>
                      <w:highlight w:val="none"/>
                    </w:rPr>
                  </w:pPr>
                </w:p>
              </w:tc>
              <w:tc>
                <w:tcPr>
                  <w:tcW w:w="435"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352" w:type="pct"/>
                  <w:gridSpan w:val="2"/>
                  <w:vAlign w:val="center"/>
                </w:tcPr>
                <w:p>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搅拌机、</w:t>
                  </w:r>
                  <w:r>
                    <w:rPr>
                      <w:rFonts w:hint="eastAsia" w:cs="Times New Roman"/>
                      <w:color w:val="auto"/>
                      <w:sz w:val="21"/>
                      <w:szCs w:val="21"/>
                      <w:highlight w:val="none"/>
                      <w:lang w:eastAsia="zh-CN"/>
                    </w:rPr>
                    <w:t>输送机等</w:t>
                  </w:r>
                </w:p>
              </w:tc>
              <w:tc>
                <w:tcPr>
                  <w:tcW w:w="1397"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封闭厂房隔声、减振</w:t>
                  </w:r>
                </w:p>
              </w:tc>
              <w:tc>
                <w:tcPr>
                  <w:tcW w:w="641"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641" w:type="pct"/>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532"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环境管理</w:t>
                  </w:r>
                </w:p>
              </w:tc>
              <w:tc>
                <w:tcPr>
                  <w:tcW w:w="3184" w:type="pct"/>
                  <w:gridSpan w:val="4"/>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制定环境管理制度及环保人员</w:t>
                  </w:r>
                </w:p>
              </w:tc>
              <w:tc>
                <w:tcPr>
                  <w:tcW w:w="641"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641" w:type="pct"/>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532"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环境监测</w:t>
                  </w:r>
                </w:p>
              </w:tc>
              <w:tc>
                <w:tcPr>
                  <w:tcW w:w="3184" w:type="pct"/>
                  <w:gridSpan w:val="4"/>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制定环境管理与监测计划</w:t>
                  </w:r>
                </w:p>
              </w:tc>
              <w:tc>
                <w:tcPr>
                  <w:tcW w:w="641"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641" w:type="pct"/>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45" w:hRule="atLeast"/>
                <w:jc w:val="center"/>
              </w:trPr>
              <w:tc>
                <w:tcPr>
                  <w:tcW w:w="3717" w:type="pct"/>
                  <w:gridSpan w:val="5"/>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总计</w:t>
                  </w:r>
                </w:p>
              </w:tc>
              <w:tc>
                <w:tcPr>
                  <w:tcW w:w="641"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w:t>
                  </w:r>
                </w:p>
              </w:tc>
              <w:tc>
                <w:tcPr>
                  <w:tcW w:w="641" w:type="pct"/>
                  <w:vAlign w:val="center"/>
                </w:tcPr>
                <w:p>
                  <w:pPr>
                    <w:jc w:val="center"/>
                    <w:rPr>
                      <w:rFonts w:hint="eastAsia" w:ascii="Times New Roman" w:hAnsi="Times New Roman" w:eastAsia="宋体" w:cs="Times New Roman"/>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lang w:val="en-US" w:eastAsia="zh-CN"/>
              </w:rPr>
              <w:t>辅助工程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供电</w:t>
            </w:r>
          </w:p>
          <w:p>
            <w:pPr>
              <w:keepNext w:val="0"/>
              <w:keepLines w:val="0"/>
              <w:pageBreakBefore w:val="0"/>
              <w:widowControl w:val="0"/>
              <w:tabs>
                <w:tab w:val="left" w:pos="37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本项目电源引自</w:t>
            </w:r>
            <w:r>
              <w:rPr>
                <w:rFonts w:hint="eastAsia" w:cs="Times New Roman"/>
                <w:color w:val="auto"/>
                <w:sz w:val="24"/>
                <w:szCs w:val="24"/>
                <w:highlight w:val="none"/>
                <w:lang w:val="en-US" w:eastAsia="zh-CN"/>
              </w:rPr>
              <w:t>市</w:t>
            </w:r>
            <w:r>
              <w:rPr>
                <w:rFonts w:hint="eastAsia" w:ascii="Times New Roman" w:hAnsi="Times New Roman" w:cs="Times New Roman"/>
                <w:color w:val="auto"/>
                <w:sz w:val="24"/>
                <w:szCs w:val="24"/>
                <w:highlight w:val="none"/>
                <w:lang w:val="en-US" w:eastAsia="zh-CN"/>
              </w:rPr>
              <w:t>政供电线路</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tabs>
                <w:tab w:val="left" w:pos="37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2、采暖及制冷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w:t>
            </w:r>
            <w:r>
              <w:rPr>
                <w:rFonts w:hint="eastAsia" w:cs="Times New Roman"/>
                <w:color w:val="auto"/>
                <w:sz w:val="24"/>
                <w:szCs w:val="24"/>
                <w:highlight w:val="none"/>
                <w:lang w:val="en-US" w:eastAsia="zh-CN"/>
              </w:rPr>
              <w:t>办公生活区</w:t>
            </w:r>
            <w:r>
              <w:rPr>
                <w:rFonts w:hint="default" w:ascii="Times New Roman" w:hAnsi="Times New Roman" w:cs="Times New Roman"/>
                <w:color w:val="auto"/>
                <w:sz w:val="24"/>
                <w:szCs w:val="24"/>
                <w:highlight w:val="none"/>
                <w:lang w:val="en-US" w:eastAsia="zh-CN"/>
              </w:rPr>
              <w:t>供热、制冷均采用分体式空调。</w:t>
            </w:r>
          </w:p>
          <w:p>
            <w:pPr>
              <w:keepNext w:val="0"/>
              <w:keepLines w:val="0"/>
              <w:pageBreakBefore w:val="0"/>
              <w:widowControl w:val="0"/>
              <w:tabs>
                <w:tab w:val="left" w:pos="37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给排水</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给水</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w:t>
            </w:r>
            <w:r>
              <w:rPr>
                <w:rFonts w:hint="eastAsia" w:cs="Times New Roman"/>
                <w:color w:val="auto"/>
                <w:sz w:val="24"/>
                <w:szCs w:val="24"/>
                <w:highlight w:val="none"/>
                <w:lang w:val="en-US" w:eastAsia="zh-CN"/>
              </w:rPr>
              <w:t>用水来自地下水，明确已取得地下水取水许可证</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jc w:val="left"/>
              <w:textAlignment w:val="auto"/>
              <w:rPr>
                <w:rFonts w:hint="eastAsia"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fldChar w:fldCharType="begin"/>
            </w:r>
            <w:r>
              <w:rPr>
                <w:rFonts w:hint="eastAsia" w:ascii="Times New Roman" w:hAnsi="Times New Roman" w:cs="Times New Roman"/>
                <w:b/>
                <w:bCs/>
                <w:color w:val="auto"/>
                <w:sz w:val="24"/>
                <w:szCs w:val="24"/>
                <w:highlight w:val="none"/>
                <w:lang w:val="en-US" w:eastAsia="zh-CN"/>
              </w:rPr>
              <w:instrText xml:space="preserve"> = 1 \* GB3 \* MERGEFORMAT </w:instrText>
            </w:r>
            <w:r>
              <w:rPr>
                <w:rFonts w:hint="eastAsia" w:ascii="Times New Roman" w:hAnsi="Times New Roman" w:cs="Times New Roman"/>
                <w:b/>
                <w:bCs/>
                <w:color w:val="auto"/>
                <w:sz w:val="24"/>
                <w:szCs w:val="24"/>
                <w:highlight w:val="none"/>
                <w:lang w:val="en-US" w:eastAsia="zh-CN"/>
              </w:rPr>
              <w:fldChar w:fldCharType="separate"/>
            </w:r>
            <w:r>
              <w:rPr>
                <w:rFonts w:hint="eastAsia" w:ascii="Times New Roman" w:hAnsi="Times New Roman" w:cs="Times New Roman"/>
                <w:b/>
                <w:bCs/>
                <w:color w:val="auto"/>
                <w:sz w:val="24"/>
                <w:szCs w:val="24"/>
                <w:highlight w:val="none"/>
                <w:lang w:val="en-US" w:eastAsia="zh-CN"/>
              </w:rPr>
              <w:t>①</w:t>
            </w:r>
            <w:r>
              <w:rPr>
                <w:rFonts w:hint="eastAsia" w:ascii="Times New Roman" w:hAnsi="Times New Roman" w:cs="Times New Roman"/>
                <w:b/>
                <w:bCs/>
                <w:color w:val="auto"/>
                <w:sz w:val="24"/>
                <w:szCs w:val="24"/>
                <w:highlight w:val="none"/>
                <w:lang w:val="en-US" w:eastAsia="zh-CN"/>
              </w:rPr>
              <w:fldChar w:fldCharType="end"/>
            </w:r>
            <w:r>
              <w:rPr>
                <w:rFonts w:hint="eastAsia" w:cs="Times New Roman"/>
                <w:b/>
                <w:bCs/>
                <w:color w:val="auto"/>
                <w:sz w:val="24"/>
                <w:szCs w:val="24"/>
                <w:highlight w:val="none"/>
                <w:lang w:val="en-US" w:eastAsia="zh-CN"/>
              </w:rPr>
              <w:t>生活用水</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本次扩建项目不新增员工，因此不新增生活污水。</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原有项目员工共51人，其中20人住在厂区食宿。根据建设单位提供资料，项目生活用水量2m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/d，600m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/a。废水按用水量的80%计，则生活污水量1.6m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/d，480m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/a，经油水分离器及化粪池处理，定期清掏拉运。生活污水中主要污染物为COD、BOD</w:t>
            </w:r>
            <w:r>
              <w:rPr>
                <w:rFonts w:hint="eastAsia" w:cs="Times New Roman"/>
                <w:color w:val="auto"/>
                <w:sz w:val="24"/>
                <w:szCs w:val="24"/>
                <w:highlight w:val="none"/>
                <w:vertAlign w:val="subscript"/>
                <w:lang w:val="en-US" w:eastAsia="zh-CN"/>
              </w:rPr>
              <w:t>5</w:t>
            </w:r>
            <w:r>
              <w:rPr>
                <w:rFonts w:hint="eastAsia" w:cs="Times New Roman"/>
                <w:color w:val="auto"/>
                <w:sz w:val="24"/>
                <w:szCs w:val="24"/>
                <w:highlight w:val="none"/>
                <w:lang w:val="en-US" w:eastAsia="zh-CN"/>
              </w:rPr>
              <w:t>、SS和NH</w:t>
            </w:r>
            <w:r>
              <w:rPr>
                <w:rFonts w:hint="eastAsia" w:cs="Times New Roman"/>
                <w:color w:val="auto"/>
                <w:sz w:val="24"/>
                <w:szCs w:val="24"/>
                <w:highlight w:val="none"/>
                <w:vertAlign w:val="subscript"/>
                <w:lang w:val="en-US" w:eastAsia="zh-CN"/>
              </w:rPr>
              <w:t>3</w:t>
            </w:r>
            <w:r>
              <w:rPr>
                <w:rFonts w:hint="eastAsia" w:cs="Times New Roman"/>
                <w:color w:val="auto"/>
                <w:sz w:val="24"/>
                <w:szCs w:val="24"/>
                <w:highlight w:val="none"/>
                <w:lang w:val="en-US" w:eastAsia="zh-CN"/>
              </w:rPr>
              <w:t>-N等。</w:t>
            </w:r>
          </w:p>
          <w:p>
            <w:pPr>
              <w:pStyle w:val="63"/>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jc w:val="left"/>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fldChar w:fldCharType="begin"/>
            </w:r>
            <w:r>
              <w:rPr>
                <w:rFonts w:hint="eastAsia" w:ascii="Times New Roman" w:hAnsi="Times New Roman" w:eastAsia="宋体" w:cs="Times New Roman"/>
                <w:b/>
                <w:bCs/>
                <w:color w:val="auto"/>
                <w:kern w:val="2"/>
                <w:sz w:val="24"/>
                <w:szCs w:val="24"/>
                <w:highlight w:val="none"/>
                <w:lang w:val="en-US" w:eastAsia="zh-CN" w:bidi="ar-SA"/>
              </w:rPr>
              <w:instrText xml:space="preserve"> = 2 \* GB3 \* MERGEFORMAT </w:instrText>
            </w:r>
            <w:r>
              <w:rPr>
                <w:rFonts w:hint="eastAsia" w:ascii="Times New Roman" w:hAnsi="Times New Roman" w:eastAsia="宋体" w:cs="Times New Roman"/>
                <w:b/>
                <w:bCs/>
                <w:color w:val="auto"/>
                <w:kern w:val="2"/>
                <w:sz w:val="24"/>
                <w:szCs w:val="24"/>
                <w:highlight w:val="none"/>
                <w:lang w:val="en-US" w:eastAsia="zh-CN" w:bidi="ar-SA"/>
              </w:rPr>
              <w:fldChar w:fldCharType="separate"/>
            </w:r>
            <w:r>
              <w:rPr>
                <w:rFonts w:hint="eastAsia" w:ascii="Times New Roman" w:hAnsi="Times New Roman" w:eastAsia="宋体" w:cs="Times New Roman"/>
                <w:b/>
                <w:bCs/>
                <w:color w:val="auto"/>
                <w:kern w:val="2"/>
                <w:sz w:val="24"/>
                <w:szCs w:val="24"/>
                <w:highlight w:val="none"/>
                <w:lang w:val="en-US" w:eastAsia="zh-CN" w:bidi="ar-SA"/>
              </w:rPr>
              <w:t>②</w:t>
            </w:r>
            <w:r>
              <w:rPr>
                <w:rFonts w:hint="eastAsia" w:ascii="Times New Roman" w:hAnsi="Times New Roman" w:eastAsia="宋体" w:cs="Times New Roman"/>
                <w:b/>
                <w:bCs/>
                <w:color w:val="auto"/>
                <w:kern w:val="2"/>
                <w:sz w:val="24"/>
                <w:szCs w:val="24"/>
                <w:highlight w:val="none"/>
                <w:lang w:val="en-US" w:eastAsia="zh-CN" w:bidi="ar-SA"/>
              </w:rPr>
              <w:fldChar w:fldCharType="end"/>
            </w:r>
            <w:r>
              <w:rPr>
                <w:rFonts w:hint="eastAsia" w:ascii="Times New Roman" w:hAnsi="Times New Roman" w:eastAsia="宋体" w:cs="Times New Roman"/>
                <w:b/>
                <w:bCs/>
                <w:color w:val="auto"/>
                <w:kern w:val="2"/>
                <w:sz w:val="24"/>
                <w:szCs w:val="24"/>
                <w:highlight w:val="none"/>
                <w:lang w:val="en-US" w:eastAsia="zh-CN" w:bidi="ar-SA"/>
              </w:rPr>
              <w:t>生产用水</w:t>
            </w:r>
          </w:p>
          <w:p>
            <w:pPr>
              <w:pStyle w:val="63"/>
              <w:keepNext w:val="0"/>
              <w:keepLines w:val="0"/>
              <w:pageBreakBefore w:val="0"/>
              <w:widowControl w:val="0"/>
              <w:kinsoku/>
              <w:wordWrap/>
              <w:overflowPunct/>
              <w:topLinePunct w:val="0"/>
              <w:autoSpaceDE/>
              <w:autoSpaceDN/>
              <w:bidi w:val="0"/>
              <w:adjustRightInd w:val="0"/>
              <w:snapToGrid w:val="0"/>
              <w:spacing w:line="360" w:lineRule="auto"/>
              <w:ind w:left="0" w:right="0" w:firstLine="476" w:firstLineChars="200"/>
              <w:jc w:val="both"/>
              <w:textAlignment w:val="auto"/>
              <w:rPr>
                <w:rFonts w:hint="default" w:ascii="Times New Roman" w:hAnsi="Times New Roman" w:cs="Times New Roman"/>
                <w:color w:val="auto"/>
                <w:sz w:val="24"/>
                <w:highlight w:val="none"/>
              </w:rPr>
            </w:pPr>
            <w:r>
              <w:rPr>
                <w:color w:val="auto"/>
                <w:spacing w:val="-1"/>
                <w:sz w:val="24"/>
                <w:highlight w:val="none"/>
              </w:rPr>
              <w:t>本项目搅拌过程中需要加水拌和，根据企业提供的配比资料，每</w:t>
            </w:r>
            <w:r>
              <w:rPr>
                <w:rFonts w:hint="eastAsia" w:ascii="Times New Roman" w:eastAsia="宋体"/>
                <w:color w:val="auto"/>
                <w:sz w:val="24"/>
                <w:highlight w:val="none"/>
                <w:lang w:eastAsia="zh-CN"/>
              </w:rPr>
              <w:t>立方米</w:t>
            </w:r>
            <w:r>
              <w:rPr>
                <w:rFonts w:hint="eastAsia"/>
                <w:color w:val="auto"/>
                <w:spacing w:val="-1"/>
                <w:sz w:val="24"/>
                <w:highlight w:val="none"/>
                <w:lang w:eastAsia="zh-CN"/>
              </w:rPr>
              <w:t>商品混凝</w:t>
            </w:r>
            <w:r>
              <w:rPr>
                <w:rFonts w:hint="default" w:ascii="Times New Roman" w:hAnsi="Times New Roman" w:cs="Times New Roman"/>
                <w:color w:val="auto"/>
                <w:spacing w:val="-1"/>
                <w:sz w:val="24"/>
                <w:highlight w:val="none"/>
                <w:lang w:eastAsia="zh-CN"/>
              </w:rPr>
              <w:t>土</w:t>
            </w:r>
            <w:r>
              <w:rPr>
                <w:rFonts w:hint="default" w:ascii="Times New Roman" w:hAnsi="Times New Roman" w:cs="Times New Roman"/>
                <w:color w:val="auto"/>
                <w:spacing w:val="-9"/>
                <w:sz w:val="24"/>
                <w:highlight w:val="none"/>
              </w:rPr>
              <w:t>需要</w:t>
            </w:r>
            <w:r>
              <w:rPr>
                <w:rFonts w:hint="default" w:ascii="Times New Roman" w:hAnsi="Times New Roman" w:eastAsia="Times New Roman" w:cs="Times New Roman"/>
                <w:color w:val="auto"/>
                <w:sz w:val="24"/>
                <w:highlight w:val="none"/>
              </w:rPr>
              <w:t>0.1</w:t>
            </w:r>
            <w:r>
              <w:rPr>
                <w:rFonts w:hint="default" w:ascii="Times New Roman" w:hAnsi="Times New Roman" w:eastAsia="宋体" w:cs="Times New Roman"/>
                <w:color w:val="auto"/>
                <w:sz w:val="24"/>
                <w:highlight w:val="none"/>
                <w:lang w:val="en-US" w:eastAsia="zh-CN"/>
              </w:rPr>
              <w:t>吨</w:t>
            </w:r>
            <w:r>
              <w:rPr>
                <w:rFonts w:hint="default" w:ascii="Times New Roman" w:hAnsi="Times New Roman" w:cs="Times New Roman"/>
                <w:color w:val="auto"/>
                <w:spacing w:val="-9"/>
                <w:sz w:val="24"/>
                <w:highlight w:val="none"/>
              </w:rPr>
              <w:t>水，则年生产</w:t>
            </w:r>
            <w:r>
              <w:rPr>
                <w:rFonts w:hint="eastAsia" w:ascii="Times New Roman" w:hAnsi="Times New Roman" w:cs="Times New Roman"/>
                <w:color w:val="auto"/>
                <w:sz w:val="24"/>
                <w:highlight w:val="none"/>
                <w:lang w:val="en-US" w:eastAsia="zh-CN"/>
              </w:rPr>
              <w:t>25</w:t>
            </w:r>
            <w:r>
              <w:rPr>
                <w:rFonts w:hint="default" w:ascii="Times New Roman" w:hAnsi="Times New Roman" w:cs="Times New Roman"/>
                <w:color w:val="auto"/>
                <w:spacing w:val="-4"/>
                <w:sz w:val="24"/>
                <w:highlight w:val="none"/>
              </w:rPr>
              <w:t>万</w:t>
            </w:r>
            <w:r>
              <w:rPr>
                <w:rFonts w:hint="default" w:ascii="Times New Roman" w:hAnsi="Times New Roman" w:eastAsia="Times New Roman" w:cs="Times New Roman"/>
                <w:color w:val="auto"/>
                <w:sz w:val="24"/>
                <w:highlight w:val="none"/>
              </w:rPr>
              <w:t>m</w:t>
            </w:r>
            <w:r>
              <w:rPr>
                <w:rFonts w:hint="default" w:ascii="Times New Roman" w:hAnsi="Times New Roman" w:eastAsia="Times New Roman" w:cs="Times New Roman"/>
                <w:color w:val="auto"/>
                <w:position w:val="8"/>
                <w:sz w:val="15"/>
                <w:highlight w:val="none"/>
              </w:rPr>
              <w:t>3</w:t>
            </w:r>
            <w:r>
              <w:rPr>
                <w:rFonts w:hint="eastAsia"/>
                <w:color w:val="auto"/>
                <w:spacing w:val="-1"/>
                <w:sz w:val="24"/>
                <w:highlight w:val="none"/>
                <w:lang w:eastAsia="zh-CN"/>
              </w:rPr>
              <w:t>商品混凝</w:t>
            </w:r>
            <w:r>
              <w:rPr>
                <w:rFonts w:hint="default" w:ascii="Times New Roman" w:hAnsi="Times New Roman" w:cs="Times New Roman"/>
                <w:color w:val="auto"/>
                <w:spacing w:val="-1"/>
                <w:sz w:val="24"/>
                <w:highlight w:val="none"/>
                <w:lang w:eastAsia="zh-CN"/>
              </w:rPr>
              <w:t>土</w:t>
            </w:r>
            <w:r>
              <w:rPr>
                <w:rFonts w:hint="default" w:ascii="Times New Roman" w:hAnsi="Times New Roman" w:cs="Times New Roman"/>
                <w:color w:val="auto"/>
                <w:spacing w:val="-4"/>
                <w:sz w:val="24"/>
                <w:highlight w:val="none"/>
              </w:rPr>
              <w:t>，年生产用水量为</w:t>
            </w:r>
            <w:r>
              <w:rPr>
                <w:rFonts w:hint="eastAsia" w:ascii="Times New Roman" w:hAnsi="Times New Roman" w:cs="Times New Roman"/>
                <w:color w:val="auto"/>
                <w:spacing w:val="-17"/>
                <w:sz w:val="24"/>
                <w:highlight w:val="none"/>
                <w:lang w:val="en-US" w:eastAsia="zh-CN"/>
              </w:rPr>
              <w:t>2.5</w:t>
            </w:r>
            <w:r>
              <w:rPr>
                <w:rFonts w:hint="default" w:ascii="Times New Roman" w:hAnsi="Times New Roman" w:cs="Times New Roman"/>
                <w:color w:val="auto"/>
                <w:spacing w:val="-30"/>
                <w:sz w:val="24"/>
                <w:highlight w:val="none"/>
              </w:rPr>
              <w:t>万</w:t>
            </w:r>
            <w:r>
              <w:rPr>
                <w:rFonts w:hint="default" w:ascii="Times New Roman" w:hAnsi="Times New Roman" w:eastAsia="宋体" w:cs="Times New Roman"/>
                <w:color w:val="auto"/>
                <w:sz w:val="24"/>
                <w:highlight w:val="none"/>
                <w:lang w:eastAsia="zh-CN"/>
              </w:rPr>
              <w:t>吨即</w:t>
            </w:r>
            <w:r>
              <w:rPr>
                <w:rFonts w:hint="eastAsia" w:ascii="Times New Roman" w:hAnsi="Times New Roman" w:cs="Times New Roman"/>
                <w:color w:val="auto"/>
                <w:sz w:val="24"/>
                <w:highlight w:val="none"/>
                <w:lang w:val="en-US" w:eastAsia="zh-CN"/>
              </w:rPr>
              <w:t>25</w:t>
            </w:r>
            <w:r>
              <w:rPr>
                <w:rFonts w:hint="default" w:ascii="Times New Roman" w:hAnsi="Times New Roman" w:eastAsia="宋体" w:cs="Times New Roman"/>
                <w:color w:val="auto"/>
                <w:sz w:val="24"/>
                <w:highlight w:val="none"/>
                <w:lang w:val="en-US" w:eastAsia="zh-CN"/>
              </w:rPr>
              <w:t>000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highlight w:val="none"/>
              </w:rPr>
              <w:t>，该部分用水全部进入产品</w:t>
            </w:r>
            <w:r>
              <w:rPr>
                <w:rFonts w:hint="eastAsia" w:ascii="Times New Roman" w:hAnsi="Times New Roman" w:cs="Times New Roman"/>
                <w:color w:val="auto"/>
                <w:sz w:val="24"/>
                <w:highlight w:val="none"/>
                <w:lang w:eastAsia="zh-CN"/>
              </w:rPr>
              <w:t>，不产生废水</w:t>
            </w:r>
            <w:r>
              <w:rPr>
                <w:rFonts w:hint="default" w:ascii="Times New Roman" w:hAnsi="Times New Roman" w:cs="Times New Roman"/>
                <w:color w:val="auto"/>
                <w:sz w:val="24"/>
                <w:highlight w:val="none"/>
              </w:rPr>
              <w:t>。</w:t>
            </w:r>
          </w:p>
          <w:p>
            <w:pPr>
              <w:spacing w:line="360" w:lineRule="auto"/>
              <w:ind w:firstLine="482" w:firstLineChars="200"/>
              <w:jc w:val="left"/>
              <w:rPr>
                <w:b/>
                <w:bCs/>
                <w:color w:val="auto"/>
                <w:szCs w:val="21"/>
                <w:highlight w:val="none"/>
              </w:rPr>
            </w:pPr>
            <w:r>
              <w:rPr>
                <w:rFonts w:hint="default" w:ascii="Times New Roman" w:hAnsi="Times New Roman" w:eastAsia="宋体" w:cs="Times New Roman"/>
                <w:b/>
                <w:bCs/>
                <w:color w:val="auto"/>
                <w:kern w:val="2"/>
                <w:sz w:val="24"/>
                <w:szCs w:val="24"/>
                <w:highlight w:val="none"/>
                <w:lang w:val="en-US" w:eastAsia="zh-CN" w:bidi="ar-SA"/>
              </w:rPr>
              <w:fldChar w:fldCharType="begin"/>
            </w:r>
            <w:r>
              <w:rPr>
                <w:rFonts w:hint="default" w:ascii="Times New Roman" w:hAnsi="Times New Roman" w:eastAsia="宋体" w:cs="Times New Roman"/>
                <w:b/>
                <w:bCs/>
                <w:color w:val="auto"/>
                <w:kern w:val="2"/>
                <w:sz w:val="24"/>
                <w:szCs w:val="24"/>
                <w:highlight w:val="none"/>
                <w:lang w:val="en-US" w:eastAsia="zh-CN" w:bidi="ar-SA"/>
              </w:rPr>
              <w:instrText xml:space="preserve"> = 3 \* GB3 \* MERGEFORMAT </w:instrText>
            </w:r>
            <w:r>
              <w:rPr>
                <w:rFonts w:hint="default" w:ascii="Times New Roman" w:hAnsi="Times New Roman" w:eastAsia="宋体" w:cs="Times New Roman"/>
                <w:b/>
                <w:bCs/>
                <w:color w:val="auto"/>
                <w:kern w:val="2"/>
                <w:sz w:val="24"/>
                <w:szCs w:val="24"/>
                <w:highlight w:val="none"/>
                <w:lang w:val="en-US" w:eastAsia="zh-CN" w:bidi="ar-SA"/>
              </w:rPr>
              <w:fldChar w:fldCharType="separate"/>
            </w:r>
            <w:r>
              <w:rPr>
                <w:rFonts w:hint="default" w:ascii="Times New Roman" w:hAnsi="Times New Roman" w:eastAsia="宋体" w:cs="Times New Roman"/>
                <w:b/>
                <w:bCs/>
                <w:color w:val="auto"/>
                <w:kern w:val="2"/>
                <w:sz w:val="24"/>
                <w:szCs w:val="24"/>
                <w:highlight w:val="none"/>
                <w:lang w:val="en-US" w:eastAsia="zh-CN" w:bidi="ar-SA"/>
              </w:rPr>
              <w:t>③</w:t>
            </w:r>
            <w:r>
              <w:rPr>
                <w:rFonts w:hint="default" w:ascii="Times New Roman" w:hAnsi="Times New Roman" w:eastAsia="宋体" w:cs="Times New Roman"/>
                <w:b/>
                <w:bCs/>
                <w:color w:val="auto"/>
                <w:kern w:val="2"/>
                <w:sz w:val="24"/>
                <w:szCs w:val="24"/>
                <w:highlight w:val="none"/>
                <w:lang w:val="en-US" w:eastAsia="zh-CN" w:bidi="ar-SA"/>
              </w:rPr>
              <w:fldChar w:fldCharType="end"/>
            </w:r>
            <w:r>
              <w:rPr>
                <w:rFonts w:hint="eastAsia" w:ascii="Times New Roman" w:hAnsi="Times New Roman" w:eastAsia="宋体" w:cs="Times New Roman"/>
                <w:b/>
                <w:bCs/>
                <w:color w:val="auto"/>
                <w:kern w:val="2"/>
                <w:sz w:val="24"/>
                <w:szCs w:val="24"/>
                <w:highlight w:val="none"/>
                <w:lang w:val="en-US" w:eastAsia="zh-CN" w:bidi="ar-SA"/>
              </w:rPr>
              <w:t>搅拌机及混凝土搅拌运输车辆清洗用水</w:t>
            </w:r>
          </w:p>
          <w:p>
            <w:pPr>
              <w:pStyle w:val="85"/>
              <w:ind w:firstLine="42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项目搅拌机在每天搅拌混凝土放空完后，需要对搅拌机进行冲洗，根据建设单位提供资料，项目搅拌机冲洗水为3.6m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/d（1080m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/a）。废水产生量按用水量的80%计，搅拌机冲洗废水产生量为2.88m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/d（864m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/a），冲洗水全部进入</w:t>
            </w:r>
            <w:r>
              <w:rPr>
                <w:rFonts w:hint="eastAsia" w:ascii="Times New Roman" w:hAnsi="Times New Roman" w:cs="Times New Roman"/>
                <w:color w:val="auto"/>
                <w:kern w:val="2"/>
                <w:sz w:val="24"/>
                <w:szCs w:val="24"/>
                <w:highlight w:val="none"/>
                <w:lang w:val="en-US" w:eastAsia="zh-CN" w:bidi="ar-SA"/>
              </w:rPr>
              <w:t>沉淀池处理后</w:t>
            </w:r>
            <w:r>
              <w:rPr>
                <w:rFonts w:hint="eastAsia" w:ascii="Times New Roman" w:hAnsi="Times New Roman" w:eastAsia="宋体" w:cs="Times New Roman"/>
                <w:color w:val="auto"/>
                <w:kern w:val="2"/>
                <w:sz w:val="24"/>
                <w:szCs w:val="24"/>
                <w:highlight w:val="none"/>
                <w:lang w:val="en-US" w:eastAsia="zh-CN" w:bidi="ar-SA"/>
              </w:rPr>
              <w:t>回用于搅拌机</w:t>
            </w:r>
            <w:r>
              <w:rPr>
                <w:rFonts w:hint="eastAsia" w:ascii="Times New Roman" w:hAnsi="Times New Roman" w:cs="Times New Roman"/>
                <w:color w:val="auto"/>
                <w:kern w:val="2"/>
                <w:sz w:val="24"/>
                <w:szCs w:val="24"/>
                <w:highlight w:val="none"/>
                <w:lang w:val="en-US" w:eastAsia="zh-CN" w:bidi="ar-SA"/>
              </w:rPr>
              <w:t>冲洗</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定期补充新鲜水量。</w:t>
            </w:r>
          </w:p>
          <w:p>
            <w:pPr>
              <w:pStyle w:val="85"/>
              <w:ind w:firstLine="42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混凝土搅拌运输车每天拉运完后需要对车辆内部进行冲洗，车辆清洗用水为0.4m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/辆车，运输车辆为</w:t>
            </w:r>
            <w:r>
              <w:rPr>
                <w:rFonts w:hint="eastAsia" w:cs="Times New Roman"/>
                <w:color w:val="auto"/>
                <w:kern w:val="2"/>
                <w:sz w:val="24"/>
                <w:szCs w:val="24"/>
                <w:highlight w:val="none"/>
                <w:lang w:val="en-US" w:eastAsia="zh-CN" w:bidi="ar-SA"/>
              </w:rPr>
              <w:t>1</w:t>
            </w:r>
            <w:r>
              <w:rPr>
                <w:rFonts w:hint="eastAsia" w:ascii="Times New Roman" w:hAnsi="Times New Roman"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辆车，冲洗用水量为</w:t>
            </w:r>
            <w:r>
              <w:rPr>
                <w:rFonts w:hint="eastAsia" w:cs="Times New Roman"/>
                <w:color w:val="auto"/>
                <w:kern w:val="2"/>
                <w:sz w:val="24"/>
                <w:szCs w:val="24"/>
                <w:highlight w:val="none"/>
                <w:lang w:val="en-US" w:eastAsia="zh-CN" w:bidi="ar-SA"/>
              </w:rPr>
              <w:t>1800</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r>
              <w:rPr>
                <w:rFonts w:hint="eastAsia" w:cs="Times New Roman"/>
                <w:color w:val="auto"/>
                <w:kern w:val="2"/>
                <w:sz w:val="24"/>
                <w:szCs w:val="24"/>
                <w:highlight w:val="none"/>
                <w:lang w:val="en-US" w:eastAsia="zh-CN" w:bidi="ar-SA"/>
              </w:rPr>
              <w:t>6</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/d）。废水产生量按用水量的80%计，混凝土搅拌运输车冲洗废水产生量为</w:t>
            </w:r>
            <w:r>
              <w:rPr>
                <w:rFonts w:hint="eastAsia" w:cs="Times New Roman"/>
                <w:color w:val="auto"/>
                <w:kern w:val="2"/>
                <w:sz w:val="24"/>
                <w:szCs w:val="24"/>
                <w:highlight w:val="none"/>
                <w:lang w:val="en-US" w:eastAsia="zh-CN" w:bidi="ar-SA"/>
              </w:rPr>
              <w:t>144</w:t>
            </w:r>
            <w:r>
              <w:rPr>
                <w:rFonts w:hint="eastAsia" w:ascii="Times New Roman" w:hAnsi="Times New Roman" w:cs="Times New Roman"/>
                <w:color w:val="auto"/>
                <w:kern w:val="2"/>
                <w:sz w:val="24"/>
                <w:szCs w:val="24"/>
                <w:highlight w:val="none"/>
                <w:lang w:val="en-US" w:eastAsia="zh-CN" w:bidi="ar-SA"/>
              </w:rPr>
              <w:t>0</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a（</w:t>
            </w:r>
            <w:r>
              <w:rPr>
                <w:rFonts w:hint="eastAsia" w:cs="Times New Roman"/>
                <w:color w:val="auto"/>
                <w:kern w:val="2"/>
                <w:sz w:val="24"/>
                <w:szCs w:val="24"/>
                <w:highlight w:val="none"/>
                <w:lang w:val="en-US" w:eastAsia="zh-CN" w:bidi="ar-SA"/>
              </w:rPr>
              <w:t>4.8</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冲洗水全部进入</w:t>
            </w:r>
            <w:r>
              <w:rPr>
                <w:rFonts w:hint="eastAsia" w:ascii="Times New Roman" w:hAnsi="Times New Roman" w:cs="Times New Roman"/>
                <w:color w:val="auto"/>
                <w:kern w:val="2"/>
                <w:sz w:val="24"/>
                <w:szCs w:val="24"/>
                <w:highlight w:val="none"/>
                <w:lang w:val="en-US" w:eastAsia="zh-CN" w:bidi="ar-SA"/>
              </w:rPr>
              <w:t>沉淀池处理后回用于搅拌机及混凝土搅拌运输车辆清洗</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定期补充新鲜水量。</w:t>
            </w:r>
          </w:p>
          <w:p>
            <w:pPr>
              <w:spacing w:line="360" w:lineRule="auto"/>
              <w:ind w:firstLine="482" w:firstLineChars="200"/>
              <w:jc w:val="left"/>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fldChar w:fldCharType="begin"/>
            </w:r>
            <w:r>
              <w:rPr>
                <w:rFonts w:hint="default" w:ascii="Times New Roman" w:hAnsi="Times New Roman" w:eastAsia="宋体" w:cs="Times New Roman"/>
                <w:b/>
                <w:bCs/>
                <w:color w:val="auto"/>
                <w:kern w:val="2"/>
                <w:sz w:val="24"/>
                <w:szCs w:val="24"/>
                <w:highlight w:val="none"/>
                <w:lang w:val="en-US" w:eastAsia="zh-CN" w:bidi="ar-SA"/>
              </w:rPr>
              <w:instrText xml:space="preserve"> </w:instrText>
            </w:r>
            <w:r>
              <w:rPr>
                <w:rFonts w:hint="eastAsia" w:ascii="Times New Roman" w:hAnsi="Times New Roman" w:eastAsia="宋体" w:cs="Times New Roman"/>
                <w:b/>
                <w:bCs/>
                <w:color w:val="auto"/>
                <w:kern w:val="2"/>
                <w:sz w:val="24"/>
                <w:szCs w:val="24"/>
                <w:highlight w:val="none"/>
                <w:lang w:val="en-US" w:eastAsia="zh-CN" w:bidi="ar-SA"/>
              </w:rPr>
              <w:instrText xml:space="preserve">= 4 \* GB3</w:instrText>
            </w:r>
            <w:r>
              <w:rPr>
                <w:rFonts w:hint="default" w:ascii="Times New Roman" w:hAnsi="Times New Roman" w:eastAsia="宋体" w:cs="Times New Roman"/>
                <w:b/>
                <w:bCs/>
                <w:color w:val="auto"/>
                <w:kern w:val="2"/>
                <w:sz w:val="24"/>
                <w:szCs w:val="24"/>
                <w:highlight w:val="none"/>
                <w:lang w:val="en-US" w:eastAsia="zh-CN" w:bidi="ar-SA"/>
              </w:rPr>
              <w:instrText xml:space="preserve"> </w:instrText>
            </w:r>
            <w:r>
              <w:rPr>
                <w:rFonts w:hint="default" w:ascii="Times New Roman" w:hAnsi="Times New Roman" w:eastAsia="宋体" w:cs="Times New Roman"/>
                <w:b/>
                <w:bCs/>
                <w:color w:val="auto"/>
                <w:kern w:val="2"/>
                <w:sz w:val="24"/>
                <w:szCs w:val="24"/>
                <w:highlight w:val="none"/>
                <w:lang w:val="en-US" w:eastAsia="zh-CN" w:bidi="ar-SA"/>
              </w:rPr>
              <w:fldChar w:fldCharType="separate"/>
            </w:r>
            <w:r>
              <w:rPr>
                <w:rFonts w:hint="eastAsia" w:ascii="Times New Roman" w:hAnsi="Times New Roman" w:eastAsia="宋体" w:cs="Times New Roman"/>
                <w:b/>
                <w:bCs/>
                <w:color w:val="auto"/>
                <w:kern w:val="2"/>
                <w:sz w:val="24"/>
                <w:szCs w:val="24"/>
                <w:highlight w:val="none"/>
                <w:lang w:val="en-US" w:eastAsia="zh-CN" w:bidi="ar-SA"/>
              </w:rPr>
              <w:t>④</w:t>
            </w:r>
            <w:r>
              <w:rPr>
                <w:rFonts w:hint="default" w:ascii="Times New Roman" w:hAnsi="Times New Roman" w:eastAsia="宋体" w:cs="Times New Roman"/>
                <w:b/>
                <w:bCs/>
                <w:color w:val="auto"/>
                <w:kern w:val="2"/>
                <w:sz w:val="24"/>
                <w:szCs w:val="24"/>
                <w:highlight w:val="none"/>
                <w:lang w:val="en-US" w:eastAsia="zh-CN" w:bidi="ar-SA"/>
              </w:rPr>
              <w:fldChar w:fldCharType="end"/>
            </w:r>
            <w:r>
              <w:rPr>
                <w:rFonts w:hint="eastAsia" w:ascii="Times New Roman" w:hAnsi="Times New Roman" w:eastAsia="宋体" w:cs="Times New Roman"/>
                <w:b/>
                <w:bCs/>
                <w:color w:val="auto"/>
                <w:kern w:val="2"/>
                <w:sz w:val="24"/>
                <w:szCs w:val="24"/>
                <w:highlight w:val="none"/>
                <w:lang w:val="en-US" w:eastAsia="zh-CN" w:bidi="ar-SA"/>
              </w:rPr>
              <w:t>运输车辆进出门口清洗用水</w:t>
            </w:r>
          </w:p>
          <w:p>
            <w:pPr>
              <w:pStyle w:val="85"/>
              <w:ind w:firstLine="42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为保持运输车辆清洁，减少道路扬尘产生，厂区进出口处设置车辆冲洗台，对进出厂车辆轮胎进行冲洗，车辆冲洗水量约为40L/辆，项目预计平均每天进出原料及产品运输车辆约</w:t>
            </w:r>
            <w:r>
              <w:rPr>
                <w:rFonts w:hint="eastAsia" w:cs="Times New Roman"/>
                <w:color w:val="auto"/>
                <w:kern w:val="2"/>
                <w:sz w:val="24"/>
                <w:szCs w:val="24"/>
                <w:highlight w:val="none"/>
                <w:lang w:val="en-US" w:eastAsia="zh-CN" w:bidi="ar-SA"/>
              </w:rPr>
              <w:t>1</w:t>
            </w:r>
            <w:r>
              <w:rPr>
                <w:rFonts w:hint="eastAsia" w:ascii="Times New Roman" w:hAnsi="Times New Roman"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辆，则冲洗车辆为</w:t>
            </w:r>
            <w:r>
              <w:rPr>
                <w:rFonts w:hint="eastAsia" w:cs="Times New Roman"/>
                <w:color w:val="auto"/>
                <w:kern w:val="2"/>
                <w:sz w:val="24"/>
                <w:szCs w:val="24"/>
                <w:highlight w:val="none"/>
                <w:lang w:val="en-US" w:eastAsia="zh-CN" w:bidi="ar-SA"/>
              </w:rPr>
              <w:t>30</w:t>
            </w:r>
            <w:r>
              <w:rPr>
                <w:rFonts w:hint="eastAsia" w:ascii="Times New Roman" w:hAnsi="Times New Roman" w:eastAsia="宋体" w:cs="Times New Roman"/>
                <w:color w:val="auto"/>
                <w:kern w:val="2"/>
                <w:sz w:val="24"/>
                <w:szCs w:val="24"/>
                <w:highlight w:val="none"/>
                <w:lang w:val="en-US" w:eastAsia="zh-CN" w:bidi="ar-SA"/>
              </w:rPr>
              <w:t>辆，</w:t>
            </w:r>
            <w:r>
              <w:rPr>
                <w:rFonts w:hint="eastAsia" w:ascii="Times New Roman" w:hAnsi="Times New Roman" w:cs="Times New Roman"/>
                <w:color w:val="auto"/>
                <w:kern w:val="2"/>
                <w:sz w:val="24"/>
                <w:szCs w:val="24"/>
                <w:highlight w:val="none"/>
                <w:lang w:val="en-US" w:eastAsia="zh-CN" w:bidi="ar-SA"/>
              </w:rPr>
              <w:t>冲洗用水量为</w:t>
            </w:r>
            <w:r>
              <w:rPr>
                <w:rFonts w:hint="eastAsia" w:cs="Times New Roman"/>
                <w:color w:val="auto"/>
                <w:kern w:val="2"/>
                <w:sz w:val="24"/>
                <w:szCs w:val="24"/>
                <w:highlight w:val="none"/>
                <w:lang w:val="en-US" w:eastAsia="zh-CN" w:bidi="ar-SA"/>
              </w:rPr>
              <w:t>1.</w:t>
            </w:r>
            <w:r>
              <w:rPr>
                <w:rFonts w:hint="eastAsia" w:ascii="Times New Roman" w:hAnsi="Times New Roman"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360</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r>
              <w:rPr>
                <w:rFonts w:hint="eastAsia" w:ascii="Times New Roman" w:hAns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废水产生量按用水量的</w:t>
            </w:r>
            <w:r>
              <w:rPr>
                <w:rFonts w:hint="eastAsia" w:ascii="Times New Roman" w:hAnsi="Times New Roman" w:cs="Times New Roman"/>
                <w:color w:val="auto"/>
                <w:kern w:val="2"/>
                <w:sz w:val="24"/>
                <w:szCs w:val="24"/>
                <w:highlight w:val="none"/>
                <w:lang w:val="en-US" w:eastAsia="zh-CN" w:bidi="ar-SA"/>
              </w:rPr>
              <w:t>9</w:t>
            </w:r>
            <w:r>
              <w:rPr>
                <w:rFonts w:hint="eastAsia" w:ascii="Times New Roman" w:hAnsi="Times New Roman" w:eastAsia="宋体" w:cs="Times New Roman"/>
                <w:color w:val="auto"/>
                <w:kern w:val="2"/>
                <w:sz w:val="24"/>
                <w:szCs w:val="24"/>
                <w:highlight w:val="none"/>
                <w:lang w:val="en-US" w:eastAsia="zh-CN" w:bidi="ar-SA"/>
              </w:rPr>
              <w:t>0%计，</w:t>
            </w:r>
            <w:r>
              <w:rPr>
                <w:rFonts w:hint="eastAsia" w:ascii="Times New Roman" w:hAnsi="Times New Roman" w:cs="Times New Roman"/>
                <w:color w:val="auto"/>
                <w:kern w:val="2"/>
                <w:sz w:val="24"/>
                <w:szCs w:val="24"/>
                <w:highlight w:val="none"/>
                <w:lang w:val="en-US" w:eastAsia="zh-CN" w:bidi="ar-SA"/>
              </w:rPr>
              <w:t>废水产生量为1.</w:t>
            </w:r>
            <w:r>
              <w:rPr>
                <w:rFonts w:hint="eastAsia" w:cs="Times New Roman"/>
                <w:color w:val="auto"/>
                <w:kern w:val="2"/>
                <w:sz w:val="24"/>
                <w:szCs w:val="24"/>
                <w:highlight w:val="none"/>
                <w:lang w:val="en-US" w:eastAsia="zh-CN" w:bidi="ar-SA"/>
              </w:rPr>
              <w:t>0</w:t>
            </w:r>
            <w:r>
              <w:rPr>
                <w:rFonts w:hint="eastAsia" w:ascii="Times New Roman" w:hAnsi="Times New Roman" w:cs="Times New Roman"/>
                <w:color w:val="auto"/>
                <w:kern w:val="2"/>
                <w:sz w:val="24"/>
                <w:szCs w:val="24"/>
                <w:highlight w:val="none"/>
                <w:lang w:val="en-US" w:eastAsia="zh-CN" w:bidi="ar-SA"/>
              </w:rPr>
              <w:t>8</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324</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r>
              <w:rPr>
                <w:rFonts w:hint="eastAsia" w:ascii="Times New Roman" w:hAns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车辆冲洗用水排入洗车台自带的沉淀池循环使用不外排，需定期补充，补充量为冲洗水量的10%（0.4</w:t>
            </w:r>
            <w:r>
              <w:rPr>
                <w:rFonts w:hint="eastAsia" w:cs="Times New Roman"/>
                <w:color w:val="auto"/>
                <w:kern w:val="2"/>
                <w:sz w:val="24"/>
                <w:szCs w:val="24"/>
                <w:highlight w:val="none"/>
                <w:lang w:val="en-US" w:eastAsia="zh-CN" w:bidi="ar-SA"/>
              </w:rPr>
              <w:t>L</w:t>
            </w:r>
            <w:r>
              <w:rPr>
                <w:rFonts w:hint="eastAsia" w:ascii="Times New Roman" w:hAnsi="Times New Roman" w:eastAsia="宋体" w:cs="Times New Roman"/>
                <w:color w:val="auto"/>
                <w:kern w:val="2"/>
                <w:sz w:val="24"/>
                <w:szCs w:val="24"/>
                <w:highlight w:val="none"/>
                <w:lang w:val="en-US" w:eastAsia="zh-CN" w:bidi="ar-SA"/>
              </w:rPr>
              <w:t>/辆），则每天补充水量约0.</w:t>
            </w:r>
            <w:r>
              <w:rPr>
                <w:rFonts w:hint="eastAsia" w:cs="Times New Roman"/>
                <w:color w:val="auto"/>
                <w:kern w:val="2"/>
                <w:sz w:val="24"/>
                <w:szCs w:val="24"/>
                <w:highlight w:val="none"/>
                <w:lang w:val="en-US" w:eastAsia="zh-CN" w:bidi="ar-SA"/>
              </w:rPr>
              <w:t>012</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，年补充水量为</w:t>
            </w:r>
            <w:r>
              <w:rPr>
                <w:rFonts w:hint="eastAsia" w:cs="Times New Roman"/>
                <w:color w:val="auto"/>
                <w:kern w:val="2"/>
                <w:sz w:val="24"/>
                <w:szCs w:val="24"/>
                <w:highlight w:val="none"/>
                <w:lang w:val="en-US" w:eastAsia="zh-CN" w:bidi="ar-SA"/>
              </w:rPr>
              <w:t>3.6</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p>
          <w:p>
            <w:pPr>
              <w:pStyle w:val="63"/>
              <w:keepNext w:val="0"/>
              <w:keepLines w:val="0"/>
              <w:pageBreakBefore w:val="0"/>
              <w:numPr>
                <w:ilvl w:val="0"/>
                <w:numId w:val="0"/>
              </w:numPr>
              <w:tabs>
                <w:tab w:val="left" w:pos="715"/>
              </w:tabs>
              <w:kinsoku/>
              <w:wordWrap/>
              <w:overflowPunct/>
              <w:topLinePunct w:val="0"/>
              <w:autoSpaceDE/>
              <w:autoSpaceDN/>
              <w:bidi w:val="0"/>
              <w:adjustRightInd w:val="0"/>
              <w:snapToGrid w:val="0"/>
              <w:spacing w:after="0" w:line="360" w:lineRule="auto"/>
              <w:ind w:left="0" w:leftChars="0" w:right="0" w:rightChars="0" w:firstLine="482" w:firstLineChars="200"/>
              <w:jc w:val="left"/>
              <w:textAlignment w:val="auto"/>
              <w:rPr>
                <w:rFonts w:hint="default" w:ascii="Times New Roman" w:hAnsi="Times New Roman" w:cs="Times New Roman"/>
                <w:b/>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fldChar w:fldCharType="begin"/>
            </w:r>
            <w:r>
              <w:rPr>
                <w:rFonts w:hint="default" w:ascii="Times New Roman" w:hAnsi="Times New Roman" w:eastAsia="宋体" w:cs="Times New Roman"/>
                <w:b/>
                <w:bCs/>
                <w:color w:val="auto"/>
                <w:kern w:val="2"/>
                <w:sz w:val="24"/>
                <w:szCs w:val="24"/>
                <w:highlight w:val="none"/>
                <w:lang w:val="en-US" w:eastAsia="zh-CN" w:bidi="ar-SA"/>
              </w:rPr>
              <w:instrText xml:space="preserve"> = 5 \* GB3 \* MERGEFORMAT </w:instrText>
            </w:r>
            <w:r>
              <w:rPr>
                <w:rFonts w:hint="default" w:ascii="Times New Roman" w:hAnsi="Times New Roman" w:eastAsia="宋体" w:cs="Times New Roman"/>
                <w:b/>
                <w:bCs/>
                <w:color w:val="auto"/>
                <w:kern w:val="2"/>
                <w:sz w:val="24"/>
                <w:szCs w:val="24"/>
                <w:highlight w:val="none"/>
                <w:lang w:val="en-US" w:eastAsia="zh-CN" w:bidi="ar-SA"/>
              </w:rPr>
              <w:fldChar w:fldCharType="separate"/>
            </w:r>
            <w:r>
              <w:rPr>
                <w:rFonts w:hint="default" w:ascii="Times New Roman" w:hAnsi="Times New Roman" w:eastAsia="宋体" w:cs="Times New Roman"/>
                <w:b/>
                <w:bCs/>
                <w:color w:val="auto"/>
                <w:kern w:val="2"/>
                <w:sz w:val="24"/>
                <w:szCs w:val="24"/>
                <w:highlight w:val="none"/>
                <w:lang w:val="en-US" w:eastAsia="zh-CN" w:bidi="ar-SA"/>
              </w:rPr>
              <w:t>⑤</w:t>
            </w:r>
            <w:r>
              <w:rPr>
                <w:rFonts w:hint="default" w:ascii="Times New Roman" w:hAnsi="Times New Roman" w:eastAsia="宋体" w:cs="Times New Roman"/>
                <w:b/>
                <w:bCs/>
                <w:color w:val="auto"/>
                <w:kern w:val="2"/>
                <w:sz w:val="24"/>
                <w:szCs w:val="24"/>
                <w:highlight w:val="none"/>
                <w:lang w:val="en-US" w:eastAsia="zh-CN" w:bidi="ar-SA"/>
              </w:rPr>
              <w:fldChar w:fldCharType="end"/>
            </w:r>
            <w:r>
              <w:rPr>
                <w:rFonts w:hint="default" w:ascii="Times New Roman" w:hAnsi="Times New Roman" w:eastAsia="宋体" w:cs="Times New Roman"/>
                <w:b/>
                <w:bCs/>
                <w:color w:val="auto"/>
                <w:kern w:val="2"/>
                <w:sz w:val="24"/>
                <w:szCs w:val="24"/>
                <w:highlight w:val="none"/>
                <w:lang w:val="en-US" w:eastAsia="zh-CN" w:bidi="ar-SA"/>
              </w:rPr>
              <w:t>抑尘</w:t>
            </w:r>
            <w:r>
              <w:rPr>
                <w:rFonts w:hint="eastAsia" w:ascii="Times New Roman" w:hAnsi="Times New Roman" w:cs="Times New Roman"/>
                <w:b/>
                <w:bCs/>
                <w:color w:val="auto"/>
                <w:kern w:val="2"/>
                <w:sz w:val="24"/>
                <w:szCs w:val="24"/>
                <w:highlight w:val="none"/>
                <w:lang w:val="en-US" w:eastAsia="zh-CN" w:bidi="ar-SA"/>
              </w:rPr>
              <w:t>喷淋</w:t>
            </w:r>
            <w:r>
              <w:rPr>
                <w:rFonts w:hint="default" w:ascii="Times New Roman" w:hAnsi="Times New Roman" w:eastAsia="宋体" w:cs="Times New Roman"/>
                <w:b/>
                <w:bCs/>
                <w:color w:val="auto"/>
                <w:kern w:val="2"/>
                <w:sz w:val="24"/>
                <w:szCs w:val="24"/>
                <w:highlight w:val="none"/>
                <w:lang w:val="en-US" w:eastAsia="zh-CN" w:bidi="ar-SA"/>
              </w:rPr>
              <w:t>用</w:t>
            </w:r>
            <w:r>
              <w:rPr>
                <w:rFonts w:hint="default" w:ascii="Times New Roman" w:hAnsi="Times New Roman" w:cs="Times New Roman"/>
                <w:b/>
                <w:color w:val="auto"/>
                <w:sz w:val="24"/>
                <w:highlight w:val="none"/>
              </w:rPr>
              <w:t>水</w:t>
            </w:r>
          </w:p>
          <w:p>
            <w:pPr>
              <w:pStyle w:val="63"/>
              <w:keepNext w:val="0"/>
              <w:keepLines w:val="0"/>
              <w:pageBreakBefore w:val="0"/>
              <w:numPr>
                <w:ilvl w:val="0"/>
                <w:numId w:val="0"/>
              </w:numPr>
              <w:tabs>
                <w:tab w:val="left" w:pos="715"/>
              </w:tabs>
              <w:kinsoku/>
              <w:wordWrap/>
              <w:overflowPunct/>
              <w:topLinePunct w:val="0"/>
              <w:autoSpaceDE/>
              <w:autoSpaceDN/>
              <w:bidi w:val="0"/>
              <w:adjustRightInd w:val="0"/>
              <w:snapToGrid w:val="0"/>
              <w:spacing w:after="0" w:line="360" w:lineRule="auto"/>
              <w:ind w:left="0" w:leftChars="0" w:right="0" w:rightChars="0" w:firstLine="476" w:firstLineChars="200"/>
              <w:jc w:val="left"/>
              <w:textAlignment w:val="auto"/>
              <w:rPr>
                <w:rFonts w:hint="default" w:ascii="Times New Roman" w:hAnsi="Times New Roman" w:cs="Times New Roman"/>
                <w:color w:val="auto"/>
                <w:spacing w:val="-1"/>
                <w:sz w:val="24"/>
                <w:highlight w:val="none"/>
              </w:rPr>
            </w:pPr>
            <w:r>
              <w:rPr>
                <w:rFonts w:hint="default" w:ascii="Times New Roman" w:hAnsi="Times New Roman" w:cs="Times New Roman"/>
                <w:color w:val="auto"/>
                <w:spacing w:val="-1"/>
                <w:sz w:val="24"/>
                <w:highlight w:val="none"/>
              </w:rPr>
              <w:t>根据建设单位提供资料，主要为原料堆棚内抑尘用水及道路洒水，项目抑尘用水量约</w:t>
            </w:r>
            <w:r>
              <w:rPr>
                <w:rFonts w:hint="eastAsia" w:ascii="Times New Roman" w:hAnsi="Times New Roman" w:cs="Times New Roman"/>
                <w:color w:val="auto"/>
                <w:spacing w:val="-1"/>
                <w:sz w:val="24"/>
                <w:highlight w:val="none"/>
                <w:lang w:val="en-US" w:eastAsia="zh-CN"/>
              </w:rPr>
              <w:t>4</w:t>
            </w:r>
            <w:r>
              <w:rPr>
                <w:rFonts w:hint="default" w:ascii="Times New Roman" w:hAnsi="Times New Roman" w:cs="Times New Roman"/>
                <w:color w:val="auto"/>
                <w:spacing w:val="-1"/>
                <w:sz w:val="24"/>
                <w:highlight w:val="none"/>
              </w:rPr>
              <w:t>m</w:t>
            </w:r>
            <w:r>
              <w:rPr>
                <w:rFonts w:hint="default" w:ascii="Times New Roman" w:hAnsi="Times New Roman" w:cs="Times New Roman"/>
                <w:color w:val="auto"/>
                <w:spacing w:val="-1"/>
                <w:sz w:val="24"/>
                <w:highlight w:val="none"/>
                <w:vertAlign w:val="superscript"/>
              </w:rPr>
              <w:t>3</w:t>
            </w:r>
            <w:r>
              <w:rPr>
                <w:rFonts w:hint="default" w:ascii="Times New Roman" w:hAnsi="Times New Roman" w:cs="Times New Roman"/>
                <w:color w:val="auto"/>
                <w:spacing w:val="-1"/>
                <w:sz w:val="24"/>
                <w:highlight w:val="none"/>
              </w:rPr>
              <w:t xml:space="preserve">/d，即 </w:t>
            </w:r>
            <w:r>
              <w:rPr>
                <w:rFonts w:hint="eastAsia" w:ascii="Times New Roman" w:hAnsi="Times New Roman" w:cs="Times New Roman"/>
                <w:color w:val="auto"/>
                <w:spacing w:val="-1"/>
                <w:sz w:val="24"/>
                <w:highlight w:val="none"/>
                <w:lang w:val="en-US" w:eastAsia="zh-CN"/>
              </w:rPr>
              <w:t>1200</w:t>
            </w:r>
            <w:r>
              <w:rPr>
                <w:rFonts w:hint="default" w:ascii="Times New Roman" w:hAnsi="Times New Roman" w:cs="Times New Roman"/>
                <w:color w:val="auto"/>
                <w:spacing w:val="-1"/>
                <w:sz w:val="24"/>
                <w:highlight w:val="none"/>
              </w:rPr>
              <w:t>m</w:t>
            </w:r>
            <w:r>
              <w:rPr>
                <w:rFonts w:hint="default" w:ascii="Times New Roman" w:hAnsi="Times New Roman" w:cs="Times New Roman"/>
                <w:color w:val="auto"/>
                <w:spacing w:val="-1"/>
                <w:sz w:val="24"/>
                <w:highlight w:val="none"/>
                <w:vertAlign w:val="superscript"/>
              </w:rPr>
              <w:t>3</w:t>
            </w:r>
            <w:r>
              <w:rPr>
                <w:rFonts w:hint="default" w:ascii="Times New Roman" w:hAnsi="Times New Roman" w:cs="Times New Roman"/>
                <w:color w:val="auto"/>
                <w:spacing w:val="-1"/>
                <w:sz w:val="24"/>
                <w:highlight w:val="none"/>
              </w:rPr>
              <w:t>/a。全部蒸发损耗。</w:t>
            </w:r>
          </w:p>
          <w:p>
            <w:pPr>
              <w:pStyle w:val="63"/>
              <w:keepNext w:val="0"/>
              <w:keepLines w:val="0"/>
              <w:pageBreakBefore w:val="0"/>
              <w:numPr>
                <w:ilvl w:val="0"/>
                <w:numId w:val="0"/>
              </w:numPr>
              <w:tabs>
                <w:tab w:val="left" w:pos="715"/>
              </w:tabs>
              <w:kinsoku/>
              <w:wordWrap/>
              <w:overflowPunct/>
              <w:topLinePunct w:val="0"/>
              <w:autoSpaceDE/>
              <w:autoSpaceDN/>
              <w:bidi w:val="0"/>
              <w:adjustRightInd w:val="0"/>
              <w:snapToGrid w:val="0"/>
              <w:spacing w:after="0" w:line="360" w:lineRule="auto"/>
              <w:ind w:left="0" w:leftChars="0" w:right="0" w:rightChars="0" w:firstLine="482" w:firstLineChars="200"/>
              <w:jc w:val="left"/>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fldChar w:fldCharType="begin"/>
            </w:r>
            <w:r>
              <w:rPr>
                <w:rFonts w:hint="default" w:ascii="Times New Roman" w:hAnsi="Times New Roman" w:eastAsia="宋体" w:cs="Times New Roman"/>
                <w:b/>
                <w:bCs/>
                <w:color w:val="auto"/>
                <w:kern w:val="2"/>
                <w:sz w:val="24"/>
                <w:szCs w:val="24"/>
                <w:highlight w:val="none"/>
                <w:lang w:val="en-US" w:eastAsia="zh-CN" w:bidi="ar-SA"/>
              </w:rPr>
              <w:instrText xml:space="preserve"> = 6 \* GB3 \* MERGEFORMAT </w:instrText>
            </w:r>
            <w:r>
              <w:rPr>
                <w:rFonts w:hint="default" w:ascii="Times New Roman" w:hAnsi="Times New Roman" w:eastAsia="宋体" w:cs="Times New Roman"/>
                <w:b/>
                <w:bCs/>
                <w:color w:val="auto"/>
                <w:kern w:val="2"/>
                <w:sz w:val="24"/>
                <w:szCs w:val="24"/>
                <w:highlight w:val="none"/>
                <w:lang w:val="en-US" w:eastAsia="zh-CN" w:bidi="ar-SA"/>
              </w:rPr>
              <w:fldChar w:fldCharType="separate"/>
            </w:r>
            <w:r>
              <w:rPr>
                <w:rFonts w:hint="default" w:ascii="Times New Roman" w:hAnsi="Times New Roman" w:eastAsia="宋体" w:cs="Times New Roman"/>
                <w:b/>
                <w:bCs/>
                <w:color w:val="auto"/>
                <w:kern w:val="2"/>
                <w:sz w:val="24"/>
                <w:szCs w:val="24"/>
                <w:highlight w:val="none"/>
                <w:lang w:val="en-US" w:eastAsia="zh-CN" w:bidi="ar-SA"/>
              </w:rPr>
              <w:t>⑥</w:t>
            </w:r>
            <w:r>
              <w:rPr>
                <w:rFonts w:hint="default" w:ascii="Times New Roman" w:hAnsi="Times New Roman" w:eastAsia="宋体" w:cs="Times New Roman"/>
                <w:b/>
                <w:bCs/>
                <w:color w:val="auto"/>
                <w:kern w:val="2"/>
                <w:sz w:val="24"/>
                <w:szCs w:val="24"/>
                <w:highlight w:val="none"/>
                <w:lang w:val="en-US" w:eastAsia="zh-CN" w:bidi="ar-SA"/>
              </w:rPr>
              <w:fldChar w:fldCharType="end"/>
            </w:r>
            <w:r>
              <w:rPr>
                <w:rFonts w:hint="default" w:ascii="Times New Roman" w:hAnsi="Times New Roman" w:eastAsia="宋体" w:cs="Times New Roman"/>
                <w:b/>
                <w:bCs/>
                <w:color w:val="auto"/>
                <w:kern w:val="2"/>
                <w:sz w:val="24"/>
                <w:szCs w:val="24"/>
                <w:highlight w:val="none"/>
                <w:lang w:val="en-US" w:eastAsia="zh-CN" w:bidi="ar-SA"/>
              </w:rPr>
              <w:t>场地及道路冲洗用水</w:t>
            </w:r>
          </w:p>
          <w:p>
            <w:pPr>
              <w:pStyle w:val="63"/>
              <w:keepNext w:val="0"/>
              <w:keepLines w:val="0"/>
              <w:pageBreakBefore w:val="0"/>
              <w:numPr>
                <w:ilvl w:val="0"/>
                <w:numId w:val="0"/>
              </w:numPr>
              <w:tabs>
                <w:tab w:val="left" w:pos="715"/>
              </w:tabs>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罐车作业场地及道路需要定期进行冲洗，防止因为车辆进出碾压产生粉尘。平均每天用水约2L/（m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·d），年冲洗150天计，</w:t>
            </w:r>
            <w:r>
              <w:rPr>
                <w:rFonts w:hint="eastAsia" w:ascii="Times New Roman" w:hAnsi="Times New Roman" w:cs="Times New Roman"/>
                <w:color w:val="auto"/>
                <w:kern w:val="2"/>
                <w:sz w:val="24"/>
                <w:szCs w:val="24"/>
                <w:highlight w:val="none"/>
                <w:lang w:val="en-US" w:eastAsia="zh-CN" w:bidi="ar-SA"/>
              </w:rPr>
              <w:t>道路硬化面积约2500平方米，</w:t>
            </w:r>
            <w:r>
              <w:rPr>
                <w:rFonts w:hint="default" w:ascii="Times New Roman" w:hAnsi="Times New Roman" w:eastAsia="宋体" w:cs="Times New Roman"/>
                <w:color w:val="auto"/>
                <w:kern w:val="2"/>
                <w:sz w:val="24"/>
                <w:szCs w:val="24"/>
                <w:highlight w:val="none"/>
                <w:lang w:val="en-US" w:eastAsia="zh-CN" w:bidi="ar-SA"/>
              </w:rPr>
              <w:t>则清洗用水量为</w:t>
            </w:r>
            <w:r>
              <w:rPr>
                <w:rFonts w:hint="eastAsia" w:ascii="Times New Roman" w:hAnsi="Times New Roman"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/d（750m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/a）</w:t>
            </w:r>
            <w:r>
              <w:rPr>
                <w:rFonts w:hint="eastAsia" w:ascii="Times New Roman" w:hAnsi="Times New Roman" w:cs="Times New Roman"/>
                <w:color w:val="auto"/>
                <w:kern w:val="2"/>
                <w:sz w:val="24"/>
                <w:szCs w:val="24"/>
                <w:highlight w:val="none"/>
                <w:lang w:val="en-US" w:eastAsia="zh-CN" w:bidi="ar-SA"/>
              </w:rPr>
              <w:t>，全部损耗</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（2）排水</w:t>
            </w:r>
          </w:p>
          <w:p>
            <w:pPr>
              <w:keepNext w:val="0"/>
              <w:keepLines w:val="0"/>
              <w:pageBreakBefore w:val="0"/>
              <w:widowControl w:val="0"/>
              <w:kinsoku/>
              <w:wordWrap/>
              <w:overflowPunct/>
              <w:topLinePunct w:val="0"/>
              <w:autoSpaceDE/>
              <w:autoSpaceDN/>
              <w:bidi w:val="0"/>
              <w:adjustRightInd/>
              <w:snapToGrid w:val="0"/>
              <w:spacing w:line="360" w:lineRule="auto"/>
              <w:ind w:left="0" w:firstLine="476" w:firstLineChars="200"/>
              <w:jc w:val="left"/>
              <w:textAlignment w:val="auto"/>
              <w:rPr>
                <w:rFonts w:hint="eastAsia" w:ascii="Times New Roman" w:hAnsi="Times New Roman" w:eastAsia="宋体" w:cs="Times New Roman"/>
                <w:color w:val="auto"/>
                <w:spacing w:val="-1"/>
                <w:kern w:val="2"/>
                <w:sz w:val="24"/>
                <w:szCs w:val="24"/>
                <w:highlight w:val="none"/>
                <w:lang w:val="en-US" w:eastAsia="zh-CN" w:bidi="zh-CN"/>
              </w:rPr>
            </w:pPr>
            <w:r>
              <w:rPr>
                <w:rFonts w:hint="eastAsia" w:ascii="Times New Roman" w:hAnsi="Times New Roman" w:eastAsia="宋体" w:cs="Times New Roman"/>
                <w:color w:val="auto"/>
                <w:spacing w:val="-1"/>
                <w:kern w:val="2"/>
                <w:sz w:val="24"/>
                <w:szCs w:val="24"/>
                <w:highlight w:val="none"/>
                <w:lang w:val="en-US" w:eastAsia="zh-CN" w:bidi="zh-CN"/>
              </w:rPr>
              <w:t>本项目实施雨污分流制。生活污水排入化粪池处理，定期清掏拉运。</w:t>
            </w:r>
          </w:p>
          <w:p>
            <w:pPr>
              <w:pStyle w:val="63"/>
              <w:keepNext w:val="0"/>
              <w:keepLines w:val="0"/>
              <w:pageBreakBefore w:val="0"/>
              <w:widowControl w:val="0"/>
              <w:kinsoku/>
              <w:wordWrap/>
              <w:overflowPunct/>
              <w:topLinePunct w:val="0"/>
              <w:autoSpaceDE/>
              <w:autoSpaceDN/>
              <w:bidi w:val="0"/>
              <w:adjustRightInd/>
              <w:snapToGrid w:val="0"/>
              <w:spacing w:line="360" w:lineRule="auto"/>
              <w:ind w:left="0" w:firstLine="476" w:firstLineChars="200"/>
              <w:jc w:val="left"/>
              <w:textAlignment w:val="auto"/>
              <w:rPr>
                <w:rFonts w:hint="default" w:ascii="Times New Roman" w:hAnsi="Times New Roman" w:eastAsia="宋体" w:cs="Times New Roman"/>
                <w:color w:val="auto"/>
                <w:spacing w:val="-1"/>
                <w:kern w:val="2"/>
                <w:sz w:val="24"/>
                <w:szCs w:val="24"/>
                <w:highlight w:val="none"/>
                <w:lang w:val="zh-CN" w:eastAsia="zh-CN" w:bidi="zh-CN"/>
              </w:rPr>
            </w:pPr>
            <w:r>
              <w:rPr>
                <w:rFonts w:hint="default" w:ascii="Times New Roman" w:hAnsi="Times New Roman" w:eastAsia="宋体" w:cs="Times New Roman"/>
                <w:color w:val="auto"/>
                <w:spacing w:val="-1"/>
                <w:kern w:val="2"/>
                <w:sz w:val="24"/>
                <w:szCs w:val="24"/>
                <w:highlight w:val="none"/>
                <w:lang w:val="zh-CN" w:eastAsia="zh-CN" w:bidi="zh-CN"/>
              </w:rPr>
              <w:t>综上所述，本项目水消耗量为</w:t>
            </w:r>
            <w:r>
              <w:rPr>
                <w:rFonts w:hint="eastAsia" w:ascii="Times New Roman" w:hAnsi="Times New Roman" w:cs="Times New Roman"/>
                <w:color w:val="auto"/>
                <w:spacing w:val="-1"/>
                <w:kern w:val="2"/>
                <w:sz w:val="24"/>
                <w:szCs w:val="24"/>
                <w:highlight w:val="none"/>
                <w:lang w:val="en-US" w:eastAsia="zh-CN" w:bidi="zh-CN"/>
              </w:rPr>
              <w:t>102.03</w:t>
            </w:r>
            <w:r>
              <w:rPr>
                <w:rFonts w:hint="default" w:ascii="Times New Roman" w:hAnsi="Times New Roman" w:eastAsia="宋体" w:cs="Times New Roman"/>
                <w:color w:val="auto"/>
                <w:spacing w:val="-1"/>
                <w:kern w:val="2"/>
                <w:sz w:val="24"/>
                <w:szCs w:val="24"/>
                <w:highlight w:val="none"/>
                <w:lang w:val="zh-CN" w:eastAsia="zh-CN" w:bidi="zh-CN"/>
              </w:rPr>
              <w:t>m</w:t>
            </w:r>
            <w:r>
              <w:rPr>
                <w:rFonts w:hint="default" w:ascii="Times New Roman" w:hAnsi="Times New Roman" w:eastAsia="宋体" w:cs="Times New Roman"/>
                <w:color w:val="auto"/>
                <w:spacing w:val="-1"/>
                <w:kern w:val="2"/>
                <w:sz w:val="24"/>
                <w:szCs w:val="24"/>
                <w:highlight w:val="none"/>
                <w:vertAlign w:val="superscript"/>
                <w:lang w:val="zh-CN" w:eastAsia="zh-CN" w:bidi="zh-CN"/>
              </w:rPr>
              <w:t>3</w:t>
            </w:r>
            <w:r>
              <w:rPr>
                <w:rFonts w:hint="default" w:ascii="Times New Roman" w:hAnsi="Times New Roman" w:eastAsia="宋体" w:cs="Times New Roman"/>
                <w:color w:val="auto"/>
                <w:spacing w:val="-1"/>
                <w:kern w:val="2"/>
                <w:sz w:val="24"/>
                <w:szCs w:val="24"/>
                <w:highlight w:val="none"/>
                <w:lang w:val="zh-CN" w:eastAsia="zh-CN" w:bidi="zh-CN"/>
              </w:rPr>
              <w:t>/</w:t>
            </w:r>
            <w:r>
              <w:rPr>
                <w:rFonts w:hint="eastAsia" w:ascii="Times New Roman" w:hAnsi="Times New Roman" w:cs="Times New Roman"/>
                <w:color w:val="auto"/>
                <w:spacing w:val="-1"/>
                <w:kern w:val="2"/>
                <w:sz w:val="24"/>
                <w:szCs w:val="24"/>
                <w:highlight w:val="none"/>
                <w:lang w:val="en-US" w:eastAsia="zh-CN" w:bidi="zh-CN"/>
              </w:rPr>
              <w:t>d</w:t>
            </w:r>
            <w:r>
              <w:rPr>
                <w:rFonts w:hint="default" w:ascii="Times New Roman" w:hAnsi="Times New Roman" w:eastAsia="宋体" w:cs="Times New Roman"/>
                <w:color w:val="auto"/>
                <w:spacing w:val="-1"/>
                <w:kern w:val="2"/>
                <w:sz w:val="24"/>
                <w:szCs w:val="24"/>
                <w:highlight w:val="none"/>
                <w:lang w:val="zh-CN" w:eastAsia="zh-CN" w:bidi="zh-CN"/>
              </w:rPr>
              <w:t>。</w:t>
            </w:r>
          </w:p>
          <w:p>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表 2-</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zh-CN" w:eastAsia="zh-CN"/>
              </w:rPr>
              <w:t xml:space="preserve"> 项目用水、排水情况一览表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859"/>
              <w:gridCol w:w="843"/>
              <w:gridCol w:w="867"/>
              <w:gridCol w:w="613"/>
              <w:gridCol w:w="701"/>
              <w:gridCol w:w="793"/>
              <w:gridCol w:w="898"/>
              <w:gridCol w:w="898"/>
              <w:gridCol w:w="700"/>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1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8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名称</w:t>
                  </w:r>
                </w:p>
              </w:tc>
              <w:tc>
                <w:tcPr>
                  <w:tcW w:w="84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用水定额</w:t>
                  </w:r>
                </w:p>
              </w:tc>
              <w:tc>
                <w:tcPr>
                  <w:tcW w:w="86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数量</w:t>
                  </w:r>
                </w:p>
              </w:tc>
              <w:tc>
                <w:tcPr>
                  <w:tcW w:w="61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天数</w:t>
                  </w:r>
                </w:p>
              </w:tc>
              <w:tc>
                <w:tcPr>
                  <w:tcW w:w="149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补充水量</w:t>
                  </w:r>
                </w:p>
              </w:tc>
              <w:tc>
                <w:tcPr>
                  <w:tcW w:w="89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日用水量m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c>
                <w:tcPr>
                  <w:tcW w:w="89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年用水量m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c>
                <w:tcPr>
                  <w:tcW w:w="70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日排放量m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c>
                <w:tcPr>
                  <w:tcW w:w="71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年排放量m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1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8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84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86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61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7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c>
                <w:tcPr>
                  <w:tcW w:w="7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c>
                <w:tcPr>
                  <w:tcW w:w="8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8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7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71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1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86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生活用水</w:t>
                  </w:r>
                </w:p>
              </w:tc>
              <w:tc>
                <w:tcPr>
                  <w:tcW w:w="84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lang w:val="en-US" w:eastAsia="zh-CN"/>
                    </w:rPr>
                    <w:t>L/人·日</w:t>
                  </w:r>
                </w:p>
              </w:tc>
              <w:tc>
                <w:tcPr>
                  <w:tcW w:w="868"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人</w:t>
                  </w:r>
                </w:p>
              </w:tc>
              <w:tc>
                <w:tcPr>
                  <w:tcW w:w="61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p>
              </w:tc>
              <w:tc>
                <w:tcPr>
                  <w:tcW w:w="702"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94"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9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89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600</w:t>
                  </w:r>
                </w:p>
              </w:tc>
              <w:tc>
                <w:tcPr>
                  <w:tcW w:w="700"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713"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1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86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生产用水</w:t>
                  </w:r>
                </w:p>
              </w:tc>
              <w:tc>
                <w:tcPr>
                  <w:tcW w:w="84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0.1吨水</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pacing w:val="-1"/>
                      <w:kern w:val="2"/>
                      <w:sz w:val="21"/>
                      <w:szCs w:val="21"/>
                      <w:highlight w:val="none"/>
                      <w:lang w:val="zh-CN" w:eastAsia="zh-CN" w:bidi="zh-CN"/>
                    </w:rPr>
                    <w:t>m</w:t>
                  </w:r>
                  <w:r>
                    <w:rPr>
                      <w:rFonts w:hint="default" w:ascii="Times New Roman" w:hAnsi="Times New Roman" w:eastAsia="宋体" w:cs="Times New Roman"/>
                      <w:color w:val="auto"/>
                      <w:spacing w:val="-1"/>
                      <w:kern w:val="2"/>
                      <w:sz w:val="21"/>
                      <w:szCs w:val="21"/>
                      <w:highlight w:val="none"/>
                      <w:vertAlign w:val="superscript"/>
                      <w:lang w:val="zh-CN" w:eastAsia="zh-CN" w:bidi="zh-CN"/>
                    </w:rPr>
                    <w:t>3</w:t>
                  </w:r>
                  <w:r>
                    <w:rPr>
                      <w:rFonts w:hint="default" w:ascii="Times New Roman" w:hAnsi="Times New Roman" w:cs="Times New Roman"/>
                      <w:color w:val="auto"/>
                      <w:sz w:val="21"/>
                      <w:szCs w:val="21"/>
                      <w:highlight w:val="none"/>
                      <w:lang w:val="en-US" w:eastAsia="zh-CN"/>
                    </w:rPr>
                    <w:t>产品</w:t>
                  </w:r>
                </w:p>
              </w:tc>
              <w:tc>
                <w:tcPr>
                  <w:tcW w:w="868"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产量</w:t>
                  </w:r>
                  <w:r>
                    <w:rPr>
                      <w:rFonts w:hint="default" w:ascii="Times New Roman" w:hAnsi="Times New Roman" w:cs="Times New Roman"/>
                      <w:color w:val="auto"/>
                      <w:sz w:val="21"/>
                      <w:szCs w:val="21"/>
                      <w:highlight w:val="none"/>
                      <w:lang w:val="en-US" w:eastAsia="zh-CN"/>
                    </w:rPr>
                    <w:t>25</w:t>
                  </w:r>
                  <w:r>
                    <w:rPr>
                      <w:rFonts w:hint="eastAsia" w:ascii="Times New Roman" w:hAnsi="Times New Roman" w:cs="Times New Roman"/>
                      <w:color w:val="auto"/>
                      <w:sz w:val="21"/>
                      <w:szCs w:val="21"/>
                      <w:highlight w:val="none"/>
                      <w:lang w:val="en-US" w:eastAsia="zh-CN"/>
                    </w:rPr>
                    <w:t>万</w:t>
                  </w:r>
                  <w:r>
                    <w:rPr>
                      <w:rFonts w:hint="default" w:ascii="Times New Roman" w:hAnsi="Times New Roman" w:eastAsia="宋体" w:cs="Times New Roman"/>
                      <w:color w:val="auto"/>
                      <w:spacing w:val="-1"/>
                      <w:kern w:val="2"/>
                      <w:sz w:val="21"/>
                      <w:szCs w:val="21"/>
                      <w:highlight w:val="none"/>
                      <w:lang w:val="zh-CN" w:eastAsia="zh-CN" w:bidi="zh-CN"/>
                    </w:rPr>
                    <w:t>m</w:t>
                  </w:r>
                  <w:r>
                    <w:rPr>
                      <w:rFonts w:hint="default" w:ascii="Times New Roman" w:hAnsi="Times New Roman" w:eastAsia="宋体" w:cs="Times New Roman"/>
                      <w:color w:val="auto"/>
                      <w:spacing w:val="-1"/>
                      <w:kern w:val="2"/>
                      <w:sz w:val="21"/>
                      <w:szCs w:val="21"/>
                      <w:highlight w:val="none"/>
                      <w:vertAlign w:val="superscript"/>
                      <w:lang w:val="zh-CN" w:eastAsia="zh-CN" w:bidi="zh-CN"/>
                    </w:rPr>
                    <w:t>3</w:t>
                  </w:r>
                </w:p>
              </w:tc>
              <w:tc>
                <w:tcPr>
                  <w:tcW w:w="61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p>
              </w:tc>
              <w:tc>
                <w:tcPr>
                  <w:tcW w:w="702"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94"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9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83.3</w:t>
                  </w:r>
                </w:p>
              </w:tc>
              <w:tc>
                <w:tcPr>
                  <w:tcW w:w="89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25000</w:t>
                  </w:r>
                </w:p>
              </w:tc>
              <w:tc>
                <w:tcPr>
                  <w:tcW w:w="700"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713"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1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86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搅拌机及混凝土搅拌运输车辆清洗用水</w:t>
                  </w:r>
                </w:p>
              </w:tc>
              <w:tc>
                <w:tcPr>
                  <w:tcW w:w="844" w:type="dxa"/>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0.4m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/辆车</w:t>
                  </w:r>
                </w:p>
              </w:tc>
              <w:tc>
                <w:tcPr>
                  <w:tcW w:w="868"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r>
                    <w:rPr>
                      <w:rFonts w:hint="default" w:ascii="Times New Roman" w:hAnsi="Times New Roman" w:eastAsia="宋体" w:cs="Times New Roman"/>
                      <w:color w:val="auto"/>
                      <w:kern w:val="2"/>
                      <w:sz w:val="21"/>
                      <w:szCs w:val="21"/>
                      <w:highlight w:val="none"/>
                      <w:lang w:val="en-US" w:eastAsia="zh-CN" w:bidi="ar-SA"/>
                    </w:rPr>
                    <w:t>辆</w:t>
                  </w:r>
                </w:p>
              </w:tc>
              <w:tc>
                <w:tcPr>
                  <w:tcW w:w="61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p>
              </w:tc>
              <w:tc>
                <w:tcPr>
                  <w:tcW w:w="702"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1.92</w:t>
                  </w:r>
                </w:p>
              </w:tc>
              <w:tc>
                <w:tcPr>
                  <w:tcW w:w="794"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576</w:t>
                  </w:r>
                </w:p>
              </w:tc>
              <w:tc>
                <w:tcPr>
                  <w:tcW w:w="89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11.52</w:t>
                  </w:r>
                </w:p>
              </w:tc>
              <w:tc>
                <w:tcPr>
                  <w:tcW w:w="89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3456</w:t>
                  </w:r>
                </w:p>
              </w:tc>
              <w:tc>
                <w:tcPr>
                  <w:tcW w:w="700"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7.68回用</w:t>
                  </w:r>
                </w:p>
              </w:tc>
              <w:tc>
                <w:tcPr>
                  <w:tcW w:w="713"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1304回用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1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86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运输车辆进出门口清洗用水</w:t>
                  </w:r>
                </w:p>
              </w:tc>
              <w:tc>
                <w:tcPr>
                  <w:tcW w:w="844" w:type="dxa"/>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40L/辆</w:t>
                  </w:r>
                </w:p>
              </w:tc>
              <w:tc>
                <w:tcPr>
                  <w:tcW w:w="868"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w:t>
                  </w:r>
                  <w:r>
                    <w:rPr>
                      <w:rFonts w:hint="default" w:ascii="Times New Roman" w:hAnsi="Times New Roman" w:eastAsia="宋体" w:cs="Times New Roman"/>
                      <w:color w:val="auto"/>
                      <w:kern w:val="2"/>
                      <w:sz w:val="21"/>
                      <w:szCs w:val="21"/>
                      <w:highlight w:val="none"/>
                      <w:lang w:val="en-US" w:eastAsia="zh-CN" w:bidi="ar-SA"/>
                    </w:rPr>
                    <w:t>辆</w:t>
                  </w:r>
                </w:p>
              </w:tc>
              <w:tc>
                <w:tcPr>
                  <w:tcW w:w="61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p>
              </w:tc>
              <w:tc>
                <w:tcPr>
                  <w:tcW w:w="702" w:type="dxa"/>
                  <w:vAlign w:val="center"/>
                </w:tcPr>
                <w:p>
                  <w:pPr>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0.012</w:t>
                  </w:r>
                </w:p>
              </w:tc>
              <w:tc>
                <w:tcPr>
                  <w:tcW w:w="794"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3.6</w:t>
                  </w:r>
                </w:p>
              </w:tc>
              <w:tc>
                <w:tcPr>
                  <w:tcW w:w="89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1.212</w:t>
                  </w:r>
                </w:p>
              </w:tc>
              <w:tc>
                <w:tcPr>
                  <w:tcW w:w="89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363.6</w:t>
                  </w:r>
                </w:p>
              </w:tc>
              <w:tc>
                <w:tcPr>
                  <w:tcW w:w="70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1.08回用</w:t>
                  </w:r>
                </w:p>
              </w:tc>
              <w:tc>
                <w:tcPr>
                  <w:tcW w:w="713" w:type="dxa"/>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324回用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1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86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抑尘喷淋用</w:t>
                  </w:r>
                  <w:r>
                    <w:rPr>
                      <w:rFonts w:hint="default" w:ascii="Times New Roman" w:hAnsi="Times New Roman" w:eastAsia="宋体" w:cs="Times New Roman"/>
                      <w:color w:val="auto"/>
                      <w:sz w:val="21"/>
                      <w:szCs w:val="21"/>
                      <w:highlight w:val="none"/>
                      <w:lang w:val="zh-CN" w:eastAsia="zh-CN"/>
                    </w:rPr>
                    <w:t>水</w:t>
                  </w:r>
                </w:p>
              </w:tc>
              <w:tc>
                <w:tcPr>
                  <w:tcW w:w="84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c>
                <w:tcPr>
                  <w:tcW w:w="868"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1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p>
              </w:tc>
              <w:tc>
                <w:tcPr>
                  <w:tcW w:w="702"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94"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9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89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1200</w:t>
                  </w:r>
                </w:p>
              </w:tc>
              <w:tc>
                <w:tcPr>
                  <w:tcW w:w="700"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713"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1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860"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场地及道路冲洗用水</w:t>
                  </w:r>
                </w:p>
              </w:tc>
              <w:tc>
                <w:tcPr>
                  <w:tcW w:w="84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L/</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ascii="微软雅黑" w:hAnsi="微软雅黑" w:eastAsia="微软雅黑" w:cs="微软雅黑"/>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d</w:t>
                  </w:r>
                  <w:r>
                    <w:rPr>
                      <w:rFonts w:hint="eastAsia" w:cs="Times New Roman"/>
                      <w:color w:val="auto"/>
                      <w:sz w:val="21"/>
                      <w:szCs w:val="21"/>
                      <w:highlight w:val="none"/>
                      <w:lang w:val="en-US" w:eastAsia="zh-CN"/>
                    </w:rPr>
                    <w:t>）</w:t>
                  </w:r>
                </w:p>
              </w:tc>
              <w:tc>
                <w:tcPr>
                  <w:tcW w:w="868"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2500m</w:t>
                  </w:r>
                  <w:r>
                    <w:rPr>
                      <w:rFonts w:hint="default" w:ascii="Times New Roman" w:hAnsi="Times New Roman" w:eastAsia="宋体" w:cs="Times New Roman"/>
                      <w:color w:val="auto"/>
                      <w:sz w:val="21"/>
                      <w:szCs w:val="21"/>
                      <w:highlight w:val="none"/>
                      <w:vertAlign w:val="superscript"/>
                      <w:lang w:val="en-US" w:eastAsia="zh-CN"/>
                    </w:rPr>
                    <w:t>2</w:t>
                  </w:r>
                </w:p>
              </w:tc>
              <w:tc>
                <w:tcPr>
                  <w:tcW w:w="61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150</w:t>
                  </w:r>
                </w:p>
              </w:tc>
              <w:tc>
                <w:tcPr>
                  <w:tcW w:w="702" w:type="dxa"/>
                  <w:vAlign w:val="center"/>
                </w:tcPr>
                <w:p>
                  <w:pPr>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94" w:type="dxa"/>
                  <w:vAlign w:val="center"/>
                </w:tcPr>
                <w:p>
                  <w:pPr>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9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89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750</w:t>
                  </w:r>
                </w:p>
              </w:tc>
              <w:tc>
                <w:tcPr>
                  <w:tcW w:w="700"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13" w:type="dxa"/>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377"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总计</w:t>
                  </w:r>
                </w:p>
              </w:tc>
              <w:tc>
                <w:tcPr>
                  <w:tcW w:w="84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68"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1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0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1.932</w:t>
                  </w:r>
                </w:p>
              </w:tc>
              <w:tc>
                <w:tcPr>
                  <w:tcW w:w="794"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579.6</w:t>
                  </w:r>
                </w:p>
              </w:tc>
              <w:tc>
                <w:tcPr>
                  <w:tcW w:w="8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107.03 </w:t>
                  </w:r>
                </w:p>
              </w:tc>
              <w:tc>
                <w:tcPr>
                  <w:tcW w:w="8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31369.60 </w:t>
                  </w:r>
                </w:p>
              </w:tc>
              <w:tc>
                <w:tcPr>
                  <w:tcW w:w="70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10.36 </w:t>
                  </w:r>
                </w:p>
              </w:tc>
              <w:tc>
                <w:tcPr>
                  <w:tcW w:w="7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2108 </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drawing>
                <wp:inline distT="0" distB="0" distL="114300" distR="114300">
                  <wp:extent cx="5478780" cy="4589780"/>
                  <wp:effectExtent l="0" t="0" r="7620" b="1270"/>
                  <wp:docPr id="6" name="图片 6" descr="水平衡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水平衡图_01"/>
                          <pic:cNvPicPr>
                            <a:picLocks noChangeAspect="1"/>
                          </pic:cNvPicPr>
                        </pic:nvPicPr>
                        <pic:blipFill>
                          <a:blip r:embed="rId25"/>
                          <a:srcRect l="4927" t="3853" r="30096" b="19229"/>
                          <a:stretch>
                            <a:fillRect/>
                          </a:stretch>
                        </pic:blipFill>
                        <pic:spPr>
                          <a:xfrm>
                            <a:off x="0" y="0"/>
                            <a:ext cx="5478780" cy="45897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图2-1 水平衡图（m</w:t>
            </w:r>
            <w:r>
              <w:rPr>
                <w:rFonts w:hint="eastAsia" w:cs="Times New Roman"/>
                <w:b/>
                <w:bCs/>
                <w:color w:val="auto"/>
                <w:sz w:val="21"/>
                <w:szCs w:val="21"/>
                <w:highlight w:val="none"/>
                <w:vertAlign w:val="superscript"/>
                <w:lang w:val="en-US" w:eastAsia="zh-CN"/>
              </w:rPr>
              <w:t>3</w:t>
            </w:r>
            <w:r>
              <w:rPr>
                <w:rFonts w:hint="eastAsia" w:cs="Times New Roman"/>
                <w:b/>
                <w:bCs/>
                <w:color w:val="auto"/>
                <w:sz w:val="21"/>
                <w:szCs w:val="21"/>
                <w:highlight w:val="none"/>
                <w:lang w:val="en-US" w:eastAsia="zh-CN"/>
              </w:rPr>
              <w:t>/d）</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10</w:t>
            </w:r>
            <w:r>
              <w:rPr>
                <w:rFonts w:hint="eastAsia"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lang w:val="en-US" w:eastAsia="zh-CN"/>
              </w:rPr>
              <w:t>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本项目厂区原有劳动定员为51人，本次扩建项目不新增员工，年工作300天，每天工作8小时。</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1</w:t>
            </w:r>
            <w:r>
              <w:rPr>
                <w:rFonts w:hint="eastAsia" w:ascii="Times New Roman" w:hAnsi="Times New Roman" w:cs="Times New Roman"/>
                <w:b/>
                <w:bCs/>
                <w:color w:val="auto"/>
                <w:sz w:val="24"/>
                <w:szCs w:val="24"/>
                <w:highlight w:val="none"/>
                <w:lang w:val="en-US" w:eastAsia="zh-CN"/>
              </w:rPr>
              <w:t>、物料平衡</w:t>
            </w:r>
          </w:p>
          <w:p>
            <w:pPr>
              <w:adjustRightInd w:val="0"/>
              <w:snapToGrid w:val="0"/>
              <w:spacing w:line="480" w:lineRule="exact"/>
              <w:ind w:firstLine="480" w:firstLineChars="200"/>
              <w:jc w:val="left"/>
              <w:rPr>
                <w:rFonts w:hint="default" w:eastAsia="宋体" w:cs="宋体"/>
                <w:color w:val="auto"/>
                <w:kern w:val="0"/>
                <w:sz w:val="24"/>
                <w:szCs w:val="24"/>
                <w:highlight w:val="none"/>
                <w:lang w:val="en-US" w:eastAsia="zh-CN"/>
              </w:rPr>
            </w:pPr>
            <w:r>
              <w:rPr>
                <w:rFonts w:hint="eastAsia" w:cs="宋体"/>
                <w:color w:val="auto"/>
                <w:kern w:val="0"/>
                <w:sz w:val="24"/>
                <w:szCs w:val="24"/>
                <w:highlight w:val="none"/>
                <w:lang w:val="en-US" w:eastAsia="zh-CN"/>
              </w:rPr>
              <w:t>本项目全厂物料平衡见下表。</w:t>
            </w:r>
          </w:p>
          <w:p>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表2-</w:t>
            </w:r>
            <w:r>
              <w:rPr>
                <w:rFonts w:hint="eastAsia"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 xml:space="preserve">  项目全厂物料平衡情况一览表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1680"/>
              <w:gridCol w:w="1681"/>
              <w:gridCol w:w="1777"/>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9" w:type="pct"/>
                  <w:vMerge w:val="restart"/>
                  <w:vAlign w:val="center"/>
                </w:tcPr>
                <w:p>
                  <w:pPr>
                    <w:pStyle w:val="81"/>
                    <w:spacing w:line="30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序号</w:t>
                  </w:r>
                </w:p>
              </w:tc>
              <w:tc>
                <w:tcPr>
                  <w:tcW w:w="1999" w:type="pct"/>
                  <w:gridSpan w:val="2"/>
                  <w:vAlign w:val="center"/>
                </w:tcPr>
                <w:p>
                  <w:pPr>
                    <w:pStyle w:val="81"/>
                    <w:spacing w:line="30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投入</w:t>
                  </w:r>
                </w:p>
              </w:tc>
              <w:tc>
                <w:tcPr>
                  <w:tcW w:w="2001" w:type="pct"/>
                  <w:gridSpan w:val="2"/>
                  <w:vAlign w:val="center"/>
                </w:tcPr>
                <w:p>
                  <w:pPr>
                    <w:pStyle w:val="81"/>
                    <w:spacing w:line="30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9" w:type="pct"/>
                  <w:vMerge w:val="continue"/>
                  <w:vAlign w:val="center"/>
                </w:tcPr>
                <w:p>
                  <w:pPr>
                    <w:pStyle w:val="81"/>
                    <w:spacing w:line="30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999" w:type="pct"/>
                  <w:vAlign w:val="center"/>
                </w:tcPr>
                <w:p>
                  <w:pPr>
                    <w:pStyle w:val="81"/>
                    <w:spacing w:line="30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名称</w:t>
                  </w:r>
                </w:p>
              </w:tc>
              <w:tc>
                <w:tcPr>
                  <w:tcW w:w="1000" w:type="pct"/>
                  <w:vAlign w:val="center"/>
                </w:tcPr>
                <w:p>
                  <w:pPr>
                    <w:pStyle w:val="81"/>
                    <w:spacing w:line="30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数量（</w:t>
                  </w:r>
                  <w:r>
                    <w:rPr>
                      <w:rFonts w:hint="eastAsia" w:cs="Times New Roman"/>
                      <w:color w:val="auto"/>
                      <w:kern w:val="0"/>
                      <w:sz w:val="21"/>
                      <w:szCs w:val="21"/>
                      <w:highlight w:val="none"/>
                      <w:lang w:val="en-US" w:eastAsia="zh-CN"/>
                    </w:rPr>
                    <w:t>万</w:t>
                  </w:r>
                  <w:r>
                    <w:rPr>
                      <w:rFonts w:hint="eastAsia" w:ascii="Times New Roman" w:hAnsi="Times New Roman" w:eastAsia="宋体" w:cs="Times New Roman"/>
                      <w:color w:val="auto"/>
                      <w:kern w:val="0"/>
                      <w:sz w:val="21"/>
                      <w:szCs w:val="21"/>
                      <w:highlight w:val="none"/>
                      <w:lang w:val="en-US" w:eastAsia="zh-CN"/>
                    </w:rPr>
                    <w:t>t/a）</w:t>
                  </w:r>
                </w:p>
              </w:tc>
              <w:tc>
                <w:tcPr>
                  <w:tcW w:w="1057" w:type="pct"/>
                  <w:vAlign w:val="center"/>
                </w:tcPr>
                <w:p>
                  <w:pPr>
                    <w:pStyle w:val="81"/>
                    <w:spacing w:line="30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名称</w:t>
                  </w:r>
                </w:p>
              </w:tc>
              <w:tc>
                <w:tcPr>
                  <w:tcW w:w="943" w:type="pct"/>
                  <w:vAlign w:val="center"/>
                </w:tcPr>
                <w:p>
                  <w:pPr>
                    <w:pStyle w:val="81"/>
                    <w:spacing w:line="30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数量</w:t>
                  </w:r>
                  <w:r>
                    <w:rPr>
                      <w:rFonts w:hint="eastAsia" w:cs="Times New Roman"/>
                      <w:color w:val="auto"/>
                      <w:kern w:val="0"/>
                      <w:sz w:val="21"/>
                      <w:szCs w:val="21"/>
                      <w:highlight w:val="none"/>
                      <w:lang w:val="en-US" w:eastAsia="zh-CN"/>
                    </w:rPr>
                    <w:t>（</w:t>
                  </w:r>
                  <w:r>
                    <w:rPr>
                      <w:rFonts w:hint="eastAsia" w:cs="Times New Roman"/>
                      <w:snapToGrid w:val="0"/>
                      <w:color w:val="auto"/>
                      <w:kern w:val="0"/>
                      <w:sz w:val="21"/>
                      <w:szCs w:val="21"/>
                      <w:highlight w:val="none"/>
                      <w:lang w:val="en-US" w:eastAsia="zh-CN"/>
                    </w:rPr>
                    <w:t>万</w:t>
                  </w:r>
                  <w:r>
                    <w:rPr>
                      <w:rFonts w:hint="eastAsia" w:ascii="Times New Roman" w:hAnsi="Times New Roman" w:eastAsia="宋体" w:cs="Times New Roman"/>
                      <w:color w:val="auto"/>
                      <w:kern w:val="0"/>
                      <w:sz w:val="21"/>
                      <w:szCs w:val="21"/>
                      <w:highlight w:val="none"/>
                      <w:lang w:val="en-US" w:eastAsia="zh-CN"/>
                    </w:rPr>
                    <w:t>t/a</w:t>
                  </w:r>
                  <w:r>
                    <w:rPr>
                      <w:rFonts w:hint="eastAsia"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9" w:type="pct"/>
                  <w:vAlign w:val="center"/>
                </w:tcPr>
                <w:p>
                  <w:pPr>
                    <w:pStyle w:val="81"/>
                    <w:spacing w:line="30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w:t>
                  </w:r>
                </w:p>
              </w:tc>
              <w:tc>
                <w:tcPr>
                  <w:tcW w:w="999" w:type="pct"/>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rPr>
                    <w:t>水泥</w:t>
                  </w:r>
                </w:p>
              </w:tc>
              <w:tc>
                <w:tcPr>
                  <w:tcW w:w="168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5.84</w:t>
                  </w:r>
                </w:p>
              </w:tc>
              <w:tc>
                <w:tcPr>
                  <w:tcW w:w="1057" w:type="pct"/>
                  <w:vAlign w:val="center"/>
                </w:tcPr>
                <w:p>
                  <w:pPr>
                    <w:pStyle w:val="81"/>
                    <w:spacing w:line="30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商品混凝土</w:t>
                  </w:r>
                </w:p>
              </w:tc>
              <w:tc>
                <w:tcPr>
                  <w:tcW w:w="943"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9" w:type="pct"/>
                  <w:vAlign w:val="center"/>
                </w:tcPr>
                <w:p>
                  <w:pPr>
                    <w:pStyle w:val="81"/>
                    <w:spacing w:line="30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p>
              </w:tc>
              <w:tc>
                <w:tcPr>
                  <w:tcW w:w="999" w:type="pct"/>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砂子</w:t>
                  </w:r>
                </w:p>
              </w:tc>
              <w:tc>
                <w:tcPr>
                  <w:tcW w:w="168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21.25</w:t>
                  </w:r>
                </w:p>
              </w:tc>
              <w:tc>
                <w:tcPr>
                  <w:tcW w:w="1057" w:type="pct"/>
                  <w:vAlign w:val="center"/>
                </w:tcPr>
                <w:p>
                  <w:pPr>
                    <w:pStyle w:val="81"/>
                    <w:spacing w:line="30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除尘器收集粉尘</w:t>
                  </w:r>
                </w:p>
              </w:tc>
              <w:tc>
                <w:tcPr>
                  <w:tcW w:w="943"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0.01495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9" w:type="pct"/>
                  <w:vAlign w:val="center"/>
                </w:tcPr>
                <w:p>
                  <w:pPr>
                    <w:pStyle w:val="81"/>
                    <w:spacing w:line="30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w:t>
                  </w:r>
                </w:p>
              </w:tc>
              <w:tc>
                <w:tcPr>
                  <w:tcW w:w="999" w:type="pct"/>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石子</w:t>
                  </w:r>
                </w:p>
              </w:tc>
              <w:tc>
                <w:tcPr>
                  <w:tcW w:w="168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26.25</w:t>
                  </w:r>
                </w:p>
              </w:tc>
              <w:tc>
                <w:tcPr>
                  <w:tcW w:w="1779" w:type="dxa"/>
                  <w:vAlign w:val="center"/>
                </w:tcPr>
                <w:p>
                  <w:pPr>
                    <w:pStyle w:val="81"/>
                    <w:spacing w:line="30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无组织排放</w:t>
                  </w:r>
                </w:p>
              </w:tc>
              <w:tc>
                <w:tcPr>
                  <w:tcW w:w="158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0.000657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9" w:type="pct"/>
                  <w:vAlign w:val="center"/>
                </w:tcPr>
                <w:p>
                  <w:pPr>
                    <w:pStyle w:val="81"/>
                    <w:spacing w:line="30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w:t>
                  </w:r>
                </w:p>
              </w:tc>
              <w:tc>
                <w:tcPr>
                  <w:tcW w:w="999" w:type="pct"/>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粉煤灰</w:t>
                  </w:r>
                </w:p>
              </w:tc>
              <w:tc>
                <w:tcPr>
                  <w:tcW w:w="168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779" w:type="dxa"/>
                  <w:vAlign w:val="center"/>
                </w:tcPr>
                <w:p>
                  <w:pPr>
                    <w:pStyle w:val="81"/>
                    <w:spacing w:line="30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沉淀池沉砂</w:t>
                  </w:r>
                </w:p>
              </w:tc>
              <w:tc>
                <w:tcPr>
                  <w:tcW w:w="1589" w:type="dxa"/>
                  <w:vAlign w:val="center"/>
                </w:tcPr>
                <w:p>
                  <w:pPr>
                    <w:pStyle w:val="81"/>
                    <w:spacing w:line="30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0.004393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9" w:type="pct"/>
                  <w:vAlign w:val="center"/>
                </w:tcPr>
                <w:p>
                  <w:pPr>
                    <w:pStyle w:val="81"/>
                    <w:spacing w:line="300" w:lineRule="exact"/>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w:t>
                  </w:r>
                </w:p>
              </w:tc>
              <w:tc>
                <w:tcPr>
                  <w:tcW w:w="999" w:type="pct"/>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矿粉</w:t>
                  </w:r>
                </w:p>
              </w:tc>
              <w:tc>
                <w:tcPr>
                  <w:tcW w:w="168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57" w:type="pct"/>
                  <w:vAlign w:val="center"/>
                </w:tcPr>
                <w:p>
                  <w:pPr>
                    <w:pStyle w:val="81"/>
                    <w:spacing w:line="30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943" w:type="pct"/>
                  <w:vAlign w:val="center"/>
                </w:tcPr>
                <w:p>
                  <w:pPr>
                    <w:pStyle w:val="81"/>
                    <w:spacing w:line="300" w:lineRule="exact"/>
                    <w:ind w:firstLine="0" w:firstLineChars="0"/>
                    <w:jc w:val="center"/>
                    <w:rPr>
                      <w:rFonts w:hint="default"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9" w:type="pct"/>
                  <w:vAlign w:val="center"/>
                </w:tcPr>
                <w:p>
                  <w:pPr>
                    <w:pStyle w:val="81"/>
                    <w:spacing w:line="300" w:lineRule="exact"/>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w:t>
                  </w:r>
                </w:p>
              </w:tc>
              <w:tc>
                <w:tcPr>
                  <w:tcW w:w="999" w:type="pct"/>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外加剂</w:t>
                  </w:r>
                </w:p>
              </w:tc>
              <w:tc>
                <w:tcPr>
                  <w:tcW w:w="168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w:t>
                  </w:r>
                </w:p>
              </w:tc>
              <w:tc>
                <w:tcPr>
                  <w:tcW w:w="1057" w:type="pct"/>
                  <w:vAlign w:val="center"/>
                </w:tcPr>
                <w:p>
                  <w:pPr>
                    <w:pStyle w:val="81"/>
                    <w:spacing w:line="30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943" w:type="pct"/>
                  <w:vAlign w:val="center"/>
                </w:tcPr>
                <w:p>
                  <w:pPr>
                    <w:pStyle w:val="81"/>
                    <w:spacing w:line="300" w:lineRule="exact"/>
                    <w:ind w:firstLine="0" w:firstLineChars="0"/>
                    <w:jc w:val="center"/>
                    <w:rPr>
                      <w:rFonts w:hint="eastAsia"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9" w:type="pct"/>
                  <w:vAlign w:val="center"/>
                </w:tcPr>
                <w:p>
                  <w:pPr>
                    <w:pStyle w:val="81"/>
                    <w:spacing w:line="300" w:lineRule="exact"/>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w:t>
                  </w:r>
                </w:p>
              </w:tc>
              <w:tc>
                <w:tcPr>
                  <w:tcW w:w="999" w:type="pct"/>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w:t>
                  </w:r>
                </w:p>
              </w:tc>
              <w:tc>
                <w:tcPr>
                  <w:tcW w:w="168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057" w:type="pct"/>
                  <w:vAlign w:val="center"/>
                </w:tcPr>
                <w:p>
                  <w:pPr>
                    <w:pStyle w:val="81"/>
                    <w:spacing w:line="30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943" w:type="pct"/>
                  <w:vAlign w:val="center"/>
                </w:tcPr>
                <w:p>
                  <w:pPr>
                    <w:pStyle w:val="81"/>
                    <w:spacing w:line="300" w:lineRule="exact"/>
                    <w:ind w:firstLine="0" w:firstLineChars="0"/>
                    <w:jc w:val="center"/>
                    <w:rPr>
                      <w:rFonts w:hint="eastAsia"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9" w:type="pct"/>
                  <w:vAlign w:val="center"/>
                </w:tcPr>
                <w:p>
                  <w:pPr>
                    <w:pStyle w:val="81"/>
                    <w:spacing w:line="300" w:lineRule="exact"/>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合计</w:t>
                  </w:r>
                </w:p>
              </w:tc>
              <w:tc>
                <w:tcPr>
                  <w:tcW w:w="999"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1683" w:type="dxa"/>
                  <w:vAlign w:val="center"/>
                </w:tcPr>
                <w:p>
                  <w:pPr>
                    <w:keepNext w:val="0"/>
                    <w:keepLines w:val="0"/>
                    <w:widowControl/>
                    <w:suppressLineNumbers w:val="0"/>
                    <w:jc w:val="center"/>
                    <w:textAlignment w:val="center"/>
                    <w:rPr>
                      <w:rFonts w:hint="default" w:cs="Times New Roman"/>
                      <w:bCs/>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60.02</w:t>
                  </w:r>
                </w:p>
              </w:tc>
              <w:tc>
                <w:tcPr>
                  <w:tcW w:w="1057" w:type="pct"/>
                  <w:vAlign w:val="center"/>
                </w:tcPr>
                <w:p>
                  <w:pPr>
                    <w:pStyle w:val="81"/>
                    <w:spacing w:line="30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943" w:type="pct"/>
                  <w:vAlign w:val="center"/>
                </w:tcPr>
                <w:p>
                  <w:pPr>
                    <w:pStyle w:val="81"/>
                    <w:spacing w:line="300" w:lineRule="exact"/>
                    <w:ind w:firstLine="0" w:firstLineChars="0"/>
                    <w:jc w:val="center"/>
                    <w:rPr>
                      <w:rFonts w:hint="default"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60.02</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工艺流程和产排污环节</w:t>
            </w:r>
          </w:p>
        </w:tc>
        <w:tc>
          <w:tcPr>
            <w:tcW w:w="8633"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1、施工期工艺流程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auto"/>
                <w:highlight w:val="none"/>
                <w:lang w:eastAsia="zh-CN"/>
              </w:rPr>
            </w:pPr>
            <w:r>
              <w:rPr>
                <w:color w:val="auto"/>
                <w:sz w:val="24"/>
                <w:highlight w:val="none"/>
              </w:rPr>
              <w:t>由于</w:t>
            </w:r>
            <w:r>
              <w:rPr>
                <w:rFonts w:hint="eastAsia"/>
                <w:color w:val="auto"/>
                <w:sz w:val="24"/>
                <w:highlight w:val="none"/>
                <w:lang w:eastAsia="zh-CN"/>
              </w:rPr>
              <w:t>原有厂区</w:t>
            </w:r>
            <w:r>
              <w:rPr>
                <w:color w:val="auto"/>
                <w:sz w:val="24"/>
                <w:highlight w:val="none"/>
              </w:rPr>
              <w:t>已建成</w:t>
            </w:r>
            <w:r>
              <w:rPr>
                <w:rFonts w:hint="eastAsia"/>
                <w:color w:val="auto"/>
                <w:sz w:val="24"/>
                <w:highlight w:val="none"/>
                <w:lang w:eastAsia="zh-CN"/>
              </w:rPr>
              <w:t>，本项目只增加产能和设备</w:t>
            </w:r>
            <w:r>
              <w:rPr>
                <w:color w:val="auto"/>
                <w:sz w:val="24"/>
                <w:highlight w:val="none"/>
              </w:rPr>
              <w:t>，故其施工期</w:t>
            </w:r>
            <w:r>
              <w:rPr>
                <w:rFonts w:hint="eastAsia"/>
                <w:color w:val="auto"/>
                <w:sz w:val="24"/>
                <w:highlight w:val="none"/>
                <w:lang w:eastAsia="zh-CN"/>
              </w:rPr>
              <w:t>产生生活垃圾、生活污水及更换设备的噪声、运输噪声。生活垃圾统一收集后由环卫部门处理，生活污水进入化粪池处理后，定期清掏不外排。更换设备时对施工场所进行密闭，车辆运输过程中，控制车速并禁止鸣笛。因此，施工期对环境的影响很小。</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2、运营期工艺流程和产污环节</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生产工艺流程及产污节点见图2-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（1）试拌</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实验室在生产前必须采用现场生产原材料，根据客户要求，按生产配比，进行混凝土的试拌工作，对混凝土拌合物的各个方面性能再进行一次检测，如混凝土的单位用水量、和易性、凝结时间、含气量等，为确定生产原料配比提供基础资料。</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（2）原料入场</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本项目使用的水泥和粉煤灰均为散装，由罐车运进，分别采用气力输送卸料，储存在各自的筒仓中，仓底设有皮带计量器，生产时，水泥由皮带计量器计量后，通过螺旋输送机送入搅拌机。外加剂通过专门的管道引入搅拌系统。</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②本项目使用的砂子和石子均为水洗成品，由汽车运进，卸入各自的原料棚中。</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③棚中的砂子和石子等原料由装载机运至棚内投料口，经计量后经封闭廊道输送机将砂、石按比例送入搅拌机。</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④水由计量泵计量后进入搅拌机，外加剂也经过专门的管道进入搅拌系统。</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（3）生产工序</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产中先将水泥、砂子、石子、粉煤灰、外加剂、水等各种原料进行计量配送，计量好的原料投入搅拌机，进行强制配料搅拌，强制配料过程采用电脑控制，从而保证混凝土的品质，搅拌直至混凝土拌合物制成，之后经专门计量泵送入混凝土运输车，最后送建筑工地。</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（4）搅拌机和罐车清洗</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砼搅拌机为本项目的主要生产设备，其在暂时停止生产或产品变更时必须冲洗干净。砼搅拌机平均每天冲洗一次。搅拌机和罐车清洗废水经砂石分离机分离出砂石后，送入沉淀池澄清后全部回用于搅拌混凝土工序。</w:t>
            </w:r>
          </w:p>
          <w:p>
            <w:pPr>
              <w:spacing w:line="360" w:lineRule="auto"/>
              <w:jc w:val="center"/>
              <w:rPr>
                <w:rFonts w:hint="default"/>
                <w:color w:val="auto"/>
                <w:highlight w:val="none"/>
                <w:lang w:eastAsia="zh-CN"/>
              </w:rPr>
            </w:pPr>
            <w:r>
              <w:rPr>
                <w:rFonts w:hint="default"/>
                <w:color w:val="auto"/>
                <w:highlight w:val="none"/>
                <w:lang w:eastAsia="zh-CN"/>
              </w:rPr>
              <w:drawing>
                <wp:inline distT="0" distB="0" distL="114300" distR="114300">
                  <wp:extent cx="3651250" cy="4058285"/>
                  <wp:effectExtent l="0" t="0" r="6350" b="18415"/>
                  <wp:docPr id="61"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descr="1"/>
                          <pic:cNvPicPr>
                            <a:picLocks noChangeAspect="1"/>
                          </pic:cNvPicPr>
                        </pic:nvPicPr>
                        <pic:blipFill>
                          <a:blip r:embed="rId26"/>
                          <a:stretch>
                            <a:fillRect/>
                          </a:stretch>
                        </pic:blipFill>
                        <pic:spPr>
                          <a:xfrm>
                            <a:off x="0" y="0"/>
                            <a:ext cx="3651250" cy="4058285"/>
                          </a:xfrm>
                          <a:prstGeom prst="rect">
                            <a:avLst/>
                          </a:prstGeom>
                          <a:noFill/>
                          <a:ln>
                            <a:noFill/>
                          </a:ln>
                        </pic:spPr>
                      </pic:pic>
                    </a:graphicData>
                  </a:graphic>
                </wp:inline>
              </w:drawing>
            </w:r>
          </w:p>
          <w:p>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图</w:t>
            </w: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 xml:space="preserve">  生产工艺流程及产污节点总图</w:t>
            </w:r>
          </w:p>
          <w:p>
            <w:pPr>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、主要产污工序及主要污染物</w:t>
            </w:r>
          </w:p>
          <w:p>
            <w:pPr>
              <w:spacing w:line="360" w:lineRule="auto"/>
              <w:ind w:firstLine="480" w:firstLineChars="200"/>
              <w:rPr>
                <w:bCs/>
                <w:color w:val="auto"/>
                <w:szCs w:val="21"/>
                <w:highlight w:val="none"/>
              </w:rPr>
            </w:pPr>
            <w:r>
              <w:rPr>
                <w:rFonts w:hint="default" w:ascii="Times New Roman" w:hAnsi="Times New Roman" w:eastAsia="宋体" w:cs="Times New Roman"/>
                <w:bCs/>
                <w:color w:val="auto"/>
                <w:sz w:val="24"/>
                <w:szCs w:val="24"/>
                <w:highlight w:val="none"/>
              </w:rPr>
              <w:t>主要产污工序及主要污染物汇总如表2-</w:t>
            </w:r>
            <w:r>
              <w:rPr>
                <w:rFonts w:hint="eastAsia"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rPr>
              <w:t>所示。</w:t>
            </w:r>
          </w:p>
          <w:p>
            <w:pPr>
              <w:kinsoku w:val="0"/>
              <w:overflowPunct w:val="0"/>
              <w:autoSpaceDE w:val="0"/>
              <w:autoSpaceDN w:val="0"/>
              <w:adjustRightInd w:val="0"/>
              <w:snapToGrid w:val="0"/>
              <w:spacing w:line="360" w:lineRule="auto"/>
              <w:jc w:val="center"/>
              <w:rPr>
                <w:b/>
                <w:color w:val="auto"/>
                <w:szCs w:val="21"/>
                <w:highlight w:val="none"/>
              </w:rPr>
            </w:pPr>
            <w:r>
              <w:rPr>
                <w:b/>
                <w:color w:val="auto"/>
                <w:szCs w:val="21"/>
                <w:highlight w:val="none"/>
              </w:rPr>
              <w:t>表2-</w:t>
            </w:r>
            <w:r>
              <w:rPr>
                <w:rFonts w:hint="eastAsia"/>
                <w:b/>
                <w:color w:val="auto"/>
                <w:szCs w:val="21"/>
                <w:highlight w:val="none"/>
                <w:lang w:val="en-US" w:eastAsia="zh-CN"/>
              </w:rPr>
              <w:t>8</w:t>
            </w:r>
            <w:r>
              <w:rPr>
                <w:b/>
                <w:color w:val="auto"/>
                <w:szCs w:val="21"/>
                <w:highlight w:val="none"/>
              </w:rPr>
              <w:t xml:space="preserve"> 主要产污工序及主要污染物汇总</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348"/>
              <w:gridCol w:w="1300"/>
              <w:gridCol w:w="1335"/>
              <w:gridCol w:w="937"/>
              <w:gridCol w:w="1076"/>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pPr>
                    <w:kinsoku w:val="0"/>
                    <w:overflowPunct w:val="0"/>
                    <w:autoSpaceDE w:val="0"/>
                    <w:autoSpaceDN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1349" w:type="dxa"/>
                  <w:shd w:val="clear" w:color="auto" w:fill="auto"/>
                  <w:vAlign w:val="center"/>
                </w:tcPr>
                <w:p>
                  <w:pPr>
                    <w:kinsoku w:val="0"/>
                    <w:overflowPunct w:val="0"/>
                    <w:autoSpaceDE w:val="0"/>
                    <w:autoSpaceDN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1301" w:type="dxa"/>
                  <w:shd w:val="clear" w:color="auto" w:fill="auto"/>
                  <w:vAlign w:val="center"/>
                </w:tcPr>
                <w:p>
                  <w:pPr>
                    <w:kinsoku w:val="0"/>
                    <w:overflowPunct w:val="0"/>
                    <w:autoSpaceDE w:val="0"/>
                    <w:autoSpaceDN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tc>
              <w:tc>
                <w:tcPr>
                  <w:tcW w:w="1336" w:type="dxa"/>
                  <w:shd w:val="clear" w:color="auto" w:fill="auto"/>
                  <w:vAlign w:val="center"/>
                </w:tcPr>
                <w:p>
                  <w:pPr>
                    <w:kinsoku w:val="0"/>
                    <w:overflowPunct w:val="0"/>
                    <w:autoSpaceDE w:val="0"/>
                    <w:autoSpaceDN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产污工序</w:t>
                  </w:r>
                </w:p>
              </w:tc>
              <w:tc>
                <w:tcPr>
                  <w:tcW w:w="938" w:type="dxa"/>
                  <w:shd w:val="clear" w:color="auto" w:fill="auto"/>
                  <w:vAlign w:val="center"/>
                </w:tcPr>
                <w:p>
                  <w:pPr>
                    <w:kinsoku w:val="0"/>
                    <w:overflowPunct w:val="0"/>
                    <w:autoSpaceDE w:val="0"/>
                    <w:autoSpaceDN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主要污染物</w:t>
                  </w:r>
                </w:p>
              </w:tc>
              <w:tc>
                <w:tcPr>
                  <w:tcW w:w="1077" w:type="dxa"/>
                  <w:shd w:val="clear" w:color="auto" w:fill="auto"/>
                  <w:vAlign w:val="center"/>
                </w:tcPr>
                <w:p>
                  <w:pPr>
                    <w:kinsoku w:val="0"/>
                    <w:overflowPunct w:val="0"/>
                    <w:autoSpaceDE w:val="0"/>
                    <w:autoSpaceDN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排放形式</w:t>
                  </w:r>
                </w:p>
              </w:tc>
              <w:tc>
                <w:tcPr>
                  <w:tcW w:w="1705" w:type="dxa"/>
                  <w:shd w:val="clear" w:color="auto" w:fill="auto"/>
                  <w:vAlign w:val="center"/>
                </w:tcPr>
                <w:p>
                  <w:pPr>
                    <w:kinsoku w:val="0"/>
                    <w:overflowPunct w:val="0"/>
                    <w:autoSpaceDE w:val="0"/>
                    <w:autoSpaceDN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处理设施/措施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Merge w:val="restart"/>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349"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粉料筒仓粉尘</w:t>
                  </w:r>
                </w:p>
              </w:tc>
              <w:tc>
                <w:tcPr>
                  <w:tcW w:w="1301"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水泥筒仓、粉煤灰筒仓</w:t>
                  </w:r>
                  <w:r>
                    <w:rPr>
                      <w:rFonts w:hint="default" w:ascii="Times New Roman" w:hAnsi="Times New Roman" w:eastAsia="宋体" w:cs="Times New Roman"/>
                      <w:color w:val="auto"/>
                      <w:sz w:val="21"/>
                      <w:szCs w:val="21"/>
                      <w:highlight w:val="none"/>
                      <w:lang w:eastAsia="zh-CN"/>
                    </w:rPr>
                    <w:t>、矿粉筒仓</w:t>
                  </w:r>
                </w:p>
              </w:tc>
              <w:tc>
                <w:tcPr>
                  <w:tcW w:w="1336"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上料和卸料</w:t>
                  </w:r>
                </w:p>
              </w:tc>
              <w:tc>
                <w:tcPr>
                  <w:tcW w:w="938"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粉尘</w:t>
                  </w:r>
                </w:p>
              </w:tc>
              <w:tc>
                <w:tcPr>
                  <w:tcW w:w="1077"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705"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封闭搅拌楼、脉冲布袋除尘器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Merge w:val="continue"/>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p>
              </w:tc>
              <w:tc>
                <w:tcPr>
                  <w:tcW w:w="1349"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砂、石料</w:t>
                  </w:r>
                  <w:r>
                    <w:rPr>
                      <w:rFonts w:hint="default" w:ascii="Times New Roman" w:hAnsi="Times New Roman" w:eastAsia="宋体" w:cs="Times New Roman"/>
                      <w:color w:val="auto"/>
                      <w:sz w:val="21"/>
                      <w:szCs w:val="21"/>
                      <w:highlight w:val="none"/>
                    </w:rPr>
                    <w:t>卸料</w:t>
                  </w:r>
                  <w:r>
                    <w:rPr>
                      <w:rFonts w:hint="eastAsia" w:ascii="Times New Roman" w:hAnsi="Times New Roman" w:eastAsia="宋体" w:cs="Times New Roman"/>
                      <w:color w:val="auto"/>
                      <w:sz w:val="21"/>
                      <w:szCs w:val="21"/>
                      <w:highlight w:val="none"/>
                      <w:lang w:eastAsia="zh-CN"/>
                    </w:rPr>
                    <w:t>及</w:t>
                  </w:r>
                  <w:r>
                    <w:rPr>
                      <w:rFonts w:hint="default" w:ascii="Times New Roman" w:hAnsi="Times New Roman" w:eastAsia="宋体" w:cs="Times New Roman"/>
                      <w:color w:val="auto"/>
                      <w:sz w:val="21"/>
                      <w:szCs w:val="21"/>
                      <w:highlight w:val="none"/>
                    </w:rPr>
                    <w:t>堆放粉尘</w:t>
                  </w:r>
                </w:p>
              </w:tc>
              <w:tc>
                <w:tcPr>
                  <w:tcW w:w="1301"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石</w:t>
                  </w:r>
                  <w:r>
                    <w:rPr>
                      <w:rFonts w:hint="default" w:ascii="Times New Roman" w:hAnsi="Times New Roman" w:eastAsia="宋体" w:cs="Times New Roman"/>
                      <w:color w:val="auto"/>
                      <w:sz w:val="21"/>
                      <w:szCs w:val="21"/>
                      <w:highlight w:val="none"/>
                      <w:lang w:eastAsia="zh-CN"/>
                    </w:rPr>
                    <w:t>料</w:t>
                  </w:r>
                  <w:r>
                    <w:rPr>
                      <w:rFonts w:hint="default" w:ascii="Times New Roman" w:hAnsi="Times New Roman" w:eastAsia="宋体" w:cs="Times New Roman"/>
                      <w:color w:val="auto"/>
                      <w:sz w:val="21"/>
                      <w:szCs w:val="21"/>
                      <w:highlight w:val="none"/>
                    </w:rPr>
                    <w:t>堆场</w:t>
                  </w:r>
                </w:p>
              </w:tc>
              <w:tc>
                <w:tcPr>
                  <w:tcW w:w="1336"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卸料、堆放</w:t>
                  </w:r>
                </w:p>
              </w:tc>
              <w:tc>
                <w:tcPr>
                  <w:tcW w:w="938" w:type="dxa"/>
                  <w:vAlign w:val="center"/>
                </w:tcPr>
                <w:p>
                  <w:pPr>
                    <w:kinsoku w:val="0"/>
                    <w:overflowPunct w:val="0"/>
                    <w:autoSpaceDE w:val="0"/>
                    <w:autoSpaceDN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粉尘</w:t>
                  </w:r>
                </w:p>
              </w:tc>
              <w:tc>
                <w:tcPr>
                  <w:tcW w:w="1077"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705"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密闭车间，顶部安装喷淋设施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Merge w:val="continue"/>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p>
              </w:tc>
              <w:tc>
                <w:tcPr>
                  <w:tcW w:w="1349"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搅拌系统上料粉尘</w:t>
                  </w:r>
                </w:p>
              </w:tc>
              <w:tc>
                <w:tcPr>
                  <w:tcW w:w="1301"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上料斗、输送皮带</w:t>
                  </w:r>
                </w:p>
              </w:tc>
              <w:tc>
                <w:tcPr>
                  <w:tcW w:w="1336"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上料、输送</w:t>
                  </w:r>
                </w:p>
              </w:tc>
              <w:tc>
                <w:tcPr>
                  <w:tcW w:w="938" w:type="dxa"/>
                  <w:vAlign w:val="center"/>
                </w:tcPr>
                <w:p>
                  <w:pPr>
                    <w:kinsoku w:val="0"/>
                    <w:overflowPunct w:val="0"/>
                    <w:autoSpaceDE w:val="0"/>
                    <w:autoSpaceDN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粉尘</w:t>
                  </w:r>
                </w:p>
              </w:tc>
              <w:tc>
                <w:tcPr>
                  <w:tcW w:w="1077"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705"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装卸料点上方及料斗上方设置喷淋抑尘，输送皮带均密闭设置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Merge w:val="continue"/>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p>
              </w:tc>
              <w:tc>
                <w:tcPr>
                  <w:tcW w:w="1349"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运输车辆扬尘</w:t>
                  </w:r>
                </w:p>
              </w:tc>
              <w:tc>
                <w:tcPr>
                  <w:tcW w:w="1301"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运输车辆</w:t>
                  </w:r>
                </w:p>
              </w:tc>
              <w:tc>
                <w:tcPr>
                  <w:tcW w:w="1336"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运输过程</w:t>
                  </w:r>
                </w:p>
              </w:tc>
              <w:tc>
                <w:tcPr>
                  <w:tcW w:w="938" w:type="dxa"/>
                  <w:vAlign w:val="center"/>
                </w:tcPr>
                <w:p>
                  <w:pPr>
                    <w:kinsoku w:val="0"/>
                    <w:overflowPunct w:val="0"/>
                    <w:autoSpaceDE w:val="0"/>
                    <w:autoSpaceDN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粉尘</w:t>
                  </w:r>
                </w:p>
              </w:tc>
              <w:tc>
                <w:tcPr>
                  <w:tcW w:w="1077"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705"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路面硬化、洒水降尘、限制车速、进出口设置车辆冲洗台等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Merge w:val="continue"/>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p>
              </w:tc>
              <w:tc>
                <w:tcPr>
                  <w:tcW w:w="1349"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搅拌粉尘</w:t>
                  </w:r>
                </w:p>
              </w:tc>
              <w:tc>
                <w:tcPr>
                  <w:tcW w:w="1301"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搅拌机</w:t>
                  </w:r>
                </w:p>
              </w:tc>
              <w:tc>
                <w:tcPr>
                  <w:tcW w:w="1336"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搅拌</w:t>
                  </w:r>
                </w:p>
              </w:tc>
              <w:tc>
                <w:tcPr>
                  <w:tcW w:w="938"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粉尘</w:t>
                  </w:r>
                </w:p>
              </w:tc>
              <w:tc>
                <w:tcPr>
                  <w:tcW w:w="1077"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705"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搅拌机安装脉冲布袋除尘器、封闭搅拌楼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Merge w:val="continue"/>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p>
              </w:tc>
              <w:tc>
                <w:tcPr>
                  <w:tcW w:w="1349"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食堂油烟</w:t>
                  </w:r>
                </w:p>
              </w:tc>
              <w:tc>
                <w:tcPr>
                  <w:tcW w:w="1301"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食堂</w:t>
                  </w:r>
                </w:p>
              </w:tc>
              <w:tc>
                <w:tcPr>
                  <w:tcW w:w="1336"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38"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w:t>
                  </w:r>
                </w:p>
              </w:tc>
              <w:tc>
                <w:tcPr>
                  <w:tcW w:w="1077"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705"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经油烟净化器处理后随烟道排放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Merge w:val="restart"/>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废水</w:t>
                  </w:r>
                </w:p>
              </w:tc>
              <w:tc>
                <w:tcPr>
                  <w:tcW w:w="134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生活污水</w:t>
                  </w:r>
                </w:p>
              </w:tc>
              <w:tc>
                <w:tcPr>
                  <w:tcW w:w="1301"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办公楼、食堂</w:t>
                  </w:r>
                </w:p>
              </w:tc>
              <w:tc>
                <w:tcPr>
                  <w:tcW w:w="1336"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38"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pH、SS、COD、BOD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、氮氮、动植物油</w:t>
                  </w:r>
                </w:p>
              </w:tc>
              <w:tc>
                <w:tcPr>
                  <w:tcW w:w="1077"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不外排</w:t>
                  </w:r>
                </w:p>
              </w:tc>
              <w:tc>
                <w:tcPr>
                  <w:tcW w:w="1705" w:type="dxa"/>
                  <w:vAlign w:val="center"/>
                </w:tcPr>
                <w:p>
                  <w:pPr>
                    <w:kinsoku w:val="0"/>
                    <w:overflowPunct w:val="0"/>
                    <w:autoSpaceDE w:val="0"/>
                    <w:autoSpaceDN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经</w:t>
                  </w:r>
                  <w:r>
                    <w:rPr>
                      <w:rFonts w:hint="eastAsia" w:cs="Times New Roman"/>
                      <w:color w:val="auto"/>
                      <w:sz w:val="21"/>
                      <w:szCs w:val="21"/>
                      <w:highlight w:val="none"/>
                      <w:lang w:eastAsia="zh-CN"/>
                    </w:rPr>
                    <w:t>油水分离器</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化粪池处理后定期清掏外运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Merge w:val="continue"/>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p>
              </w:tc>
              <w:tc>
                <w:tcPr>
                  <w:tcW w:w="134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搅拌机及混凝土搅拌运输车辆清洗废水</w:t>
                  </w:r>
                </w:p>
              </w:tc>
              <w:tc>
                <w:tcPr>
                  <w:tcW w:w="1301"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搅拌机</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混凝土搅拌运输车</w:t>
                  </w:r>
                </w:p>
              </w:tc>
              <w:tc>
                <w:tcPr>
                  <w:tcW w:w="1336" w:type="dxa"/>
                  <w:vAlign w:val="center"/>
                </w:tcPr>
                <w:p>
                  <w:pPr>
                    <w:kinsoku w:val="0"/>
                    <w:overflowPunct w:val="0"/>
                    <w:autoSpaceDE w:val="0"/>
                    <w:autoSpaceDN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清洗</w:t>
                  </w:r>
                </w:p>
              </w:tc>
              <w:tc>
                <w:tcPr>
                  <w:tcW w:w="938"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1077"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不外排</w:t>
                  </w:r>
                </w:p>
              </w:tc>
              <w:tc>
                <w:tcPr>
                  <w:tcW w:w="1705" w:type="dxa"/>
                  <w:vAlign w:val="center"/>
                </w:tcPr>
                <w:p>
                  <w:pPr>
                    <w:kinsoku w:val="0"/>
                    <w:overflowPunct w:val="0"/>
                    <w:autoSpaceDE w:val="0"/>
                    <w:autoSpaceDN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经</w:t>
                  </w:r>
                  <w:r>
                    <w:rPr>
                      <w:rFonts w:hint="eastAsia" w:cs="Times New Roman"/>
                      <w:color w:val="auto"/>
                      <w:sz w:val="21"/>
                      <w:szCs w:val="21"/>
                      <w:highlight w:val="none"/>
                      <w:lang w:eastAsia="zh-CN"/>
                    </w:rPr>
                    <w:t>“</w:t>
                  </w:r>
                  <w:r>
                    <w:rPr>
                      <w:rFonts w:hint="eastAsia"/>
                      <w:color w:val="auto"/>
                      <w:highlight w:val="none"/>
                      <w:lang w:eastAsia="zh-CN"/>
                    </w:rPr>
                    <w:t>压滤机</w:t>
                  </w:r>
                  <w:r>
                    <w:rPr>
                      <w:rFonts w:hint="eastAsia"/>
                      <w:color w:val="auto"/>
                      <w:highlight w:val="none"/>
                      <w:lang w:val="en-US" w:eastAsia="zh-CN"/>
                    </w:rPr>
                    <w:t>+砂石分离机+三级</w:t>
                  </w:r>
                  <w:r>
                    <w:rPr>
                      <w:rFonts w:hint="eastAsia" w:ascii="Times New Roman" w:hAnsi="Times New Roman" w:eastAsia="宋体" w:cs="Times New Roman"/>
                      <w:color w:val="auto"/>
                      <w:sz w:val="21"/>
                      <w:szCs w:val="21"/>
                      <w:highlight w:val="none"/>
                      <w:lang w:eastAsia="zh-CN"/>
                    </w:rPr>
                    <w:t>沉淀池</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处理</w:t>
                  </w:r>
                  <w:r>
                    <w:rPr>
                      <w:rFonts w:hint="eastAsia" w:ascii="Times New Roman" w:hAnsi="Times New Roman" w:eastAsia="宋体" w:cs="Times New Roman"/>
                      <w:color w:val="auto"/>
                      <w:sz w:val="21"/>
                      <w:szCs w:val="21"/>
                      <w:highlight w:val="none"/>
                      <w:lang w:eastAsia="zh-CN"/>
                    </w:rPr>
                    <w:t>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Merge w:val="continue"/>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p>
              </w:tc>
              <w:tc>
                <w:tcPr>
                  <w:tcW w:w="134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运输车辆进出门口清洗废水</w:t>
                  </w:r>
                </w:p>
              </w:tc>
              <w:tc>
                <w:tcPr>
                  <w:tcW w:w="1301"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洗车机</w:t>
                  </w:r>
                </w:p>
              </w:tc>
              <w:tc>
                <w:tcPr>
                  <w:tcW w:w="1336"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清洗</w:t>
                  </w:r>
                </w:p>
              </w:tc>
              <w:tc>
                <w:tcPr>
                  <w:tcW w:w="938"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1077"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不外排</w:t>
                  </w:r>
                </w:p>
              </w:tc>
              <w:tc>
                <w:tcPr>
                  <w:tcW w:w="1705"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经沉淀池沉淀后回用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Merge w:val="continue"/>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p>
              </w:tc>
              <w:tc>
                <w:tcPr>
                  <w:tcW w:w="134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场地及道路冲洗废水</w:t>
                  </w:r>
                </w:p>
              </w:tc>
              <w:tc>
                <w:tcPr>
                  <w:tcW w:w="1301" w:type="dxa"/>
                  <w:vAlign w:val="center"/>
                </w:tcPr>
                <w:p>
                  <w:pPr>
                    <w:kinsoku w:val="0"/>
                    <w:overflowPunct w:val="0"/>
                    <w:autoSpaceDE w:val="0"/>
                    <w:autoSpaceDN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36" w:type="dxa"/>
                  <w:vAlign w:val="center"/>
                </w:tcPr>
                <w:p>
                  <w:pPr>
                    <w:kinsoku w:val="0"/>
                    <w:overflowPunct w:val="0"/>
                    <w:autoSpaceDE w:val="0"/>
                    <w:autoSpaceDN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38"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1077"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不外排</w:t>
                  </w:r>
                </w:p>
              </w:tc>
              <w:tc>
                <w:tcPr>
                  <w:tcW w:w="1705"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经沉淀池沉淀后回用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Merge w:val="restart"/>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34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生活垃圾</w:t>
                  </w:r>
                </w:p>
              </w:tc>
              <w:tc>
                <w:tcPr>
                  <w:tcW w:w="1301" w:type="dxa"/>
                  <w:vAlign w:val="center"/>
                </w:tcPr>
                <w:p>
                  <w:pPr>
                    <w:kinsoku w:val="0"/>
                    <w:overflowPunct w:val="0"/>
                    <w:autoSpaceDE w:val="0"/>
                    <w:autoSpaceDN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生活、办公</w:t>
                  </w:r>
                </w:p>
              </w:tc>
              <w:tc>
                <w:tcPr>
                  <w:tcW w:w="1336" w:type="dxa"/>
                  <w:vAlign w:val="center"/>
                </w:tcPr>
                <w:p>
                  <w:pPr>
                    <w:kinsoku w:val="0"/>
                    <w:overflowPunct w:val="0"/>
                    <w:autoSpaceDE w:val="0"/>
                    <w:autoSpaceDN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38" w:type="dxa"/>
                  <w:vAlign w:val="center"/>
                </w:tcPr>
                <w:p>
                  <w:pPr>
                    <w:kinsoku w:val="0"/>
                    <w:overflowPunct w:val="0"/>
                    <w:autoSpaceDE w:val="0"/>
                    <w:autoSpaceDN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077"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不外排</w:t>
                  </w:r>
                </w:p>
              </w:tc>
              <w:tc>
                <w:tcPr>
                  <w:tcW w:w="1705" w:type="dxa"/>
                  <w:vAlign w:val="center"/>
                </w:tcPr>
                <w:p>
                  <w:pPr>
                    <w:kinsoku w:val="0"/>
                    <w:overflowPunct w:val="0"/>
                    <w:autoSpaceDE w:val="0"/>
                    <w:autoSpaceDN w:val="0"/>
                    <w:jc w:val="both"/>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集中收集后</w:t>
                  </w:r>
                  <w:r>
                    <w:rPr>
                      <w:rFonts w:hint="eastAsia" w:ascii="Times New Roman" w:hAnsi="Times New Roman" w:eastAsia="宋体" w:cs="Times New Roman"/>
                      <w:color w:val="auto"/>
                      <w:sz w:val="21"/>
                      <w:szCs w:val="21"/>
                      <w:highlight w:val="none"/>
                      <w:lang w:val="en-US" w:eastAsia="zh-CN"/>
                    </w:rPr>
                    <w:t>由环卫部门统一处置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09" w:type="dxa"/>
                  <w:vMerge w:val="continue"/>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p>
              </w:tc>
              <w:tc>
                <w:tcPr>
                  <w:tcW w:w="1349"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沉淀池</w:t>
                  </w:r>
                  <w:r>
                    <w:rPr>
                      <w:rFonts w:hint="eastAsia" w:cs="Times New Roman"/>
                      <w:color w:val="auto"/>
                      <w:sz w:val="21"/>
                      <w:szCs w:val="21"/>
                      <w:highlight w:val="none"/>
                      <w:lang w:val="en-US" w:eastAsia="zh-CN"/>
                    </w:rPr>
                    <w:t>沉砂</w:t>
                  </w:r>
                </w:p>
              </w:tc>
              <w:tc>
                <w:tcPr>
                  <w:tcW w:w="1301" w:type="dxa"/>
                  <w:vAlign w:val="center"/>
                </w:tcPr>
                <w:p>
                  <w:pPr>
                    <w:kinsoku w:val="0"/>
                    <w:overflowPunct w:val="0"/>
                    <w:autoSpaceDE w:val="0"/>
                    <w:autoSpaceDN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沉淀池</w:t>
                  </w:r>
                </w:p>
              </w:tc>
              <w:tc>
                <w:tcPr>
                  <w:tcW w:w="1336" w:type="dxa"/>
                  <w:vAlign w:val="center"/>
                </w:tcPr>
                <w:p>
                  <w:pPr>
                    <w:kinsoku w:val="0"/>
                    <w:overflowPunct w:val="0"/>
                    <w:autoSpaceDE w:val="0"/>
                    <w:autoSpaceDN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38"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077"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不外排</w:t>
                  </w:r>
                </w:p>
              </w:tc>
              <w:tc>
                <w:tcPr>
                  <w:tcW w:w="1705" w:type="dxa"/>
                  <w:vAlign w:val="center"/>
                </w:tcPr>
                <w:p>
                  <w:pPr>
                    <w:kinsoku w:val="0"/>
                    <w:overflowPunct w:val="0"/>
                    <w:autoSpaceDE w:val="0"/>
                    <w:autoSpaceDN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定期清掏回用于生产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Merge w:val="continue"/>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rPr>
                  </w:pPr>
                </w:p>
              </w:tc>
              <w:tc>
                <w:tcPr>
                  <w:tcW w:w="1349" w:type="dxa"/>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除尘器收集粉尘</w:t>
                  </w:r>
                </w:p>
              </w:tc>
              <w:tc>
                <w:tcPr>
                  <w:tcW w:w="1301" w:type="dxa"/>
                  <w:vAlign w:val="center"/>
                </w:tcPr>
                <w:p>
                  <w:pPr>
                    <w:kinsoku w:val="0"/>
                    <w:overflowPunct w:val="0"/>
                    <w:autoSpaceDE w:val="0"/>
                    <w:autoSpaceDN w:val="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粉料筒仓、搅拌站</w:t>
                  </w:r>
                </w:p>
              </w:tc>
              <w:tc>
                <w:tcPr>
                  <w:tcW w:w="1336"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38" w:type="dxa"/>
                  <w:vAlign w:val="center"/>
                </w:tcPr>
                <w:p>
                  <w:pPr>
                    <w:kinsoku w:val="0"/>
                    <w:overflowPunct w:val="0"/>
                    <w:autoSpaceDE w:val="0"/>
                    <w:autoSpaceDN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77" w:type="dxa"/>
                  <w:vAlign w:val="center"/>
                </w:tcPr>
                <w:p>
                  <w:pPr>
                    <w:kinsoku w:val="0"/>
                    <w:overflowPunct w:val="0"/>
                    <w:autoSpaceDE w:val="0"/>
                    <w:autoSpaceDN w:val="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不外排</w:t>
                  </w:r>
                </w:p>
              </w:tc>
              <w:tc>
                <w:tcPr>
                  <w:tcW w:w="1705" w:type="dxa"/>
                  <w:vAlign w:val="center"/>
                </w:tcPr>
                <w:p>
                  <w:pPr>
                    <w:kinsoku w:val="0"/>
                    <w:overflowPunct w:val="0"/>
                    <w:autoSpaceDE w:val="0"/>
                    <w:autoSpaceDN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Align w:val="center"/>
                </w:tcPr>
                <w:p>
                  <w:pPr>
                    <w:kinsoku w:val="0"/>
                    <w:overflowPunct w:val="0"/>
                    <w:autoSpaceDE w:val="0"/>
                    <w:autoSpaceDN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噪声</w:t>
                  </w:r>
                </w:p>
              </w:tc>
              <w:tc>
                <w:tcPr>
                  <w:tcW w:w="1349" w:type="dxa"/>
                  <w:vAlign w:val="center"/>
                </w:tcPr>
                <w:p>
                  <w:pPr>
                    <w:kinsoku w:val="0"/>
                    <w:overflowPunct w:val="0"/>
                    <w:autoSpaceDE w:val="0"/>
                    <w:autoSpaceDN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噪声</w:t>
                  </w:r>
                </w:p>
              </w:tc>
              <w:tc>
                <w:tcPr>
                  <w:tcW w:w="1301" w:type="dxa"/>
                  <w:vAlign w:val="center"/>
                </w:tcPr>
                <w:p>
                  <w:pPr>
                    <w:kinsoku w:val="0"/>
                    <w:overflowPunct w:val="0"/>
                    <w:autoSpaceDE w:val="0"/>
                    <w:autoSpaceDN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混凝土搅拌、输送等</w:t>
                  </w:r>
                </w:p>
              </w:tc>
              <w:tc>
                <w:tcPr>
                  <w:tcW w:w="1336" w:type="dxa"/>
                  <w:vAlign w:val="center"/>
                </w:tcPr>
                <w:p>
                  <w:pPr>
                    <w:kinsoku w:val="0"/>
                    <w:overflowPunct w:val="0"/>
                    <w:autoSpaceDE w:val="0"/>
                    <w:autoSpaceDN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设备运行噪声</w:t>
                  </w:r>
                </w:p>
              </w:tc>
              <w:tc>
                <w:tcPr>
                  <w:tcW w:w="938" w:type="dxa"/>
                  <w:vAlign w:val="center"/>
                </w:tcPr>
                <w:p>
                  <w:pPr>
                    <w:kinsoku w:val="0"/>
                    <w:overflowPunct w:val="0"/>
                    <w:autoSpaceDE w:val="0"/>
                    <w:autoSpaceDN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77" w:type="dxa"/>
                  <w:vAlign w:val="center"/>
                </w:tcPr>
                <w:p>
                  <w:pPr>
                    <w:kinsoku w:val="0"/>
                    <w:overflowPunct w:val="0"/>
                    <w:autoSpaceDE w:val="0"/>
                    <w:autoSpaceDN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05" w:type="dxa"/>
                  <w:vAlign w:val="center"/>
                </w:tcPr>
                <w:p>
                  <w:pPr>
                    <w:kinsoku w:val="0"/>
                    <w:overflowPunct w:val="0"/>
                    <w:autoSpaceDE w:val="0"/>
                    <w:autoSpaceDN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室内布置，采取隔声、减震措施</w:t>
                  </w:r>
                </w:p>
              </w:tc>
            </w:tr>
          </w:tbl>
          <w:p>
            <w:pPr>
              <w:pStyle w:val="36"/>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9"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2"/>
                <w:sz w:val="21"/>
                <w:szCs w:val="21"/>
                <w:highlight w:val="none"/>
              </w:rPr>
              <w:t>与项目有关的原有环境污染问题</w:t>
            </w:r>
          </w:p>
        </w:tc>
        <w:tc>
          <w:tcPr>
            <w:tcW w:w="8633" w:type="dxa"/>
            <w:noWrap w:val="0"/>
            <w:vAlign w:val="center"/>
          </w:tcPr>
          <w:p>
            <w:pPr>
              <w:pStyle w:val="63"/>
              <w:keepNext w:val="0"/>
              <w:keepLines w:val="0"/>
              <w:pageBreakBefore w:val="0"/>
              <w:widowControl w:val="0"/>
              <w:kinsoku/>
              <w:wordWrap/>
              <w:overflowPunct/>
              <w:topLinePunct w:val="0"/>
              <w:autoSpaceDE/>
              <w:autoSpaceDN/>
              <w:bidi w:val="0"/>
              <w:adjustRightInd w:val="0"/>
              <w:snapToGrid w:val="0"/>
              <w:spacing w:before="6" w:line="360" w:lineRule="auto"/>
              <w:ind w:left="113"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val="en-US" w:eastAsia="zh-CN"/>
              </w:rPr>
              <w:t>、现有工程环保手续履行情况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陕西合为混凝土有限公司位于西咸新区秦汉新城渭城街办石何杨村</w:t>
            </w:r>
            <w:r>
              <w:rPr>
                <w:rFonts w:hint="default" w:ascii="Times New Roman" w:hAnsi="Times New Roman" w:eastAsia="宋体" w:cs="Times New Roman"/>
                <w:color w:val="auto"/>
                <w:sz w:val="24"/>
                <w:szCs w:val="24"/>
                <w:highlight w:val="none"/>
                <w:lang w:val="en-US" w:eastAsia="zh-CN"/>
              </w:rPr>
              <w:t>，原有项目</w:t>
            </w:r>
            <w:r>
              <w:rPr>
                <w:rFonts w:hint="eastAsia" w:cs="Times New Roman"/>
                <w:color w:val="auto"/>
                <w:sz w:val="24"/>
                <w:szCs w:val="24"/>
                <w:highlight w:val="none"/>
                <w:lang w:val="en-US" w:eastAsia="zh-CN"/>
              </w:rPr>
              <w:t>占地30667m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vertAlign w:val="baseline"/>
                <w:lang w:val="en-US" w:eastAsia="zh-CN"/>
              </w:rPr>
              <w:t>，建筑面积</w:t>
            </w:r>
            <w:r>
              <w:rPr>
                <w:rFonts w:hint="eastAsia" w:cs="Times New Roman"/>
                <w:color w:val="auto"/>
                <w:sz w:val="24"/>
                <w:szCs w:val="24"/>
                <w:highlight w:val="none"/>
                <w:lang w:val="en-US" w:eastAsia="zh-CN"/>
              </w:rPr>
              <w:t>13500m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年产15万立方米商品混凝土</w:t>
            </w:r>
            <w:r>
              <w:rPr>
                <w:rFonts w:hint="eastAsia" w:cs="Times New Roman"/>
                <w:color w:val="auto"/>
                <w:sz w:val="24"/>
                <w:szCs w:val="24"/>
                <w:highlight w:val="none"/>
                <w:lang w:val="en-US" w:eastAsia="zh-CN"/>
              </w:rPr>
              <w:t>。</w:t>
            </w:r>
            <w:r>
              <w:rPr>
                <w:rFonts w:hint="eastAsia" w:cs="Times New Roman"/>
                <w:color w:val="auto"/>
                <w:sz w:val="24"/>
                <w:szCs w:val="24"/>
                <w:highlight w:val="none"/>
                <w:lang w:eastAsia="zh-CN"/>
              </w:rPr>
              <w:t>原有</w:t>
            </w:r>
            <w:r>
              <w:rPr>
                <w:rFonts w:hint="default" w:ascii="Times New Roman" w:hAnsi="Times New Roman" w:cs="Times New Roman"/>
                <w:color w:val="auto"/>
                <w:sz w:val="24"/>
                <w:szCs w:val="24"/>
                <w:highlight w:val="none"/>
              </w:rPr>
              <w:t>项目于20</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年</w:t>
            </w:r>
            <w:r>
              <w:rPr>
                <w:rFonts w:hint="eastAsia" w:cs="Times New Roman"/>
                <w:color w:val="auto"/>
                <w:sz w:val="24"/>
                <w:szCs w:val="24"/>
                <w:highlight w:val="none"/>
                <w:lang w:val="en-US" w:eastAsia="zh-CN"/>
              </w:rPr>
              <w:t>5月30日获得由咸阳市渭城区发展和改革局</w:t>
            </w:r>
            <w:r>
              <w:rPr>
                <w:rFonts w:hint="default" w:ascii="Times New Roman" w:hAnsi="Times New Roman" w:cs="Times New Roman"/>
                <w:color w:val="auto"/>
                <w:sz w:val="24"/>
                <w:szCs w:val="24"/>
                <w:highlight w:val="none"/>
                <w:lang w:val="en-US" w:eastAsia="zh-CN"/>
              </w:rPr>
              <w:t>《关于陕西合为混凝土有限公司商品混凝土项目</w:t>
            </w:r>
            <w:r>
              <w:rPr>
                <w:rFonts w:hint="eastAsia" w:cs="Times New Roman"/>
                <w:color w:val="auto"/>
                <w:sz w:val="24"/>
                <w:szCs w:val="24"/>
                <w:highlight w:val="none"/>
                <w:lang w:val="en-US" w:eastAsia="zh-CN"/>
              </w:rPr>
              <w:t>备案确认书的通知</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（咸渭发改（2010）128号），</w:t>
            </w:r>
            <w:r>
              <w:rPr>
                <w:rFonts w:hint="default" w:ascii="Times New Roman" w:hAnsi="Times New Roman" w:cs="Times New Roman"/>
                <w:color w:val="auto"/>
                <w:sz w:val="24"/>
                <w:szCs w:val="24"/>
                <w:highlight w:val="none"/>
              </w:rPr>
              <w:t>于20</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z w:val="24"/>
                <w:szCs w:val="24"/>
                <w:highlight w:val="none"/>
                <w:lang w:eastAsia="zh-CN"/>
              </w:rPr>
              <w:t>取得</w:t>
            </w:r>
            <w:r>
              <w:rPr>
                <w:rFonts w:hint="eastAsia" w:cs="Times New Roman"/>
                <w:color w:val="auto"/>
                <w:sz w:val="24"/>
                <w:szCs w:val="24"/>
                <w:highlight w:val="none"/>
                <w:lang w:eastAsia="zh-CN"/>
              </w:rPr>
              <w:t>原</w:t>
            </w:r>
            <w:r>
              <w:rPr>
                <w:rFonts w:hint="default" w:ascii="Times New Roman" w:hAnsi="Times New Roman" w:cs="Times New Roman"/>
                <w:color w:val="auto"/>
                <w:sz w:val="24"/>
                <w:szCs w:val="24"/>
                <w:highlight w:val="none"/>
                <w:lang w:eastAsia="zh-CN"/>
              </w:rPr>
              <w:t>咸阳市环境保护局渭城分局的环评批复，</w:t>
            </w:r>
            <w:r>
              <w:rPr>
                <w:rFonts w:hint="default" w:ascii="Times New Roman" w:hAnsi="Times New Roman" w:cs="Times New Roman"/>
                <w:color w:val="auto"/>
                <w:sz w:val="24"/>
                <w:szCs w:val="24"/>
                <w:highlight w:val="none"/>
                <w:lang w:val="en-US" w:eastAsia="zh-CN"/>
              </w:rPr>
              <w:t>于2012年3月6日取得咸阳市</w:t>
            </w:r>
            <w:r>
              <w:rPr>
                <w:rFonts w:hint="eastAsia" w:cs="Times New Roman"/>
                <w:color w:val="auto"/>
                <w:sz w:val="24"/>
                <w:szCs w:val="24"/>
                <w:highlight w:val="none"/>
                <w:lang w:val="en-US" w:eastAsia="zh-CN"/>
              </w:rPr>
              <w:t>原</w:t>
            </w:r>
            <w:r>
              <w:rPr>
                <w:rFonts w:hint="default" w:ascii="Times New Roman" w:hAnsi="Times New Roman" w:cs="Times New Roman"/>
                <w:color w:val="auto"/>
                <w:sz w:val="24"/>
                <w:szCs w:val="24"/>
                <w:highlight w:val="none"/>
                <w:lang w:val="en-US" w:eastAsia="zh-CN"/>
              </w:rPr>
              <w:t>环境保护局渭城分局《关于陕西合为混凝土有限公司年产15万立方米商品混凝土项目竣工环境保护验收批复》（咸环渭批复[2012]07号），于2022年8月19日取得排污许可登记回执，登记编号为：916104005593596128001X。</w:t>
            </w:r>
          </w:p>
          <w:p>
            <w:pPr>
              <w:pStyle w:val="63"/>
              <w:keepNext w:val="0"/>
              <w:keepLines w:val="0"/>
              <w:pageBreakBefore w:val="0"/>
              <w:widowControl w:val="0"/>
              <w:kinsoku/>
              <w:wordWrap/>
              <w:overflowPunct/>
              <w:topLinePunct w:val="0"/>
              <w:autoSpaceDE/>
              <w:autoSpaceDN/>
              <w:bidi w:val="0"/>
              <w:adjustRightInd w:val="0"/>
              <w:snapToGrid w:val="0"/>
              <w:spacing w:before="6" w:line="360" w:lineRule="auto"/>
              <w:ind w:left="113"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、现有项目组成</w:t>
            </w:r>
          </w:p>
          <w:p>
            <w:pPr>
              <w:spacing w:line="360" w:lineRule="auto"/>
              <w:jc w:val="center"/>
              <w:rPr>
                <w:rFonts w:hint="default" w:cs="宋体"/>
                <w:b/>
                <w:color w:val="auto"/>
                <w:szCs w:val="21"/>
                <w:highlight w:val="none"/>
                <w:lang w:eastAsia="zh-CN" w:bidi="ar"/>
              </w:rPr>
            </w:pPr>
            <w:r>
              <w:rPr>
                <w:rFonts w:hint="eastAsia" w:cs="宋体"/>
                <w:b/>
                <w:color w:val="auto"/>
                <w:szCs w:val="21"/>
                <w:highlight w:val="none"/>
                <w:lang w:bidi="ar"/>
              </w:rPr>
              <w:t>表 2-</w:t>
            </w:r>
            <w:r>
              <w:rPr>
                <w:rFonts w:hint="eastAsia" w:cs="宋体"/>
                <w:b/>
                <w:color w:val="auto"/>
                <w:szCs w:val="21"/>
                <w:highlight w:val="none"/>
                <w:lang w:val="en-US" w:eastAsia="zh-CN" w:bidi="ar"/>
              </w:rPr>
              <w:t>9</w:t>
            </w:r>
            <w:r>
              <w:rPr>
                <w:rFonts w:hint="eastAsia" w:cs="宋体"/>
                <w:b/>
                <w:color w:val="auto"/>
                <w:szCs w:val="21"/>
                <w:highlight w:val="none"/>
                <w:lang w:bidi="ar"/>
              </w:rPr>
              <w:tab/>
            </w:r>
            <w:r>
              <w:rPr>
                <w:rFonts w:hint="eastAsia" w:cs="宋体"/>
                <w:b/>
                <w:color w:val="auto"/>
                <w:szCs w:val="21"/>
                <w:highlight w:val="none"/>
                <w:lang w:bidi="ar"/>
              </w:rPr>
              <w:t>现有项目组成一览表</w:t>
            </w:r>
          </w:p>
          <w:tbl>
            <w:tblPr>
              <w:tblStyle w:val="30"/>
              <w:tblW w:w="8698" w:type="dxa"/>
              <w:tblInd w:w="-18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3"/>
              <w:gridCol w:w="765"/>
              <w:gridCol w:w="1448"/>
              <w:gridCol w:w="1154"/>
              <w:gridCol w:w="374"/>
              <w:gridCol w:w="44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318" w:type="dxa"/>
                  <w:gridSpan w:val="2"/>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项目组成</w:t>
                  </w: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ab/>
                  </w:r>
                  <w:r>
                    <w:rPr>
                      <w:rFonts w:hint="default"/>
                      <w:color w:val="auto"/>
                      <w:highlight w:val="none"/>
                      <w:lang w:val="en-US" w:eastAsia="zh-CN"/>
                    </w:rPr>
                    <w:t>类别</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主要建设内容及规模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18" w:type="dxa"/>
                  <w:gridSpan w:val="2"/>
                  <w:vMerge w:val="restart"/>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主体工程</w:t>
                  </w:r>
                </w:p>
              </w:tc>
              <w:tc>
                <w:tcPr>
                  <w:tcW w:w="1448" w:type="dxa"/>
                  <w:vMerge w:val="restart"/>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搅拌站基础设施</w:t>
                  </w:r>
                </w:p>
              </w:tc>
              <w:tc>
                <w:tcPr>
                  <w:tcW w:w="1528" w:type="dxa"/>
                  <w:gridSpan w:val="2"/>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配料系统</w:t>
                  </w:r>
                </w:p>
              </w:tc>
              <w:tc>
                <w:tcPr>
                  <w:tcW w:w="4404"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配料机，2套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18" w:type="dxa"/>
                  <w:gridSpan w:val="2"/>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448"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528" w:type="dxa"/>
                  <w:gridSpan w:val="2"/>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上料系统</w:t>
                  </w:r>
                </w:p>
              </w:tc>
              <w:tc>
                <w:tcPr>
                  <w:tcW w:w="4404"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皮带机，L=55m，2条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318" w:type="dxa"/>
                  <w:gridSpan w:val="2"/>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448"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528" w:type="dxa"/>
                  <w:gridSpan w:val="2"/>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粉料筒仓</w:t>
                  </w:r>
                </w:p>
              </w:tc>
              <w:tc>
                <w:tcPr>
                  <w:tcW w:w="4404"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eastAsia" w:cs="Times New Roman"/>
                      <w:b w:val="0"/>
                      <w:bCs/>
                      <w:color w:val="auto"/>
                      <w:kern w:val="0"/>
                      <w:sz w:val="21"/>
                      <w:szCs w:val="21"/>
                      <w:highlight w:val="none"/>
                      <w:lang w:val="en-US" w:eastAsia="zh-CN"/>
                    </w:rPr>
                    <w:t>4</w:t>
                  </w:r>
                  <w:r>
                    <w:rPr>
                      <w:rFonts w:hint="default" w:ascii="Times New Roman" w:hAnsi="Times New Roman" w:cs="Times New Roman"/>
                      <w:b w:val="0"/>
                      <w:bCs/>
                      <w:color w:val="auto"/>
                      <w:kern w:val="0"/>
                      <w:sz w:val="21"/>
                      <w:szCs w:val="21"/>
                      <w:highlight w:val="none"/>
                      <w:lang w:val="en-US" w:eastAsia="zh-CN"/>
                    </w:rPr>
                    <w:t>个（水泥仓</w:t>
                  </w:r>
                  <w:r>
                    <w:rPr>
                      <w:rFonts w:hint="eastAsia" w:cs="Times New Roman"/>
                      <w:b w:val="0"/>
                      <w:bCs/>
                      <w:color w:val="auto"/>
                      <w:kern w:val="0"/>
                      <w:sz w:val="21"/>
                      <w:szCs w:val="21"/>
                      <w:highlight w:val="none"/>
                      <w:lang w:val="en-US" w:eastAsia="zh-CN"/>
                    </w:rPr>
                    <w:t>2</w:t>
                  </w:r>
                  <w:r>
                    <w:rPr>
                      <w:rFonts w:hint="default" w:ascii="Times New Roman" w:hAnsi="Times New Roman" w:cs="Times New Roman"/>
                      <w:b w:val="0"/>
                      <w:bCs/>
                      <w:color w:val="auto"/>
                      <w:kern w:val="0"/>
                      <w:sz w:val="21"/>
                      <w:szCs w:val="21"/>
                      <w:highlight w:val="none"/>
                      <w:lang w:val="en-US" w:eastAsia="zh-CN"/>
                    </w:rPr>
                    <w:t>个，粉煤灰仓</w:t>
                  </w:r>
                  <w:r>
                    <w:rPr>
                      <w:rFonts w:hint="eastAsia" w:cs="Times New Roman"/>
                      <w:b w:val="0"/>
                      <w:bCs/>
                      <w:color w:val="auto"/>
                      <w:kern w:val="0"/>
                      <w:sz w:val="21"/>
                      <w:szCs w:val="21"/>
                      <w:highlight w:val="none"/>
                      <w:lang w:val="en-US" w:eastAsia="zh-CN"/>
                    </w:rPr>
                    <w:t>1</w:t>
                  </w:r>
                  <w:r>
                    <w:rPr>
                      <w:rFonts w:hint="default" w:ascii="Times New Roman" w:hAnsi="Times New Roman" w:cs="Times New Roman"/>
                      <w:b w:val="0"/>
                      <w:bCs/>
                      <w:color w:val="auto"/>
                      <w:kern w:val="0"/>
                      <w:sz w:val="21"/>
                      <w:szCs w:val="21"/>
                      <w:highlight w:val="none"/>
                      <w:lang w:val="en-US" w:eastAsia="zh-CN"/>
                    </w:rPr>
                    <w:t>个）</w:t>
                  </w:r>
                  <w:r>
                    <w:rPr>
                      <w:rFonts w:hint="eastAsia" w:cs="Times New Roman"/>
                      <w:b w:val="0"/>
                      <w:bCs/>
                      <w:color w:val="auto"/>
                      <w:kern w:val="0"/>
                      <w:sz w:val="21"/>
                      <w:szCs w:val="21"/>
                      <w:highlight w:val="none"/>
                      <w:lang w:val="en-US" w:eastAsia="zh-CN"/>
                    </w:rPr>
                    <w:t>，</w:t>
                  </w:r>
                  <w:r>
                    <w:rPr>
                      <w:rFonts w:hint="default" w:ascii="Times New Roman" w:hAnsi="Times New Roman" w:cs="Times New Roman"/>
                      <w:b w:val="0"/>
                      <w:bCs/>
                      <w:color w:val="auto"/>
                      <w:kern w:val="0"/>
                      <w:sz w:val="21"/>
                      <w:szCs w:val="21"/>
                      <w:highlight w:val="none"/>
                      <w:lang w:val="en-US" w:eastAsia="zh-CN"/>
                    </w:rPr>
                    <w:t>外加剂仓</w:t>
                  </w:r>
                  <w:r>
                    <w:rPr>
                      <w:rFonts w:hint="eastAsia" w:cs="Times New Roman"/>
                      <w:b w:val="0"/>
                      <w:bCs/>
                      <w:color w:val="auto"/>
                      <w:kern w:val="0"/>
                      <w:sz w:val="21"/>
                      <w:szCs w:val="21"/>
                      <w:highlight w:val="none"/>
                      <w:lang w:val="en-US" w:eastAsia="zh-CN"/>
                    </w:rPr>
                    <w:t>1</w:t>
                  </w:r>
                  <w:r>
                    <w:rPr>
                      <w:rFonts w:hint="default" w:ascii="Times New Roman" w:hAnsi="Times New Roman" w:cs="Times New Roman"/>
                      <w:b w:val="0"/>
                      <w:bCs/>
                      <w:color w:val="auto"/>
                      <w:kern w:val="0"/>
                      <w:sz w:val="21"/>
                      <w:szCs w:val="21"/>
                      <w:highlight w:val="none"/>
                      <w:lang w:val="en-US" w:eastAsia="zh-CN"/>
                    </w:rPr>
                    <w:t>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18" w:type="dxa"/>
                  <w:gridSpan w:val="2"/>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448"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528" w:type="dxa"/>
                  <w:gridSpan w:val="2"/>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输送系统</w:t>
                  </w:r>
                </w:p>
              </w:tc>
              <w:tc>
                <w:tcPr>
                  <w:tcW w:w="4404"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输送机，</w:t>
                  </w:r>
                  <w:r>
                    <w:rPr>
                      <w:rFonts w:hint="eastAsia"/>
                      <w:color w:val="auto"/>
                      <w:highlight w:val="none"/>
                      <w:lang w:val="en-US" w:eastAsia="zh-CN"/>
                    </w:rPr>
                    <w:t>6</w:t>
                  </w:r>
                  <w:r>
                    <w:rPr>
                      <w:rFonts w:hint="default"/>
                      <w:color w:val="auto"/>
                      <w:highlight w:val="none"/>
                      <w:lang w:val="en-US" w:eastAsia="zh-CN"/>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18" w:type="dxa"/>
                  <w:gridSpan w:val="2"/>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448"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528" w:type="dxa"/>
                  <w:gridSpan w:val="2"/>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搅拌系统</w:t>
                  </w:r>
                </w:p>
              </w:tc>
              <w:tc>
                <w:tcPr>
                  <w:tcW w:w="4404"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封闭搅拌楼，</w:t>
                  </w:r>
                  <w:r>
                    <w:rPr>
                      <w:rFonts w:hint="eastAsia"/>
                      <w:color w:val="auto"/>
                      <w:highlight w:val="none"/>
                      <w:lang w:val="en-US" w:eastAsia="zh-CN"/>
                    </w:rPr>
                    <w:t>130双战操作楼</w:t>
                  </w:r>
                  <w:r>
                    <w:rPr>
                      <w:rFonts w:hint="default"/>
                      <w:color w:val="auto"/>
                      <w:highlight w:val="none"/>
                      <w:lang w:val="en-US" w:eastAsia="zh-CN"/>
                    </w:rPr>
                    <w:t>搅拌机</w:t>
                  </w:r>
                  <w:r>
                    <w:rPr>
                      <w:rFonts w:hint="eastAsia"/>
                      <w:color w:val="auto"/>
                      <w:highlight w:val="none"/>
                      <w:lang w:val="en-US" w:eastAsia="zh-CN"/>
                    </w:rPr>
                    <w:t>2台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18" w:type="dxa"/>
                  <w:gridSpan w:val="2"/>
                  <w:vMerge w:val="restart"/>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辅助工程</w:t>
                  </w: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办公楼</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eastAsia"/>
                      <w:color w:val="auto"/>
                      <w:highlight w:val="none"/>
                      <w:lang w:val="en-US" w:eastAsia="zh-CN"/>
                    </w:rPr>
                    <w:t>1440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，2</w:t>
                  </w:r>
                  <w:r>
                    <w:rPr>
                      <w:rFonts w:hint="default"/>
                      <w:color w:val="auto"/>
                      <w:highlight w:val="none"/>
                      <w:lang w:val="en-US" w:eastAsia="zh-CN"/>
                    </w:rPr>
                    <w:t>层，砖混结构</w:t>
                  </w:r>
                  <w:r>
                    <w:rPr>
                      <w:rFonts w:hint="eastAsia"/>
                      <w:color w:val="auto"/>
                      <w:highlight w:val="none"/>
                      <w:lang w:val="en-US" w:eastAsia="zh-CN"/>
                    </w:rPr>
                    <w:t>，一层为办公楼，二层为宿舍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18" w:type="dxa"/>
                  <w:gridSpan w:val="2"/>
                  <w:vMerge w:val="continue"/>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食堂</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eastAsia"/>
                      <w:color w:val="auto"/>
                      <w:highlight w:val="none"/>
                      <w:lang w:val="en-US" w:eastAsia="zh-CN"/>
                    </w:rPr>
                    <w:t>96</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w:t>
                  </w:r>
                  <w:r>
                    <w:rPr>
                      <w:rFonts w:hint="default"/>
                      <w:color w:val="auto"/>
                      <w:highlight w:val="none"/>
                      <w:lang w:val="en-US" w:eastAsia="zh-CN"/>
                    </w:rPr>
                    <w:t xml:space="preserve"> 单层砖混结构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18" w:type="dxa"/>
                  <w:gridSpan w:val="2"/>
                  <w:vMerge w:val="continue"/>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车辆调度室</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0m</w:t>
                  </w:r>
                  <w:r>
                    <w:rPr>
                      <w:rFonts w:hint="default"/>
                      <w:color w:val="auto"/>
                      <w:highlight w:val="none"/>
                      <w:vertAlign w:val="superscript"/>
                      <w:lang w:val="en-US" w:eastAsia="zh-CN"/>
                    </w:rPr>
                    <w:t>2</w:t>
                  </w:r>
                  <w:r>
                    <w:rPr>
                      <w:rFonts w:hint="default"/>
                      <w:color w:val="auto"/>
                      <w:highlight w:val="none"/>
                      <w:lang w:val="en-US" w:eastAsia="zh-CN"/>
                    </w:rPr>
                    <w:t>，单层砖混结构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18" w:type="dxa"/>
                  <w:gridSpan w:val="2"/>
                  <w:vMerge w:val="continue"/>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eastAsia"/>
                      <w:color w:val="auto"/>
                      <w:highlight w:val="none"/>
                      <w:lang w:val="en-US" w:eastAsia="zh-CN"/>
                    </w:rPr>
                    <w:t>供应部</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eastAsia"/>
                      <w:color w:val="auto"/>
                      <w:highlight w:val="none"/>
                      <w:lang w:val="en-US" w:eastAsia="zh-CN"/>
                    </w:rPr>
                    <w:t>60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，单层砖混结构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18" w:type="dxa"/>
                  <w:gridSpan w:val="2"/>
                  <w:vMerge w:val="continue"/>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eastAsia"/>
                      <w:color w:val="auto"/>
                      <w:highlight w:val="none"/>
                      <w:lang w:val="en-US" w:eastAsia="zh-CN"/>
                    </w:rPr>
                    <w:t>实验室</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eastAsia"/>
                      <w:color w:val="auto"/>
                      <w:highlight w:val="none"/>
                      <w:lang w:val="en-US" w:eastAsia="zh-CN"/>
                    </w:rPr>
                    <w:t>80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，单层砖混结构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8" w:type="dxa"/>
                  <w:gridSpan w:val="2"/>
                  <w:vMerge w:val="continue"/>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磅房</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eastAsia"/>
                      <w:color w:val="auto"/>
                      <w:highlight w:val="none"/>
                      <w:lang w:val="en-US" w:eastAsia="zh-CN"/>
                    </w:rPr>
                    <w:t>20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，单层砖混结构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18" w:type="dxa"/>
                  <w:gridSpan w:val="2"/>
                  <w:vMerge w:val="continue"/>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门房</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20m</w:t>
                  </w:r>
                  <w:r>
                    <w:rPr>
                      <w:rFonts w:hint="default"/>
                      <w:color w:val="auto"/>
                      <w:highlight w:val="none"/>
                      <w:vertAlign w:val="superscript"/>
                      <w:lang w:val="en-US" w:eastAsia="zh-CN"/>
                    </w:rPr>
                    <w:t>2</w:t>
                  </w:r>
                  <w:r>
                    <w:rPr>
                      <w:rFonts w:hint="default"/>
                      <w:color w:val="auto"/>
                      <w:highlight w:val="none"/>
                      <w:lang w:val="en-US" w:eastAsia="zh-CN"/>
                    </w:rPr>
                    <w:t>，单层砖混结构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18" w:type="dxa"/>
                  <w:gridSpan w:val="2"/>
                  <w:vMerge w:val="continue"/>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车辆冲洗台</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1个</w:t>
                  </w:r>
                  <w:r>
                    <w:rPr>
                      <w:rFonts w:hint="eastAsia"/>
                      <w:color w:val="auto"/>
                      <w:highlight w:val="none"/>
                      <w:lang w:val="en-US" w:eastAsia="zh-CN"/>
                    </w:rPr>
                    <w:t>，位于厂区大门口，厂区西南角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18" w:type="dxa"/>
                  <w:gridSpan w:val="2"/>
                  <w:vMerge w:val="continue"/>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center"/>
                </w:tcPr>
                <w:p>
                  <w:pPr>
                    <w:spacing w:line="240" w:lineRule="auto"/>
                    <w:ind w:firstLine="0" w:firstLineChars="0"/>
                    <w:jc w:val="center"/>
                    <w:rPr>
                      <w:rFonts w:hint="default"/>
                      <w:color w:val="auto"/>
                      <w:highlight w:val="none"/>
                      <w:lang w:val="en-US" w:eastAsia="zh-CN"/>
                    </w:rPr>
                  </w:pPr>
                  <w:r>
                    <w:rPr>
                      <w:rFonts w:hint="eastAsia" w:cs="Times New Roman"/>
                      <w:b w:val="0"/>
                      <w:bCs/>
                      <w:color w:val="auto"/>
                      <w:kern w:val="0"/>
                      <w:sz w:val="21"/>
                      <w:szCs w:val="21"/>
                      <w:highlight w:val="none"/>
                      <w:lang w:val="en-US" w:eastAsia="zh-CN"/>
                    </w:rPr>
                    <w:t>维修区</w:t>
                  </w:r>
                </w:p>
              </w:tc>
              <w:tc>
                <w:tcPr>
                  <w:tcW w:w="5932" w:type="dxa"/>
                  <w:gridSpan w:val="3"/>
                  <w:tcBorders>
                    <w:tl2br w:val="nil"/>
                    <w:tr2bl w:val="nil"/>
                  </w:tcBorders>
                  <w:noWrap w:val="0"/>
                  <w:vAlign w:val="center"/>
                </w:tcPr>
                <w:p>
                  <w:pPr>
                    <w:spacing w:line="240" w:lineRule="auto"/>
                    <w:ind w:firstLine="0" w:firstLineChars="0"/>
                    <w:jc w:val="center"/>
                    <w:rPr>
                      <w:rFonts w:hint="default"/>
                      <w:color w:val="auto"/>
                      <w:highlight w:val="none"/>
                      <w:lang w:val="en-US" w:eastAsia="zh-CN"/>
                    </w:rPr>
                  </w:pPr>
                  <w:r>
                    <w:rPr>
                      <w:rFonts w:hint="eastAsia" w:cs="Times New Roman"/>
                      <w:b w:val="0"/>
                      <w:bCs/>
                      <w:color w:val="auto"/>
                      <w:kern w:val="0"/>
                      <w:sz w:val="21"/>
                      <w:szCs w:val="21"/>
                      <w:highlight w:val="none"/>
                      <w:lang w:val="en-US" w:eastAsia="zh-CN"/>
                    </w:rPr>
                    <w:t>厂区东南角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1318" w:type="dxa"/>
                  <w:gridSpan w:val="2"/>
                  <w:vMerge w:val="restart"/>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储运工程</w:t>
                  </w:r>
                </w:p>
              </w:tc>
              <w:tc>
                <w:tcPr>
                  <w:tcW w:w="1448" w:type="dxa"/>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r>
                    <w:rPr>
                      <w:rFonts w:hint="eastAsia"/>
                      <w:color w:val="auto"/>
                      <w:highlight w:val="none"/>
                      <w:lang w:val="en-US" w:eastAsia="zh-CN"/>
                    </w:rPr>
                    <w:t>石料及粉煤灰</w:t>
                  </w:r>
                  <w:r>
                    <w:rPr>
                      <w:rFonts w:hint="default"/>
                      <w:color w:val="auto"/>
                      <w:highlight w:val="none"/>
                      <w:lang w:val="en-US" w:eastAsia="zh-CN"/>
                    </w:rPr>
                    <w:t>堆场</w:t>
                  </w:r>
                </w:p>
              </w:tc>
              <w:tc>
                <w:tcPr>
                  <w:tcW w:w="5932" w:type="dxa"/>
                  <w:gridSpan w:val="3"/>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位于厂区西北侧，全封闭拱形钢棚，长约80m，宽约</w:t>
                  </w:r>
                  <w:r>
                    <w:rPr>
                      <w:rFonts w:hint="eastAsia"/>
                      <w:color w:val="auto"/>
                      <w:highlight w:val="none"/>
                      <w:lang w:val="en-US" w:eastAsia="zh-CN"/>
                    </w:rPr>
                    <w:t>5</w:t>
                  </w:r>
                  <w:r>
                    <w:rPr>
                      <w:rFonts w:hint="default"/>
                      <w:color w:val="auto"/>
                      <w:highlight w:val="none"/>
                      <w:lang w:val="en-US" w:eastAsia="zh-CN"/>
                    </w:rPr>
                    <w:t>0m，中间高15m，两侧高10m，分两仓，分别堆存卵石</w:t>
                  </w:r>
                  <w:r>
                    <w:rPr>
                      <w:rFonts w:hint="eastAsia"/>
                      <w:color w:val="auto"/>
                      <w:highlight w:val="none"/>
                      <w:lang w:val="en-US" w:eastAsia="zh-CN"/>
                    </w:rPr>
                    <w:t>、</w:t>
                  </w:r>
                  <w:r>
                    <w:rPr>
                      <w:rFonts w:hint="default"/>
                      <w:color w:val="auto"/>
                      <w:highlight w:val="none"/>
                      <w:lang w:val="en-US" w:eastAsia="zh-CN"/>
                    </w:rPr>
                    <w:t>碎石</w:t>
                  </w:r>
                  <w:r>
                    <w:rPr>
                      <w:rFonts w:hint="eastAsia"/>
                      <w:color w:val="auto"/>
                      <w:highlight w:val="none"/>
                      <w:lang w:val="en-US" w:eastAsia="zh-CN"/>
                    </w:rPr>
                    <w:t>及粉煤灰</w:t>
                  </w:r>
                  <w:r>
                    <w:rPr>
                      <w:rFonts w:hint="default"/>
                      <w:color w:val="auto"/>
                      <w:highlight w:val="none"/>
                      <w:lang w:val="en-US" w:eastAsia="zh-CN"/>
                    </w:rPr>
                    <w:t>一般储存7天用量，储量为2</w:t>
                  </w:r>
                  <w:r>
                    <w:rPr>
                      <w:rFonts w:hint="eastAsia"/>
                      <w:color w:val="auto"/>
                      <w:highlight w:val="none"/>
                      <w:lang w:val="en-US" w:eastAsia="zh-CN"/>
                    </w:rPr>
                    <w:t>0</w:t>
                  </w:r>
                  <w:r>
                    <w:rPr>
                      <w:rFonts w:hint="default"/>
                      <w:color w:val="auto"/>
                      <w:highlight w:val="none"/>
                      <w:lang w:val="en-US" w:eastAsia="zh-CN"/>
                    </w:rPr>
                    <w:t>00m</w:t>
                  </w:r>
                  <w:r>
                    <w:rPr>
                      <w:rFonts w:hint="default"/>
                      <w:color w:val="auto"/>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1318" w:type="dxa"/>
                  <w:gridSpan w:val="2"/>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r>
                    <w:rPr>
                      <w:rFonts w:hint="eastAsia"/>
                      <w:color w:val="auto"/>
                      <w:highlight w:val="none"/>
                      <w:lang w:val="en-US" w:eastAsia="zh-CN"/>
                    </w:rPr>
                    <w:t>水泥沙子</w:t>
                  </w:r>
                  <w:r>
                    <w:rPr>
                      <w:rFonts w:hint="default"/>
                      <w:color w:val="auto"/>
                      <w:highlight w:val="none"/>
                      <w:lang w:val="en-US" w:eastAsia="zh-CN"/>
                    </w:rPr>
                    <w:t>砂子堆场</w:t>
                  </w:r>
                </w:p>
              </w:tc>
              <w:tc>
                <w:tcPr>
                  <w:tcW w:w="5932" w:type="dxa"/>
                  <w:gridSpan w:val="3"/>
                  <w:tcBorders>
                    <w:tl2br w:val="nil"/>
                    <w:tr2bl w:val="nil"/>
                  </w:tcBorders>
                  <w:noWrap w:val="0"/>
                  <w:vAlign w:val="center"/>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位于石料堆场东侧，全封闭拱形钢棚，长约</w:t>
                  </w:r>
                  <w:r>
                    <w:rPr>
                      <w:rFonts w:hint="eastAsia"/>
                      <w:color w:val="auto"/>
                      <w:highlight w:val="none"/>
                      <w:lang w:val="en-US" w:eastAsia="zh-CN"/>
                    </w:rPr>
                    <w:t>75</w:t>
                  </w:r>
                  <w:r>
                    <w:rPr>
                      <w:rFonts w:hint="default"/>
                      <w:color w:val="auto"/>
                      <w:highlight w:val="none"/>
                      <w:lang w:val="en-US" w:eastAsia="zh-CN"/>
                    </w:rPr>
                    <w:t>m，宽约</w:t>
                  </w:r>
                  <w:r>
                    <w:rPr>
                      <w:rFonts w:hint="eastAsia"/>
                      <w:color w:val="auto"/>
                      <w:highlight w:val="none"/>
                      <w:lang w:val="en-US" w:eastAsia="zh-CN"/>
                    </w:rPr>
                    <w:t>4</w:t>
                  </w:r>
                  <w:r>
                    <w:rPr>
                      <w:rFonts w:hint="default"/>
                      <w:color w:val="auto"/>
                      <w:highlight w:val="none"/>
                      <w:lang w:val="en-US" w:eastAsia="zh-CN"/>
                    </w:rPr>
                    <w:t>0m，中间高15m，两侧高10m，分两个仓，分别堆存中砂</w:t>
                  </w:r>
                  <w:r>
                    <w:rPr>
                      <w:rFonts w:hint="eastAsia"/>
                      <w:color w:val="auto"/>
                      <w:highlight w:val="none"/>
                      <w:lang w:val="en-US" w:eastAsia="zh-CN"/>
                    </w:rPr>
                    <w:t>、</w:t>
                  </w:r>
                  <w:r>
                    <w:rPr>
                      <w:rFonts w:hint="default"/>
                      <w:color w:val="auto"/>
                      <w:highlight w:val="none"/>
                      <w:lang w:val="en-US" w:eastAsia="zh-CN"/>
                    </w:rPr>
                    <w:t>细砂</w:t>
                  </w:r>
                  <w:r>
                    <w:rPr>
                      <w:rFonts w:hint="eastAsia"/>
                      <w:color w:val="auto"/>
                      <w:highlight w:val="none"/>
                      <w:lang w:val="en-US" w:eastAsia="zh-CN"/>
                    </w:rPr>
                    <w:t>及水泥</w:t>
                  </w:r>
                  <w:r>
                    <w:rPr>
                      <w:rFonts w:hint="default"/>
                      <w:color w:val="auto"/>
                      <w:highlight w:val="none"/>
                      <w:lang w:val="en-US" w:eastAsia="zh-CN"/>
                    </w:rPr>
                    <w:t>，一般储存7天用量，储量为1</w:t>
                  </w:r>
                  <w:r>
                    <w:rPr>
                      <w:rFonts w:hint="eastAsia"/>
                      <w:color w:val="auto"/>
                      <w:highlight w:val="none"/>
                      <w:lang w:val="en-US" w:eastAsia="zh-CN"/>
                    </w:rPr>
                    <w:t>5</w:t>
                  </w:r>
                  <w:r>
                    <w:rPr>
                      <w:rFonts w:hint="default"/>
                      <w:color w:val="auto"/>
                      <w:highlight w:val="none"/>
                      <w:lang w:val="en-US" w:eastAsia="zh-CN"/>
                    </w:rPr>
                    <w:t>00m</w:t>
                  </w:r>
                  <w:r>
                    <w:rPr>
                      <w:rFonts w:hint="default"/>
                      <w:color w:val="auto"/>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318" w:type="dxa"/>
                  <w:gridSpan w:val="2"/>
                  <w:vMerge w:val="restart"/>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公用工程</w:t>
                  </w: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供电</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由乡镇供电电网提供，厂内设有变压器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18" w:type="dxa"/>
                  <w:gridSpan w:val="2"/>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供水</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由厂内水井提供，供生产、生活使用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18" w:type="dxa"/>
                  <w:gridSpan w:val="2"/>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采暖</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冬季采用分体式空调取暖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53" w:type="dxa"/>
                  <w:vMerge w:val="restart"/>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p>
                  <w:pPr>
                    <w:spacing w:line="300" w:lineRule="exact"/>
                    <w:ind w:firstLine="0" w:firstLineChars="0"/>
                    <w:jc w:val="center"/>
                    <w:rPr>
                      <w:rFonts w:hint="default"/>
                      <w:color w:val="auto"/>
                      <w:highlight w:val="none"/>
                      <w:lang w:val="en-US" w:eastAsia="zh-CN"/>
                    </w:rPr>
                  </w:pPr>
                </w:p>
                <w:p>
                  <w:pPr>
                    <w:spacing w:line="300" w:lineRule="exact"/>
                    <w:ind w:firstLine="0" w:firstLineChars="0"/>
                    <w:jc w:val="center"/>
                    <w:rPr>
                      <w:rFonts w:hint="default"/>
                      <w:color w:val="auto"/>
                      <w:highlight w:val="none"/>
                      <w:lang w:val="en-US" w:eastAsia="zh-CN"/>
                    </w:rPr>
                  </w:pPr>
                </w:p>
                <w:p>
                  <w:pPr>
                    <w:spacing w:line="300" w:lineRule="exact"/>
                    <w:ind w:firstLine="0" w:firstLineChars="0"/>
                    <w:jc w:val="center"/>
                    <w:rPr>
                      <w:rFonts w:hint="default"/>
                      <w:color w:val="auto"/>
                      <w:highlight w:val="none"/>
                      <w:lang w:val="en-US" w:eastAsia="zh-CN"/>
                    </w:rPr>
                  </w:pPr>
                </w:p>
                <w:p>
                  <w:pPr>
                    <w:spacing w:line="300" w:lineRule="exact"/>
                    <w:ind w:firstLine="0" w:firstLineChars="0"/>
                    <w:jc w:val="center"/>
                    <w:rPr>
                      <w:rFonts w:hint="default"/>
                      <w:color w:val="auto"/>
                      <w:highlight w:val="none"/>
                      <w:lang w:val="en-US" w:eastAsia="zh-CN"/>
                    </w:rPr>
                  </w:pPr>
                </w:p>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环保工程</w:t>
                  </w:r>
                </w:p>
              </w:tc>
              <w:tc>
                <w:tcPr>
                  <w:tcW w:w="765" w:type="dxa"/>
                  <w:vMerge w:val="restart"/>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p>
                  <w:pPr>
                    <w:spacing w:line="300" w:lineRule="exact"/>
                    <w:ind w:firstLine="0" w:firstLineChars="0"/>
                    <w:jc w:val="center"/>
                    <w:rPr>
                      <w:rFonts w:hint="default"/>
                      <w:color w:val="auto"/>
                      <w:highlight w:val="none"/>
                      <w:lang w:val="en-US" w:eastAsia="zh-CN"/>
                    </w:rPr>
                  </w:pPr>
                </w:p>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环境空气</w:t>
                  </w: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原料堆场</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地面硬化，全封闭储料场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53"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765"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投料</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置于全封闭料场内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53"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765"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原料输送</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全封闭皮带走廊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53"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765"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搅拌主机</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eastAsia" w:cs="Times New Roman"/>
                      <w:b w:val="0"/>
                      <w:bCs/>
                      <w:color w:val="auto"/>
                      <w:kern w:val="0"/>
                      <w:sz w:val="21"/>
                      <w:szCs w:val="21"/>
                      <w:highlight w:val="none"/>
                      <w:lang w:val="en-US" w:eastAsia="zh-CN"/>
                    </w:rPr>
                    <w:t>布袋</w:t>
                  </w:r>
                  <w:r>
                    <w:rPr>
                      <w:rFonts w:hint="default"/>
                      <w:color w:val="auto"/>
                      <w:highlight w:val="none"/>
                      <w:lang w:val="en-US" w:eastAsia="zh-CN"/>
                    </w:rPr>
                    <w:t>除尘器，全封闭搅拌楼</w:t>
                  </w:r>
                  <w:r>
                    <w:rPr>
                      <w:rFonts w:hint="eastAsia"/>
                      <w:color w:val="auto"/>
                      <w:highlight w:val="none"/>
                      <w:lang w:val="en-US" w:eastAsia="zh-CN"/>
                    </w:rPr>
                    <w:t>（130双站操作楼）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53"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765"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粉料筒仓</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布袋除尘器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53"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765"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食堂</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安装油烟净化装置，油烟去除率为60%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53"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765" w:type="dxa"/>
                  <w:vMerge w:val="restart"/>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水</w:t>
                  </w:r>
                </w:p>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环</w:t>
                  </w:r>
                </w:p>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境</w:t>
                  </w:r>
                </w:p>
              </w:tc>
              <w:tc>
                <w:tcPr>
                  <w:tcW w:w="1448" w:type="dxa"/>
                  <w:tcBorders>
                    <w:tl2br w:val="nil"/>
                    <w:tr2bl w:val="nil"/>
                  </w:tcBorders>
                  <w:noWrap w:val="0"/>
                  <w:vAlign w:val="center"/>
                </w:tcPr>
                <w:p>
                  <w:pPr>
                    <w:spacing w:line="240" w:lineRule="auto"/>
                    <w:ind w:firstLine="0" w:firstLineChars="0"/>
                    <w:jc w:val="center"/>
                    <w:rPr>
                      <w:rFonts w:hint="default"/>
                      <w:color w:val="auto"/>
                      <w:highlight w:val="none"/>
                      <w:lang w:val="en-US" w:eastAsia="zh-CN"/>
                    </w:rPr>
                  </w:pPr>
                  <w:r>
                    <w:rPr>
                      <w:rFonts w:hint="default" w:ascii="Times New Roman" w:hAnsi="Times New Roman" w:cs="Times New Roman"/>
                      <w:b w:val="0"/>
                      <w:bCs/>
                      <w:color w:val="auto"/>
                      <w:kern w:val="0"/>
                      <w:sz w:val="21"/>
                      <w:szCs w:val="21"/>
                      <w:highlight w:val="none"/>
                      <w:lang w:val="en-US" w:eastAsia="zh-CN"/>
                    </w:rPr>
                    <w:t>生活污水</w:t>
                  </w:r>
                </w:p>
              </w:tc>
              <w:tc>
                <w:tcPr>
                  <w:tcW w:w="5932" w:type="dxa"/>
                  <w:gridSpan w:val="3"/>
                  <w:tcBorders>
                    <w:tl2br w:val="nil"/>
                    <w:tr2bl w:val="nil"/>
                  </w:tcBorders>
                  <w:noWrap w:val="0"/>
                  <w:vAlign w:val="center"/>
                </w:tcPr>
                <w:p>
                  <w:pPr>
                    <w:spacing w:line="240" w:lineRule="auto"/>
                    <w:ind w:firstLine="0" w:firstLineChars="0"/>
                    <w:jc w:val="center"/>
                    <w:rPr>
                      <w:rFonts w:hint="default"/>
                      <w:color w:val="auto"/>
                      <w:highlight w:val="none"/>
                      <w:lang w:val="en-US" w:eastAsia="zh-CN"/>
                    </w:rPr>
                  </w:pPr>
                  <w:r>
                    <w:rPr>
                      <w:rFonts w:hint="eastAsia" w:cs="Times New Roman"/>
                      <w:b w:val="0"/>
                      <w:bCs/>
                      <w:color w:val="auto"/>
                      <w:kern w:val="0"/>
                      <w:sz w:val="21"/>
                      <w:szCs w:val="21"/>
                      <w:highlight w:val="none"/>
                      <w:lang w:val="en-US" w:eastAsia="zh-CN"/>
                    </w:rPr>
                    <w:t>厨房废水经油水分离器处理</w:t>
                  </w:r>
                  <w:r>
                    <w:rPr>
                      <w:rFonts w:hint="default" w:ascii="Times New Roman" w:hAnsi="Times New Roman" w:cs="Times New Roman"/>
                      <w:b w:val="0"/>
                      <w:bCs/>
                      <w:color w:val="auto"/>
                      <w:kern w:val="0"/>
                      <w:sz w:val="21"/>
                      <w:szCs w:val="21"/>
                      <w:highlight w:val="none"/>
                      <w:lang w:val="en-US" w:eastAsia="zh-CN"/>
                    </w:rPr>
                    <w:t>后</w:t>
                  </w:r>
                  <w:r>
                    <w:rPr>
                      <w:rFonts w:hint="eastAsia" w:ascii="Times New Roman" w:hAnsi="Times New Roman" w:cs="Times New Roman"/>
                      <w:b w:val="0"/>
                      <w:bCs/>
                      <w:color w:val="auto"/>
                      <w:kern w:val="0"/>
                      <w:sz w:val="21"/>
                      <w:szCs w:val="21"/>
                      <w:highlight w:val="none"/>
                      <w:lang w:val="en-US" w:eastAsia="zh-CN"/>
                    </w:rPr>
                    <w:t>与其他生活污水一起</w:t>
                  </w:r>
                  <w:r>
                    <w:rPr>
                      <w:rFonts w:hint="default" w:ascii="Times New Roman" w:hAnsi="Times New Roman" w:cs="Times New Roman"/>
                      <w:b w:val="0"/>
                      <w:bCs/>
                      <w:color w:val="auto"/>
                      <w:kern w:val="0"/>
                      <w:sz w:val="21"/>
                      <w:szCs w:val="21"/>
                      <w:highlight w:val="none"/>
                      <w:lang w:val="en-US" w:eastAsia="zh-CN"/>
                    </w:rPr>
                    <w:t>进</w:t>
                  </w:r>
                  <w:r>
                    <w:rPr>
                      <w:rFonts w:hint="eastAsia" w:ascii="Times New Roman" w:hAnsi="Times New Roman" w:cs="Times New Roman"/>
                      <w:b w:val="0"/>
                      <w:bCs/>
                      <w:color w:val="auto"/>
                      <w:kern w:val="0"/>
                      <w:sz w:val="21"/>
                      <w:szCs w:val="21"/>
                      <w:highlight w:val="none"/>
                      <w:lang w:val="en-US" w:eastAsia="zh-CN"/>
                    </w:rPr>
                    <w:t>入化粪池（</w:t>
                  </w:r>
                  <w:r>
                    <w:rPr>
                      <w:rFonts w:hint="eastAsia" w:cs="Times New Roman"/>
                      <w:b w:val="0"/>
                      <w:bCs/>
                      <w:color w:val="auto"/>
                      <w:kern w:val="0"/>
                      <w:sz w:val="21"/>
                      <w:szCs w:val="21"/>
                      <w:highlight w:val="none"/>
                      <w:lang w:val="en-US" w:eastAsia="zh-CN"/>
                    </w:rPr>
                    <w:t>20m</w:t>
                  </w:r>
                  <w:r>
                    <w:rPr>
                      <w:rFonts w:hint="eastAsia" w:cs="Times New Roman"/>
                      <w:b w:val="0"/>
                      <w:bCs/>
                      <w:color w:val="auto"/>
                      <w:kern w:val="0"/>
                      <w:sz w:val="21"/>
                      <w:szCs w:val="21"/>
                      <w:highlight w:val="none"/>
                      <w:vertAlign w:val="superscript"/>
                      <w:lang w:val="en-US" w:eastAsia="zh-CN"/>
                    </w:rPr>
                    <w:t>3</w:t>
                  </w:r>
                  <w:r>
                    <w:rPr>
                      <w:rFonts w:hint="eastAsia" w:ascii="Times New Roman" w:hAnsi="Times New Roman" w:cs="Times New Roman"/>
                      <w:b w:val="0"/>
                      <w:bCs/>
                      <w:color w:val="auto"/>
                      <w:kern w:val="0"/>
                      <w:sz w:val="21"/>
                      <w:szCs w:val="21"/>
                      <w:highlight w:val="none"/>
                      <w:lang w:val="en-US" w:eastAsia="zh-CN"/>
                    </w:rPr>
                    <w:t>），定期清掏处理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553"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765"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eastAsia"/>
                      <w:color w:val="auto"/>
                      <w:highlight w:val="none"/>
                      <w:lang w:val="en-US" w:eastAsia="zh-CN"/>
                    </w:rPr>
                    <w:t>洗车台及搅拌车冲洗设备</w:t>
                  </w:r>
                </w:p>
              </w:tc>
              <w:tc>
                <w:tcPr>
                  <w:tcW w:w="5932" w:type="dxa"/>
                  <w:gridSpan w:val="3"/>
                  <w:tcBorders>
                    <w:tl2br w:val="nil"/>
                    <w:tr2bl w:val="nil"/>
                  </w:tcBorders>
                  <w:noWrap w:val="0"/>
                  <w:vAlign w:val="top"/>
                </w:tcPr>
                <w:p>
                  <w:pPr>
                    <w:numPr>
                      <w:ilvl w:val="0"/>
                      <w:numId w:val="0"/>
                    </w:numPr>
                    <w:spacing w:line="300" w:lineRule="exact"/>
                    <w:jc w:val="both"/>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车辆自动冲洗设备，</w:t>
                  </w:r>
                  <w:r>
                    <w:rPr>
                      <w:rFonts w:hint="eastAsia"/>
                      <w:color w:val="auto"/>
                      <w:highlight w:val="none"/>
                      <w:lang w:val="en-US" w:eastAsia="zh-CN"/>
                    </w:rPr>
                    <w:t>配有60</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color w:val="auto"/>
                      <w:highlight w:val="none"/>
                      <w:lang w:val="en-US" w:eastAsia="zh-CN"/>
                    </w:rPr>
                    <w:t>沉淀池，冲洗水循环利用。</w:t>
                  </w:r>
                </w:p>
                <w:p>
                  <w:pPr>
                    <w:numPr>
                      <w:ilvl w:val="0"/>
                      <w:numId w:val="0"/>
                    </w:numPr>
                    <w:spacing w:line="300" w:lineRule="exact"/>
                    <w:jc w:val="both"/>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1座容积为</w:t>
                  </w:r>
                  <w:r>
                    <w:rPr>
                      <w:rFonts w:hint="eastAsia"/>
                      <w:color w:val="auto"/>
                      <w:highlight w:val="none"/>
                      <w:lang w:val="en-US" w:eastAsia="zh-CN"/>
                    </w:rPr>
                    <w:t>180</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冲洗水沉淀池，</w:t>
                  </w:r>
                  <w:r>
                    <w:rPr>
                      <w:rFonts w:hint="eastAsia"/>
                      <w:color w:val="auto"/>
                      <w:highlight w:val="none"/>
                      <w:lang w:val="en-US" w:eastAsia="zh-CN"/>
                    </w:rPr>
                    <w:t>配有压滤设备，</w:t>
                  </w:r>
                  <w:r>
                    <w:rPr>
                      <w:rFonts w:hint="default"/>
                      <w:color w:val="auto"/>
                      <w:highlight w:val="none"/>
                      <w:lang w:val="en-US" w:eastAsia="zh-CN"/>
                    </w:rPr>
                    <w:t>混凝土结构、防渗处理</w:t>
                  </w:r>
                  <w:r>
                    <w:rPr>
                      <w:rFonts w:hint="eastAsia"/>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53"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765"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固废</w:t>
                  </w:r>
                </w:p>
              </w:tc>
              <w:tc>
                <w:tcPr>
                  <w:tcW w:w="1154"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生活垃圾</w:t>
                  </w:r>
                </w:p>
              </w:tc>
              <w:tc>
                <w:tcPr>
                  <w:tcW w:w="4778" w:type="dxa"/>
                  <w:gridSpan w:val="2"/>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设垃圾桶若干，收集后送环卫部门指点的处理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53"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765"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声环境</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低噪声设备、隔音、基础减震设施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53" w:type="dxa"/>
                  <w:vMerge w:val="continue"/>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765"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p>
              </w:tc>
              <w:tc>
                <w:tcPr>
                  <w:tcW w:w="1448" w:type="dxa"/>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绿化</w:t>
                  </w:r>
                </w:p>
              </w:tc>
              <w:tc>
                <w:tcPr>
                  <w:tcW w:w="5932" w:type="dxa"/>
                  <w:gridSpan w:val="3"/>
                  <w:tcBorders>
                    <w:tl2br w:val="nil"/>
                    <w:tr2bl w:val="nil"/>
                  </w:tcBorders>
                  <w:noWrap w:val="0"/>
                  <w:vAlign w:val="top"/>
                </w:tcPr>
                <w:p>
                  <w:pPr>
                    <w:spacing w:line="300" w:lineRule="exact"/>
                    <w:ind w:firstLine="0" w:firstLineChars="0"/>
                    <w:jc w:val="center"/>
                    <w:rPr>
                      <w:rFonts w:hint="default"/>
                      <w:color w:val="auto"/>
                      <w:highlight w:val="none"/>
                      <w:lang w:val="en-US" w:eastAsia="zh-CN"/>
                    </w:rPr>
                  </w:pPr>
                  <w:r>
                    <w:rPr>
                      <w:rFonts w:hint="default"/>
                      <w:color w:val="auto"/>
                      <w:highlight w:val="none"/>
                      <w:lang w:val="en-US" w:eastAsia="zh-CN"/>
                    </w:rPr>
                    <w:t>绿化面积</w:t>
                  </w:r>
                  <w:r>
                    <w:rPr>
                      <w:rFonts w:hint="eastAsia"/>
                      <w:color w:val="auto"/>
                      <w:highlight w:val="none"/>
                      <w:lang w:val="en-US" w:eastAsia="zh-CN"/>
                    </w:rPr>
                    <w:t>2130</w:t>
                  </w:r>
                  <w:r>
                    <w:rPr>
                      <w:rFonts w:hint="default"/>
                      <w:color w:val="auto"/>
                      <w:highlight w:val="none"/>
                      <w:lang w:val="en-US" w:eastAsia="zh-CN"/>
                    </w:rPr>
                    <w:t>m</w:t>
                  </w:r>
                  <w:r>
                    <w:rPr>
                      <w:rFonts w:hint="default"/>
                      <w:color w:val="auto"/>
                      <w:highlight w:val="none"/>
                      <w:vertAlign w:val="superscript"/>
                      <w:lang w:val="en-US" w:eastAsia="zh-CN"/>
                    </w:rPr>
                    <w:t>2</w:t>
                  </w:r>
                </w:p>
              </w:tc>
            </w:tr>
          </w:tbl>
          <w:p>
            <w:pPr>
              <w:adjustRightInd w:val="0"/>
              <w:spacing w:line="360" w:lineRule="auto"/>
              <w:ind w:firstLine="490" w:firstLineChars="200"/>
              <w:rPr>
                <w:b/>
                <w:bCs/>
                <w:color w:val="auto"/>
                <w:spacing w:val="2"/>
                <w:sz w:val="24"/>
                <w:highlight w:val="none"/>
              </w:rPr>
            </w:pPr>
            <w:r>
              <w:rPr>
                <w:b/>
                <w:bCs/>
                <w:color w:val="auto"/>
                <w:spacing w:val="2"/>
                <w:sz w:val="24"/>
                <w:highlight w:val="none"/>
              </w:rPr>
              <w:t>3、</w:t>
            </w:r>
            <w:r>
              <w:rPr>
                <w:rFonts w:hint="eastAsia"/>
                <w:b/>
                <w:bCs/>
                <w:color w:val="auto"/>
                <w:spacing w:val="2"/>
                <w:sz w:val="24"/>
                <w:highlight w:val="none"/>
              </w:rPr>
              <w:t>原有项目污染物排放</w:t>
            </w:r>
            <w:r>
              <w:rPr>
                <w:b/>
                <w:bCs/>
                <w:color w:val="auto"/>
                <w:spacing w:val="2"/>
                <w:sz w:val="24"/>
                <w:highlight w:val="none"/>
              </w:rPr>
              <w:t>及采取的环保措施情况</w:t>
            </w:r>
          </w:p>
          <w:p>
            <w:pPr>
              <w:adjustRightInd w:val="0"/>
              <w:spacing w:line="360" w:lineRule="auto"/>
              <w:ind w:firstLine="488" w:firstLineChars="200"/>
              <w:rPr>
                <w:color w:val="auto"/>
                <w:spacing w:val="2"/>
                <w:sz w:val="24"/>
                <w:highlight w:val="none"/>
              </w:rPr>
            </w:pPr>
            <w:r>
              <w:rPr>
                <w:rFonts w:hint="eastAsia"/>
                <w:color w:val="auto"/>
                <w:spacing w:val="2"/>
                <w:sz w:val="24"/>
                <w:highlight w:val="none"/>
              </w:rPr>
              <w:t>（1）废气污染源及治理措施</w:t>
            </w:r>
          </w:p>
          <w:p>
            <w:pPr>
              <w:adjustRightInd w:val="0"/>
              <w:spacing w:line="360" w:lineRule="auto"/>
              <w:ind w:firstLine="488" w:firstLineChars="200"/>
              <w:rPr>
                <w:rFonts w:hint="eastAsia"/>
                <w:color w:val="auto"/>
                <w:spacing w:val="2"/>
                <w:sz w:val="24"/>
                <w:highlight w:val="none"/>
                <w:lang w:val="en-US" w:eastAsia="zh-CN"/>
              </w:rPr>
            </w:pPr>
            <w:r>
              <w:rPr>
                <w:rFonts w:hint="eastAsia"/>
                <w:color w:val="auto"/>
                <w:spacing w:val="2"/>
                <w:sz w:val="24"/>
                <w:highlight w:val="none"/>
              </w:rPr>
              <w:t>①</w:t>
            </w:r>
            <w:r>
              <w:rPr>
                <w:rFonts w:hint="eastAsia"/>
                <w:color w:val="auto"/>
                <w:spacing w:val="2"/>
                <w:sz w:val="24"/>
                <w:highlight w:val="none"/>
                <w:lang w:val="en-US" w:eastAsia="zh-CN"/>
              </w:rPr>
              <w:t>粉料筒仓粉尘</w:t>
            </w:r>
          </w:p>
          <w:p>
            <w:pPr>
              <w:adjustRightInd w:val="0"/>
              <w:spacing w:line="360" w:lineRule="auto"/>
              <w:ind w:firstLine="488" w:firstLineChars="200"/>
              <w:rPr>
                <w:rFonts w:hint="default" w:eastAsia="宋体"/>
                <w:color w:val="auto"/>
                <w:spacing w:val="2"/>
                <w:sz w:val="24"/>
                <w:highlight w:val="none"/>
                <w:lang w:val="en-US" w:eastAsia="zh-CN"/>
              </w:rPr>
            </w:pPr>
            <w:r>
              <w:rPr>
                <w:color w:val="auto"/>
                <w:spacing w:val="2"/>
                <w:sz w:val="24"/>
                <w:highlight w:val="none"/>
              </w:rPr>
              <w:t>外购的水泥、粉煤灰</w:t>
            </w:r>
            <w:r>
              <w:rPr>
                <w:rFonts w:hint="eastAsia"/>
                <w:color w:val="auto"/>
                <w:spacing w:val="2"/>
                <w:sz w:val="24"/>
                <w:highlight w:val="none"/>
              </w:rPr>
              <w:t>、</w:t>
            </w:r>
            <w:r>
              <w:rPr>
                <w:color w:val="auto"/>
                <w:spacing w:val="2"/>
                <w:sz w:val="24"/>
                <w:highlight w:val="none"/>
              </w:rPr>
              <w:t>添加剂等粉料分别由专用罐车运输进厂，通过罐车自带的管道以负压吸入料斗，再以压缩空气（正压）通过管道吹入散装粉料仓，整个输送过程全部在封闭的管道中完成</w:t>
            </w:r>
            <w:r>
              <w:rPr>
                <w:rFonts w:hint="eastAsia"/>
                <w:color w:val="auto"/>
                <w:spacing w:val="2"/>
                <w:sz w:val="24"/>
                <w:highlight w:val="none"/>
              </w:rPr>
              <w:t>。</w:t>
            </w:r>
            <w:r>
              <w:rPr>
                <w:color w:val="auto"/>
                <w:sz w:val="24"/>
                <w:highlight w:val="none"/>
              </w:rPr>
              <w:t>设置</w:t>
            </w:r>
            <w:r>
              <w:rPr>
                <w:rFonts w:hint="eastAsia"/>
                <w:color w:val="auto"/>
                <w:sz w:val="24"/>
                <w:highlight w:val="none"/>
                <w:lang w:val="en-US" w:eastAsia="zh-CN"/>
              </w:rPr>
              <w:t>4</w:t>
            </w:r>
            <w:r>
              <w:rPr>
                <w:rFonts w:hint="default"/>
                <w:color w:val="auto"/>
                <w:sz w:val="24"/>
                <w:highlight w:val="none"/>
                <w:lang w:val="en-US" w:eastAsia="zh-CN"/>
              </w:rPr>
              <w:t>个（水泥仓</w:t>
            </w:r>
            <w:r>
              <w:rPr>
                <w:rFonts w:hint="eastAsia"/>
                <w:color w:val="auto"/>
                <w:sz w:val="24"/>
                <w:highlight w:val="none"/>
                <w:lang w:val="en-US" w:eastAsia="zh-CN"/>
              </w:rPr>
              <w:t>2</w:t>
            </w:r>
            <w:r>
              <w:rPr>
                <w:rFonts w:hint="default"/>
                <w:color w:val="auto"/>
                <w:sz w:val="24"/>
                <w:highlight w:val="none"/>
                <w:lang w:val="en-US" w:eastAsia="zh-CN"/>
              </w:rPr>
              <w:t>个，粉煤灰仓</w:t>
            </w:r>
            <w:r>
              <w:rPr>
                <w:rFonts w:hint="eastAsia"/>
                <w:color w:val="auto"/>
                <w:sz w:val="24"/>
                <w:highlight w:val="none"/>
                <w:lang w:val="en-US" w:eastAsia="zh-CN"/>
              </w:rPr>
              <w:t>1</w:t>
            </w:r>
            <w:r>
              <w:rPr>
                <w:rFonts w:hint="default"/>
                <w:color w:val="auto"/>
                <w:sz w:val="24"/>
                <w:highlight w:val="none"/>
                <w:lang w:val="en-US" w:eastAsia="zh-CN"/>
              </w:rPr>
              <w:t>个）</w:t>
            </w:r>
            <w:r>
              <w:rPr>
                <w:rFonts w:hint="eastAsia"/>
                <w:color w:val="auto"/>
                <w:sz w:val="24"/>
                <w:highlight w:val="none"/>
                <w:lang w:val="en-US" w:eastAsia="zh-CN"/>
              </w:rPr>
              <w:t>，</w:t>
            </w:r>
            <w:r>
              <w:rPr>
                <w:rFonts w:hint="default"/>
                <w:color w:val="auto"/>
                <w:sz w:val="24"/>
                <w:highlight w:val="none"/>
                <w:lang w:val="en-US" w:eastAsia="zh-CN"/>
              </w:rPr>
              <w:t>外加剂仓</w:t>
            </w:r>
            <w:r>
              <w:rPr>
                <w:rFonts w:hint="eastAsia"/>
                <w:color w:val="auto"/>
                <w:sz w:val="24"/>
                <w:highlight w:val="none"/>
                <w:lang w:val="en-US" w:eastAsia="zh-CN"/>
              </w:rPr>
              <w:t>1</w:t>
            </w:r>
            <w:r>
              <w:rPr>
                <w:rFonts w:hint="default"/>
                <w:color w:val="auto"/>
                <w:sz w:val="24"/>
                <w:highlight w:val="none"/>
                <w:lang w:val="en-US" w:eastAsia="zh-CN"/>
              </w:rPr>
              <w:t>个</w:t>
            </w:r>
            <w:r>
              <w:rPr>
                <w:rFonts w:hint="eastAsia"/>
                <w:color w:val="auto"/>
                <w:sz w:val="24"/>
                <w:highlight w:val="none"/>
                <w:lang w:val="en-US" w:eastAsia="zh-CN"/>
              </w:rPr>
              <w:t>。</w:t>
            </w:r>
            <w:r>
              <w:rPr>
                <w:color w:val="auto"/>
                <w:spacing w:val="2"/>
                <w:sz w:val="24"/>
                <w:highlight w:val="none"/>
              </w:rPr>
              <w:t>产生的粉尘经过管道收集至反吹式脉冲袋式除尘器</w:t>
            </w:r>
            <w:r>
              <w:rPr>
                <w:rFonts w:hint="eastAsia"/>
                <w:color w:val="auto"/>
                <w:spacing w:val="2"/>
                <w:sz w:val="24"/>
                <w:highlight w:val="none"/>
                <w:lang w:eastAsia="zh-CN"/>
              </w:rPr>
              <w:t>（两个水泥仓共用</w:t>
            </w:r>
            <w:r>
              <w:rPr>
                <w:rFonts w:hint="eastAsia"/>
                <w:color w:val="auto"/>
                <w:spacing w:val="2"/>
                <w:sz w:val="24"/>
                <w:highlight w:val="none"/>
                <w:lang w:val="en-US" w:eastAsia="zh-CN"/>
              </w:rPr>
              <w:t>1台，粉煤灰仓1台，共2台</w:t>
            </w:r>
            <w:r>
              <w:rPr>
                <w:rFonts w:hint="eastAsia"/>
                <w:color w:val="auto"/>
                <w:spacing w:val="2"/>
                <w:sz w:val="24"/>
                <w:highlight w:val="none"/>
                <w:lang w:eastAsia="zh-CN"/>
              </w:rPr>
              <w:t>）</w:t>
            </w:r>
            <w:r>
              <w:rPr>
                <w:color w:val="auto"/>
                <w:spacing w:val="2"/>
                <w:sz w:val="24"/>
                <w:highlight w:val="none"/>
              </w:rPr>
              <w:t>装置进行处理</w:t>
            </w:r>
            <w:r>
              <w:rPr>
                <w:rFonts w:hint="eastAsia"/>
                <w:color w:val="auto"/>
                <w:spacing w:val="2"/>
                <w:sz w:val="24"/>
                <w:highlight w:val="none"/>
                <w:lang w:eastAsia="zh-CN"/>
              </w:rPr>
              <w:t>后回用于生产。</w:t>
            </w:r>
          </w:p>
          <w:p>
            <w:pPr>
              <w:adjustRightInd w:val="0"/>
              <w:spacing w:line="360" w:lineRule="auto"/>
              <w:ind w:firstLine="488" w:firstLineChars="200"/>
              <w:rPr>
                <w:rFonts w:hint="eastAsia" w:ascii="宋体" w:hAnsi="宋体"/>
                <w:color w:val="auto"/>
                <w:spacing w:val="2"/>
                <w:sz w:val="24"/>
                <w:highlight w:val="none"/>
                <w:lang w:val="en-US" w:eastAsia="zh-CN"/>
              </w:rPr>
            </w:pPr>
            <w:r>
              <w:rPr>
                <w:rFonts w:ascii="宋体" w:hAnsi="宋体"/>
                <w:color w:val="auto"/>
                <w:spacing w:val="2"/>
                <w:sz w:val="24"/>
                <w:highlight w:val="none"/>
              </w:rPr>
              <w:t>②</w:t>
            </w:r>
            <w:r>
              <w:rPr>
                <w:rFonts w:hint="eastAsia" w:ascii="宋体" w:hAnsi="宋体"/>
                <w:color w:val="auto"/>
                <w:spacing w:val="2"/>
                <w:sz w:val="24"/>
                <w:highlight w:val="none"/>
                <w:lang w:val="en-US" w:eastAsia="zh-CN"/>
              </w:rPr>
              <w:t>搅拌系统上料过程粉尘</w:t>
            </w:r>
          </w:p>
          <w:p>
            <w:pPr>
              <w:adjustRightInd w:val="0"/>
              <w:spacing w:line="360" w:lineRule="auto"/>
              <w:ind w:firstLine="488" w:firstLineChars="200"/>
              <w:rPr>
                <w:rFonts w:hint="eastAsia" w:eastAsia="宋体"/>
                <w:color w:val="auto"/>
                <w:spacing w:val="2"/>
                <w:sz w:val="24"/>
                <w:highlight w:val="none"/>
                <w:lang w:eastAsia="zh-CN"/>
              </w:rPr>
            </w:pPr>
            <w:r>
              <w:rPr>
                <w:rFonts w:hint="eastAsia"/>
                <w:color w:val="auto"/>
                <w:spacing w:val="2"/>
                <w:sz w:val="24"/>
                <w:highlight w:val="none"/>
                <w:lang w:eastAsia="zh-CN"/>
              </w:rPr>
              <w:t>项目使用皮带上料过程中会产生粉尘，采用密闭车间、雾炮机等进行抑尘后无组织排放。</w:t>
            </w:r>
          </w:p>
          <w:p>
            <w:pPr>
              <w:adjustRightInd w:val="0"/>
              <w:spacing w:line="360" w:lineRule="auto"/>
              <w:ind w:firstLine="488" w:firstLineChars="200"/>
              <w:rPr>
                <w:color w:val="auto"/>
                <w:spacing w:val="2"/>
                <w:sz w:val="24"/>
                <w:highlight w:val="none"/>
              </w:rPr>
            </w:pPr>
            <w:r>
              <w:rPr>
                <w:rFonts w:hint="eastAsia"/>
                <w:color w:val="auto"/>
                <w:spacing w:val="2"/>
                <w:sz w:val="24"/>
                <w:highlight w:val="none"/>
              </w:rPr>
              <w:t>③砂石料场无组织粉尘</w:t>
            </w:r>
          </w:p>
          <w:p>
            <w:pPr>
              <w:adjustRightInd w:val="0"/>
              <w:spacing w:line="360" w:lineRule="auto"/>
              <w:ind w:firstLine="488" w:firstLineChars="200"/>
              <w:rPr>
                <w:color w:val="auto"/>
                <w:spacing w:val="2"/>
                <w:sz w:val="24"/>
                <w:highlight w:val="none"/>
              </w:rPr>
            </w:pPr>
            <w:r>
              <w:rPr>
                <w:rFonts w:hint="eastAsia"/>
                <w:color w:val="auto"/>
                <w:spacing w:val="2"/>
                <w:sz w:val="24"/>
                <w:highlight w:val="none"/>
              </w:rPr>
              <w:t>原项目砂石料场无组织粉尘主要是砂石料装卸粉尘和配料下料粉尘。建设单位</w:t>
            </w:r>
            <w:r>
              <w:rPr>
                <w:color w:val="auto"/>
                <w:spacing w:val="2"/>
                <w:sz w:val="24"/>
                <w:highlight w:val="none"/>
              </w:rPr>
              <w:t>厂区地面全部做硬化处理，并定期对厂区地面及出入道路清洁、洒水抑尘，原料储棚密闭处理，只留车辆进出口，原料堆存区以及配料上料区都安装喷雾洒水装置，保持堆场表层润湿粉尘基本就地沉降</w:t>
            </w:r>
            <w:r>
              <w:rPr>
                <w:rFonts w:hint="eastAsia"/>
                <w:color w:val="auto"/>
                <w:spacing w:val="2"/>
                <w:sz w:val="24"/>
                <w:highlight w:val="none"/>
              </w:rPr>
              <w:t>。</w:t>
            </w:r>
          </w:p>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488"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color w:val="auto"/>
                <w:spacing w:val="2"/>
                <w:sz w:val="24"/>
                <w:highlight w:val="none"/>
                <w:lang w:eastAsia="zh-CN"/>
              </w:rPr>
              <w:t>④</w:t>
            </w:r>
            <w:r>
              <w:rPr>
                <w:rFonts w:hint="eastAsia" w:ascii="Times New Roman" w:hAnsi="Times New Roman" w:eastAsia="宋体" w:cs="Times New Roman"/>
                <w:color w:val="auto"/>
                <w:kern w:val="0"/>
                <w:sz w:val="24"/>
                <w:szCs w:val="20"/>
                <w:highlight w:val="none"/>
                <w:lang w:val="en-US" w:eastAsia="zh-CN" w:bidi="ar-SA"/>
              </w:rPr>
              <w:t>搅拌粉尘</w:t>
            </w:r>
          </w:p>
          <w:p>
            <w:pPr>
              <w:adjustRightInd w:val="0"/>
              <w:spacing w:line="360" w:lineRule="auto"/>
              <w:ind w:firstLine="480" w:firstLineChars="200"/>
              <w:rPr>
                <w:rFonts w:hint="default"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本项目砂石料由密闭输送带进入搅拌楼搅拌机内，水泥粉煤灰由螺旋输送机进入搅拌机内，搅拌机进料处会产生一定量的粉尘，搅拌机</w:t>
            </w:r>
            <w:r>
              <w:rPr>
                <w:rFonts w:hint="eastAsia" w:cs="Times New Roman"/>
                <w:color w:val="auto"/>
                <w:kern w:val="0"/>
                <w:sz w:val="24"/>
                <w:szCs w:val="20"/>
                <w:highlight w:val="none"/>
                <w:lang w:val="en-US" w:eastAsia="zh-CN" w:bidi="ar-SA"/>
              </w:rPr>
              <w:t>下料口</w:t>
            </w:r>
            <w:r>
              <w:rPr>
                <w:rFonts w:hint="eastAsia" w:ascii="Times New Roman" w:hAnsi="Times New Roman" w:eastAsia="宋体" w:cs="Times New Roman"/>
                <w:color w:val="auto"/>
                <w:kern w:val="0"/>
                <w:sz w:val="24"/>
                <w:szCs w:val="20"/>
                <w:highlight w:val="none"/>
                <w:lang w:val="en-US" w:eastAsia="zh-CN" w:bidi="ar-SA"/>
              </w:rPr>
              <w:t>安装</w:t>
            </w:r>
            <w:r>
              <w:rPr>
                <w:rFonts w:hint="eastAsia" w:cs="Times New Roman"/>
                <w:color w:val="auto"/>
                <w:kern w:val="0"/>
                <w:sz w:val="24"/>
                <w:szCs w:val="20"/>
                <w:highlight w:val="none"/>
                <w:lang w:val="en-US" w:eastAsia="zh-CN" w:bidi="ar-SA"/>
              </w:rPr>
              <w:t>2台</w:t>
            </w:r>
            <w:r>
              <w:rPr>
                <w:rFonts w:hint="eastAsia" w:ascii="Times New Roman" w:hAnsi="Times New Roman" w:eastAsia="宋体" w:cs="Times New Roman"/>
                <w:color w:val="auto"/>
                <w:kern w:val="0"/>
                <w:sz w:val="24"/>
                <w:szCs w:val="20"/>
                <w:highlight w:val="none"/>
                <w:lang w:val="en-US" w:eastAsia="zh-CN" w:bidi="ar-SA"/>
              </w:rPr>
              <w:t>脉冲布袋除尘器，</w:t>
            </w:r>
            <w:r>
              <w:rPr>
                <w:rFonts w:hint="eastAsia" w:cs="Times New Roman"/>
                <w:color w:val="auto"/>
                <w:kern w:val="0"/>
                <w:sz w:val="24"/>
                <w:szCs w:val="20"/>
                <w:highlight w:val="none"/>
                <w:lang w:val="en-US" w:eastAsia="zh-CN" w:bidi="ar-SA"/>
              </w:rPr>
              <w:t>收集的粉尘回用于生产，未收集的粉尘经喷淋抑尘后无组织排放。</w:t>
            </w:r>
          </w:p>
          <w:p>
            <w:pPr>
              <w:adjustRightInd w:val="0"/>
              <w:spacing w:line="360" w:lineRule="auto"/>
              <w:ind w:firstLine="480" w:firstLineChars="200"/>
              <w:rPr>
                <w:rFonts w:hint="eastAsia"/>
                <w:color w:val="auto"/>
                <w:spacing w:val="2"/>
                <w:sz w:val="24"/>
                <w:highlight w:val="none"/>
                <w:lang w:eastAsia="zh-CN"/>
              </w:rPr>
            </w:pPr>
            <w:r>
              <w:rPr>
                <w:rFonts w:hint="eastAsia" w:ascii="Times New Roman" w:hAnsi="Times New Roman" w:eastAsia="宋体" w:cs="Times New Roman"/>
                <w:color w:val="auto"/>
                <w:kern w:val="0"/>
                <w:sz w:val="24"/>
                <w:szCs w:val="20"/>
                <w:highlight w:val="none"/>
                <w:lang w:val="en-US" w:eastAsia="zh-CN" w:bidi="ar-SA"/>
              </w:rPr>
              <w:fldChar w:fldCharType="begin"/>
            </w:r>
            <w:r>
              <w:rPr>
                <w:rFonts w:hint="eastAsia" w:ascii="Times New Roman" w:hAnsi="Times New Roman" w:eastAsia="宋体" w:cs="Times New Roman"/>
                <w:color w:val="auto"/>
                <w:kern w:val="0"/>
                <w:sz w:val="24"/>
                <w:szCs w:val="20"/>
                <w:highlight w:val="none"/>
                <w:lang w:val="en-US" w:eastAsia="zh-CN" w:bidi="ar-SA"/>
              </w:rPr>
              <w:instrText xml:space="preserve"> = 5 \* GB3 </w:instrText>
            </w:r>
            <w:r>
              <w:rPr>
                <w:rFonts w:hint="eastAsia" w:ascii="Times New Roman" w:hAnsi="Times New Roman" w:eastAsia="宋体" w:cs="Times New Roman"/>
                <w:color w:val="auto"/>
                <w:kern w:val="0"/>
                <w:sz w:val="24"/>
                <w:szCs w:val="20"/>
                <w:highlight w:val="none"/>
                <w:lang w:val="en-US" w:eastAsia="zh-CN" w:bidi="ar-SA"/>
              </w:rPr>
              <w:fldChar w:fldCharType="separate"/>
            </w:r>
            <w:r>
              <w:rPr>
                <w:rFonts w:hint="eastAsia" w:ascii="Times New Roman" w:hAnsi="Times New Roman" w:eastAsia="宋体" w:cs="Times New Roman"/>
                <w:color w:val="auto"/>
                <w:kern w:val="0"/>
                <w:sz w:val="24"/>
                <w:szCs w:val="20"/>
                <w:highlight w:val="none"/>
                <w:lang w:val="en-US" w:eastAsia="zh-CN" w:bidi="ar-SA"/>
              </w:rPr>
              <w:t>⑤</w:t>
            </w:r>
            <w:r>
              <w:rPr>
                <w:rFonts w:hint="eastAsia" w:ascii="Times New Roman" w:hAnsi="Times New Roman" w:eastAsia="宋体" w:cs="Times New Roman"/>
                <w:color w:val="auto"/>
                <w:kern w:val="0"/>
                <w:sz w:val="24"/>
                <w:szCs w:val="20"/>
                <w:highlight w:val="none"/>
                <w:lang w:val="en-US" w:eastAsia="zh-CN" w:bidi="ar-SA"/>
              </w:rPr>
              <w:fldChar w:fldCharType="end"/>
            </w:r>
            <w:r>
              <w:rPr>
                <w:rFonts w:hint="eastAsia"/>
                <w:color w:val="auto"/>
                <w:spacing w:val="2"/>
                <w:sz w:val="24"/>
                <w:highlight w:val="none"/>
                <w:lang w:eastAsia="zh-CN"/>
              </w:rPr>
              <w:t>汽车运输扬尘</w:t>
            </w:r>
          </w:p>
          <w:p>
            <w:pPr>
              <w:adjustRightInd w:val="0"/>
              <w:spacing w:line="360" w:lineRule="auto"/>
              <w:ind w:firstLine="488" w:firstLineChars="200"/>
              <w:rPr>
                <w:color w:val="auto"/>
                <w:spacing w:val="2"/>
                <w:sz w:val="24"/>
                <w:highlight w:val="none"/>
              </w:rPr>
            </w:pPr>
            <w:r>
              <w:rPr>
                <w:rFonts w:hint="eastAsia"/>
                <w:color w:val="auto"/>
                <w:spacing w:val="2"/>
                <w:sz w:val="24"/>
                <w:highlight w:val="none"/>
              </w:rPr>
              <w:t>原项目厂区汽车运输产生的扬尘，主要采取厂区地面硬化，地面冲洗和喷洒，砂子和石子严密遮盖，粉料采用密封罐车运输，减少原料散落，车辆行驶速度控制在10km/h以内，进出厂区车辆自动冲洗等措施来抑尘。</w:t>
            </w:r>
          </w:p>
          <w:p>
            <w:pPr>
              <w:adjustRightInd w:val="0"/>
              <w:spacing w:line="360" w:lineRule="auto"/>
              <w:ind w:firstLine="480" w:firstLineChars="200"/>
              <w:rPr>
                <w:color w:val="auto"/>
                <w:spacing w:val="2"/>
                <w:sz w:val="24"/>
                <w:highlight w:val="none"/>
              </w:rPr>
            </w:pPr>
            <w:r>
              <w:rPr>
                <w:rFonts w:hint="eastAsia" w:ascii="Times New Roman" w:hAnsi="Times New Roman" w:eastAsia="宋体" w:cs="Times New Roman"/>
                <w:color w:val="auto"/>
                <w:kern w:val="0"/>
                <w:sz w:val="24"/>
                <w:szCs w:val="20"/>
                <w:highlight w:val="none"/>
                <w:lang w:val="en-US" w:eastAsia="zh-CN" w:bidi="ar-SA"/>
              </w:rPr>
              <w:fldChar w:fldCharType="begin"/>
            </w:r>
            <w:r>
              <w:rPr>
                <w:rFonts w:hint="eastAsia" w:ascii="Times New Roman" w:hAnsi="Times New Roman" w:eastAsia="宋体" w:cs="Times New Roman"/>
                <w:color w:val="auto"/>
                <w:kern w:val="0"/>
                <w:sz w:val="24"/>
                <w:szCs w:val="20"/>
                <w:highlight w:val="none"/>
                <w:lang w:val="en-US" w:eastAsia="zh-CN" w:bidi="ar-SA"/>
              </w:rPr>
              <w:instrText xml:space="preserve"> = 6 \* GB3 </w:instrText>
            </w:r>
            <w:r>
              <w:rPr>
                <w:rFonts w:hint="eastAsia" w:ascii="Times New Roman" w:hAnsi="Times New Roman" w:eastAsia="宋体" w:cs="Times New Roman"/>
                <w:color w:val="auto"/>
                <w:kern w:val="0"/>
                <w:sz w:val="24"/>
                <w:szCs w:val="20"/>
                <w:highlight w:val="none"/>
                <w:lang w:val="en-US" w:eastAsia="zh-CN" w:bidi="ar-SA"/>
              </w:rPr>
              <w:fldChar w:fldCharType="separate"/>
            </w:r>
            <w:r>
              <w:rPr>
                <w:rFonts w:hint="eastAsia" w:ascii="Times New Roman" w:hAnsi="Times New Roman" w:eastAsia="宋体" w:cs="Times New Roman"/>
                <w:color w:val="auto"/>
                <w:kern w:val="0"/>
                <w:sz w:val="24"/>
                <w:szCs w:val="20"/>
                <w:highlight w:val="none"/>
                <w:lang w:val="en-US" w:eastAsia="zh-CN" w:bidi="ar-SA"/>
              </w:rPr>
              <w:t>⑥</w:t>
            </w:r>
            <w:r>
              <w:rPr>
                <w:rFonts w:hint="eastAsia" w:ascii="Times New Roman" w:hAnsi="Times New Roman" w:eastAsia="宋体" w:cs="Times New Roman"/>
                <w:color w:val="auto"/>
                <w:kern w:val="0"/>
                <w:sz w:val="24"/>
                <w:szCs w:val="20"/>
                <w:highlight w:val="none"/>
                <w:lang w:val="en-US" w:eastAsia="zh-CN" w:bidi="ar-SA"/>
              </w:rPr>
              <w:fldChar w:fldCharType="end"/>
            </w:r>
            <w:r>
              <w:rPr>
                <w:color w:val="auto"/>
                <w:spacing w:val="2"/>
                <w:sz w:val="24"/>
                <w:highlight w:val="none"/>
              </w:rPr>
              <w:t>食堂油烟废气</w:t>
            </w:r>
          </w:p>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eastAsia"/>
                <w:b/>
                <w:snapToGrid w:val="0"/>
                <w:color w:val="auto"/>
                <w:kern w:val="0"/>
                <w:highlight w:val="none"/>
              </w:rPr>
            </w:pPr>
            <w:r>
              <w:rPr>
                <w:rFonts w:hint="eastAsia" w:ascii="Times New Roman" w:hAnsi="Times New Roman" w:eastAsia="宋体" w:cs="Times New Roman"/>
                <w:color w:val="auto"/>
                <w:kern w:val="0"/>
                <w:sz w:val="24"/>
                <w:szCs w:val="20"/>
                <w:highlight w:val="none"/>
                <w:lang w:val="en-US" w:eastAsia="zh-CN" w:bidi="ar-SA"/>
              </w:rPr>
              <w:t>原有项目设置员工食堂，为员工提供一日三餐，该食堂设置2个基准灶头，灶头采用电能</w:t>
            </w:r>
            <w:r>
              <w:rPr>
                <w:rFonts w:hint="eastAsia" w:cs="Times New Roman"/>
                <w:color w:val="auto"/>
                <w:kern w:val="0"/>
                <w:sz w:val="24"/>
                <w:szCs w:val="20"/>
                <w:highlight w:val="none"/>
                <w:lang w:val="en-US" w:eastAsia="zh-CN" w:bidi="ar-SA"/>
              </w:rPr>
              <w:t>，</w:t>
            </w:r>
            <w:r>
              <w:rPr>
                <w:rFonts w:hint="eastAsia" w:ascii="Times New Roman" w:hAnsi="Times New Roman" w:eastAsia="宋体" w:cs="Times New Roman"/>
                <w:color w:val="auto"/>
                <w:kern w:val="0"/>
                <w:sz w:val="24"/>
                <w:szCs w:val="20"/>
                <w:highlight w:val="none"/>
                <w:lang w:val="en-US" w:eastAsia="zh-CN" w:bidi="ar-SA"/>
              </w:rPr>
              <w:t>单个灶头排风量2000m</w:t>
            </w:r>
            <w:r>
              <w:rPr>
                <w:rFonts w:hint="eastAsia" w:ascii="Times New Roman" w:hAnsi="Times New Roman" w:eastAsia="宋体" w:cs="Times New Roman"/>
                <w:color w:val="auto"/>
                <w:kern w:val="0"/>
                <w:sz w:val="24"/>
                <w:szCs w:val="20"/>
                <w:highlight w:val="none"/>
                <w:vertAlign w:val="superscript"/>
                <w:lang w:val="en-US" w:eastAsia="zh-CN" w:bidi="ar-SA"/>
              </w:rPr>
              <w:t>3</w:t>
            </w:r>
            <w:r>
              <w:rPr>
                <w:rFonts w:hint="eastAsia" w:ascii="Times New Roman" w:hAnsi="Times New Roman" w:eastAsia="宋体" w:cs="Times New Roman"/>
                <w:color w:val="auto"/>
                <w:kern w:val="0"/>
                <w:sz w:val="24"/>
                <w:szCs w:val="20"/>
                <w:highlight w:val="none"/>
                <w:lang w:val="en-US" w:eastAsia="zh-CN" w:bidi="ar-SA"/>
              </w:rPr>
              <w:t>/h，则总排风量为4000m</w:t>
            </w:r>
            <w:r>
              <w:rPr>
                <w:rFonts w:hint="eastAsia" w:ascii="Times New Roman" w:hAnsi="Times New Roman" w:eastAsia="宋体" w:cs="Times New Roman"/>
                <w:color w:val="auto"/>
                <w:kern w:val="0"/>
                <w:sz w:val="24"/>
                <w:szCs w:val="20"/>
                <w:highlight w:val="none"/>
                <w:vertAlign w:val="superscript"/>
                <w:lang w:val="en-US" w:eastAsia="zh-CN" w:bidi="ar-SA"/>
              </w:rPr>
              <w:t>3</w:t>
            </w:r>
            <w:r>
              <w:rPr>
                <w:rFonts w:hint="eastAsia" w:ascii="Times New Roman" w:hAnsi="Times New Roman" w:eastAsia="宋体" w:cs="Times New Roman"/>
                <w:color w:val="auto"/>
                <w:kern w:val="0"/>
                <w:sz w:val="24"/>
                <w:szCs w:val="20"/>
                <w:highlight w:val="none"/>
                <w:lang w:val="en-US" w:eastAsia="zh-CN" w:bidi="ar-SA"/>
              </w:rPr>
              <w:t>/h。根据一般居民用油情况的类比调查，目前每人食用油日用量约40g/（人·d），油的平均挥发量为总耗油量的2.83%。年工作日300天，每天工作6h，就餐人数</w:t>
            </w:r>
            <w:r>
              <w:rPr>
                <w:rFonts w:hint="eastAsia" w:cs="Times New Roman"/>
                <w:color w:val="auto"/>
                <w:kern w:val="0"/>
                <w:sz w:val="24"/>
                <w:szCs w:val="20"/>
                <w:highlight w:val="none"/>
                <w:lang w:val="en-US" w:eastAsia="zh-CN" w:bidi="ar-SA"/>
              </w:rPr>
              <w:t>20</w:t>
            </w:r>
            <w:r>
              <w:rPr>
                <w:rFonts w:hint="eastAsia" w:ascii="Times New Roman" w:hAnsi="Times New Roman" w:eastAsia="宋体" w:cs="Times New Roman"/>
                <w:color w:val="auto"/>
                <w:kern w:val="0"/>
                <w:sz w:val="24"/>
                <w:szCs w:val="20"/>
                <w:highlight w:val="none"/>
                <w:lang w:val="en-US" w:eastAsia="zh-CN" w:bidi="ar-SA"/>
              </w:rPr>
              <w:t>人，则本项目消耗食用油0.</w:t>
            </w:r>
            <w:r>
              <w:rPr>
                <w:rFonts w:hint="eastAsia" w:cs="Times New Roman"/>
                <w:color w:val="auto"/>
                <w:kern w:val="0"/>
                <w:sz w:val="24"/>
                <w:szCs w:val="20"/>
                <w:highlight w:val="none"/>
                <w:lang w:val="en-US" w:eastAsia="zh-CN" w:bidi="ar-SA"/>
              </w:rPr>
              <w:t>2</w:t>
            </w:r>
            <w:r>
              <w:rPr>
                <w:rFonts w:hint="eastAsia" w:ascii="Times New Roman" w:hAnsi="Times New Roman" w:eastAsia="宋体" w:cs="Times New Roman"/>
                <w:color w:val="auto"/>
                <w:kern w:val="0"/>
                <w:sz w:val="24"/>
                <w:szCs w:val="20"/>
                <w:highlight w:val="none"/>
                <w:lang w:val="en-US" w:eastAsia="zh-CN" w:bidi="ar-SA"/>
              </w:rPr>
              <w:t>4t/a，油烟产生量约为0.0</w:t>
            </w:r>
            <w:r>
              <w:rPr>
                <w:rFonts w:hint="eastAsia" w:cs="Times New Roman"/>
                <w:color w:val="auto"/>
                <w:kern w:val="0"/>
                <w:sz w:val="24"/>
                <w:szCs w:val="20"/>
                <w:highlight w:val="none"/>
                <w:lang w:val="en-US" w:eastAsia="zh-CN" w:bidi="ar-SA"/>
              </w:rPr>
              <w:t>068</w:t>
            </w:r>
            <w:r>
              <w:rPr>
                <w:rFonts w:hint="eastAsia" w:ascii="Times New Roman" w:hAnsi="Times New Roman" w:eastAsia="宋体" w:cs="Times New Roman"/>
                <w:color w:val="auto"/>
                <w:kern w:val="0"/>
                <w:sz w:val="24"/>
                <w:szCs w:val="20"/>
                <w:highlight w:val="none"/>
                <w:lang w:val="en-US" w:eastAsia="zh-CN" w:bidi="ar-SA"/>
              </w:rPr>
              <w:t>t/a（0.0</w:t>
            </w:r>
            <w:r>
              <w:rPr>
                <w:rFonts w:hint="eastAsia" w:cs="Times New Roman"/>
                <w:color w:val="auto"/>
                <w:kern w:val="0"/>
                <w:sz w:val="24"/>
                <w:szCs w:val="20"/>
                <w:highlight w:val="none"/>
                <w:lang w:val="en-US" w:eastAsia="zh-CN" w:bidi="ar-SA"/>
              </w:rPr>
              <w:t>038</w:t>
            </w:r>
            <w:r>
              <w:rPr>
                <w:rFonts w:hint="eastAsia" w:ascii="Times New Roman" w:hAnsi="Times New Roman" w:eastAsia="宋体" w:cs="Times New Roman"/>
                <w:color w:val="auto"/>
                <w:kern w:val="0"/>
                <w:sz w:val="24"/>
                <w:szCs w:val="20"/>
                <w:highlight w:val="none"/>
                <w:lang w:val="en-US" w:eastAsia="zh-CN" w:bidi="ar-SA"/>
              </w:rPr>
              <w:t>kg/h）。食堂安装去除效率不低于60%的油烟净化装置，以处理效率为60%计算，则油烟排放量为0.</w:t>
            </w:r>
            <w:r>
              <w:rPr>
                <w:rFonts w:hint="eastAsia" w:cs="Times New Roman"/>
                <w:color w:val="auto"/>
                <w:kern w:val="0"/>
                <w:sz w:val="24"/>
                <w:szCs w:val="20"/>
                <w:highlight w:val="none"/>
                <w:lang w:val="en-US" w:eastAsia="zh-CN" w:bidi="ar-SA"/>
              </w:rPr>
              <w:t>00272</w:t>
            </w:r>
            <w:r>
              <w:rPr>
                <w:rFonts w:hint="eastAsia" w:ascii="Times New Roman" w:hAnsi="Times New Roman" w:eastAsia="宋体" w:cs="Times New Roman"/>
                <w:color w:val="auto"/>
                <w:kern w:val="0"/>
                <w:sz w:val="24"/>
                <w:szCs w:val="20"/>
                <w:highlight w:val="none"/>
                <w:lang w:val="en-US" w:eastAsia="zh-CN" w:bidi="ar-SA"/>
              </w:rPr>
              <w:t>t/a、0.00</w:t>
            </w:r>
            <w:r>
              <w:rPr>
                <w:rFonts w:hint="eastAsia" w:cs="Times New Roman"/>
                <w:color w:val="auto"/>
                <w:kern w:val="0"/>
                <w:sz w:val="24"/>
                <w:szCs w:val="20"/>
                <w:highlight w:val="none"/>
                <w:lang w:val="en-US" w:eastAsia="zh-CN" w:bidi="ar-SA"/>
              </w:rPr>
              <w:t>15</w:t>
            </w:r>
            <w:r>
              <w:rPr>
                <w:rFonts w:hint="eastAsia" w:ascii="Times New Roman" w:hAnsi="Times New Roman" w:eastAsia="宋体" w:cs="Times New Roman"/>
                <w:color w:val="auto"/>
                <w:kern w:val="0"/>
                <w:sz w:val="24"/>
                <w:szCs w:val="20"/>
                <w:highlight w:val="none"/>
                <w:lang w:val="en-US" w:eastAsia="zh-CN" w:bidi="ar-SA"/>
              </w:rPr>
              <w:t>kg/h。油烟经净化设施处理达标后，通过烟道引至楼顶排放。本项目食堂油烟产排情况见表2-10。</w:t>
            </w:r>
          </w:p>
          <w:p>
            <w:pPr>
              <w:spacing w:line="360" w:lineRule="auto"/>
              <w:jc w:val="center"/>
              <w:rPr>
                <w:b/>
                <w:snapToGrid w:val="0"/>
                <w:color w:val="auto"/>
                <w:kern w:val="0"/>
                <w:highlight w:val="none"/>
              </w:rPr>
            </w:pPr>
            <w:r>
              <w:rPr>
                <w:rFonts w:hint="eastAsia"/>
                <w:b/>
                <w:snapToGrid w:val="0"/>
                <w:color w:val="auto"/>
                <w:kern w:val="0"/>
                <w:highlight w:val="none"/>
              </w:rPr>
              <w:t>表</w:t>
            </w:r>
            <w:r>
              <w:rPr>
                <w:rFonts w:hint="eastAsia"/>
                <w:b/>
                <w:snapToGrid w:val="0"/>
                <w:color w:val="auto"/>
                <w:kern w:val="0"/>
                <w:highlight w:val="none"/>
                <w:lang w:val="en-US" w:eastAsia="zh-CN"/>
              </w:rPr>
              <w:t>2</w:t>
            </w:r>
            <w:r>
              <w:rPr>
                <w:b/>
                <w:snapToGrid w:val="0"/>
                <w:color w:val="auto"/>
                <w:kern w:val="0"/>
                <w:highlight w:val="none"/>
              </w:rPr>
              <w:t>-</w:t>
            </w:r>
            <w:r>
              <w:rPr>
                <w:rFonts w:hint="eastAsia"/>
                <w:b/>
                <w:snapToGrid w:val="0"/>
                <w:color w:val="auto"/>
                <w:kern w:val="0"/>
                <w:highlight w:val="none"/>
                <w:lang w:val="en-US" w:eastAsia="zh-CN"/>
              </w:rPr>
              <w:t>10</w:t>
            </w:r>
            <w:r>
              <w:rPr>
                <w:b/>
                <w:snapToGrid w:val="0"/>
                <w:color w:val="auto"/>
                <w:kern w:val="0"/>
                <w:highlight w:val="none"/>
              </w:rPr>
              <w:t xml:space="preserve"> </w:t>
            </w:r>
            <w:r>
              <w:rPr>
                <w:rFonts w:hint="eastAsia"/>
                <w:b/>
                <w:snapToGrid w:val="0"/>
                <w:color w:val="auto"/>
                <w:kern w:val="0"/>
                <w:highlight w:val="none"/>
              </w:rPr>
              <w:t>本项目食堂油烟产排情况</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1"/>
              <w:gridCol w:w="2801"/>
              <w:gridCol w:w="2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1666"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单位</w:t>
                  </w:r>
                </w:p>
              </w:tc>
              <w:tc>
                <w:tcPr>
                  <w:tcW w:w="1666"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油烟产生量</w:t>
                  </w:r>
                </w:p>
              </w:tc>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1666" w:type="pct"/>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集中烹饪时间</w:t>
                  </w:r>
                </w:p>
              </w:tc>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p>
              </w:tc>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油烟产生速率</w:t>
                  </w:r>
                </w:p>
              </w:tc>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kg/h</w:t>
                  </w:r>
                </w:p>
              </w:tc>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风机总风量</w:t>
                  </w:r>
                </w:p>
              </w:tc>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净化效率</w:t>
                  </w:r>
                </w:p>
              </w:tc>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油烟排放量</w:t>
                  </w:r>
                </w:p>
              </w:tc>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1666" w:type="pct"/>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油烟排放速率</w:t>
                  </w:r>
                </w:p>
              </w:tc>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kg/h</w:t>
                  </w:r>
                </w:p>
              </w:tc>
              <w:tc>
                <w:tcPr>
                  <w:tcW w:w="1666"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w:t>
                  </w:r>
                  <w:r>
                    <w:rPr>
                      <w:rFonts w:hint="eastAsia" w:ascii="Times New Roman" w:hAnsi="Times New Roman" w:eastAsia="宋体" w:cs="Times New Roman"/>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油烟排放浓度</w:t>
                  </w:r>
                </w:p>
              </w:tc>
              <w:tc>
                <w:tcPr>
                  <w:tcW w:w="1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1666"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0.375</w:t>
                  </w:r>
                </w:p>
              </w:tc>
            </w:tr>
          </w:tbl>
          <w:p>
            <w:pPr>
              <w:adjustRightInd w:val="0"/>
              <w:spacing w:line="360" w:lineRule="auto"/>
              <w:ind w:firstLine="480" w:firstLineChars="200"/>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fldChar w:fldCharType="begin"/>
            </w:r>
            <w:r>
              <w:rPr>
                <w:rFonts w:hint="default" w:ascii="Times New Roman" w:hAnsi="Times New Roman" w:eastAsia="宋体" w:cs="Times New Roman"/>
                <w:color w:val="auto"/>
                <w:kern w:val="0"/>
                <w:sz w:val="24"/>
                <w:szCs w:val="24"/>
                <w:highlight w:val="none"/>
                <w:lang w:val="en-US" w:eastAsia="zh-CN" w:bidi="ar-SA"/>
              </w:rPr>
              <w:instrText xml:space="preserve"> = 7 \* GB3 \* MERGEFORMAT </w:instrText>
            </w:r>
            <w:r>
              <w:rPr>
                <w:rFonts w:hint="default" w:ascii="Times New Roman" w:hAnsi="Times New Roman" w:eastAsia="宋体" w:cs="Times New Roman"/>
                <w:color w:val="auto"/>
                <w:kern w:val="0"/>
                <w:sz w:val="24"/>
                <w:szCs w:val="24"/>
                <w:highlight w:val="none"/>
                <w:lang w:val="en-US" w:eastAsia="zh-CN" w:bidi="ar-SA"/>
              </w:rPr>
              <w:fldChar w:fldCharType="separate"/>
            </w:r>
            <w:r>
              <w:rPr>
                <w:rFonts w:hint="default" w:ascii="Times New Roman" w:hAnsi="Times New Roman" w:cs="Times New Roman"/>
                <w:color w:val="auto"/>
                <w:sz w:val="24"/>
                <w:szCs w:val="24"/>
                <w:highlight w:val="none"/>
              </w:rPr>
              <w:t>⑦</w:t>
            </w:r>
            <w:r>
              <w:rPr>
                <w:rFonts w:hint="default" w:ascii="Times New Roman" w:hAnsi="Times New Roman" w:eastAsia="宋体" w:cs="Times New Roman"/>
                <w:color w:val="auto"/>
                <w:kern w:val="0"/>
                <w:sz w:val="24"/>
                <w:szCs w:val="24"/>
                <w:highlight w:val="none"/>
                <w:lang w:val="en-US" w:eastAsia="zh-CN" w:bidi="ar-SA"/>
              </w:rPr>
              <w:fldChar w:fldCharType="end"/>
            </w:r>
            <w:r>
              <w:rPr>
                <w:rFonts w:hint="default" w:ascii="Times New Roman" w:hAnsi="Times New Roman" w:eastAsia="宋体" w:cs="Times New Roman"/>
                <w:color w:val="auto"/>
                <w:kern w:val="0"/>
                <w:sz w:val="24"/>
                <w:szCs w:val="20"/>
                <w:highlight w:val="none"/>
                <w:lang w:val="en-US" w:eastAsia="zh-CN" w:bidi="ar-SA"/>
              </w:rPr>
              <w:t>废气</w:t>
            </w:r>
            <w:r>
              <w:rPr>
                <w:rFonts w:hint="eastAsia" w:ascii="Times New Roman" w:hAnsi="Times New Roman" w:eastAsia="宋体" w:cs="Times New Roman"/>
                <w:color w:val="auto"/>
                <w:kern w:val="0"/>
                <w:sz w:val="24"/>
                <w:szCs w:val="20"/>
                <w:highlight w:val="none"/>
                <w:lang w:val="en-US" w:eastAsia="zh-CN" w:bidi="ar-SA"/>
              </w:rPr>
              <w:t>监测结果</w:t>
            </w:r>
          </w:p>
          <w:p>
            <w:pPr>
              <w:adjustRightInd w:val="0"/>
              <w:spacing w:line="360" w:lineRule="auto"/>
              <w:ind w:firstLine="488" w:firstLineChars="200"/>
              <w:rPr>
                <w:rFonts w:hint="default" w:ascii="Times New Roman" w:hAnsi="Times New Roman" w:cs="Times New Roman"/>
                <w:color w:val="auto"/>
                <w:sz w:val="24"/>
                <w:szCs w:val="24"/>
                <w:highlight w:val="none"/>
                <w:lang w:val="en-US" w:eastAsia="zh-CN"/>
              </w:rPr>
            </w:pPr>
            <w:r>
              <w:rPr>
                <w:rFonts w:hint="default"/>
                <w:color w:val="auto"/>
                <w:spacing w:val="2"/>
                <w:sz w:val="24"/>
                <w:highlight w:val="none"/>
                <w:lang w:val="en-US" w:eastAsia="zh-CN"/>
              </w:rPr>
              <w:t>根据陕西陆港检</w:t>
            </w:r>
            <w:r>
              <w:rPr>
                <w:rFonts w:hint="default" w:ascii="Times New Roman" w:hAnsi="Times New Roman" w:cs="Times New Roman"/>
                <w:color w:val="auto"/>
                <w:sz w:val="24"/>
                <w:szCs w:val="24"/>
                <w:highlight w:val="none"/>
                <w:lang w:val="en-US" w:eastAsia="zh-CN"/>
              </w:rPr>
              <w:t>测技术服务有限公司于2022年7月12日对该项目进行现场监测</w:t>
            </w:r>
            <w:r>
              <w:rPr>
                <w:rFonts w:hint="eastAsia" w:cs="Times New Roman"/>
                <w:color w:val="auto"/>
                <w:sz w:val="24"/>
                <w:szCs w:val="24"/>
                <w:highlight w:val="none"/>
                <w:lang w:val="en-US" w:eastAsia="zh-CN"/>
              </w:rPr>
              <w:t>的</w:t>
            </w:r>
            <w:r>
              <w:rPr>
                <w:rFonts w:hint="default" w:ascii="Times New Roman" w:hAnsi="Times New Roman" w:cs="Times New Roman"/>
                <w:color w:val="auto"/>
                <w:sz w:val="24"/>
                <w:szCs w:val="24"/>
                <w:highlight w:val="none"/>
                <w:lang w:val="en-US" w:eastAsia="zh-CN"/>
              </w:rPr>
              <w:t>监测结果如下（报告编号：陆港监（气）字[2022]第07041号）。</w:t>
            </w:r>
          </w:p>
          <w:p>
            <w:pPr>
              <w:kinsoku w:val="0"/>
              <w:overflowPunct w:val="0"/>
              <w:autoSpaceDE w:val="0"/>
              <w:autoSpaceDN w:val="0"/>
              <w:adjustRightInd w:val="0"/>
              <w:snapToGrid w:val="0"/>
              <w:spacing w:line="360" w:lineRule="auto"/>
              <w:jc w:val="center"/>
              <w:rPr>
                <w:rFonts w:hint="eastAsia"/>
                <w:b/>
                <w:color w:val="auto"/>
                <w:szCs w:val="21"/>
                <w:highlight w:val="none"/>
                <w:lang w:val="en-US" w:eastAsia="zh-CN"/>
              </w:rPr>
            </w:pPr>
            <w:r>
              <w:rPr>
                <w:rFonts w:hint="eastAsia"/>
                <w:b/>
                <w:color w:val="auto"/>
                <w:szCs w:val="21"/>
                <w:highlight w:val="none"/>
                <w:lang w:val="en-US" w:eastAsia="zh-CN"/>
              </w:rPr>
              <w:t>表2-11 无组织废气监测结果表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402"/>
              <w:gridCol w:w="1400"/>
              <w:gridCol w:w="1400"/>
              <w:gridCol w:w="1400"/>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32" w:type="pct"/>
                  <w:vAlign w:val="center"/>
                </w:tcPr>
                <w:p>
                  <w:pPr>
                    <w:spacing w:line="36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监测日期</w:t>
                  </w:r>
                </w:p>
              </w:tc>
              <w:tc>
                <w:tcPr>
                  <w:tcW w:w="833" w:type="pct"/>
                  <w:vAlign w:val="center"/>
                </w:tcPr>
                <w:p>
                  <w:pPr>
                    <w:spacing w:line="36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监测频次</w:t>
                  </w:r>
                </w:p>
              </w:tc>
              <w:tc>
                <w:tcPr>
                  <w:tcW w:w="833" w:type="pct"/>
                  <w:vAlign w:val="center"/>
                </w:tcPr>
                <w:p>
                  <w:pPr>
                    <w:spacing w:line="36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气温（℃）</w:t>
                  </w:r>
                </w:p>
              </w:tc>
              <w:tc>
                <w:tcPr>
                  <w:tcW w:w="833" w:type="pct"/>
                  <w:vAlign w:val="center"/>
                </w:tcPr>
                <w:p>
                  <w:pPr>
                    <w:spacing w:line="36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气压（kPa）</w:t>
                  </w:r>
                </w:p>
              </w:tc>
              <w:tc>
                <w:tcPr>
                  <w:tcW w:w="833" w:type="pct"/>
                  <w:vAlign w:val="center"/>
                </w:tcPr>
                <w:p>
                  <w:pPr>
                    <w:spacing w:line="36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风速（m/s）</w:t>
                  </w:r>
                </w:p>
              </w:tc>
              <w:tc>
                <w:tcPr>
                  <w:tcW w:w="833" w:type="pct"/>
                  <w:vAlign w:val="center"/>
                </w:tcPr>
                <w:p>
                  <w:pPr>
                    <w:spacing w:line="36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32" w:type="pct"/>
                  <w:vMerge w:val="restart"/>
                  <w:vAlign w:val="center"/>
                </w:tcPr>
                <w:p>
                  <w:pPr>
                    <w:spacing w:line="36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2022 年 7月 12 日</w:t>
                  </w:r>
                </w:p>
              </w:tc>
              <w:tc>
                <w:tcPr>
                  <w:tcW w:w="833" w:type="pct"/>
                  <w:vAlign w:val="center"/>
                </w:tcPr>
                <w:p>
                  <w:pPr>
                    <w:spacing w:line="36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第一次</w:t>
                  </w:r>
                </w:p>
              </w:tc>
              <w:tc>
                <w:tcPr>
                  <w:tcW w:w="833" w:type="pct"/>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23</w:t>
                  </w:r>
                </w:p>
              </w:tc>
              <w:tc>
                <w:tcPr>
                  <w:tcW w:w="833" w:type="pct"/>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97.2</w:t>
                  </w:r>
                </w:p>
              </w:tc>
              <w:tc>
                <w:tcPr>
                  <w:tcW w:w="833" w:type="pct"/>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c>
                <w:tcPr>
                  <w:tcW w:w="833" w:type="pct"/>
                  <w:vAlign w:val="center"/>
                </w:tcPr>
                <w:p>
                  <w:pPr>
                    <w:spacing w:line="36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32" w:type="pct"/>
                  <w:vMerge w:val="continue"/>
                  <w:vAlign w:val="center"/>
                </w:tcPr>
                <w:p>
                  <w:pPr>
                    <w:spacing w:line="300" w:lineRule="exact"/>
                    <w:ind w:firstLine="0" w:firstLineChars="0"/>
                    <w:jc w:val="center"/>
                    <w:rPr>
                      <w:rFonts w:hint="eastAsia" w:ascii="Times New Roman" w:hAnsi="Times New Roman" w:cs="Times New Roman"/>
                      <w:color w:val="auto"/>
                      <w:sz w:val="21"/>
                      <w:szCs w:val="21"/>
                      <w:highlight w:val="none"/>
                      <w:lang w:val="en-US" w:eastAsia="zh-CN"/>
                    </w:rPr>
                  </w:pPr>
                </w:p>
              </w:tc>
              <w:tc>
                <w:tcPr>
                  <w:tcW w:w="833" w:type="pct"/>
                  <w:vAlign w:val="center"/>
                </w:tcPr>
                <w:p>
                  <w:pPr>
                    <w:spacing w:line="300" w:lineRule="exact"/>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第二次</w:t>
                  </w:r>
                </w:p>
              </w:tc>
              <w:tc>
                <w:tcPr>
                  <w:tcW w:w="833" w:type="pct"/>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26</w:t>
                  </w:r>
                </w:p>
              </w:tc>
              <w:tc>
                <w:tcPr>
                  <w:tcW w:w="833" w:type="pct"/>
                  <w:vAlign w:val="center"/>
                </w:tcPr>
                <w:p>
                  <w:pPr>
                    <w:spacing w:line="300" w:lineRule="exact"/>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97.2</w:t>
                  </w:r>
                </w:p>
              </w:tc>
              <w:tc>
                <w:tcPr>
                  <w:tcW w:w="833" w:type="pct"/>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c>
                <w:tcPr>
                  <w:tcW w:w="833" w:type="pct"/>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32" w:type="pct"/>
                  <w:vMerge w:val="continue"/>
                  <w:vAlign w:val="center"/>
                </w:tcPr>
                <w:p>
                  <w:pPr>
                    <w:spacing w:line="300" w:lineRule="exact"/>
                    <w:ind w:firstLine="0" w:firstLineChars="0"/>
                    <w:jc w:val="center"/>
                    <w:rPr>
                      <w:rFonts w:hint="eastAsia" w:ascii="Times New Roman" w:hAnsi="Times New Roman" w:cs="Times New Roman"/>
                      <w:color w:val="auto"/>
                      <w:sz w:val="21"/>
                      <w:szCs w:val="21"/>
                      <w:highlight w:val="none"/>
                      <w:lang w:val="en-US" w:eastAsia="zh-CN"/>
                    </w:rPr>
                  </w:pPr>
                </w:p>
              </w:tc>
              <w:tc>
                <w:tcPr>
                  <w:tcW w:w="833" w:type="pct"/>
                  <w:vAlign w:val="center"/>
                </w:tcPr>
                <w:p>
                  <w:pPr>
                    <w:spacing w:line="300" w:lineRule="exact"/>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第三次</w:t>
                  </w:r>
                </w:p>
              </w:tc>
              <w:tc>
                <w:tcPr>
                  <w:tcW w:w="833" w:type="pct"/>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w:t>
                  </w:r>
                </w:p>
              </w:tc>
              <w:tc>
                <w:tcPr>
                  <w:tcW w:w="833" w:type="pct"/>
                  <w:vAlign w:val="center"/>
                </w:tcPr>
                <w:p>
                  <w:pPr>
                    <w:spacing w:line="300" w:lineRule="exact"/>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97.2</w:t>
                  </w:r>
                </w:p>
              </w:tc>
              <w:tc>
                <w:tcPr>
                  <w:tcW w:w="833" w:type="pct"/>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c>
                <w:tcPr>
                  <w:tcW w:w="833" w:type="pct"/>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32" w:type="pct"/>
                  <w:vMerge w:val="continue"/>
                  <w:vAlign w:val="center"/>
                </w:tcPr>
                <w:p>
                  <w:pPr>
                    <w:spacing w:line="300" w:lineRule="exact"/>
                    <w:ind w:firstLine="0" w:firstLineChars="0"/>
                    <w:jc w:val="center"/>
                    <w:rPr>
                      <w:rFonts w:hint="eastAsia" w:ascii="Times New Roman" w:hAnsi="Times New Roman" w:cs="Times New Roman"/>
                      <w:color w:val="auto"/>
                      <w:sz w:val="21"/>
                      <w:szCs w:val="21"/>
                      <w:highlight w:val="none"/>
                      <w:lang w:val="en-US" w:eastAsia="zh-CN"/>
                    </w:rPr>
                  </w:pPr>
                </w:p>
              </w:tc>
              <w:tc>
                <w:tcPr>
                  <w:tcW w:w="833" w:type="pct"/>
                  <w:vAlign w:val="center"/>
                </w:tcPr>
                <w:p>
                  <w:pPr>
                    <w:spacing w:line="300" w:lineRule="exact"/>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第四次</w:t>
                  </w:r>
                </w:p>
              </w:tc>
              <w:tc>
                <w:tcPr>
                  <w:tcW w:w="833" w:type="pct"/>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26</w:t>
                  </w:r>
                </w:p>
              </w:tc>
              <w:tc>
                <w:tcPr>
                  <w:tcW w:w="833" w:type="pct"/>
                  <w:vAlign w:val="center"/>
                </w:tcPr>
                <w:p>
                  <w:pPr>
                    <w:spacing w:line="300" w:lineRule="exact"/>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97.2</w:t>
                  </w:r>
                </w:p>
              </w:tc>
              <w:tc>
                <w:tcPr>
                  <w:tcW w:w="833" w:type="pct"/>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c>
                <w:tcPr>
                  <w:tcW w:w="833" w:type="pct"/>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666" w:type="pct"/>
                  <w:gridSpan w:val="2"/>
                  <w:vMerge w:val="restart"/>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监测点位</w:t>
                  </w:r>
                </w:p>
              </w:tc>
              <w:tc>
                <w:tcPr>
                  <w:tcW w:w="1666" w:type="pct"/>
                  <w:gridSpan w:val="2"/>
                  <w:vMerge w:val="restart"/>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监测频次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监测项目及结果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gridSpan w:val="2"/>
                  <w:vMerge w:val="continue"/>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p>
              </w:tc>
              <w:tc>
                <w:tcPr>
                  <w:tcW w:w="1666" w:type="pct"/>
                  <w:gridSpan w:val="2"/>
                  <w:vMerge w:val="continue"/>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颗粒物（mg/m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gridSpan w:val="2"/>
                  <w:vMerge w:val="restart"/>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厂界1#（上风向）</w:t>
                  </w:r>
                </w:p>
              </w:tc>
              <w:tc>
                <w:tcPr>
                  <w:tcW w:w="1666"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第一次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gridSpan w:val="2"/>
                  <w:vMerge w:val="continue"/>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p>
              </w:tc>
              <w:tc>
                <w:tcPr>
                  <w:tcW w:w="1666"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第二次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gridSpan w:val="2"/>
                  <w:vMerge w:val="continue"/>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p>
              </w:tc>
              <w:tc>
                <w:tcPr>
                  <w:tcW w:w="1666"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第三次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gridSpan w:val="2"/>
                  <w:vMerge w:val="continue"/>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p>
              </w:tc>
              <w:tc>
                <w:tcPr>
                  <w:tcW w:w="1666"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第四次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666" w:type="pct"/>
                  <w:gridSpan w:val="2"/>
                  <w:vMerge w:val="restart"/>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厂界2#（下风向）</w:t>
                  </w:r>
                </w:p>
              </w:tc>
              <w:tc>
                <w:tcPr>
                  <w:tcW w:w="1666"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第一次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gridSpan w:val="2"/>
                  <w:vMerge w:val="continue"/>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p>
              </w:tc>
              <w:tc>
                <w:tcPr>
                  <w:tcW w:w="1666"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第二次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gridSpan w:val="2"/>
                  <w:vMerge w:val="continue"/>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p>
              </w:tc>
              <w:tc>
                <w:tcPr>
                  <w:tcW w:w="1666"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第三次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gridSpan w:val="2"/>
                  <w:vMerge w:val="continue"/>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p>
              </w:tc>
              <w:tc>
                <w:tcPr>
                  <w:tcW w:w="1666"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第四次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gridSpan w:val="2"/>
                  <w:vMerge w:val="restart"/>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厂界3#（下风向）</w:t>
                  </w:r>
                </w:p>
              </w:tc>
              <w:tc>
                <w:tcPr>
                  <w:tcW w:w="1666"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第一次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gridSpan w:val="2"/>
                  <w:vMerge w:val="continue"/>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p>
              </w:tc>
              <w:tc>
                <w:tcPr>
                  <w:tcW w:w="1666"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第二次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gridSpan w:val="2"/>
                  <w:vMerge w:val="continue"/>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p>
              </w:tc>
              <w:tc>
                <w:tcPr>
                  <w:tcW w:w="1666"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第三次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gridSpan w:val="2"/>
                  <w:vMerge w:val="continue"/>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p>
              </w:tc>
              <w:tc>
                <w:tcPr>
                  <w:tcW w:w="1666"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第四次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gridSpan w:val="2"/>
                  <w:vMerge w:val="restart"/>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厂界4#（下风向）</w:t>
                  </w:r>
                </w:p>
              </w:tc>
              <w:tc>
                <w:tcPr>
                  <w:tcW w:w="1666"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第一次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gridSpan w:val="2"/>
                  <w:vMerge w:val="continue"/>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p>
              </w:tc>
              <w:tc>
                <w:tcPr>
                  <w:tcW w:w="1666"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第二次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gridSpan w:val="2"/>
                  <w:vMerge w:val="continue"/>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p>
              </w:tc>
              <w:tc>
                <w:tcPr>
                  <w:tcW w:w="1666"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第三次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6" w:type="pct"/>
                  <w:gridSpan w:val="2"/>
                  <w:vMerge w:val="continue"/>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p>
              </w:tc>
              <w:tc>
                <w:tcPr>
                  <w:tcW w:w="1666"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第四次</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32" w:type="pct"/>
                  <w:gridSpan w:val="4"/>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颗粒物监控点最高浓度</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32" w:type="pct"/>
                  <w:gridSpan w:val="4"/>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颗粒物参照点最低浓度</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32" w:type="pct"/>
                  <w:gridSpan w:val="4"/>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颗粒物监控点最高浓度与颗粒物参照点最低浓度差值</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332" w:type="pct"/>
                  <w:gridSpan w:val="4"/>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执行标准限值</w:t>
                  </w:r>
                </w:p>
              </w:tc>
              <w:tc>
                <w:tcPr>
                  <w:tcW w:w="1667" w:type="pct"/>
                  <w:gridSpan w:val="2"/>
                  <w:vAlign w:val="center"/>
                </w:tcPr>
                <w:p>
                  <w:pPr>
                    <w:spacing w:line="30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r>
          </w:tbl>
          <w:p>
            <w:pPr>
              <w:pStyle w:val="63"/>
              <w:spacing w:before="5" w:line="364" w:lineRule="auto"/>
              <w:ind w:left="113" w:right="84" w:firstLine="48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经监测，原有项目厂界无组织颗粒物监测结果均符合：《水泥工业大气污染物排放标准》（G</w:t>
            </w:r>
            <w:r>
              <w:rPr>
                <w:rFonts w:hint="default" w:ascii="Times New Roman" w:hAnsi="Times New Roman" w:cs="Times New Roman"/>
                <w:color w:val="auto"/>
                <w:sz w:val="24"/>
                <w:szCs w:val="24"/>
                <w:highlight w:val="none"/>
                <w:lang w:val="en-US" w:eastAsia="zh-CN"/>
              </w:rPr>
              <w:t>B4915-2013</w:t>
            </w:r>
            <w:r>
              <w:rPr>
                <w:rFonts w:hint="eastAsia" w:ascii="Times New Roman" w:hAnsi="Times New Roman" w:cs="Times New Roman"/>
                <w:color w:val="auto"/>
                <w:sz w:val="24"/>
                <w:szCs w:val="24"/>
                <w:highlight w:val="none"/>
                <w:lang w:val="en-US" w:eastAsia="zh-CN"/>
              </w:rPr>
              <w:t>）表3大气污染物无组织排放限</w:t>
            </w:r>
            <w:r>
              <w:rPr>
                <w:rFonts w:hint="eastAsia" w:ascii="Times New Roman" w:hAnsi="Times New Roman" w:eastAsia="宋体" w:cs="Times New Roman"/>
                <w:color w:val="auto"/>
                <w:sz w:val="24"/>
                <w:szCs w:val="24"/>
                <w:highlight w:val="none"/>
                <w:lang w:val="en-US" w:eastAsia="zh-CN"/>
              </w:rPr>
              <w:t>值</w:t>
            </w:r>
            <w:r>
              <w:rPr>
                <w:rFonts w:hint="eastAsia"/>
                <w:color w:val="auto"/>
                <w:highlight w:val="none"/>
                <w:lang w:eastAsia="zh-CN"/>
              </w:rPr>
              <w:t>。</w:t>
            </w:r>
          </w:p>
          <w:p>
            <w:pPr>
              <w:adjustRightInd w:val="0"/>
              <w:spacing w:line="360" w:lineRule="auto"/>
              <w:ind w:firstLine="488" w:firstLineChars="200"/>
              <w:rPr>
                <w:color w:val="auto"/>
                <w:spacing w:val="2"/>
                <w:sz w:val="24"/>
                <w:highlight w:val="none"/>
              </w:rPr>
            </w:pPr>
            <w:r>
              <w:rPr>
                <w:rFonts w:hint="eastAsia"/>
                <w:color w:val="auto"/>
                <w:spacing w:val="2"/>
                <w:sz w:val="24"/>
                <w:highlight w:val="none"/>
              </w:rPr>
              <w:t>（2）废水污染源及治理措施</w:t>
            </w:r>
          </w:p>
          <w:p>
            <w:pPr>
              <w:adjustRightInd w:val="0"/>
              <w:spacing w:line="360" w:lineRule="auto"/>
              <w:ind w:firstLine="488" w:firstLineChars="200"/>
              <w:rPr>
                <w:color w:val="auto"/>
                <w:spacing w:val="2"/>
                <w:sz w:val="24"/>
                <w:highlight w:val="none"/>
              </w:rPr>
            </w:pPr>
            <w:r>
              <w:rPr>
                <w:rFonts w:hint="eastAsia"/>
                <w:color w:val="auto"/>
                <w:spacing w:val="2"/>
                <w:sz w:val="24"/>
                <w:highlight w:val="none"/>
              </w:rPr>
              <w:t>原</w:t>
            </w:r>
            <w:r>
              <w:rPr>
                <w:color w:val="auto"/>
                <w:spacing w:val="2"/>
                <w:sz w:val="24"/>
                <w:highlight w:val="none"/>
              </w:rPr>
              <w:t>项目生产废水主要包括搅拌机设备冲洗废水、混凝土罐车清洁废水</w:t>
            </w:r>
            <w:r>
              <w:rPr>
                <w:rFonts w:hint="eastAsia"/>
                <w:color w:val="auto"/>
                <w:spacing w:val="2"/>
                <w:sz w:val="24"/>
                <w:highlight w:val="none"/>
              </w:rPr>
              <w:t>及车辆冲洗废水</w:t>
            </w:r>
            <w:r>
              <w:rPr>
                <w:color w:val="auto"/>
                <w:spacing w:val="2"/>
                <w:sz w:val="24"/>
                <w:highlight w:val="none"/>
              </w:rPr>
              <w:t>等，主要污染物为SS，搅拌机设备冲洗废水、混凝土罐车清洁废水</w:t>
            </w:r>
            <w:r>
              <w:rPr>
                <w:rFonts w:hint="eastAsia"/>
                <w:color w:val="auto"/>
                <w:spacing w:val="2"/>
                <w:sz w:val="24"/>
                <w:highlight w:val="none"/>
              </w:rPr>
              <w:t>、进入沉淀池系统处理后回用，车辆冲洗废水进入洗车台旁的沉淀池处理后回用，均</w:t>
            </w:r>
            <w:r>
              <w:rPr>
                <w:color w:val="auto"/>
                <w:spacing w:val="2"/>
                <w:sz w:val="24"/>
                <w:highlight w:val="none"/>
              </w:rPr>
              <w:t>不外排。</w:t>
            </w:r>
          </w:p>
          <w:p>
            <w:pPr>
              <w:adjustRightInd w:val="0"/>
              <w:spacing w:line="360" w:lineRule="auto"/>
              <w:ind w:firstLine="488" w:firstLineChars="200"/>
              <w:rPr>
                <w:color w:val="auto"/>
                <w:spacing w:val="2"/>
                <w:sz w:val="24"/>
                <w:highlight w:val="none"/>
              </w:rPr>
            </w:pPr>
            <w:r>
              <w:rPr>
                <w:color w:val="auto"/>
                <w:spacing w:val="2"/>
                <w:sz w:val="24"/>
                <w:highlight w:val="none"/>
              </w:rPr>
              <w:t>生活污水主要为员工洗漱废水和食堂餐饮废水</w:t>
            </w:r>
            <w:r>
              <w:rPr>
                <w:rFonts w:hint="eastAsia"/>
                <w:color w:val="auto"/>
                <w:spacing w:val="2"/>
                <w:sz w:val="24"/>
                <w:highlight w:val="none"/>
              </w:rPr>
              <w:t>。食堂餐饮废水</w:t>
            </w:r>
            <w:r>
              <w:rPr>
                <w:color w:val="auto"/>
                <w:spacing w:val="2"/>
                <w:sz w:val="24"/>
                <w:highlight w:val="none"/>
              </w:rPr>
              <w:t>经</w:t>
            </w:r>
            <w:r>
              <w:rPr>
                <w:rFonts w:hint="eastAsia"/>
                <w:color w:val="auto"/>
                <w:spacing w:val="2"/>
                <w:sz w:val="24"/>
                <w:highlight w:val="none"/>
                <w:lang w:eastAsia="zh-CN"/>
              </w:rPr>
              <w:t>油水分离器</w:t>
            </w:r>
            <w:r>
              <w:rPr>
                <w:color w:val="auto"/>
                <w:spacing w:val="2"/>
                <w:sz w:val="24"/>
                <w:highlight w:val="none"/>
              </w:rPr>
              <w:t>处理后和员工洗漱废水一起进入化粪池处理后，</w:t>
            </w:r>
            <w:r>
              <w:rPr>
                <w:rFonts w:hint="eastAsia"/>
                <w:color w:val="auto"/>
                <w:spacing w:val="2"/>
                <w:sz w:val="24"/>
                <w:highlight w:val="none"/>
              </w:rPr>
              <w:t>定期清理</w:t>
            </w:r>
            <w:r>
              <w:rPr>
                <w:color w:val="auto"/>
                <w:spacing w:val="2"/>
                <w:sz w:val="24"/>
                <w:highlight w:val="none"/>
              </w:rPr>
              <w:t>用作农肥。</w:t>
            </w:r>
          </w:p>
          <w:p>
            <w:pPr>
              <w:adjustRightInd w:val="0"/>
              <w:spacing w:line="360" w:lineRule="auto"/>
              <w:ind w:firstLine="488" w:firstLineChars="200"/>
              <w:rPr>
                <w:color w:val="auto"/>
                <w:spacing w:val="2"/>
                <w:sz w:val="24"/>
                <w:highlight w:val="none"/>
              </w:rPr>
            </w:pPr>
            <w:r>
              <w:rPr>
                <w:rFonts w:hint="eastAsia"/>
                <w:color w:val="auto"/>
                <w:spacing w:val="2"/>
                <w:sz w:val="24"/>
                <w:highlight w:val="none"/>
              </w:rPr>
              <w:t>（3）噪声污染源及治理措施</w:t>
            </w:r>
          </w:p>
          <w:p>
            <w:pPr>
              <w:pStyle w:val="63"/>
              <w:spacing w:before="5" w:line="364" w:lineRule="auto"/>
              <w:ind w:left="113" w:right="84" w:firstLine="48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pacing w:val="2"/>
                <w:sz w:val="24"/>
                <w:highlight w:val="none"/>
              </w:rPr>
              <w:t>项目运营期间噪声主要为厂区内各机械设备（搅拌机、水泵、除尘风机、砂石分离机、空压机等）运行中产生的机械噪声以及运输车辆产生的噪声。机械设备声源强度在75-95dB（A）之间，设备布置于室内或被封闭，通过采取基础减振、隔音、</w:t>
            </w:r>
            <w:r>
              <w:rPr>
                <w:rFonts w:hint="default" w:ascii="Times New Roman" w:hAnsi="Times New Roman" w:cs="Times New Roman"/>
                <w:color w:val="auto"/>
                <w:spacing w:val="2"/>
                <w:sz w:val="24"/>
                <w:highlight w:val="none"/>
                <w:lang w:eastAsia="zh-CN"/>
              </w:rPr>
              <w:t>控制车辆车速、禁止鸣笛</w:t>
            </w:r>
            <w:r>
              <w:rPr>
                <w:rFonts w:hint="default" w:ascii="Times New Roman" w:hAnsi="Times New Roman" w:cs="Times New Roman"/>
                <w:color w:val="auto"/>
                <w:spacing w:val="2"/>
                <w:sz w:val="24"/>
                <w:highlight w:val="none"/>
              </w:rPr>
              <w:t>等措施</w:t>
            </w:r>
            <w:r>
              <w:rPr>
                <w:rFonts w:hint="default" w:ascii="Times New Roman" w:hAnsi="Times New Roman" w:cs="Times New Roman"/>
                <w:color w:val="auto"/>
                <w:spacing w:val="2"/>
                <w:sz w:val="24"/>
                <w:highlight w:val="none"/>
                <w:lang w:eastAsia="zh-CN"/>
              </w:rPr>
              <w:t>降噪</w:t>
            </w:r>
            <w:r>
              <w:rPr>
                <w:rFonts w:hint="default" w:ascii="Times New Roman" w:hAnsi="Times New Roman" w:cs="Times New Roman"/>
                <w:color w:val="auto"/>
                <w:spacing w:val="2"/>
                <w:sz w:val="24"/>
                <w:highlight w:val="none"/>
              </w:rPr>
              <w:t>。</w:t>
            </w:r>
          </w:p>
          <w:p>
            <w:pPr>
              <w:pStyle w:val="63"/>
              <w:spacing w:before="5" w:line="364" w:lineRule="auto"/>
              <w:ind w:left="113" w:right="84" w:firstLine="48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根据陕西陆港检测技术服务有限公司于2022年7月12日对该项目进行</w:t>
            </w:r>
            <w:r>
              <w:rPr>
                <w:rFonts w:hint="eastAsia" w:ascii="Times New Roman" w:hAnsi="Times New Roman" w:cs="Times New Roman"/>
                <w:color w:val="auto"/>
                <w:sz w:val="24"/>
                <w:szCs w:val="24"/>
                <w:highlight w:val="none"/>
                <w:lang w:val="en-US" w:eastAsia="zh-CN"/>
              </w:rPr>
              <w:t>的</w:t>
            </w:r>
            <w:r>
              <w:rPr>
                <w:rFonts w:hint="default" w:ascii="Times New Roman" w:hAnsi="Times New Roman" w:cs="Times New Roman"/>
                <w:color w:val="auto"/>
                <w:sz w:val="24"/>
                <w:szCs w:val="24"/>
                <w:highlight w:val="none"/>
                <w:lang w:val="en-US" w:eastAsia="zh-CN"/>
              </w:rPr>
              <w:t>现场监测</w:t>
            </w:r>
            <w:r>
              <w:rPr>
                <w:rFonts w:hint="eastAsia" w:ascii="Times New Roman" w:hAnsi="Times New Roman" w:cs="Times New Roman"/>
                <w:color w:val="auto"/>
                <w:sz w:val="24"/>
                <w:szCs w:val="24"/>
                <w:highlight w:val="none"/>
                <w:lang w:val="en-US" w:eastAsia="zh-CN"/>
              </w:rPr>
              <w:t>的监测</w:t>
            </w:r>
            <w:r>
              <w:rPr>
                <w:rFonts w:hint="default" w:ascii="Times New Roman" w:hAnsi="Times New Roman" w:cs="Times New Roman"/>
                <w:color w:val="auto"/>
                <w:sz w:val="24"/>
                <w:szCs w:val="24"/>
                <w:highlight w:val="none"/>
                <w:lang w:val="en-US" w:eastAsia="zh-CN"/>
              </w:rPr>
              <w:t>结果如下（报告编号：陆港监（噪）字[2022]第07003号）</w:t>
            </w:r>
            <w:r>
              <w:rPr>
                <w:rFonts w:hint="eastAsia" w:ascii="Times New Roman" w:hAnsi="Times New Roman" w:cs="Times New Roman"/>
                <w:color w:val="auto"/>
                <w:sz w:val="24"/>
                <w:szCs w:val="24"/>
                <w:highlight w:val="none"/>
                <w:lang w:val="en-US" w:eastAsia="zh-CN"/>
              </w:rPr>
              <w:t>，噪声监测时，项目生产运行正常</w:t>
            </w:r>
            <w:r>
              <w:rPr>
                <w:rFonts w:hint="default" w:ascii="Times New Roman" w:hAnsi="Times New Roman" w:cs="Times New Roman"/>
                <w:color w:val="auto"/>
                <w:sz w:val="24"/>
                <w:szCs w:val="24"/>
                <w:highlight w:val="none"/>
                <w:lang w:val="en-US" w:eastAsia="zh-CN"/>
              </w:rPr>
              <w:t>。</w:t>
            </w:r>
          </w:p>
          <w:p>
            <w:pPr>
              <w:kinsoku w:val="0"/>
              <w:overflowPunct w:val="0"/>
              <w:autoSpaceDE w:val="0"/>
              <w:autoSpaceDN w:val="0"/>
              <w:adjustRightInd w:val="0"/>
              <w:snapToGrid w:val="0"/>
              <w:spacing w:line="360" w:lineRule="auto"/>
              <w:jc w:val="center"/>
              <w:rPr>
                <w:rFonts w:hint="eastAsia"/>
                <w:b/>
                <w:color w:val="auto"/>
                <w:szCs w:val="21"/>
                <w:highlight w:val="none"/>
                <w:lang w:val="en-US" w:eastAsia="zh-CN"/>
              </w:rPr>
            </w:pPr>
            <w:r>
              <w:rPr>
                <w:rFonts w:hint="eastAsia"/>
                <w:b/>
                <w:color w:val="auto"/>
                <w:szCs w:val="21"/>
                <w:highlight w:val="none"/>
                <w:lang w:val="en-US" w:eastAsia="zh-CN"/>
              </w:rPr>
              <w:t>表2-12 噪声监测结果表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6"/>
              <w:gridCol w:w="2165"/>
              <w:gridCol w:w="2290"/>
              <w:gridCol w:w="2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97" w:type="pct"/>
                  <w:vMerge w:val="restart"/>
                  <w:vAlign w:val="center"/>
                </w:tcPr>
                <w:p>
                  <w:pPr>
                    <w:jc w:val="center"/>
                    <w:rPr>
                      <w:rFonts w:hint="eastAsia"/>
                      <w:color w:val="auto"/>
                      <w:highlight w:val="none"/>
                      <w:vertAlign w:val="baseline"/>
                      <w:lang w:val="en-US" w:eastAsia="zh-CN"/>
                    </w:rPr>
                  </w:pPr>
                  <w:r>
                    <w:rPr>
                      <w:rFonts w:hint="eastAsia"/>
                      <w:color w:val="auto"/>
                      <w:highlight w:val="none"/>
                      <w:vertAlign w:val="baseline"/>
                      <w:lang w:val="en-US" w:eastAsia="zh-CN"/>
                    </w:rPr>
                    <w:t>监测编号</w:t>
                  </w:r>
                </w:p>
              </w:tc>
              <w:tc>
                <w:tcPr>
                  <w:tcW w:w="1288" w:type="pct"/>
                  <w:vMerge w:val="restart"/>
                  <w:vAlign w:val="center"/>
                </w:tcPr>
                <w:p>
                  <w:pPr>
                    <w:jc w:val="center"/>
                    <w:rPr>
                      <w:rFonts w:hint="eastAsia"/>
                      <w:color w:val="auto"/>
                      <w:highlight w:val="none"/>
                      <w:vertAlign w:val="baseline"/>
                      <w:lang w:val="en-US" w:eastAsia="zh-CN"/>
                    </w:rPr>
                  </w:pPr>
                  <w:r>
                    <w:rPr>
                      <w:rFonts w:hint="eastAsia"/>
                      <w:color w:val="auto"/>
                      <w:highlight w:val="none"/>
                      <w:vertAlign w:val="baseline"/>
                      <w:lang w:val="en-US" w:eastAsia="zh-CN"/>
                    </w:rPr>
                    <w:t>测量位置</w:t>
                  </w:r>
                </w:p>
              </w:tc>
              <w:tc>
                <w:tcPr>
                  <w:tcW w:w="1362" w:type="pct"/>
                  <w:vAlign w:val="center"/>
                </w:tcPr>
                <w:p>
                  <w:pPr>
                    <w:jc w:val="center"/>
                    <w:rPr>
                      <w:rFonts w:hint="eastAsia"/>
                      <w:color w:val="auto"/>
                      <w:highlight w:val="none"/>
                      <w:vertAlign w:val="baseline"/>
                      <w:lang w:val="en-US" w:eastAsia="zh-CN"/>
                    </w:rPr>
                  </w:pPr>
                  <w:r>
                    <w:rPr>
                      <w:rFonts w:hint="eastAsia"/>
                      <w:color w:val="auto"/>
                      <w:highlight w:val="none"/>
                      <w:vertAlign w:val="baseline"/>
                      <w:lang w:val="en-US" w:eastAsia="zh-CN"/>
                    </w:rPr>
                    <w:t>昼间L</w:t>
                  </w:r>
                  <w:r>
                    <w:rPr>
                      <w:rFonts w:hint="eastAsia"/>
                      <w:color w:val="auto"/>
                      <w:highlight w:val="none"/>
                      <w:vertAlign w:val="subscript"/>
                      <w:lang w:val="en-US" w:eastAsia="zh-CN"/>
                    </w:rPr>
                    <w:t>d</w:t>
                  </w:r>
                </w:p>
              </w:tc>
              <w:tc>
                <w:tcPr>
                  <w:tcW w:w="1352" w:type="pct"/>
                  <w:vAlign w:val="center"/>
                </w:tcPr>
                <w:p>
                  <w:pPr>
                    <w:jc w:val="center"/>
                    <w:rPr>
                      <w:rFonts w:hint="eastAsia"/>
                      <w:color w:val="auto"/>
                      <w:highlight w:val="none"/>
                      <w:vertAlign w:val="baseline"/>
                      <w:lang w:val="en-US" w:eastAsia="zh-CN"/>
                    </w:rPr>
                  </w:pPr>
                  <w:r>
                    <w:rPr>
                      <w:rFonts w:hint="eastAsia"/>
                      <w:color w:val="auto"/>
                      <w:highlight w:val="none"/>
                      <w:vertAlign w:val="baseline"/>
                      <w:lang w:val="en-US" w:eastAsia="zh-CN"/>
                    </w:rPr>
                    <w:t>夜间L</w:t>
                  </w:r>
                  <w:r>
                    <w:rPr>
                      <w:rFonts w:hint="eastAsia"/>
                      <w:color w:val="auto"/>
                      <w:highlight w:val="none"/>
                      <w:vertAlign w:val="subscript"/>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997" w:type="pct"/>
                  <w:vMerge w:val="continue"/>
                  <w:vAlign w:val="center"/>
                </w:tcPr>
                <w:p>
                  <w:pPr>
                    <w:jc w:val="center"/>
                    <w:rPr>
                      <w:rFonts w:hint="eastAsia"/>
                      <w:color w:val="auto"/>
                      <w:highlight w:val="none"/>
                      <w:vertAlign w:val="baseline"/>
                      <w:lang w:val="en-US" w:eastAsia="zh-CN"/>
                    </w:rPr>
                  </w:pPr>
                </w:p>
              </w:tc>
              <w:tc>
                <w:tcPr>
                  <w:tcW w:w="1288" w:type="pct"/>
                  <w:vMerge w:val="continue"/>
                  <w:vAlign w:val="center"/>
                </w:tcPr>
                <w:p>
                  <w:pPr>
                    <w:jc w:val="center"/>
                    <w:rPr>
                      <w:rFonts w:hint="eastAsia"/>
                      <w:color w:val="auto"/>
                      <w:highlight w:val="none"/>
                      <w:vertAlign w:val="baseline"/>
                      <w:lang w:val="en-US" w:eastAsia="zh-CN"/>
                    </w:rPr>
                  </w:pPr>
                </w:p>
              </w:tc>
              <w:tc>
                <w:tcPr>
                  <w:tcW w:w="1362" w:type="pct"/>
                  <w:vAlign w:val="center"/>
                </w:tcPr>
                <w:p>
                  <w:pPr>
                    <w:jc w:val="center"/>
                    <w:rPr>
                      <w:rFonts w:hint="eastAsia"/>
                      <w:color w:val="auto"/>
                      <w:highlight w:val="none"/>
                      <w:vertAlign w:val="baseline"/>
                      <w:lang w:val="en-US" w:eastAsia="zh-CN"/>
                    </w:rPr>
                  </w:pPr>
                  <w:r>
                    <w:rPr>
                      <w:rFonts w:hint="eastAsia"/>
                      <w:color w:val="auto"/>
                      <w:highlight w:val="none"/>
                      <w:vertAlign w:val="baseline"/>
                      <w:lang w:val="en-US" w:eastAsia="zh-CN"/>
                    </w:rPr>
                    <w:t>测量结果L</w:t>
                  </w:r>
                  <w:r>
                    <w:rPr>
                      <w:rFonts w:hint="eastAsia"/>
                      <w:color w:val="auto"/>
                      <w:highlight w:val="none"/>
                      <w:vertAlign w:val="subscript"/>
                      <w:lang w:val="en-US" w:eastAsia="zh-CN"/>
                    </w:rPr>
                    <w:t>Aeq</w:t>
                  </w:r>
                  <w:r>
                    <w:rPr>
                      <w:rFonts w:hint="eastAsia"/>
                      <w:color w:val="auto"/>
                      <w:highlight w:val="none"/>
                      <w:vertAlign w:val="baseline"/>
                      <w:lang w:val="en-US" w:eastAsia="zh-CN"/>
                    </w:rPr>
                    <w:t>[dB（A）]</w:t>
                  </w:r>
                </w:p>
              </w:tc>
              <w:tc>
                <w:tcPr>
                  <w:tcW w:w="1352" w:type="pct"/>
                  <w:vAlign w:val="center"/>
                </w:tcPr>
                <w:p>
                  <w:pPr>
                    <w:jc w:val="center"/>
                    <w:rPr>
                      <w:rFonts w:hint="eastAsia"/>
                      <w:color w:val="auto"/>
                      <w:highlight w:val="none"/>
                      <w:vertAlign w:val="baseline"/>
                      <w:lang w:val="en-US" w:eastAsia="zh-CN"/>
                    </w:rPr>
                  </w:pPr>
                  <w:r>
                    <w:rPr>
                      <w:rFonts w:hint="eastAsia"/>
                      <w:color w:val="auto"/>
                      <w:highlight w:val="none"/>
                      <w:vertAlign w:val="baseline"/>
                      <w:lang w:val="en-US" w:eastAsia="zh-CN"/>
                    </w:rPr>
                    <w:t>测量结果L</w:t>
                  </w:r>
                  <w:r>
                    <w:rPr>
                      <w:rFonts w:hint="eastAsia"/>
                      <w:color w:val="auto"/>
                      <w:highlight w:val="none"/>
                      <w:vertAlign w:val="subscript"/>
                      <w:lang w:val="en-US" w:eastAsia="zh-CN"/>
                    </w:rPr>
                    <w:t>Aeq</w:t>
                  </w:r>
                  <w:r>
                    <w:rPr>
                      <w:rFonts w:hint="eastAsia"/>
                      <w:color w:val="auto"/>
                      <w:highlight w:val="none"/>
                      <w:vertAlign w:val="baseline"/>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Align w:val="center"/>
                </w:tcPr>
                <w:p>
                  <w:pPr>
                    <w:jc w:val="center"/>
                    <w:rPr>
                      <w:rFonts w:hint="default"/>
                      <w:color w:val="auto"/>
                      <w:highlight w:val="none"/>
                      <w:vertAlign w:val="baseline"/>
                      <w:lang w:val="en-US" w:eastAsia="zh-CN"/>
                    </w:rPr>
                  </w:pPr>
                  <w:r>
                    <w:rPr>
                      <w:rFonts w:hint="eastAsia"/>
                      <w:color w:val="auto"/>
                      <w:highlight w:val="none"/>
                      <w:vertAlign w:val="baseline"/>
                      <w:lang w:val="en-US" w:eastAsia="zh-CN"/>
                    </w:rPr>
                    <w:t>1#</w:t>
                  </w:r>
                </w:p>
              </w:tc>
              <w:tc>
                <w:tcPr>
                  <w:tcW w:w="1288" w:type="pct"/>
                  <w:vAlign w:val="center"/>
                </w:tcPr>
                <w:p>
                  <w:pPr>
                    <w:jc w:val="center"/>
                    <w:rPr>
                      <w:rFonts w:hint="eastAsia"/>
                      <w:color w:val="auto"/>
                      <w:highlight w:val="none"/>
                      <w:vertAlign w:val="baseline"/>
                      <w:lang w:val="en-US" w:eastAsia="zh-CN"/>
                    </w:rPr>
                  </w:pPr>
                  <w:r>
                    <w:rPr>
                      <w:rFonts w:hint="eastAsia"/>
                      <w:color w:val="auto"/>
                      <w:highlight w:val="none"/>
                      <w:vertAlign w:val="baseline"/>
                      <w:lang w:val="en-US" w:eastAsia="zh-CN"/>
                    </w:rPr>
                    <w:t>厂界北</w:t>
                  </w:r>
                </w:p>
              </w:tc>
              <w:tc>
                <w:tcPr>
                  <w:tcW w:w="1362" w:type="pct"/>
                  <w:vAlign w:val="center"/>
                </w:tcPr>
                <w:p>
                  <w:pPr>
                    <w:jc w:val="center"/>
                    <w:rPr>
                      <w:rFonts w:hint="default"/>
                      <w:color w:val="auto"/>
                      <w:highlight w:val="none"/>
                      <w:vertAlign w:val="baseline"/>
                      <w:lang w:val="en-US" w:eastAsia="zh-CN"/>
                    </w:rPr>
                  </w:pPr>
                  <w:r>
                    <w:rPr>
                      <w:rFonts w:hint="eastAsia"/>
                      <w:color w:val="auto"/>
                      <w:highlight w:val="none"/>
                      <w:vertAlign w:val="baseline"/>
                      <w:lang w:val="en-US" w:eastAsia="zh-CN"/>
                    </w:rPr>
                    <w:t>55.4</w:t>
                  </w:r>
                </w:p>
              </w:tc>
              <w:tc>
                <w:tcPr>
                  <w:tcW w:w="1352" w:type="pct"/>
                  <w:vAlign w:val="center"/>
                </w:tcPr>
                <w:p>
                  <w:pPr>
                    <w:jc w:val="center"/>
                    <w:rPr>
                      <w:rFonts w:hint="default"/>
                      <w:color w:val="auto"/>
                      <w:highlight w:val="none"/>
                      <w:vertAlign w:val="baseline"/>
                      <w:lang w:val="en-US" w:eastAsia="zh-CN"/>
                    </w:rPr>
                  </w:pPr>
                  <w:r>
                    <w:rPr>
                      <w:rFonts w:hint="eastAsia"/>
                      <w:color w:val="auto"/>
                      <w:highlight w:val="none"/>
                      <w:vertAlign w:val="baseline"/>
                      <w:lang w:val="en-US" w:eastAsia="zh-CN"/>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7" w:type="pct"/>
                  <w:vAlign w:val="center"/>
                </w:tcPr>
                <w:p>
                  <w:pPr>
                    <w:jc w:val="center"/>
                    <w:rPr>
                      <w:rFonts w:hint="default"/>
                      <w:color w:val="auto"/>
                      <w:highlight w:val="none"/>
                      <w:vertAlign w:val="baseline"/>
                      <w:lang w:val="en-US" w:eastAsia="zh-CN"/>
                    </w:rPr>
                  </w:pPr>
                  <w:r>
                    <w:rPr>
                      <w:rFonts w:hint="eastAsia"/>
                      <w:color w:val="auto"/>
                      <w:highlight w:val="none"/>
                      <w:vertAlign w:val="baseline"/>
                      <w:lang w:val="en-US" w:eastAsia="zh-CN"/>
                    </w:rPr>
                    <w:t>2#</w:t>
                  </w:r>
                </w:p>
              </w:tc>
              <w:tc>
                <w:tcPr>
                  <w:tcW w:w="1288" w:type="pct"/>
                  <w:vAlign w:val="center"/>
                </w:tcPr>
                <w:p>
                  <w:pPr>
                    <w:jc w:val="center"/>
                    <w:rPr>
                      <w:rFonts w:hint="eastAsia"/>
                      <w:color w:val="auto"/>
                      <w:highlight w:val="none"/>
                      <w:vertAlign w:val="baseline"/>
                      <w:lang w:val="en-US" w:eastAsia="zh-CN"/>
                    </w:rPr>
                  </w:pPr>
                  <w:r>
                    <w:rPr>
                      <w:rFonts w:hint="eastAsia"/>
                      <w:color w:val="auto"/>
                      <w:highlight w:val="none"/>
                      <w:vertAlign w:val="baseline"/>
                      <w:lang w:val="en-US" w:eastAsia="zh-CN"/>
                    </w:rPr>
                    <w:t>厂界东</w:t>
                  </w:r>
                </w:p>
              </w:tc>
              <w:tc>
                <w:tcPr>
                  <w:tcW w:w="1362" w:type="pct"/>
                  <w:vAlign w:val="center"/>
                </w:tcPr>
                <w:p>
                  <w:pPr>
                    <w:jc w:val="center"/>
                    <w:rPr>
                      <w:rFonts w:hint="default"/>
                      <w:color w:val="auto"/>
                      <w:highlight w:val="none"/>
                      <w:vertAlign w:val="baseline"/>
                      <w:lang w:val="en-US" w:eastAsia="zh-CN"/>
                    </w:rPr>
                  </w:pPr>
                  <w:r>
                    <w:rPr>
                      <w:rFonts w:hint="eastAsia"/>
                      <w:color w:val="auto"/>
                      <w:highlight w:val="none"/>
                      <w:vertAlign w:val="baseline"/>
                      <w:lang w:val="en-US" w:eastAsia="zh-CN"/>
                    </w:rPr>
                    <w:t>54.1</w:t>
                  </w:r>
                </w:p>
              </w:tc>
              <w:tc>
                <w:tcPr>
                  <w:tcW w:w="1352" w:type="pct"/>
                  <w:vAlign w:val="center"/>
                </w:tcPr>
                <w:p>
                  <w:pPr>
                    <w:jc w:val="center"/>
                    <w:rPr>
                      <w:rFonts w:hint="default"/>
                      <w:color w:val="auto"/>
                      <w:highlight w:val="none"/>
                      <w:vertAlign w:val="baseline"/>
                      <w:lang w:val="en-US" w:eastAsia="zh-CN"/>
                    </w:rPr>
                  </w:pPr>
                  <w:r>
                    <w:rPr>
                      <w:rFonts w:hint="eastAsia"/>
                      <w:color w:val="auto"/>
                      <w:highlight w:val="none"/>
                      <w:vertAlign w:val="baseline"/>
                      <w:lang w:val="en-US" w:eastAsia="zh-CN"/>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7" w:type="pct"/>
                  <w:vAlign w:val="center"/>
                </w:tcPr>
                <w:p>
                  <w:pPr>
                    <w:jc w:val="center"/>
                    <w:rPr>
                      <w:rFonts w:hint="default"/>
                      <w:color w:val="auto"/>
                      <w:highlight w:val="none"/>
                      <w:vertAlign w:val="baseline"/>
                      <w:lang w:val="en-US" w:eastAsia="zh-CN"/>
                    </w:rPr>
                  </w:pPr>
                  <w:r>
                    <w:rPr>
                      <w:rFonts w:hint="eastAsia"/>
                      <w:color w:val="auto"/>
                      <w:highlight w:val="none"/>
                      <w:vertAlign w:val="baseline"/>
                      <w:lang w:val="en-US" w:eastAsia="zh-CN"/>
                    </w:rPr>
                    <w:t>3#</w:t>
                  </w:r>
                </w:p>
              </w:tc>
              <w:tc>
                <w:tcPr>
                  <w:tcW w:w="1288" w:type="pct"/>
                  <w:vAlign w:val="center"/>
                </w:tcPr>
                <w:p>
                  <w:pPr>
                    <w:jc w:val="center"/>
                    <w:rPr>
                      <w:rFonts w:hint="eastAsia"/>
                      <w:color w:val="auto"/>
                      <w:highlight w:val="none"/>
                      <w:vertAlign w:val="baseline"/>
                      <w:lang w:val="en-US" w:eastAsia="zh-CN"/>
                    </w:rPr>
                  </w:pPr>
                  <w:r>
                    <w:rPr>
                      <w:rFonts w:hint="eastAsia"/>
                      <w:color w:val="auto"/>
                      <w:highlight w:val="none"/>
                      <w:vertAlign w:val="baseline"/>
                      <w:lang w:val="en-US" w:eastAsia="zh-CN"/>
                    </w:rPr>
                    <w:t>厂界南</w:t>
                  </w:r>
                </w:p>
              </w:tc>
              <w:tc>
                <w:tcPr>
                  <w:tcW w:w="1362" w:type="pct"/>
                  <w:vAlign w:val="center"/>
                </w:tcPr>
                <w:p>
                  <w:pPr>
                    <w:jc w:val="center"/>
                    <w:rPr>
                      <w:rFonts w:hint="default"/>
                      <w:color w:val="auto"/>
                      <w:highlight w:val="none"/>
                      <w:vertAlign w:val="baseline"/>
                      <w:lang w:val="en-US" w:eastAsia="zh-CN"/>
                    </w:rPr>
                  </w:pPr>
                  <w:r>
                    <w:rPr>
                      <w:rFonts w:hint="eastAsia"/>
                      <w:color w:val="auto"/>
                      <w:highlight w:val="none"/>
                      <w:vertAlign w:val="baseline"/>
                      <w:lang w:val="en-US" w:eastAsia="zh-CN"/>
                    </w:rPr>
                    <w:t>53.8</w:t>
                  </w:r>
                </w:p>
              </w:tc>
              <w:tc>
                <w:tcPr>
                  <w:tcW w:w="1352" w:type="pct"/>
                  <w:vAlign w:val="center"/>
                </w:tcPr>
                <w:p>
                  <w:pPr>
                    <w:jc w:val="center"/>
                    <w:rPr>
                      <w:rFonts w:hint="default"/>
                      <w:color w:val="auto"/>
                      <w:highlight w:val="none"/>
                      <w:vertAlign w:val="baseline"/>
                      <w:lang w:val="en-US" w:eastAsia="zh-CN"/>
                    </w:rPr>
                  </w:pPr>
                  <w:r>
                    <w:rPr>
                      <w:rFonts w:hint="eastAsia"/>
                      <w:color w:val="auto"/>
                      <w:highlight w:val="none"/>
                      <w:vertAlign w:val="baseline"/>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7" w:type="pct"/>
                  <w:vAlign w:val="center"/>
                </w:tcPr>
                <w:p>
                  <w:pPr>
                    <w:jc w:val="center"/>
                    <w:rPr>
                      <w:rFonts w:hint="default"/>
                      <w:color w:val="auto"/>
                      <w:highlight w:val="none"/>
                      <w:vertAlign w:val="baseline"/>
                      <w:lang w:val="en-US" w:eastAsia="zh-CN"/>
                    </w:rPr>
                  </w:pPr>
                  <w:r>
                    <w:rPr>
                      <w:rFonts w:hint="eastAsia"/>
                      <w:color w:val="auto"/>
                      <w:highlight w:val="none"/>
                      <w:vertAlign w:val="baseline"/>
                      <w:lang w:val="en-US" w:eastAsia="zh-CN"/>
                    </w:rPr>
                    <w:t>4#</w:t>
                  </w:r>
                </w:p>
              </w:tc>
              <w:tc>
                <w:tcPr>
                  <w:tcW w:w="1288" w:type="pct"/>
                  <w:vAlign w:val="center"/>
                </w:tcPr>
                <w:p>
                  <w:pPr>
                    <w:jc w:val="center"/>
                    <w:rPr>
                      <w:rFonts w:hint="eastAsia"/>
                      <w:color w:val="auto"/>
                      <w:highlight w:val="none"/>
                      <w:vertAlign w:val="baseline"/>
                      <w:lang w:val="en-US" w:eastAsia="zh-CN"/>
                    </w:rPr>
                  </w:pPr>
                  <w:r>
                    <w:rPr>
                      <w:rFonts w:hint="eastAsia"/>
                      <w:color w:val="auto"/>
                      <w:highlight w:val="none"/>
                      <w:vertAlign w:val="baseline"/>
                      <w:lang w:val="en-US" w:eastAsia="zh-CN"/>
                    </w:rPr>
                    <w:t>厂界西</w:t>
                  </w:r>
                </w:p>
              </w:tc>
              <w:tc>
                <w:tcPr>
                  <w:tcW w:w="1362" w:type="pct"/>
                  <w:vAlign w:val="center"/>
                </w:tcPr>
                <w:p>
                  <w:pPr>
                    <w:jc w:val="center"/>
                    <w:rPr>
                      <w:rFonts w:hint="default"/>
                      <w:color w:val="auto"/>
                      <w:highlight w:val="none"/>
                      <w:vertAlign w:val="baseline"/>
                      <w:lang w:val="en-US" w:eastAsia="zh-CN"/>
                    </w:rPr>
                  </w:pPr>
                  <w:r>
                    <w:rPr>
                      <w:rFonts w:hint="eastAsia"/>
                      <w:color w:val="auto"/>
                      <w:highlight w:val="none"/>
                      <w:vertAlign w:val="baseline"/>
                      <w:lang w:val="en-US" w:eastAsia="zh-CN"/>
                    </w:rPr>
                    <w:t>52.2</w:t>
                  </w:r>
                </w:p>
              </w:tc>
              <w:tc>
                <w:tcPr>
                  <w:tcW w:w="1352" w:type="pct"/>
                  <w:vAlign w:val="center"/>
                </w:tcPr>
                <w:p>
                  <w:pPr>
                    <w:jc w:val="center"/>
                    <w:rPr>
                      <w:rFonts w:hint="default"/>
                      <w:color w:val="auto"/>
                      <w:highlight w:val="none"/>
                      <w:vertAlign w:val="baseline"/>
                      <w:lang w:val="en-US" w:eastAsia="zh-CN"/>
                    </w:rPr>
                  </w:pPr>
                  <w:r>
                    <w:rPr>
                      <w:rFonts w:hint="eastAsia"/>
                      <w:color w:val="auto"/>
                      <w:highlight w:val="none"/>
                      <w:vertAlign w:val="baseline"/>
                      <w:lang w:val="en-US" w:eastAsia="zh-CN"/>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85" w:type="pct"/>
                  <w:gridSpan w:val="2"/>
                  <w:vAlign w:val="center"/>
                </w:tcPr>
                <w:p>
                  <w:pPr>
                    <w:jc w:val="center"/>
                    <w:rPr>
                      <w:rFonts w:hint="default"/>
                      <w:color w:val="auto"/>
                      <w:highlight w:val="none"/>
                      <w:vertAlign w:val="baseline"/>
                      <w:lang w:val="en-US" w:eastAsia="zh-CN"/>
                    </w:rPr>
                  </w:pPr>
                  <w:r>
                    <w:rPr>
                      <w:rFonts w:hint="eastAsia"/>
                      <w:color w:val="auto"/>
                      <w:highlight w:val="none"/>
                      <w:vertAlign w:val="baseline"/>
                      <w:lang w:val="en-US" w:eastAsia="zh-CN"/>
                    </w:rPr>
                    <w:t>标准限值</w:t>
                  </w:r>
                </w:p>
              </w:tc>
              <w:tc>
                <w:tcPr>
                  <w:tcW w:w="1362" w:type="pct"/>
                  <w:vAlign w:val="center"/>
                </w:tcPr>
                <w:p>
                  <w:pPr>
                    <w:jc w:val="center"/>
                    <w:rPr>
                      <w:rFonts w:hint="eastAsia"/>
                      <w:color w:val="auto"/>
                      <w:highlight w:val="none"/>
                      <w:vertAlign w:val="baseline"/>
                      <w:lang w:val="en-US" w:eastAsia="zh-CN"/>
                    </w:rPr>
                  </w:pPr>
                  <w:r>
                    <w:rPr>
                      <w:rFonts w:hint="eastAsia"/>
                      <w:color w:val="auto"/>
                      <w:highlight w:val="none"/>
                      <w:vertAlign w:val="baseline"/>
                      <w:lang w:val="en-US" w:eastAsia="zh-CN"/>
                    </w:rPr>
                    <w:t>60</w:t>
                  </w:r>
                </w:p>
              </w:tc>
              <w:tc>
                <w:tcPr>
                  <w:tcW w:w="1352" w:type="pct"/>
                  <w:vAlign w:val="center"/>
                </w:tcPr>
                <w:p>
                  <w:pPr>
                    <w:jc w:val="center"/>
                    <w:rPr>
                      <w:rFonts w:hint="default"/>
                      <w:color w:val="auto"/>
                      <w:highlight w:val="none"/>
                      <w:vertAlign w:val="baseline"/>
                      <w:lang w:val="en-US" w:eastAsia="zh-CN"/>
                    </w:rPr>
                  </w:pPr>
                  <w:r>
                    <w:rPr>
                      <w:rFonts w:hint="eastAsia"/>
                      <w:color w:val="auto"/>
                      <w:highlight w:val="none"/>
                      <w:vertAlign w:val="baseline"/>
                      <w:lang w:val="en-US" w:eastAsia="zh-CN"/>
                    </w:rPr>
                    <w:t>50</w:t>
                  </w:r>
                </w:p>
              </w:tc>
            </w:tr>
          </w:tbl>
          <w:p>
            <w:pPr>
              <w:pStyle w:val="63"/>
              <w:spacing w:before="5" w:line="364" w:lineRule="auto"/>
              <w:ind w:left="113" w:right="84" w:firstLine="480"/>
              <w:jc w:val="both"/>
              <w:rPr>
                <w:rFonts w:hint="eastAsia"/>
                <w:b/>
                <w:bCs/>
                <w:color w:val="auto"/>
                <w:sz w:val="24"/>
                <w:highlight w:val="none"/>
              </w:rPr>
            </w:pPr>
            <w:r>
              <w:rPr>
                <w:rFonts w:hint="eastAsia" w:ascii="Times New Roman" w:hAnsi="Times New Roman" w:cs="Times New Roman"/>
                <w:color w:val="auto"/>
                <w:sz w:val="24"/>
                <w:szCs w:val="24"/>
                <w:highlight w:val="none"/>
                <w:lang w:val="en-US" w:eastAsia="zh-CN"/>
              </w:rPr>
              <w:t>经监测，原有项目昼夜噪声监测值满足《工业企业厂界环境噪声排放标准》（GB 12348-2008）中2类和4类标准。</w:t>
            </w:r>
          </w:p>
          <w:p>
            <w:pPr>
              <w:adjustRightInd w:val="0"/>
              <w:spacing w:line="360" w:lineRule="auto"/>
              <w:ind w:firstLine="488" w:firstLineChars="200"/>
              <w:rPr>
                <w:color w:val="auto"/>
                <w:spacing w:val="2"/>
                <w:sz w:val="24"/>
                <w:highlight w:val="none"/>
              </w:rPr>
            </w:pPr>
            <w:r>
              <w:rPr>
                <w:rFonts w:hint="eastAsia"/>
                <w:color w:val="auto"/>
                <w:spacing w:val="2"/>
                <w:sz w:val="24"/>
                <w:highlight w:val="none"/>
              </w:rPr>
              <w:t>（4）</w:t>
            </w:r>
            <w:r>
              <w:rPr>
                <w:color w:val="auto"/>
                <w:spacing w:val="2"/>
                <w:sz w:val="24"/>
                <w:highlight w:val="none"/>
              </w:rPr>
              <w:t>固体废弃物污染源及其防治措施</w:t>
            </w:r>
          </w:p>
          <w:p>
            <w:pPr>
              <w:adjustRightInd w:val="0"/>
              <w:spacing w:line="360" w:lineRule="auto"/>
              <w:ind w:firstLine="488" w:firstLineChars="200"/>
              <w:rPr>
                <w:rFonts w:hint="eastAsia"/>
                <w:color w:val="auto"/>
                <w:spacing w:val="2"/>
                <w:sz w:val="24"/>
                <w:highlight w:val="none"/>
                <w:lang w:val="en-US" w:eastAsia="zh-CN"/>
              </w:rPr>
            </w:pPr>
            <w:r>
              <w:rPr>
                <w:rFonts w:hint="eastAsia"/>
                <w:color w:val="auto"/>
                <w:spacing w:val="2"/>
                <w:sz w:val="24"/>
                <w:highlight w:val="none"/>
                <w:lang w:val="en-US" w:eastAsia="zh-CN"/>
              </w:rPr>
              <w:t>原有项目项目劳动定员51人，生活垃圾产生量按0.1kg/人·d计，每年按300d计，则生活垃圾产生量为0.153t/a，生活垃圾统一收集后由环卫部门处理。</w:t>
            </w:r>
          </w:p>
          <w:p>
            <w:pPr>
              <w:adjustRightInd w:val="0"/>
              <w:spacing w:line="360" w:lineRule="auto"/>
              <w:ind w:firstLine="488" w:firstLineChars="200"/>
              <w:rPr>
                <w:rFonts w:hint="eastAsia"/>
                <w:color w:val="auto"/>
                <w:spacing w:val="2"/>
                <w:sz w:val="24"/>
                <w:highlight w:val="none"/>
              </w:rPr>
            </w:pPr>
            <w:r>
              <w:rPr>
                <w:rFonts w:hint="eastAsia"/>
                <w:color w:val="auto"/>
                <w:spacing w:val="2"/>
                <w:sz w:val="24"/>
                <w:highlight w:val="none"/>
              </w:rPr>
              <w:t>原</w:t>
            </w:r>
            <w:r>
              <w:rPr>
                <w:color w:val="auto"/>
                <w:spacing w:val="2"/>
                <w:sz w:val="24"/>
                <w:highlight w:val="none"/>
              </w:rPr>
              <w:t>项目</w:t>
            </w:r>
            <w:r>
              <w:rPr>
                <w:rFonts w:hint="eastAsia"/>
                <w:color w:val="auto"/>
                <w:spacing w:val="2"/>
                <w:sz w:val="24"/>
                <w:highlight w:val="none"/>
              </w:rPr>
              <w:t>沉淀池沉砂回用于生产；除尘系统</w:t>
            </w:r>
            <w:r>
              <w:rPr>
                <w:rFonts w:hint="eastAsia"/>
                <w:color w:val="auto"/>
                <w:spacing w:val="2"/>
                <w:sz w:val="24"/>
                <w:highlight w:val="none"/>
                <w:lang w:val="en-US" w:eastAsia="zh-CN"/>
              </w:rPr>
              <w:t>收集的粉尘</w:t>
            </w:r>
            <w:r>
              <w:rPr>
                <w:rFonts w:hint="eastAsia"/>
                <w:color w:val="auto"/>
                <w:spacing w:val="2"/>
                <w:sz w:val="24"/>
                <w:highlight w:val="none"/>
              </w:rPr>
              <w:t>回用于生产；</w:t>
            </w:r>
            <w:r>
              <w:rPr>
                <w:rFonts w:hint="eastAsia"/>
                <w:color w:val="auto"/>
                <w:spacing w:val="2"/>
                <w:sz w:val="24"/>
                <w:highlight w:val="none"/>
                <w:lang w:eastAsia="zh-CN"/>
              </w:rPr>
              <w:t>项目车辆运输与运输公司签订运输合同，车辆维修保养均不在项目区内进行，因此本项目无危险废物产生</w:t>
            </w:r>
            <w:r>
              <w:rPr>
                <w:rFonts w:hint="eastAsia"/>
                <w:color w:val="auto"/>
                <w:spacing w:val="2"/>
                <w:sz w:val="24"/>
                <w:highlight w:val="none"/>
              </w:rPr>
              <w:t>。</w:t>
            </w:r>
          </w:p>
          <w:p>
            <w:pPr>
              <w:adjustRightInd w:val="0"/>
              <w:snapToGrid w:val="0"/>
              <w:spacing w:line="360" w:lineRule="auto"/>
              <w:ind w:firstLine="482" w:firstLineChars="200"/>
              <w:rPr>
                <w:rFonts w:hint="eastAsia"/>
                <w:b/>
                <w:bCs/>
                <w:color w:val="auto"/>
                <w:sz w:val="24"/>
                <w:highlight w:val="none"/>
              </w:rPr>
            </w:pPr>
            <w:r>
              <w:rPr>
                <w:b/>
                <w:bCs/>
                <w:color w:val="auto"/>
                <w:sz w:val="24"/>
                <w:highlight w:val="none"/>
              </w:rPr>
              <w:t>4、原有项目主要污染物</w:t>
            </w:r>
            <w:r>
              <w:rPr>
                <w:rFonts w:hint="eastAsia"/>
                <w:b/>
                <w:bCs/>
                <w:color w:val="auto"/>
                <w:sz w:val="24"/>
                <w:highlight w:val="none"/>
              </w:rPr>
              <w:t>排放情况</w:t>
            </w:r>
          </w:p>
          <w:p>
            <w:pPr>
              <w:adjustRightInd w:val="0"/>
              <w:snapToGrid/>
              <w:spacing w:line="360" w:lineRule="auto"/>
              <w:ind w:firstLine="488" w:firstLineChars="200"/>
              <w:jc w:val="left"/>
              <w:rPr>
                <w:rFonts w:hint="default" w:eastAsia="宋体"/>
                <w:b w:val="0"/>
                <w:bCs w:val="0"/>
                <w:color w:val="auto"/>
                <w:spacing w:val="2"/>
                <w:sz w:val="24"/>
                <w:szCs w:val="24"/>
                <w:highlight w:val="none"/>
                <w:lang w:eastAsia="zh-CN"/>
              </w:rPr>
            </w:pPr>
            <w:r>
              <w:rPr>
                <w:rFonts w:hint="default"/>
                <w:b w:val="0"/>
                <w:bCs w:val="0"/>
                <w:color w:val="auto"/>
                <w:spacing w:val="2"/>
                <w:sz w:val="24"/>
                <w:szCs w:val="24"/>
                <w:highlight w:val="none"/>
                <w:lang w:eastAsia="zh-CN"/>
              </w:rPr>
              <w:t>根据</w:t>
            </w:r>
            <w:r>
              <w:rPr>
                <w:rFonts w:hint="eastAsia"/>
                <w:b w:val="0"/>
                <w:bCs w:val="0"/>
                <w:color w:val="auto"/>
                <w:spacing w:val="2"/>
                <w:sz w:val="24"/>
                <w:szCs w:val="24"/>
                <w:highlight w:val="none"/>
                <w:lang w:eastAsia="zh-CN"/>
              </w:rPr>
              <w:t>企业提供的资料及估算情况，原有项目主要污染物排放量如下表。</w:t>
            </w:r>
          </w:p>
          <w:p>
            <w:pPr>
              <w:adjustRightInd w:val="0"/>
              <w:snapToGrid w:val="0"/>
              <w:spacing w:line="360" w:lineRule="auto"/>
              <w:jc w:val="center"/>
              <w:rPr>
                <w:b/>
                <w:bCs/>
                <w:color w:val="auto"/>
                <w:szCs w:val="21"/>
                <w:highlight w:val="none"/>
              </w:rPr>
            </w:pPr>
            <w:r>
              <w:rPr>
                <w:rFonts w:hint="eastAsia"/>
                <w:b/>
                <w:bCs/>
                <w:color w:val="auto"/>
                <w:szCs w:val="21"/>
                <w:highlight w:val="none"/>
              </w:rPr>
              <w:t>表2</w:t>
            </w:r>
            <w:r>
              <w:rPr>
                <w:b/>
                <w:bCs/>
                <w:color w:val="auto"/>
                <w:szCs w:val="21"/>
                <w:highlight w:val="none"/>
              </w:rPr>
              <w:t>-</w:t>
            </w:r>
            <w:r>
              <w:rPr>
                <w:rFonts w:hint="eastAsia"/>
                <w:b/>
                <w:bCs/>
                <w:color w:val="auto"/>
                <w:szCs w:val="21"/>
                <w:highlight w:val="none"/>
                <w:lang w:val="en-US" w:eastAsia="zh-CN"/>
              </w:rPr>
              <w:t>13</w:t>
            </w:r>
            <w:r>
              <w:rPr>
                <w:rFonts w:hint="eastAsia"/>
                <w:b/>
                <w:bCs/>
                <w:color w:val="auto"/>
                <w:szCs w:val="21"/>
                <w:highlight w:val="none"/>
              </w:rPr>
              <w:t xml:space="preserve">  厂区原有项目主要污染物排放情况汇总</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068"/>
              <w:gridCol w:w="851"/>
              <w:gridCol w:w="1456"/>
              <w:gridCol w:w="2395"/>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4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rFonts w:hint="eastAsia"/>
                      <w:b/>
                      <w:bCs/>
                      <w:color w:val="auto"/>
                      <w:szCs w:val="21"/>
                      <w:highlight w:val="none"/>
                    </w:rPr>
                    <w:t>项目</w:t>
                  </w:r>
                </w:p>
              </w:tc>
              <w:tc>
                <w:tcPr>
                  <w:tcW w:w="635" w:type="pct"/>
                  <w:tcBorders>
                    <w:top w:val="single" w:color="auto" w:sz="4" w:space="0"/>
                    <w:left w:val="nil"/>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排放源</w:t>
                  </w:r>
                </w:p>
              </w:tc>
              <w:tc>
                <w:tcPr>
                  <w:tcW w:w="506" w:type="pct"/>
                  <w:tcBorders>
                    <w:top w:val="single" w:color="auto" w:sz="4" w:space="0"/>
                    <w:left w:val="nil"/>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污染物名称</w:t>
                  </w:r>
                </w:p>
              </w:tc>
              <w:tc>
                <w:tcPr>
                  <w:tcW w:w="866" w:type="pct"/>
                  <w:tcBorders>
                    <w:top w:val="single" w:color="auto" w:sz="4" w:space="0"/>
                    <w:left w:val="nil"/>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排放浓度及排放量（固体废物产生量）</w:t>
                  </w:r>
                </w:p>
              </w:tc>
              <w:tc>
                <w:tcPr>
                  <w:tcW w:w="1424" w:type="pct"/>
                  <w:tcBorders>
                    <w:top w:val="single" w:color="auto" w:sz="4" w:space="0"/>
                    <w:left w:val="nil"/>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污染防治措施及处理措施</w:t>
                  </w:r>
                </w:p>
              </w:tc>
              <w:tc>
                <w:tcPr>
                  <w:tcW w:w="1223" w:type="pct"/>
                  <w:tcBorders>
                    <w:top w:val="single" w:color="auto" w:sz="4" w:space="0"/>
                    <w:left w:val="nil"/>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处理效果及标准要求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344" w:type="pct"/>
                  <w:vMerge w:val="restart"/>
                  <w:tcBorders>
                    <w:top w:val="nil"/>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color w:val="auto"/>
                      <w:szCs w:val="21"/>
                      <w:highlight w:val="none"/>
                      <w:lang w:eastAsia="zh-CN"/>
                    </w:rPr>
                  </w:pPr>
                  <w:bookmarkStart w:id="3" w:name="OLE_LINK1" w:colFirst="3" w:colLast="3"/>
                  <w:r>
                    <w:rPr>
                      <w:color w:val="auto"/>
                      <w:szCs w:val="21"/>
                      <w:highlight w:val="none"/>
                    </w:rPr>
                    <w:t>大气污染物</w:t>
                  </w:r>
                </w:p>
              </w:tc>
              <w:tc>
                <w:tcPr>
                  <w:tcW w:w="635"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eastAsia="宋体"/>
                      <w:color w:val="auto"/>
                      <w:szCs w:val="21"/>
                      <w:highlight w:val="none"/>
                      <w:lang w:eastAsia="zh-CN"/>
                    </w:rPr>
                  </w:pPr>
                  <w:r>
                    <w:rPr>
                      <w:rFonts w:hint="default" w:ascii="Times New Roman" w:hAnsi="Times New Roman" w:eastAsia="宋体" w:cs="Times New Roman"/>
                      <w:snapToGrid w:val="0"/>
                      <w:color w:val="auto"/>
                      <w:kern w:val="0"/>
                      <w:sz w:val="21"/>
                      <w:szCs w:val="21"/>
                      <w:highlight w:val="none"/>
                    </w:rPr>
                    <w:t>粉料筒仓</w:t>
                  </w:r>
                  <w:r>
                    <w:rPr>
                      <w:rFonts w:hint="eastAsia" w:ascii="Times New Roman" w:hAnsi="Times New Roman" w:eastAsia="宋体" w:cs="Times New Roman"/>
                      <w:snapToGrid w:val="0"/>
                      <w:color w:val="auto"/>
                      <w:kern w:val="0"/>
                      <w:sz w:val="21"/>
                      <w:szCs w:val="21"/>
                      <w:highlight w:val="none"/>
                      <w:lang w:eastAsia="zh-CN"/>
                    </w:rPr>
                    <w:t>、搅拌机、输送机、运输扬尘等</w:t>
                  </w:r>
                  <w:r>
                    <w:rPr>
                      <w:rFonts w:hint="eastAsia"/>
                      <w:color w:val="auto"/>
                      <w:szCs w:val="21"/>
                      <w:highlight w:val="none"/>
                      <w:lang w:eastAsia="zh-CN"/>
                    </w:rPr>
                    <w:t>无组织排放</w:t>
                  </w:r>
                </w:p>
              </w:tc>
              <w:tc>
                <w:tcPr>
                  <w:tcW w:w="506" w:type="pct"/>
                  <w:tcBorders>
                    <w:top w:val="single" w:color="auto" w:sz="4" w:space="0"/>
                    <w:left w:val="nil"/>
                    <w:bottom w:val="single" w:color="auto" w:sz="4" w:space="0"/>
                    <w:right w:val="single" w:color="auto" w:sz="4" w:space="0"/>
                  </w:tcBorders>
                  <w:noWrap w:val="0"/>
                  <w:vAlign w:val="center"/>
                </w:tcPr>
                <w:p>
                  <w:pPr>
                    <w:jc w:val="center"/>
                    <w:rPr>
                      <w:color w:val="auto"/>
                      <w:szCs w:val="21"/>
                      <w:highlight w:val="none"/>
                    </w:rPr>
                  </w:pPr>
                  <w:r>
                    <w:rPr>
                      <w:color w:val="auto"/>
                      <w:szCs w:val="21"/>
                      <w:highlight w:val="none"/>
                    </w:rPr>
                    <w:t>颗粒物</w:t>
                  </w:r>
                </w:p>
              </w:tc>
              <w:tc>
                <w:tcPr>
                  <w:tcW w:w="866"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3.9432t/a</w:t>
                  </w:r>
                </w:p>
              </w:tc>
              <w:tc>
                <w:tcPr>
                  <w:tcW w:w="1424" w:type="pct"/>
                  <w:tcBorders>
                    <w:top w:val="single" w:color="auto" w:sz="4" w:space="0"/>
                    <w:left w:val="nil"/>
                    <w:right w:val="single" w:color="auto" w:sz="4" w:space="0"/>
                  </w:tcBorders>
                  <w:noWrap w:val="0"/>
                  <w:vAlign w:val="center"/>
                </w:tcPr>
                <w:p>
                  <w:pPr>
                    <w:adjustRightInd w:val="0"/>
                    <w:snapToGrid w:val="0"/>
                    <w:jc w:val="center"/>
                    <w:rPr>
                      <w:rFonts w:hint="eastAsia" w:eastAsia="宋体"/>
                      <w:color w:val="auto"/>
                      <w:kern w:val="0"/>
                      <w:szCs w:val="21"/>
                      <w:highlight w:val="none"/>
                      <w:lang w:eastAsia="zh-CN"/>
                    </w:rPr>
                  </w:pPr>
                  <w:r>
                    <w:rPr>
                      <w:rFonts w:hint="default" w:ascii="Times New Roman" w:hAnsi="Times New Roman" w:eastAsia="宋体" w:cs="Times New Roman"/>
                      <w:snapToGrid w:val="0"/>
                      <w:color w:val="auto"/>
                      <w:kern w:val="0"/>
                      <w:sz w:val="21"/>
                      <w:szCs w:val="21"/>
                      <w:highlight w:val="none"/>
                    </w:rPr>
                    <w:t>脉冲布袋除尘器、封闭搅拌楼</w:t>
                  </w:r>
                  <w:r>
                    <w:rPr>
                      <w:rFonts w:hint="eastAsia" w:ascii="Times New Roman" w:hAnsi="Times New Roman"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喷淋措施</w:t>
                  </w:r>
                  <w:r>
                    <w:rPr>
                      <w:rFonts w:hint="eastAsia" w:ascii="Times New Roman" w:hAnsi="Times New Roman" w:eastAsia="宋体" w:cs="Times New Roman"/>
                      <w:snapToGrid w:val="0"/>
                      <w:color w:val="auto"/>
                      <w:kern w:val="0"/>
                      <w:sz w:val="21"/>
                      <w:szCs w:val="21"/>
                      <w:highlight w:val="none"/>
                      <w:lang w:eastAsia="zh-CN"/>
                    </w:rPr>
                    <w:t>等</w:t>
                  </w:r>
                </w:p>
              </w:tc>
              <w:tc>
                <w:tcPr>
                  <w:tcW w:w="1223" w:type="pct"/>
                  <w:tcBorders>
                    <w:top w:val="single" w:color="auto" w:sz="4" w:space="0"/>
                    <w:left w:val="nil"/>
                    <w:right w:val="single" w:color="auto" w:sz="4" w:space="0"/>
                  </w:tcBorders>
                  <w:noWrap w:val="0"/>
                  <w:vAlign w:val="center"/>
                </w:tcPr>
                <w:p>
                  <w:pPr>
                    <w:adjustRightInd w:val="0"/>
                    <w:snapToGrid w:val="0"/>
                    <w:jc w:val="left"/>
                    <w:rPr>
                      <w:color w:val="auto"/>
                      <w:szCs w:val="21"/>
                      <w:highlight w:val="none"/>
                    </w:rPr>
                  </w:pPr>
                  <w:r>
                    <w:rPr>
                      <w:color w:val="auto"/>
                      <w:szCs w:val="21"/>
                      <w:highlight w:val="none"/>
                    </w:rPr>
                    <w:t>《水泥工业大气污染物排放标准》（GB4915-2013）表3大气污染物无组织排放标准</w:t>
                  </w:r>
                </w:p>
              </w:tc>
            </w:tr>
            <w:bookmarkEnd w:id="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44" w:type="pct"/>
                  <w:vMerge w:val="continue"/>
                  <w:tcBorders>
                    <w:top w:val="nil"/>
                    <w:left w:val="single" w:color="auto" w:sz="4" w:space="0"/>
                    <w:bottom w:val="single" w:color="auto" w:sz="4" w:space="0"/>
                    <w:right w:val="single" w:color="auto" w:sz="4" w:space="0"/>
                  </w:tcBorders>
                  <w:noWrap w:val="0"/>
                  <w:vAlign w:val="center"/>
                </w:tcPr>
                <w:p>
                  <w:pPr>
                    <w:rPr>
                      <w:color w:val="auto"/>
                      <w:szCs w:val="21"/>
                      <w:highlight w:val="none"/>
                    </w:rPr>
                  </w:pPr>
                </w:p>
              </w:tc>
              <w:tc>
                <w:tcPr>
                  <w:tcW w:w="635" w:type="pct"/>
                  <w:tcBorders>
                    <w:top w:val="single" w:color="auto" w:sz="4" w:space="0"/>
                    <w:left w:val="nil"/>
                    <w:bottom w:val="single" w:color="auto" w:sz="4" w:space="0"/>
                    <w:right w:val="single" w:color="auto" w:sz="4" w:space="0"/>
                  </w:tcBorders>
                  <w:noWrap w:val="0"/>
                  <w:vAlign w:val="center"/>
                </w:tcPr>
                <w:p>
                  <w:pPr>
                    <w:jc w:val="center"/>
                    <w:rPr>
                      <w:color w:val="auto"/>
                      <w:szCs w:val="21"/>
                      <w:highlight w:val="none"/>
                    </w:rPr>
                  </w:pPr>
                  <w:r>
                    <w:rPr>
                      <w:color w:val="auto"/>
                      <w:szCs w:val="21"/>
                      <w:highlight w:val="none"/>
                    </w:rPr>
                    <w:t>食堂</w:t>
                  </w:r>
                </w:p>
              </w:tc>
              <w:tc>
                <w:tcPr>
                  <w:tcW w:w="506" w:type="pct"/>
                  <w:tcBorders>
                    <w:top w:val="single" w:color="auto" w:sz="4" w:space="0"/>
                    <w:left w:val="nil"/>
                    <w:bottom w:val="single" w:color="auto" w:sz="4" w:space="0"/>
                    <w:right w:val="single" w:color="auto" w:sz="4" w:space="0"/>
                  </w:tcBorders>
                  <w:noWrap w:val="0"/>
                  <w:vAlign w:val="center"/>
                </w:tcPr>
                <w:p>
                  <w:pPr>
                    <w:jc w:val="center"/>
                    <w:rPr>
                      <w:color w:val="auto"/>
                      <w:szCs w:val="21"/>
                      <w:highlight w:val="none"/>
                    </w:rPr>
                  </w:pPr>
                  <w:r>
                    <w:rPr>
                      <w:color w:val="auto"/>
                      <w:szCs w:val="21"/>
                      <w:highlight w:val="none"/>
                    </w:rPr>
                    <w:t>油烟</w:t>
                  </w:r>
                </w:p>
              </w:tc>
              <w:tc>
                <w:tcPr>
                  <w:tcW w:w="866"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0.0027</w:t>
                  </w:r>
                  <w:r>
                    <w:rPr>
                      <w:rFonts w:hint="eastAsia"/>
                      <w:color w:val="auto"/>
                      <w:szCs w:val="21"/>
                      <w:highlight w:val="none"/>
                      <w:lang w:val="en-US" w:eastAsia="zh-CN"/>
                    </w:rPr>
                    <w:t>t/a</w:t>
                  </w:r>
                </w:p>
              </w:tc>
              <w:tc>
                <w:tcPr>
                  <w:tcW w:w="1424" w:type="pct"/>
                  <w:tcBorders>
                    <w:top w:val="single" w:color="auto" w:sz="4" w:space="0"/>
                    <w:left w:val="nil"/>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油烟净化器</w:t>
                  </w:r>
                </w:p>
              </w:tc>
              <w:tc>
                <w:tcPr>
                  <w:tcW w:w="1223" w:type="pct"/>
                  <w:tcBorders>
                    <w:left w:val="nil"/>
                    <w:right w:val="single" w:color="auto" w:sz="4" w:space="0"/>
                  </w:tcBorders>
                  <w:noWrap w:val="0"/>
                  <w:vAlign w:val="center"/>
                </w:tcPr>
                <w:p>
                  <w:pPr>
                    <w:jc w:val="left"/>
                    <w:rPr>
                      <w:color w:val="auto"/>
                      <w:szCs w:val="21"/>
                      <w:highlight w:val="none"/>
                    </w:rPr>
                  </w:pPr>
                  <w:r>
                    <w:rPr>
                      <w:color w:val="auto"/>
                      <w:spacing w:val="2"/>
                      <w:szCs w:val="21"/>
                      <w:highlight w:val="none"/>
                    </w:rPr>
                    <w:t>《饮食业油烟排放标准》（试行）（GB18483-2001）表2小型规模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44" w:type="pct"/>
                  <w:vMerge w:val="restart"/>
                  <w:tcBorders>
                    <w:top w:val="nil"/>
                    <w:left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水污染物</w:t>
                  </w:r>
                </w:p>
              </w:tc>
              <w:tc>
                <w:tcPr>
                  <w:tcW w:w="635" w:type="pct"/>
                  <w:tcBorders>
                    <w:top w:val="nil"/>
                    <w:left w:val="nil"/>
                    <w:bottom w:val="single" w:color="auto" w:sz="4" w:space="0"/>
                    <w:right w:val="single" w:color="auto" w:sz="4" w:space="0"/>
                  </w:tcBorders>
                  <w:noWrap w:val="0"/>
                  <w:vAlign w:val="center"/>
                </w:tcPr>
                <w:p>
                  <w:pPr>
                    <w:adjustRightInd w:val="0"/>
                    <w:snapToGrid w:val="0"/>
                    <w:jc w:val="center"/>
                    <w:rPr>
                      <w:color w:val="auto"/>
                      <w:szCs w:val="21"/>
                      <w:highlight w:val="none"/>
                    </w:rPr>
                  </w:pPr>
                  <w:r>
                    <w:rPr>
                      <w:rFonts w:hint="eastAsia"/>
                      <w:color w:val="auto"/>
                      <w:szCs w:val="21"/>
                      <w:highlight w:val="none"/>
                    </w:rPr>
                    <w:t>生活污水</w:t>
                  </w:r>
                </w:p>
              </w:tc>
              <w:tc>
                <w:tcPr>
                  <w:tcW w:w="506" w:type="pct"/>
                  <w:tcBorders>
                    <w:top w:val="single" w:color="auto" w:sz="4" w:space="0"/>
                    <w:left w:val="nil"/>
                    <w:bottom w:val="single" w:color="auto" w:sz="4" w:space="0"/>
                    <w:right w:val="single" w:color="auto" w:sz="4" w:space="0"/>
                  </w:tcBorders>
                  <w:noWrap w:val="0"/>
                  <w:vAlign w:val="center"/>
                </w:tcPr>
                <w:p>
                  <w:pPr>
                    <w:adjustRightInd w:val="0"/>
                    <w:snapToGrid w:val="0"/>
                    <w:jc w:val="center"/>
                    <w:rPr>
                      <w:color w:val="auto"/>
                      <w:szCs w:val="21"/>
                      <w:highlight w:val="none"/>
                    </w:rPr>
                  </w:pPr>
                  <w:r>
                    <w:rPr>
                      <w:rFonts w:hint="eastAsia"/>
                      <w:color w:val="auto"/>
                      <w:szCs w:val="21"/>
                      <w:highlight w:val="none"/>
                      <w:lang w:val="en-US" w:eastAsia="zh-CN"/>
                    </w:rPr>
                    <w:t>COD、BOD</w:t>
                  </w:r>
                  <w:r>
                    <w:rPr>
                      <w:rFonts w:hint="eastAsia"/>
                      <w:color w:val="auto"/>
                      <w:szCs w:val="21"/>
                      <w:highlight w:val="none"/>
                      <w:vertAlign w:val="subscript"/>
                      <w:lang w:val="en-US" w:eastAsia="zh-CN"/>
                    </w:rPr>
                    <w:t>5</w:t>
                  </w:r>
                  <w:r>
                    <w:rPr>
                      <w:rFonts w:hint="eastAsia"/>
                      <w:color w:val="auto"/>
                      <w:szCs w:val="21"/>
                      <w:highlight w:val="none"/>
                      <w:lang w:val="en-US" w:eastAsia="zh-CN"/>
                    </w:rPr>
                    <w:t>、SS和NH</w:t>
                  </w:r>
                  <w:r>
                    <w:rPr>
                      <w:rFonts w:hint="eastAsia"/>
                      <w:color w:val="auto"/>
                      <w:szCs w:val="21"/>
                      <w:highlight w:val="none"/>
                      <w:vertAlign w:val="subscript"/>
                      <w:lang w:val="en-US" w:eastAsia="zh-CN"/>
                    </w:rPr>
                    <w:t>3</w:t>
                  </w:r>
                  <w:r>
                    <w:rPr>
                      <w:rFonts w:hint="eastAsia"/>
                      <w:color w:val="auto"/>
                      <w:szCs w:val="21"/>
                      <w:highlight w:val="none"/>
                      <w:lang w:val="en-US" w:eastAsia="zh-CN"/>
                    </w:rPr>
                    <w:t>-N等</w:t>
                  </w:r>
                </w:p>
              </w:tc>
              <w:tc>
                <w:tcPr>
                  <w:tcW w:w="866" w:type="pct"/>
                  <w:tcBorders>
                    <w:top w:val="single" w:color="auto" w:sz="4" w:space="0"/>
                    <w:left w:val="nil"/>
                    <w:bottom w:val="single" w:color="auto" w:sz="4" w:space="0"/>
                    <w:right w:val="single" w:color="auto" w:sz="4" w:space="0"/>
                  </w:tcBorders>
                  <w:noWrap w:val="0"/>
                  <w:vAlign w:val="center"/>
                </w:tcPr>
                <w:p>
                  <w:pPr>
                    <w:jc w:val="center"/>
                    <w:rPr>
                      <w:color w:val="auto"/>
                      <w:szCs w:val="21"/>
                      <w:highlight w:val="none"/>
                    </w:rPr>
                  </w:pPr>
                  <w:r>
                    <w:rPr>
                      <w:rFonts w:hint="eastAsia"/>
                      <w:color w:val="auto"/>
                      <w:szCs w:val="21"/>
                      <w:highlight w:val="none"/>
                      <w:lang w:val="en-US" w:eastAsia="zh-CN"/>
                    </w:rPr>
                    <w:t>0</w:t>
                  </w:r>
                  <w:r>
                    <w:rPr>
                      <w:color w:val="auto"/>
                      <w:szCs w:val="21"/>
                      <w:highlight w:val="none"/>
                    </w:rPr>
                    <w:t>t/a</w:t>
                  </w:r>
                </w:p>
              </w:tc>
              <w:tc>
                <w:tcPr>
                  <w:tcW w:w="1424" w:type="pct"/>
                  <w:tcBorders>
                    <w:top w:val="nil"/>
                    <w:left w:val="nil"/>
                    <w:bottom w:val="single" w:color="auto" w:sz="4" w:space="0"/>
                    <w:right w:val="single" w:color="auto" w:sz="4" w:space="0"/>
                  </w:tcBorders>
                  <w:noWrap w:val="0"/>
                  <w:vAlign w:val="center"/>
                </w:tcPr>
                <w:p>
                  <w:pPr>
                    <w:adjustRightInd w:val="0"/>
                    <w:snapToGrid w:val="0"/>
                    <w:jc w:val="center"/>
                    <w:rPr>
                      <w:color w:val="auto"/>
                      <w:szCs w:val="21"/>
                      <w:highlight w:val="none"/>
                    </w:rPr>
                  </w:pPr>
                  <w:r>
                    <w:rPr>
                      <w:rFonts w:hint="eastAsia"/>
                      <w:color w:val="auto"/>
                      <w:szCs w:val="21"/>
                      <w:highlight w:val="none"/>
                      <w:lang w:eastAsia="zh-CN"/>
                    </w:rPr>
                    <w:t>油水分离器、</w:t>
                  </w:r>
                  <w:r>
                    <w:rPr>
                      <w:color w:val="auto"/>
                      <w:szCs w:val="21"/>
                      <w:highlight w:val="none"/>
                    </w:rPr>
                    <w:t>化粪池</w:t>
                  </w:r>
                </w:p>
              </w:tc>
              <w:tc>
                <w:tcPr>
                  <w:tcW w:w="1223" w:type="pct"/>
                  <w:tcBorders>
                    <w:top w:val="nil"/>
                    <w:left w:val="nil"/>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定期清掏、农用，不外排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44" w:type="pct"/>
                  <w:vMerge w:val="continue"/>
                  <w:tcBorders>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p>
              </w:tc>
              <w:tc>
                <w:tcPr>
                  <w:tcW w:w="635" w:type="pct"/>
                  <w:tcBorders>
                    <w:top w:val="nil"/>
                    <w:left w:val="nil"/>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生产废水</w:t>
                  </w:r>
                </w:p>
              </w:tc>
              <w:tc>
                <w:tcPr>
                  <w:tcW w:w="506" w:type="pct"/>
                  <w:tcBorders>
                    <w:top w:val="single" w:color="auto" w:sz="4" w:space="0"/>
                    <w:left w:val="nil"/>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SS</w:t>
                  </w:r>
                </w:p>
              </w:tc>
              <w:tc>
                <w:tcPr>
                  <w:tcW w:w="866" w:type="pct"/>
                  <w:tcBorders>
                    <w:top w:val="single" w:color="auto" w:sz="4" w:space="0"/>
                    <w:left w:val="nil"/>
                    <w:bottom w:val="single" w:color="auto" w:sz="4" w:space="0"/>
                    <w:right w:val="single" w:color="auto" w:sz="4" w:space="0"/>
                  </w:tcBorders>
                  <w:noWrap w:val="0"/>
                  <w:vAlign w:val="center"/>
                </w:tcPr>
                <w:p>
                  <w:pPr>
                    <w:jc w:val="center"/>
                    <w:rPr>
                      <w:color w:val="auto"/>
                      <w:szCs w:val="21"/>
                      <w:highlight w:val="none"/>
                    </w:rPr>
                  </w:pPr>
                  <w:r>
                    <w:rPr>
                      <w:color w:val="auto"/>
                      <w:szCs w:val="21"/>
                      <w:highlight w:val="none"/>
                    </w:rPr>
                    <w:t>0t/a</w:t>
                  </w:r>
                </w:p>
              </w:tc>
              <w:tc>
                <w:tcPr>
                  <w:tcW w:w="1424" w:type="pct"/>
                  <w:tcBorders>
                    <w:top w:val="nil"/>
                    <w:left w:val="nil"/>
                    <w:bottom w:val="single" w:color="auto" w:sz="4" w:space="0"/>
                    <w:right w:val="single" w:color="auto" w:sz="4" w:space="0"/>
                  </w:tcBorders>
                  <w:noWrap w:val="0"/>
                  <w:vAlign w:val="center"/>
                </w:tcPr>
                <w:p>
                  <w:pPr>
                    <w:adjustRightInd w:val="0"/>
                    <w:snapToGrid w:val="0"/>
                    <w:jc w:val="center"/>
                    <w:rPr>
                      <w:color w:val="auto"/>
                      <w:szCs w:val="21"/>
                      <w:highlight w:val="none"/>
                    </w:rPr>
                  </w:pPr>
                  <w:r>
                    <w:rPr>
                      <w:rFonts w:hint="eastAsia"/>
                      <w:color w:val="auto"/>
                      <w:szCs w:val="21"/>
                      <w:highlight w:val="none"/>
                      <w:lang w:eastAsia="zh-CN"/>
                    </w:rPr>
                    <w:t>压滤机</w:t>
                  </w:r>
                  <w:r>
                    <w:rPr>
                      <w:rFonts w:hint="eastAsia"/>
                      <w:color w:val="auto"/>
                      <w:szCs w:val="21"/>
                      <w:highlight w:val="none"/>
                      <w:lang w:val="en-US" w:eastAsia="zh-CN"/>
                    </w:rPr>
                    <w:t>+</w:t>
                  </w:r>
                  <w:r>
                    <w:rPr>
                      <w:color w:val="auto"/>
                      <w:szCs w:val="21"/>
                      <w:highlight w:val="none"/>
                    </w:rPr>
                    <w:t>砂石分离机</w:t>
                  </w:r>
                  <w:r>
                    <w:rPr>
                      <w:rFonts w:hint="eastAsia"/>
                      <w:color w:val="auto"/>
                      <w:szCs w:val="21"/>
                      <w:highlight w:val="none"/>
                    </w:rPr>
                    <w:t>+</w:t>
                  </w:r>
                  <w:r>
                    <w:rPr>
                      <w:color w:val="auto"/>
                      <w:szCs w:val="21"/>
                      <w:highlight w:val="none"/>
                    </w:rPr>
                    <w:t>沉淀池处理</w:t>
                  </w:r>
                </w:p>
              </w:tc>
              <w:tc>
                <w:tcPr>
                  <w:tcW w:w="1223" w:type="pct"/>
                  <w:tcBorders>
                    <w:top w:val="nil"/>
                    <w:left w:val="nil"/>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回用于搅拌生产、车辆冲洗、厂区抑尘等，不外排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44" w:type="pct"/>
                  <w:vMerge w:val="restart"/>
                  <w:tcBorders>
                    <w:top w:val="nil"/>
                    <w:left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固体废弃物</w:t>
                  </w:r>
                </w:p>
              </w:tc>
              <w:tc>
                <w:tcPr>
                  <w:tcW w:w="635" w:type="pct"/>
                  <w:vMerge w:val="restart"/>
                  <w:tcBorders>
                    <w:top w:val="nil"/>
                    <w:left w:val="nil"/>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一般固废</w:t>
                  </w:r>
                </w:p>
              </w:tc>
              <w:tc>
                <w:tcPr>
                  <w:tcW w:w="506" w:type="pct"/>
                  <w:tcBorders>
                    <w:top w:val="single" w:color="auto" w:sz="4" w:space="0"/>
                    <w:left w:val="nil"/>
                    <w:bottom w:val="single" w:color="auto" w:sz="4" w:space="0"/>
                    <w:right w:val="single" w:color="auto" w:sz="4" w:space="0"/>
                  </w:tcBorders>
                  <w:noWrap w:val="0"/>
                  <w:vAlign w:val="center"/>
                </w:tcPr>
                <w:p>
                  <w:pPr>
                    <w:adjustRightInd w:val="0"/>
                    <w:snapToGrid w:val="0"/>
                    <w:jc w:val="center"/>
                    <w:rPr>
                      <w:color w:val="auto"/>
                      <w:kern w:val="0"/>
                      <w:szCs w:val="21"/>
                      <w:highlight w:val="none"/>
                    </w:rPr>
                  </w:pPr>
                  <w:r>
                    <w:rPr>
                      <w:color w:val="auto"/>
                      <w:kern w:val="0"/>
                      <w:szCs w:val="21"/>
                      <w:highlight w:val="none"/>
                    </w:rPr>
                    <w:t>员工生活垃圾</w:t>
                  </w:r>
                </w:p>
              </w:tc>
              <w:tc>
                <w:tcPr>
                  <w:tcW w:w="866" w:type="pct"/>
                  <w:tcBorders>
                    <w:top w:val="single" w:color="auto" w:sz="4" w:space="0"/>
                    <w:left w:val="nil"/>
                    <w:bottom w:val="single" w:color="auto" w:sz="4" w:space="0"/>
                    <w:right w:val="single" w:color="auto" w:sz="4" w:space="0"/>
                  </w:tcBorders>
                  <w:noWrap w:val="0"/>
                  <w:vAlign w:val="center"/>
                </w:tcPr>
                <w:p>
                  <w:pPr>
                    <w:jc w:val="center"/>
                    <w:rPr>
                      <w:color w:val="auto"/>
                      <w:szCs w:val="21"/>
                      <w:highlight w:val="none"/>
                    </w:rPr>
                  </w:pPr>
                  <w:r>
                    <w:rPr>
                      <w:rFonts w:hint="eastAsia"/>
                      <w:color w:val="auto"/>
                      <w:szCs w:val="21"/>
                      <w:highlight w:val="none"/>
                      <w:lang w:val="en-US" w:eastAsia="zh-CN"/>
                    </w:rPr>
                    <w:t>0.153t/a</w:t>
                  </w:r>
                </w:p>
              </w:tc>
              <w:tc>
                <w:tcPr>
                  <w:tcW w:w="1424" w:type="pct"/>
                  <w:tcBorders>
                    <w:top w:val="single" w:color="auto" w:sz="4" w:space="0"/>
                    <w:left w:val="nil"/>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由环卫部门统一清运</w:t>
                  </w:r>
                </w:p>
              </w:tc>
              <w:tc>
                <w:tcPr>
                  <w:tcW w:w="1223" w:type="pct"/>
                  <w:tcBorders>
                    <w:top w:val="single" w:color="auto" w:sz="4" w:space="0"/>
                    <w:left w:val="nil"/>
                    <w:right w:val="single" w:color="auto" w:sz="4" w:space="0"/>
                  </w:tcBorders>
                  <w:noWrap w:val="0"/>
                  <w:vAlign w:val="center"/>
                </w:tcPr>
                <w:p>
                  <w:pPr>
                    <w:adjustRightInd w:val="0"/>
                    <w:snapToGrid w:val="0"/>
                    <w:jc w:val="center"/>
                    <w:rPr>
                      <w:color w:val="auto"/>
                      <w:szCs w:val="21"/>
                      <w:highlight w:val="none"/>
                    </w:rPr>
                  </w:pPr>
                  <w:r>
                    <w:rPr>
                      <w:color w:val="auto"/>
                      <w:kern w:val="0"/>
                      <w:szCs w:val="21"/>
                      <w:highlight w:val="none"/>
                    </w:rPr>
                    <w:t>合理处置率100%，不产生二次污染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44" w:type="pct"/>
                  <w:vMerge w:val="continue"/>
                  <w:tcBorders>
                    <w:left w:val="single" w:color="auto" w:sz="4" w:space="0"/>
                    <w:right w:val="single" w:color="auto" w:sz="4" w:space="0"/>
                  </w:tcBorders>
                  <w:noWrap w:val="0"/>
                  <w:vAlign w:val="center"/>
                </w:tcPr>
                <w:p>
                  <w:pPr>
                    <w:rPr>
                      <w:color w:val="auto"/>
                      <w:szCs w:val="21"/>
                      <w:highlight w:val="none"/>
                    </w:rPr>
                  </w:pPr>
                </w:p>
              </w:tc>
              <w:tc>
                <w:tcPr>
                  <w:tcW w:w="635" w:type="pct"/>
                  <w:vMerge w:val="continue"/>
                  <w:tcBorders>
                    <w:left w:val="nil"/>
                    <w:right w:val="single" w:color="auto" w:sz="4" w:space="0"/>
                  </w:tcBorders>
                  <w:noWrap w:val="0"/>
                  <w:vAlign w:val="center"/>
                </w:tcPr>
                <w:p>
                  <w:pPr>
                    <w:rPr>
                      <w:color w:val="auto"/>
                      <w:szCs w:val="21"/>
                      <w:highlight w:val="none"/>
                    </w:rPr>
                  </w:pPr>
                </w:p>
              </w:tc>
              <w:tc>
                <w:tcPr>
                  <w:tcW w:w="506" w:type="pct"/>
                  <w:tcBorders>
                    <w:top w:val="single" w:color="auto" w:sz="4" w:space="0"/>
                    <w:left w:val="nil"/>
                    <w:bottom w:val="single" w:color="auto" w:sz="4" w:space="0"/>
                    <w:right w:val="single" w:color="auto" w:sz="4" w:space="0"/>
                  </w:tcBorders>
                  <w:noWrap w:val="0"/>
                  <w:vAlign w:val="center"/>
                </w:tcPr>
                <w:p>
                  <w:pPr>
                    <w:adjustRightInd w:val="0"/>
                    <w:snapToGrid w:val="0"/>
                    <w:jc w:val="center"/>
                    <w:rPr>
                      <w:color w:val="auto"/>
                      <w:kern w:val="0"/>
                      <w:szCs w:val="21"/>
                      <w:highlight w:val="none"/>
                    </w:rPr>
                  </w:pPr>
                  <w:r>
                    <w:rPr>
                      <w:rFonts w:hint="eastAsia" w:cs="Times New Roman"/>
                      <w:color w:val="auto"/>
                      <w:szCs w:val="21"/>
                      <w:highlight w:val="none"/>
                      <w:lang w:val="en-US" w:eastAsia="zh-CN"/>
                    </w:rPr>
                    <w:t>沉淀池沉砂</w:t>
                  </w:r>
                </w:p>
              </w:tc>
              <w:tc>
                <w:tcPr>
                  <w:tcW w:w="866" w:type="pct"/>
                  <w:tcBorders>
                    <w:top w:val="single" w:color="auto" w:sz="4" w:space="0"/>
                    <w:left w:val="nil"/>
                    <w:bottom w:val="single" w:color="auto" w:sz="4" w:space="0"/>
                    <w:right w:val="single" w:color="auto" w:sz="4" w:space="0"/>
                  </w:tcBorders>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26.358</w:t>
                  </w:r>
                  <w:r>
                    <w:rPr>
                      <w:color w:val="auto"/>
                      <w:szCs w:val="21"/>
                      <w:highlight w:val="none"/>
                    </w:rPr>
                    <w:t>t/a</w:t>
                  </w:r>
                </w:p>
              </w:tc>
              <w:tc>
                <w:tcPr>
                  <w:tcW w:w="1424" w:type="pct"/>
                  <w:tcBorders>
                    <w:top w:val="single" w:color="auto" w:sz="4" w:space="0"/>
                    <w:left w:val="nil"/>
                    <w:right w:val="single" w:color="auto" w:sz="4" w:space="0"/>
                  </w:tcBorders>
                  <w:noWrap w:val="0"/>
                  <w:vAlign w:val="center"/>
                </w:tcPr>
                <w:p>
                  <w:pPr>
                    <w:adjustRightInd w:val="0"/>
                    <w:snapToGrid w:val="0"/>
                    <w:jc w:val="center"/>
                    <w:rPr>
                      <w:color w:val="auto"/>
                      <w:szCs w:val="21"/>
                      <w:highlight w:val="none"/>
                    </w:rPr>
                  </w:pPr>
                  <w:r>
                    <w:rPr>
                      <w:rFonts w:hint="eastAsia" w:cs="Times New Roman"/>
                      <w:color w:val="auto"/>
                      <w:sz w:val="21"/>
                      <w:szCs w:val="21"/>
                      <w:highlight w:val="none"/>
                      <w:lang w:val="en-US" w:eastAsia="zh-CN"/>
                    </w:rPr>
                    <w:t>回用于生产</w:t>
                  </w:r>
                </w:p>
              </w:tc>
              <w:tc>
                <w:tcPr>
                  <w:tcW w:w="1223" w:type="pct"/>
                  <w:vMerge w:val="restart"/>
                  <w:tcBorders>
                    <w:left w:val="nil"/>
                    <w:right w:val="single" w:color="auto" w:sz="4" w:space="0"/>
                  </w:tcBorders>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w:t>
                  </w:r>
                </w:p>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44" w:type="pct"/>
                  <w:vMerge w:val="continue"/>
                  <w:tcBorders>
                    <w:left w:val="single" w:color="auto" w:sz="4" w:space="0"/>
                    <w:right w:val="single" w:color="auto" w:sz="4" w:space="0"/>
                  </w:tcBorders>
                  <w:noWrap w:val="0"/>
                  <w:vAlign w:val="center"/>
                </w:tcPr>
                <w:p>
                  <w:pPr>
                    <w:rPr>
                      <w:color w:val="auto"/>
                      <w:szCs w:val="21"/>
                      <w:highlight w:val="none"/>
                    </w:rPr>
                  </w:pPr>
                </w:p>
              </w:tc>
              <w:tc>
                <w:tcPr>
                  <w:tcW w:w="635" w:type="pct"/>
                  <w:vMerge w:val="continue"/>
                  <w:tcBorders>
                    <w:left w:val="nil"/>
                    <w:right w:val="single" w:color="auto" w:sz="4" w:space="0"/>
                  </w:tcBorders>
                  <w:noWrap w:val="0"/>
                  <w:vAlign w:val="center"/>
                </w:tcPr>
                <w:p>
                  <w:pPr>
                    <w:rPr>
                      <w:color w:val="auto"/>
                      <w:szCs w:val="21"/>
                      <w:highlight w:val="none"/>
                    </w:rPr>
                  </w:pPr>
                </w:p>
              </w:tc>
              <w:tc>
                <w:tcPr>
                  <w:tcW w:w="506" w:type="pct"/>
                  <w:tcBorders>
                    <w:top w:val="single" w:color="auto" w:sz="4" w:space="0"/>
                    <w:left w:val="nil"/>
                    <w:bottom w:val="single" w:color="auto" w:sz="4" w:space="0"/>
                    <w:right w:val="single" w:color="auto" w:sz="4" w:space="0"/>
                  </w:tcBorders>
                  <w:noWrap w:val="0"/>
                  <w:vAlign w:val="center"/>
                </w:tcPr>
                <w:p>
                  <w:pPr>
                    <w:adjustRightInd w:val="0"/>
                    <w:snapToGrid w:val="0"/>
                    <w:jc w:val="center"/>
                    <w:rPr>
                      <w:color w:val="auto"/>
                      <w:kern w:val="0"/>
                      <w:szCs w:val="21"/>
                      <w:highlight w:val="none"/>
                    </w:rPr>
                  </w:pPr>
                  <w:r>
                    <w:rPr>
                      <w:rFonts w:hint="eastAsia" w:cs="Times New Roman"/>
                      <w:color w:val="auto"/>
                      <w:szCs w:val="21"/>
                      <w:highlight w:val="none"/>
                      <w:lang w:val="en-US" w:eastAsia="zh-CN"/>
                    </w:rPr>
                    <w:t>除尘器收集粉尘</w:t>
                  </w:r>
                </w:p>
              </w:tc>
              <w:tc>
                <w:tcPr>
                  <w:tcW w:w="866" w:type="pct"/>
                  <w:tcBorders>
                    <w:top w:val="single" w:color="auto" w:sz="4" w:space="0"/>
                    <w:left w:val="nil"/>
                    <w:bottom w:val="single" w:color="auto" w:sz="4" w:space="0"/>
                    <w:right w:val="single" w:color="auto" w:sz="4" w:space="0"/>
                  </w:tcBorders>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89.7</w:t>
                  </w:r>
                  <w:r>
                    <w:rPr>
                      <w:color w:val="auto"/>
                      <w:szCs w:val="21"/>
                      <w:highlight w:val="none"/>
                    </w:rPr>
                    <w:t>t/a</w:t>
                  </w:r>
                </w:p>
              </w:tc>
              <w:tc>
                <w:tcPr>
                  <w:tcW w:w="1424" w:type="pct"/>
                  <w:tcBorders>
                    <w:left w:val="nil"/>
                    <w:right w:val="single" w:color="auto" w:sz="4" w:space="0"/>
                  </w:tcBorders>
                  <w:noWrap w:val="0"/>
                  <w:vAlign w:val="center"/>
                </w:tcPr>
                <w:p>
                  <w:pPr>
                    <w:adjustRightInd w:val="0"/>
                    <w:snapToGrid w:val="0"/>
                    <w:jc w:val="center"/>
                    <w:rPr>
                      <w:color w:val="auto"/>
                      <w:szCs w:val="21"/>
                      <w:highlight w:val="none"/>
                    </w:rPr>
                  </w:pPr>
                  <w:r>
                    <w:rPr>
                      <w:rFonts w:hint="eastAsia" w:cs="Times New Roman"/>
                      <w:color w:val="auto"/>
                      <w:sz w:val="21"/>
                      <w:szCs w:val="21"/>
                      <w:highlight w:val="none"/>
                      <w:lang w:val="en-US" w:eastAsia="zh-CN"/>
                    </w:rPr>
                    <w:t>回用于生产</w:t>
                  </w:r>
                </w:p>
              </w:tc>
              <w:tc>
                <w:tcPr>
                  <w:tcW w:w="1223" w:type="pct"/>
                  <w:vMerge w:val="continue"/>
                  <w:tcBorders>
                    <w:left w:val="nil"/>
                    <w:right w:val="single" w:color="auto" w:sz="4" w:space="0"/>
                  </w:tcBorders>
                  <w:noWrap w:val="0"/>
                  <w:vAlign w:val="center"/>
                </w:tcPr>
                <w:p>
                  <w:pP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34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噪声</w:t>
                  </w:r>
                </w:p>
              </w:tc>
              <w:tc>
                <w:tcPr>
                  <w:tcW w:w="4655" w:type="pct"/>
                  <w:gridSpan w:val="5"/>
                  <w:tcBorders>
                    <w:top w:val="single" w:color="auto" w:sz="4" w:space="0"/>
                    <w:left w:val="nil"/>
                    <w:bottom w:val="single" w:color="auto" w:sz="4" w:space="0"/>
                    <w:right w:val="single" w:color="auto" w:sz="4" w:space="0"/>
                  </w:tcBorders>
                  <w:noWrap w:val="0"/>
                  <w:vAlign w:val="center"/>
                </w:tcPr>
                <w:p>
                  <w:pPr>
                    <w:adjustRightInd w:val="0"/>
                    <w:snapToGrid w:val="0"/>
                    <w:jc w:val="left"/>
                    <w:rPr>
                      <w:color w:val="auto"/>
                      <w:szCs w:val="21"/>
                      <w:highlight w:val="none"/>
                    </w:rPr>
                  </w:pPr>
                  <w:r>
                    <w:rPr>
                      <w:color w:val="auto"/>
                      <w:szCs w:val="21"/>
                      <w:highlight w:val="none"/>
                    </w:rPr>
                    <w:t>运营期主要为生产过程中机械设备产生的噪声，经封闭隔声、消声、减震和距离衰减后厂界噪声可达到《工业企业厂界环境声排放标准》（GB12348-2008）中规定的2类</w:t>
                  </w:r>
                  <w:r>
                    <w:rPr>
                      <w:rFonts w:hint="eastAsia"/>
                      <w:color w:val="auto"/>
                      <w:szCs w:val="21"/>
                      <w:highlight w:val="none"/>
                      <w:lang w:eastAsia="zh-CN"/>
                    </w:rPr>
                    <w:t>和</w:t>
                  </w:r>
                  <w:r>
                    <w:rPr>
                      <w:rFonts w:hint="eastAsia"/>
                      <w:color w:val="auto"/>
                      <w:szCs w:val="21"/>
                      <w:highlight w:val="none"/>
                      <w:lang w:val="en-US" w:eastAsia="zh-CN"/>
                    </w:rPr>
                    <w:t>4类</w:t>
                  </w:r>
                  <w:r>
                    <w:rPr>
                      <w:color w:val="auto"/>
                      <w:szCs w:val="21"/>
                      <w:highlight w:val="none"/>
                    </w:rPr>
                    <w:t>标准限值要求。</w:t>
                  </w:r>
                </w:p>
              </w:tc>
            </w:tr>
          </w:tbl>
          <w:p>
            <w:pPr>
              <w:snapToGrid w:val="0"/>
              <w:spacing w:line="360" w:lineRule="auto"/>
              <w:ind w:firstLine="482" w:firstLineChars="200"/>
              <w:jc w:val="left"/>
              <w:rPr>
                <w:b/>
                <w:bCs/>
                <w:color w:val="auto"/>
                <w:sz w:val="24"/>
                <w:highlight w:val="none"/>
              </w:rPr>
            </w:pPr>
            <w:r>
              <w:rPr>
                <w:b/>
                <w:bCs/>
                <w:color w:val="auto"/>
                <w:sz w:val="24"/>
                <w:highlight w:val="none"/>
              </w:rPr>
              <w:t>5</w:t>
            </w:r>
            <w:r>
              <w:rPr>
                <w:rFonts w:hint="eastAsia"/>
                <w:b/>
                <w:bCs/>
                <w:color w:val="auto"/>
                <w:sz w:val="24"/>
                <w:highlight w:val="none"/>
              </w:rPr>
              <w:t>、原有项目污染物治理存在问题及改进措施</w:t>
            </w:r>
          </w:p>
          <w:p>
            <w:pPr>
              <w:snapToGrid w:val="0"/>
              <w:spacing w:line="360" w:lineRule="auto"/>
              <w:ind w:firstLine="480" w:firstLineChars="200"/>
              <w:rPr>
                <w:rFonts w:hint="eastAsia" w:eastAsia="宋体"/>
                <w:bCs/>
                <w:color w:val="auto"/>
                <w:sz w:val="24"/>
                <w:highlight w:val="none"/>
                <w:lang w:eastAsia="zh-CN"/>
              </w:rPr>
            </w:pPr>
            <w:r>
              <w:rPr>
                <w:rFonts w:hint="eastAsia"/>
                <w:bCs/>
                <w:color w:val="auto"/>
                <w:sz w:val="24"/>
                <w:highlight w:val="none"/>
              </w:rPr>
              <w:t>根据现场调查</w:t>
            </w:r>
            <w:r>
              <w:rPr>
                <w:rFonts w:hint="eastAsia"/>
                <w:bCs/>
                <w:color w:val="auto"/>
                <w:sz w:val="24"/>
                <w:highlight w:val="none"/>
                <w:lang w:eastAsia="zh-CN"/>
              </w:rPr>
              <w:t>及企业资料</w:t>
            </w:r>
            <w:r>
              <w:rPr>
                <w:rFonts w:hint="eastAsia"/>
                <w:bCs/>
                <w:color w:val="auto"/>
                <w:sz w:val="24"/>
                <w:highlight w:val="none"/>
              </w:rPr>
              <w:t>，公司原有项目环保手续完善，污染物治理设施正常运行，污染物达标排放，建厂运行以来未收到环保方面的投诉。</w:t>
            </w:r>
            <w:r>
              <w:rPr>
                <w:rFonts w:hint="eastAsia"/>
                <w:bCs/>
                <w:color w:val="auto"/>
                <w:sz w:val="24"/>
                <w:highlight w:val="none"/>
                <w:lang w:eastAsia="zh-CN"/>
              </w:rPr>
              <w:t>因此，原有项目污染物治理不存在问题，无需整改。</w:t>
            </w:r>
          </w:p>
          <w:p>
            <w:pPr>
              <w:snapToGrid w:val="0"/>
              <w:spacing w:line="360" w:lineRule="auto"/>
              <w:ind w:firstLine="480" w:firstLineChars="200"/>
              <w:rPr>
                <w:rFonts w:hint="eastAsia"/>
                <w:bCs/>
                <w:color w:val="auto"/>
                <w:sz w:val="24"/>
                <w:highlight w:val="none"/>
              </w:rPr>
            </w:pPr>
          </w:p>
          <w:p>
            <w:pPr>
              <w:snapToGrid w:val="0"/>
              <w:spacing w:line="360" w:lineRule="auto"/>
              <w:ind w:firstLine="480" w:firstLineChars="200"/>
              <w:rPr>
                <w:rFonts w:hint="eastAsia"/>
                <w:bCs/>
                <w:color w:val="auto"/>
                <w:sz w:val="24"/>
                <w:highlight w:val="none"/>
              </w:rPr>
            </w:pPr>
          </w:p>
          <w:p>
            <w:pPr>
              <w:snapToGrid w:val="0"/>
              <w:spacing w:line="360" w:lineRule="auto"/>
              <w:ind w:firstLine="480" w:firstLineChars="200"/>
              <w:rPr>
                <w:rFonts w:hint="eastAsia"/>
                <w:bCs/>
                <w:color w:val="auto"/>
                <w:sz w:val="24"/>
                <w:highlight w:val="none"/>
              </w:rPr>
            </w:pPr>
          </w:p>
          <w:p>
            <w:pPr>
              <w:snapToGrid w:val="0"/>
              <w:spacing w:line="360" w:lineRule="auto"/>
              <w:ind w:firstLine="480" w:firstLineChars="200"/>
              <w:rPr>
                <w:rFonts w:hint="eastAsia"/>
                <w:bCs/>
                <w:color w:val="auto"/>
                <w:sz w:val="24"/>
                <w:highlight w:val="none"/>
              </w:rPr>
            </w:pPr>
          </w:p>
          <w:p>
            <w:pPr>
              <w:snapToGrid w:val="0"/>
              <w:spacing w:line="360" w:lineRule="auto"/>
              <w:ind w:firstLine="480" w:firstLineChars="200"/>
              <w:rPr>
                <w:rFonts w:hint="eastAsia"/>
                <w:bCs/>
                <w:color w:val="auto"/>
                <w:sz w:val="24"/>
                <w:highlight w:val="none"/>
              </w:rPr>
            </w:pPr>
          </w:p>
          <w:p>
            <w:pPr>
              <w:pStyle w:val="2"/>
              <w:rPr>
                <w:rFonts w:hint="eastAsia"/>
                <w:bCs/>
                <w:color w:val="auto"/>
                <w:sz w:val="24"/>
                <w:highlight w:val="none"/>
              </w:rPr>
            </w:pPr>
          </w:p>
          <w:p>
            <w:pPr>
              <w:rPr>
                <w:rFonts w:hint="eastAsia"/>
                <w:bCs/>
                <w:color w:val="auto"/>
                <w:sz w:val="24"/>
                <w:highlight w:val="none"/>
              </w:rPr>
            </w:pPr>
          </w:p>
          <w:p>
            <w:pPr>
              <w:pStyle w:val="2"/>
              <w:rPr>
                <w:rFonts w:hint="eastAsia"/>
                <w:bCs/>
                <w:color w:val="auto"/>
                <w:sz w:val="24"/>
                <w:highlight w:val="none"/>
              </w:rPr>
            </w:pPr>
          </w:p>
          <w:p>
            <w:pPr>
              <w:rPr>
                <w:rFonts w:hint="eastAsia"/>
                <w:bCs/>
                <w:color w:val="auto"/>
                <w:sz w:val="24"/>
                <w:highlight w:val="none"/>
              </w:rPr>
            </w:pPr>
          </w:p>
          <w:p>
            <w:pPr>
              <w:pStyle w:val="2"/>
              <w:rPr>
                <w:rFonts w:hint="eastAsia"/>
                <w:bCs/>
                <w:color w:val="auto"/>
                <w:sz w:val="24"/>
                <w:highlight w:val="none"/>
              </w:rPr>
            </w:pPr>
          </w:p>
          <w:p>
            <w:pPr>
              <w:rPr>
                <w:rFonts w:hint="eastAsia"/>
                <w:bCs/>
                <w:color w:val="auto"/>
                <w:sz w:val="24"/>
                <w:highlight w:val="none"/>
              </w:rPr>
            </w:pPr>
          </w:p>
          <w:p>
            <w:pPr>
              <w:pStyle w:val="2"/>
              <w:rPr>
                <w:rFonts w:hint="eastAsia"/>
                <w:bCs/>
                <w:color w:val="auto"/>
                <w:sz w:val="24"/>
                <w:highlight w:val="none"/>
              </w:rPr>
            </w:pPr>
          </w:p>
          <w:p>
            <w:pPr>
              <w:rPr>
                <w:rFonts w:hint="eastAsia"/>
                <w:bCs/>
                <w:color w:val="auto"/>
                <w:sz w:val="24"/>
                <w:highlight w:val="none"/>
              </w:rPr>
            </w:pPr>
          </w:p>
          <w:p>
            <w:pPr>
              <w:pStyle w:val="2"/>
              <w:rPr>
                <w:rFonts w:hint="eastAsia"/>
                <w:bCs/>
                <w:color w:val="auto"/>
                <w:sz w:val="24"/>
                <w:highlight w:val="none"/>
              </w:rPr>
            </w:pPr>
          </w:p>
          <w:p>
            <w:pPr>
              <w:rPr>
                <w:rFonts w:hint="eastAsia"/>
                <w:bCs/>
                <w:color w:val="auto"/>
                <w:sz w:val="24"/>
                <w:highlight w:val="none"/>
              </w:rPr>
            </w:pPr>
          </w:p>
          <w:p>
            <w:pPr>
              <w:pStyle w:val="2"/>
              <w:rPr>
                <w:rFonts w:hint="eastAsia"/>
                <w:bCs/>
                <w:color w:val="auto"/>
                <w:sz w:val="24"/>
                <w:highlight w:val="none"/>
              </w:rPr>
            </w:pPr>
          </w:p>
          <w:p>
            <w:pPr>
              <w:rPr>
                <w:rFonts w:hint="eastAsia"/>
                <w:bCs/>
                <w:color w:val="auto"/>
                <w:sz w:val="24"/>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ind w:left="0" w:leftChars="0" w:firstLine="0" w:firstLineChars="0"/>
              <w:rPr>
                <w:rFonts w:hint="eastAsia"/>
                <w:color w:val="auto"/>
                <w:highlight w:val="none"/>
              </w:rPr>
            </w:pPr>
          </w:p>
          <w:p>
            <w:pPr>
              <w:pStyle w:val="2"/>
              <w:ind w:left="0" w:leftChars="0" w:firstLine="0" w:firstLineChars="0"/>
              <w:rPr>
                <w:rFonts w:hint="eastAsia"/>
                <w:color w:val="auto"/>
                <w:highlight w:val="none"/>
              </w:rPr>
            </w:pPr>
          </w:p>
          <w:p>
            <w:pPr>
              <w:snapToGrid w:val="0"/>
              <w:spacing w:line="360" w:lineRule="auto"/>
              <w:ind w:firstLine="480" w:firstLineChars="200"/>
              <w:rPr>
                <w:rFonts w:hint="eastAsia"/>
                <w:bCs/>
                <w:color w:val="auto"/>
                <w:sz w:val="24"/>
                <w:highlight w:val="none"/>
              </w:rPr>
            </w:pPr>
          </w:p>
          <w:p>
            <w:pPr>
              <w:snapToGrid w:val="0"/>
              <w:spacing w:line="360" w:lineRule="auto"/>
              <w:rPr>
                <w:rFonts w:hint="default" w:ascii="Times New Roman" w:hAnsi="Times New Roman" w:cs="Times New Roman"/>
                <w:color w:val="auto"/>
                <w:sz w:val="24"/>
                <w:szCs w:val="24"/>
                <w:highlight w:val="none"/>
                <w:lang w:val="en-US" w:eastAsia="zh-CN"/>
              </w:rPr>
            </w:pPr>
          </w:p>
        </w:tc>
      </w:tr>
    </w:tbl>
    <w:p>
      <w:pPr>
        <w:pStyle w:val="25"/>
        <w:jc w:val="center"/>
        <w:rPr>
          <w:rFonts w:hint="default" w:ascii="Times New Roman" w:hAnsi="Times New Roman" w:eastAsia="黑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15" w:lineRule="auto"/>
        <w:jc w:val="center"/>
        <w:textAlignment w:val="auto"/>
        <w:outlineLvl w:val="9"/>
        <w:rPr>
          <w:rFonts w:hint="default" w:ascii="Times New Roman" w:hAnsi="Times New Roman" w:eastAsia="黑体" w:cs="Times New Roman"/>
          <w:snapToGrid w:val="0"/>
          <w:color w:val="auto"/>
          <w:sz w:val="30"/>
          <w:szCs w:val="30"/>
          <w:highlight w:val="none"/>
        </w:rPr>
      </w:pPr>
    </w:p>
    <w:p>
      <w:pPr>
        <w:pStyle w:val="25"/>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三、区域环境质量现状、环境保护目标及评价标准</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区域</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质量</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现状</w:t>
            </w:r>
          </w:p>
        </w:tc>
        <w:tc>
          <w:tcPr>
            <w:tcW w:w="81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环境空气质量</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基本污染物</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4" w:name="_Hlk68098730"/>
            <w:r>
              <w:rPr>
                <w:rFonts w:hint="default" w:ascii="Times New Roman" w:hAnsi="Times New Roman" w:eastAsia="宋体" w:cs="Times New Roman"/>
                <w:color w:val="auto"/>
                <w:sz w:val="24"/>
                <w:szCs w:val="24"/>
                <w:highlight w:val="none"/>
                <w:lang w:val="en-US" w:eastAsia="zh-CN"/>
              </w:rPr>
              <w:t>本项目位于西咸新区秦汉新城</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项目所在地</w:t>
            </w:r>
            <w:r>
              <w:rPr>
                <w:rFonts w:hint="eastAsia" w:ascii="Times New Roman" w:hAnsi="Times New Roman" w:eastAsia="宋体" w:cs="Times New Roman"/>
                <w:color w:val="auto"/>
                <w:sz w:val="24"/>
                <w:szCs w:val="24"/>
                <w:highlight w:val="none"/>
                <w:lang w:val="en-US" w:eastAsia="zh-CN"/>
              </w:rPr>
              <w:t>属于二类区</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需执行</w:t>
            </w:r>
            <w:r>
              <w:rPr>
                <w:rFonts w:hint="default" w:ascii="Times New Roman" w:hAnsi="Times New Roman" w:eastAsia="宋体" w:cs="Times New Roman"/>
                <w:color w:val="auto"/>
                <w:sz w:val="24"/>
                <w:szCs w:val="24"/>
                <w:highlight w:val="none"/>
                <w:lang w:val="en-US" w:eastAsia="zh-CN"/>
              </w:rPr>
              <w:t>《环境空气质量标准》（GB3095-2012）及其2018年修改单中的二级标准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本次收集陕西省生态环境厅环保快报《2021年12月及1～12月关于全省环境空气质量状况》中关于秦汉新城的监测数据。</w:t>
            </w:r>
            <w:bookmarkEnd w:id="4"/>
            <w:r>
              <w:rPr>
                <w:rFonts w:hint="default" w:ascii="Times New Roman" w:hAnsi="Times New Roman" w:eastAsia="宋体" w:cs="Times New Roman"/>
                <w:color w:val="auto"/>
                <w:sz w:val="24"/>
                <w:szCs w:val="24"/>
                <w:highlight w:val="none"/>
                <w:lang w:val="en-US" w:eastAsia="zh-CN"/>
              </w:rPr>
              <w:t>秦汉新城2021年空气质量现状评价见表3-1。</w:t>
            </w:r>
          </w:p>
          <w:p>
            <w:pPr>
              <w:kinsoku w:val="0"/>
              <w:overflowPunct w:val="0"/>
              <w:autoSpaceDE w:val="0"/>
              <w:autoSpaceDN w:val="0"/>
              <w:adjustRightInd w:val="0"/>
              <w:snapToGrid w:val="0"/>
              <w:spacing w:line="360" w:lineRule="auto"/>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表3-1  秦汉新城2021年环境空气质量现状评价表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852"/>
              <w:gridCol w:w="1138"/>
              <w:gridCol w:w="1267"/>
              <w:gridCol w:w="952"/>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w:t>
                  </w:r>
                </w:p>
              </w:tc>
              <w:tc>
                <w:tcPr>
                  <w:tcW w:w="1791"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年评价指标</w:t>
                  </w:r>
                </w:p>
              </w:tc>
              <w:tc>
                <w:tcPr>
                  <w:tcW w:w="715"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现状浓度/µg/m</w:t>
                  </w:r>
                  <w:r>
                    <w:rPr>
                      <w:rFonts w:hint="default" w:ascii="Times New Roman" w:hAnsi="Times New Roman" w:eastAsia="宋体" w:cs="Times New Roman"/>
                      <w:color w:val="auto"/>
                      <w:sz w:val="21"/>
                      <w:szCs w:val="21"/>
                      <w:highlight w:val="none"/>
                      <w:vertAlign w:val="superscript"/>
                      <w:lang w:val="en-US" w:eastAsia="zh-CN"/>
                    </w:rPr>
                    <w:t>3</w:t>
                  </w:r>
                </w:p>
              </w:tc>
              <w:tc>
                <w:tcPr>
                  <w:tcW w:w="796"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标准值/µg/m</w:t>
                  </w:r>
                  <w:r>
                    <w:rPr>
                      <w:rFonts w:hint="default" w:ascii="Times New Roman" w:hAnsi="Times New Roman" w:eastAsia="宋体" w:cs="Times New Roman"/>
                      <w:color w:val="auto"/>
                      <w:sz w:val="21"/>
                      <w:szCs w:val="21"/>
                      <w:highlight w:val="none"/>
                      <w:vertAlign w:val="superscript"/>
                      <w:lang w:val="en-US" w:eastAsia="zh-CN"/>
                    </w:rPr>
                    <w:t>3</w:t>
                  </w:r>
                </w:p>
              </w:tc>
              <w:tc>
                <w:tcPr>
                  <w:tcW w:w="598"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占标率/%</w:t>
                  </w:r>
                </w:p>
              </w:tc>
              <w:tc>
                <w:tcPr>
                  <w:tcW w:w="620"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PM</w:t>
                  </w:r>
                  <w:r>
                    <w:rPr>
                      <w:rFonts w:hint="default" w:ascii="Times New Roman" w:hAnsi="Times New Roman" w:eastAsia="宋体" w:cs="Times New Roman"/>
                      <w:color w:val="auto"/>
                      <w:sz w:val="21"/>
                      <w:szCs w:val="21"/>
                      <w:highlight w:val="none"/>
                      <w:vertAlign w:val="subscript"/>
                      <w:lang w:val="en-US" w:eastAsia="zh-CN"/>
                    </w:rPr>
                    <w:t>10</w:t>
                  </w:r>
                </w:p>
              </w:tc>
              <w:tc>
                <w:tcPr>
                  <w:tcW w:w="1791"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年平均质量浓度</w:t>
                  </w:r>
                </w:p>
              </w:tc>
              <w:tc>
                <w:tcPr>
                  <w:tcW w:w="715"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81</w:t>
                  </w:r>
                </w:p>
              </w:tc>
              <w:tc>
                <w:tcPr>
                  <w:tcW w:w="796"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598"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116</w:t>
                  </w:r>
                </w:p>
              </w:tc>
              <w:tc>
                <w:tcPr>
                  <w:tcW w:w="620"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PM</w:t>
                  </w:r>
                  <w:r>
                    <w:rPr>
                      <w:rFonts w:hint="default" w:ascii="Times New Roman" w:hAnsi="Times New Roman" w:eastAsia="宋体" w:cs="Times New Roman"/>
                      <w:color w:val="auto"/>
                      <w:sz w:val="21"/>
                      <w:szCs w:val="21"/>
                      <w:highlight w:val="none"/>
                      <w:vertAlign w:val="subscript"/>
                      <w:lang w:val="en-US" w:eastAsia="zh-CN"/>
                    </w:rPr>
                    <w:t>2.5</w:t>
                  </w:r>
                </w:p>
              </w:tc>
              <w:tc>
                <w:tcPr>
                  <w:tcW w:w="1791"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年平均质量浓度</w:t>
                  </w:r>
                </w:p>
              </w:tc>
              <w:tc>
                <w:tcPr>
                  <w:tcW w:w="715"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c>
                <w:tcPr>
                  <w:tcW w:w="796"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598"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620"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1791"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年平均质量浓度</w:t>
                  </w:r>
                </w:p>
              </w:tc>
              <w:tc>
                <w:tcPr>
                  <w:tcW w:w="715"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796"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598"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620"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2</w:t>
                  </w:r>
                </w:p>
              </w:tc>
              <w:tc>
                <w:tcPr>
                  <w:tcW w:w="1791"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年平均质量浓度</w:t>
                  </w:r>
                </w:p>
              </w:tc>
              <w:tc>
                <w:tcPr>
                  <w:tcW w:w="715"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w:t>
                  </w:r>
                </w:p>
              </w:tc>
              <w:tc>
                <w:tcPr>
                  <w:tcW w:w="796"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598"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95</w:t>
                  </w:r>
                </w:p>
              </w:tc>
              <w:tc>
                <w:tcPr>
                  <w:tcW w:w="620"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w:t>
                  </w:r>
                </w:p>
              </w:tc>
              <w:tc>
                <w:tcPr>
                  <w:tcW w:w="1791"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24h第95百分位浓度</w:t>
                  </w:r>
                </w:p>
              </w:tc>
              <w:tc>
                <w:tcPr>
                  <w:tcW w:w="715"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1200</w:t>
                  </w:r>
                </w:p>
              </w:tc>
              <w:tc>
                <w:tcPr>
                  <w:tcW w:w="796"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4000</w:t>
                  </w:r>
                </w:p>
              </w:tc>
              <w:tc>
                <w:tcPr>
                  <w:tcW w:w="598"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620"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O</w:t>
                  </w:r>
                  <w:r>
                    <w:rPr>
                      <w:rFonts w:hint="default" w:ascii="Times New Roman" w:hAnsi="Times New Roman" w:eastAsia="宋体" w:cs="Times New Roman"/>
                      <w:color w:val="auto"/>
                      <w:sz w:val="21"/>
                      <w:szCs w:val="21"/>
                      <w:highlight w:val="none"/>
                      <w:vertAlign w:val="subscript"/>
                      <w:lang w:val="en-US" w:eastAsia="zh-CN"/>
                    </w:rPr>
                    <w:t>3</w:t>
                  </w:r>
                </w:p>
              </w:tc>
              <w:tc>
                <w:tcPr>
                  <w:tcW w:w="1791"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日最大8h第90百分位浓度</w:t>
                  </w:r>
                </w:p>
              </w:tc>
              <w:tc>
                <w:tcPr>
                  <w:tcW w:w="715"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138</w:t>
                  </w:r>
                </w:p>
              </w:tc>
              <w:tc>
                <w:tcPr>
                  <w:tcW w:w="796"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160</w:t>
                  </w:r>
                </w:p>
              </w:tc>
              <w:tc>
                <w:tcPr>
                  <w:tcW w:w="598"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86</w:t>
                  </w:r>
                </w:p>
              </w:tc>
              <w:tc>
                <w:tcPr>
                  <w:tcW w:w="620" w:type="pct"/>
                  <w:shd w:val="clear" w:color="auto" w:fill="auto"/>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5" w:name="_Hlk20235232"/>
            <w:r>
              <w:rPr>
                <w:rFonts w:hint="default" w:ascii="Times New Roman" w:hAnsi="Times New Roman" w:eastAsia="宋体" w:cs="Times New Roman"/>
                <w:color w:val="auto"/>
                <w:sz w:val="24"/>
                <w:szCs w:val="24"/>
                <w:highlight w:val="none"/>
                <w:lang w:val="en-US" w:eastAsia="zh-CN"/>
              </w:rPr>
              <w:t>根据以上数据，本项目所在</w:t>
            </w:r>
            <w:r>
              <w:rPr>
                <w:rFonts w:hint="eastAsia" w:cs="Times New Roman"/>
                <w:color w:val="auto"/>
                <w:sz w:val="24"/>
                <w:szCs w:val="24"/>
                <w:highlight w:val="none"/>
                <w:lang w:val="en-US" w:eastAsia="zh-CN"/>
              </w:rPr>
              <w:t>区域</w:t>
            </w:r>
            <w:r>
              <w:rPr>
                <w:rFonts w:hint="default" w:ascii="Times New Roman" w:hAnsi="Times New Roman" w:eastAsia="宋体" w:cs="Times New Roman"/>
                <w:color w:val="auto"/>
                <w:sz w:val="24"/>
                <w:szCs w:val="24"/>
                <w:highlight w:val="none"/>
                <w:lang w:val="en-US" w:eastAsia="zh-CN"/>
              </w:rPr>
              <w:t>除SO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、CO、NO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外，PM</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2.5</w:t>
            </w:r>
            <w:r>
              <w:rPr>
                <w:rFonts w:hint="default" w:ascii="Times New Roman" w:hAnsi="Times New Roman" w:eastAsia="宋体" w:cs="Times New Roman"/>
                <w:color w:val="auto"/>
                <w:sz w:val="24"/>
                <w:szCs w:val="24"/>
                <w:highlight w:val="none"/>
                <w:lang w:val="en-US" w:eastAsia="zh-CN"/>
              </w:rPr>
              <w:t>均不满足《环境空气质量标准》（GB3095-2012）及其2018年修改单中的二级标准。项目所在区域为不达标区域。</w:t>
            </w:r>
            <w:bookmarkEnd w:id="5"/>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eastAsia" w:ascii="Times New Roman" w:hAnsi="Times New Roman" w:eastAsia="宋体" w:cs="Times New Roman"/>
                <w:color w:val="auto"/>
                <w:sz w:val="24"/>
                <w:szCs w:val="24"/>
                <w:highlight w:val="none"/>
                <w:lang w:val="en-GB" w:eastAsia="zh-CN"/>
              </w:rPr>
            </w:pP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GB" w:eastAsia="zh-CN"/>
              </w:rPr>
              <w:t>其他污染物</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w:t>
            </w:r>
            <w:r>
              <w:rPr>
                <w:rFonts w:hint="eastAsia" w:ascii="Times New Roman" w:hAnsi="Times New Roman" w:eastAsia="宋体" w:cs="Times New Roman"/>
                <w:color w:val="auto"/>
                <w:sz w:val="24"/>
                <w:szCs w:val="24"/>
                <w:highlight w:val="none"/>
                <w:lang w:val="en-US" w:eastAsia="zh-CN"/>
              </w:rPr>
              <w:t>评价委托陕西盾源检测技术有限公司于2022年10月21日~10月23日对项目地TSP进行了监测</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①</w:t>
            </w:r>
            <w:r>
              <w:rPr>
                <w:rFonts w:hint="default" w:ascii="Times New Roman" w:hAnsi="Times New Roman" w:eastAsia="宋体" w:cs="Times New Roman"/>
                <w:color w:val="auto"/>
                <w:sz w:val="24"/>
                <w:szCs w:val="24"/>
                <w:highlight w:val="none"/>
              </w:rPr>
              <w:t>监测时间和监测布点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监测时间：202</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21-23</w:t>
            </w:r>
            <w:r>
              <w:rPr>
                <w:rFonts w:hint="default" w:ascii="Times New Roman" w:hAnsi="Times New Roman" w:eastAsia="宋体" w:cs="Times New Roman"/>
                <w:color w:val="auto"/>
                <w:sz w:val="24"/>
                <w:szCs w:val="24"/>
                <w:highlight w:val="none"/>
              </w:rPr>
              <w:t>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监测布点：</w:t>
            </w:r>
            <w:r>
              <w:rPr>
                <w:rFonts w:hint="eastAsia" w:ascii="Times New Roman" w:hAnsi="Times New Roman" w:eastAsia="宋体" w:cs="Times New Roman"/>
                <w:color w:val="auto"/>
                <w:sz w:val="24"/>
                <w:szCs w:val="24"/>
                <w:highlight w:val="none"/>
                <w:lang w:val="en-US" w:eastAsia="zh-CN"/>
              </w:rPr>
              <w:t>在下风向</w:t>
            </w:r>
            <w:r>
              <w:rPr>
                <w:rFonts w:hint="eastAsia" w:cs="Times New Roman"/>
                <w:color w:val="auto"/>
                <w:sz w:val="24"/>
                <w:szCs w:val="24"/>
                <w:highlight w:val="none"/>
                <w:lang w:val="en-US" w:eastAsia="zh-CN"/>
              </w:rPr>
              <w:t>（项目地西南侧）</w:t>
            </w:r>
            <w:r>
              <w:rPr>
                <w:rFonts w:hint="eastAsia" w:ascii="Times New Roman" w:hAnsi="Times New Roman" w:eastAsia="宋体" w:cs="Times New Roman"/>
                <w:color w:val="auto"/>
                <w:sz w:val="24"/>
                <w:szCs w:val="24"/>
                <w:highlight w:val="none"/>
                <w:lang w:val="en-US" w:eastAsia="zh-CN"/>
              </w:rPr>
              <w:t>布设1个监测点，</w:t>
            </w:r>
            <w:r>
              <w:rPr>
                <w:rFonts w:hint="default" w:ascii="Times New Roman" w:hAnsi="Times New Roman" w:eastAsia="宋体" w:cs="Times New Roman"/>
                <w:color w:val="auto"/>
                <w:sz w:val="24"/>
                <w:szCs w:val="24"/>
                <w:highlight w:val="none"/>
              </w:rPr>
              <w:t>监测布点见附</w:t>
            </w:r>
            <w:r>
              <w:rPr>
                <w:rFonts w:hint="eastAsia" w:ascii="Times New Roman" w:hAnsi="Times New Roman" w:eastAsia="宋体" w:cs="Times New Roman"/>
                <w:color w:val="auto"/>
                <w:sz w:val="24"/>
                <w:szCs w:val="24"/>
                <w:highlight w:val="none"/>
                <w:lang w:eastAsia="zh-CN"/>
              </w:rPr>
              <w:t>图</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eastAsia" w:ascii="Times New Roman" w:hAnsi="Times New Roman" w:eastAsia="宋体" w:cs="Times New Roman"/>
                <w:color w:val="auto"/>
                <w:sz w:val="24"/>
                <w:szCs w:val="24"/>
                <w:highlight w:val="none"/>
                <w:lang w:eastAsia="zh-CN"/>
              </w:rPr>
              <w:t>②</w:t>
            </w:r>
            <w:r>
              <w:rPr>
                <w:rFonts w:hint="eastAsia" w:ascii="Times New Roman" w:hAnsi="Times New Roman" w:eastAsia="宋体" w:cs="Times New Roman"/>
                <w:color w:val="auto"/>
                <w:sz w:val="24"/>
                <w:szCs w:val="24"/>
                <w:highlight w:val="none"/>
                <w:lang w:val="en-US" w:eastAsia="zh-CN"/>
              </w:rPr>
              <w:t>监测因子：</w:t>
            </w:r>
            <w:r>
              <w:rPr>
                <w:rFonts w:hint="eastAsia" w:ascii="Times New Roman" w:hAnsi="Times New Roman" w:cs="Times New Roman"/>
                <w:color w:val="auto"/>
                <w:sz w:val="24"/>
                <w:highlight w:val="none"/>
                <w:lang w:val="en-US" w:eastAsia="zh-CN"/>
              </w:rPr>
              <w:t>TSP</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③</w:t>
            </w:r>
            <w:r>
              <w:rPr>
                <w:rFonts w:hint="eastAsia" w:ascii="Times New Roman" w:hAnsi="Times New Roman" w:eastAsia="宋体" w:cs="Times New Roman"/>
                <w:color w:val="auto"/>
                <w:sz w:val="24"/>
                <w:szCs w:val="24"/>
                <w:highlight w:val="none"/>
                <w:lang w:val="en-US" w:eastAsia="zh-CN"/>
              </w:rPr>
              <w:t>监测频次：3次/天，监测3天。</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监测结果见下表</w:t>
            </w:r>
            <w:r>
              <w:rPr>
                <w:rFonts w:hint="eastAsia" w:ascii="Times New Roman" w:hAnsi="Times New Roman" w:eastAsia="宋体"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lang w:val="en-US" w:eastAsia="zh-CN"/>
              </w:rPr>
              <w:t>：</w:t>
            </w:r>
          </w:p>
          <w:p>
            <w:pPr>
              <w:spacing w:line="360" w:lineRule="auto"/>
              <w:jc w:val="center"/>
              <w:rPr>
                <w:rFonts w:hint="eastAsia" w:cs="宋体"/>
                <w:b/>
                <w:color w:val="auto"/>
                <w:szCs w:val="21"/>
                <w:highlight w:val="none"/>
                <w:lang w:bidi="ar"/>
              </w:rPr>
            </w:pPr>
            <w:r>
              <w:rPr>
                <w:rFonts w:hint="eastAsia" w:cs="宋体"/>
                <w:b/>
                <w:color w:val="auto"/>
                <w:szCs w:val="21"/>
                <w:highlight w:val="none"/>
                <w:lang w:bidi="ar"/>
              </w:rPr>
              <w:t>表3-</w:t>
            </w:r>
            <w:r>
              <w:rPr>
                <w:rFonts w:hint="eastAsia" w:cs="宋体"/>
                <w:b/>
                <w:color w:val="auto"/>
                <w:szCs w:val="21"/>
                <w:highlight w:val="none"/>
                <w:lang w:val="en-US" w:eastAsia="zh-CN" w:bidi="ar"/>
              </w:rPr>
              <w:t>2</w:t>
            </w:r>
            <w:r>
              <w:rPr>
                <w:rFonts w:hint="eastAsia" w:cs="宋体"/>
                <w:b/>
                <w:color w:val="auto"/>
                <w:szCs w:val="21"/>
                <w:highlight w:val="none"/>
                <w:lang w:bidi="ar"/>
              </w:rPr>
              <w:t xml:space="preserve"> 其他污染物质量现状监测结果统计表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273"/>
              <w:gridCol w:w="706"/>
              <w:gridCol w:w="1155"/>
              <w:gridCol w:w="1548"/>
              <w:gridCol w:w="1134"/>
              <w:gridCol w:w="710"/>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56" w:type="pct"/>
                  <w:vMerge w:val="restart"/>
                  <w:noWrap w:val="0"/>
                  <w:vAlign w:val="center"/>
                </w:tcPr>
                <w:p>
                  <w:pPr>
                    <w:widowControl/>
                    <w:autoSpaceDE w:val="0"/>
                    <w:autoSpaceDN w:val="0"/>
                    <w:adjustRightInd w:val="0"/>
                    <w:jc w:val="center"/>
                    <w:rPr>
                      <w:color w:val="auto"/>
                      <w:kern w:val="0"/>
                      <w:szCs w:val="21"/>
                      <w:highlight w:val="none"/>
                    </w:rPr>
                  </w:pPr>
                  <w:r>
                    <w:rPr>
                      <w:rFonts w:hint="eastAsia"/>
                      <w:color w:val="auto"/>
                      <w:kern w:val="0"/>
                      <w:szCs w:val="21"/>
                      <w:highlight w:val="none"/>
                    </w:rPr>
                    <w:t>序号</w:t>
                  </w:r>
                </w:p>
              </w:tc>
              <w:tc>
                <w:tcPr>
                  <w:tcW w:w="799" w:type="pct"/>
                  <w:vMerge w:val="restart"/>
                  <w:noWrap w:val="0"/>
                  <w:vAlign w:val="center"/>
                </w:tcPr>
                <w:p>
                  <w:pPr>
                    <w:widowControl/>
                    <w:autoSpaceDE w:val="0"/>
                    <w:autoSpaceDN w:val="0"/>
                    <w:adjustRightInd w:val="0"/>
                    <w:jc w:val="center"/>
                    <w:rPr>
                      <w:color w:val="auto"/>
                      <w:kern w:val="0"/>
                      <w:szCs w:val="21"/>
                      <w:highlight w:val="none"/>
                    </w:rPr>
                  </w:pPr>
                  <w:r>
                    <w:rPr>
                      <w:color w:val="auto"/>
                      <w:kern w:val="0"/>
                      <w:szCs w:val="21"/>
                      <w:highlight w:val="none"/>
                    </w:rPr>
                    <w:t>污染物</w:t>
                  </w:r>
                </w:p>
              </w:tc>
              <w:tc>
                <w:tcPr>
                  <w:tcW w:w="443" w:type="pct"/>
                  <w:vMerge w:val="restart"/>
                  <w:noWrap w:val="0"/>
                  <w:vAlign w:val="center"/>
                </w:tcPr>
                <w:p>
                  <w:pPr>
                    <w:widowControl/>
                    <w:autoSpaceDE w:val="0"/>
                    <w:autoSpaceDN w:val="0"/>
                    <w:adjustRightInd w:val="0"/>
                    <w:jc w:val="center"/>
                    <w:rPr>
                      <w:color w:val="auto"/>
                      <w:kern w:val="0"/>
                      <w:szCs w:val="21"/>
                      <w:highlight w:val="none"/>
                    </w:rPr>
                  </w:pPr>
                  <w:r>
                    <w:rPr>
                      <w:color w:val="auto"/>
                      <w:kern w:val="0"/>
                      <w:szCs w:val="21"/>
                      <w:highlight w:val="none"/>
                    </w:rPr>
                    <w:t>平均时间</w:t>
                  </w:r>
                </w:p>
              </w:tc>
              <w:tc>
                <w:tcPr>
                  <w:tcW w:w="725" w:type="pct"/>
                  <w:vMerge w:val="restart"/>
                  <w:noWrap w:val="0"/>
                  <w:vAlign w:val="center"/>
                </w:tcPr>
                <w:p>
                  <w:pPr>
                    <w:widowControl/>
                    <w:autoSpaceDE w:val="0"/>
                    <w:autoSpaceDN w:val="0"/>
                    <w:adjustRightInd w:val="0"/>
                    <w:jc w:val="center"/>
                    <w:rPr>
                      <w:color w:val="auto"/>
                      <w:kern w:val="0"/>
                      <w:szCs w:val="21"/>
                      <w:highlight w:val="none"/>
                    </w:rPr>
                  </w:pPr>
                  <w:r>
                    <w:rPr>
                      <w:color w:val="auto"/>
                      <w:kern w:val="0"/>
                      <w:szCs w:val="21"/>
                      <w:highlight w:val="none"/>
                    </w:rPr>
                    <w:t>评价标准/（µg/m</w:t>
                  </w:r>
                  <w:r>
                    <w:rPr>
                      <w:color w:val="auto"/>
                      <w:kern w:val="0"/>
                      <w:szCs w:val="21"/>
                      <w:highlight w:val="none"/>
                      <w:vertAlign w:val="superscript"/>
                    </w:rPr>
                    <w:t>3</w:t>
                  </w:r>
                  <w:r>
                    <w:rPr>
                      <w:color w:val="auto"/>
                      <w:kern w:val="0"/>
                      <w:szCs w:val="21"/>
                      <w:highlight w:val="none"/>
                    </w:rPr>
                    <w:t>）</w:t>
                  </w:r>
                </w:p>
              </w:tc>
              <w:tc>
                <w:tcPr>
                  <w:tcW w:w="972" w:type="pct"/>
                  <w:vMerge w:val="restart"/>
                  <w:noWrap w:val="0"/>
                  <w:vAlign w:val="center"/>
                </w:tcPr>
                <w:p>
                  <w:pPr>
                    <w:widowControl/>
                    <w:autoSpaceDE w:val="0"/>
                    <w:autoSpaceDN w:val="0"/>
                    <w:adjustRightInd w:val="0"/>
                    <w:jc w:val="center"/>
                    <w:rPr>
                      <w:color w:val="auto"/>
                      <w:kern w:val="0"/>
                      <w:szCs w:val="21"/>
                      <w:highlight w:val="none"/>
                    </w:rPr>
                  </w:pPr>
                  <w:r>
                    <w:rPr>
                      <w:color w:val="auto"/>
                      <w:kern w:val="0"/>
                      <w:szCs w:val="21"/>
                      <w:highlight w:val="none"/>
                    </w:rPr>
                    <w:t>监测浓度范围/（µg/m</w:t>
                  </w:r>
                  <w:r>
                    <w:rPr>
                      <w:color w:val="auto"/>
                      <w:kern w:val="0"/>
                      <w:szCs w:val="21"/>
                      <w:highlight w:val="none"/>
                      <w:vertAlign w:val="superscript"/>
                    </w:rPr>
                    <w:t>3</w:t>
                  </w:r>
                  <w:r>
                    <w:rPr>
                      <w:color w:val="auto"/>
                      <w:kern w:val="0"/>
                      <w:szCs w:val="21"/>
                      <w:highlight w:val="none"/>
                    </w:rPr>
                    <w:t>）</w:t>
                  </w:r>
                </w:p>
              </w:tc>
              <w:tc>
                <w:tcPr>
                  <w:tcW w:w="712" w:type="pct"/>
                  <w:vMerge w:val="restart"/>
                  <w:noWrap w:val="0"/>
                  <w:vAlign w:val="center"/>
                </w:tcPr>
                <w:p>
                  <w:pPr>
                    <w:widowControl/>
                    <w:autoSpaceDE w:val="0"/>
                    <w:autoSpaceDN w:val="0"/>
                    <w:adjustRightInd w:val="0"/>
                    <w:jc w:val="center"/>
                    <w:rPr>
                      <w:color w:val="auto"/>
                      <w:kern w:val="0"/>
                      <w:szCs w:val="21"/>
                      <w:highlight w:val="none"/>
                    </w:rPr>
                  </w:pPr>
                  <w:r>
                    <w:rPr>
                      <w:color w:val="auto"/>
                      <w:kern w:val="0"/>
                      <w:szCs w:val="21"/>
                      <w:highlight w:val="none"/>
                    </w:rPr>
                    <w:t>最大浓度占标率/%</w:t>
                  </w:r>
                </w:p>
              </w:tc>
              <w:tc>
                <w:tcPr>
                  <w:tcW w:w="446" w:type="pct"/>
                  <w:vMerge w:val="restart"/>
                  <w:noWrap w:val="0"/>
                  <w:vAlign w:val="center"/>
                </w:tcPr>
                <w:p>
                  <w:pPr>
                    <w:widowControl/>
                    <w:autoSpaceDE w:val="0"/>
                    <w:autoSpaceDN w:val="0"/>
                    <w:adjustRightInd w:val="0"/>
                    <w:jc w:val="center"/>
                    <w:rPr>
                      <w:color w:val="auto"/>
                      <w:kern w:val="0"/>
                      <w:szCs w:val="21"/>
                      <w:highlight w:val="none"/>
                    </w:rPr>
                  </w:pPr>
                  <w:r>
                    <w:rPr>
                      <w:color w:val="auto"/>
                      <w:kern w:val="0"/>
                      <w:szCs w:val="21"/>
                      <w:highlight w:val="none"/>
                    </w:rPr>
                    <w:t>超标率/%</w:t>
                  </w:r>
                </w:p>
              </w:tc>
              <w:tc>
                <w:tcPr>
                  <w:tcW w:w="447" w:type="pct"/>
                  <w:vMerge w:val="restart"/>
                  <w:noWrap w:val="0"/>
                  <w:vAlign w:val="center"/>
                </w:tcPr>
                <w:p>
                  <w:pPr>
                    <w:widowControl/>
                    <w:autoSpaceDE w:val="0"/>
                    <w:autoSpaceDN w:val="0"/>
                    <w:adjustRightInd w:val="0"/>
                    <w:jc w:val="center"/>
                    <w:rPr>
                      <w:color w:val="auto"/>
                      <w:kern w:val="0"/>
                      <w:szCs w:val="21"/>
                      <w:highlight w:val="none"/>
                    </w:rPr>
                  </w:pPr>
                  <w:r>
                    <w:rPr>
                      <w:color w:val="auto"/>
                      <w:kern w:val="0"/>
                      <w:szCs w:val="21"/>
                      <w:highlight w:val="none"/>
                    </w:rPr>
                    <w:t>达标</w:t>
                  </w:r>
                </w:p>
                <w:p>
                  <w:pPr>
                    <w:widowControl/>
                    <w:autoSpaceDE w:val="0"/>
                    <w:autoSpaceDN w:val="0"/>
                    <w:adjustRightInd w:val="0"/>
                    <w:jc w:val="center"/>
                    <w:rPr>
                      <w:color w:val="auto"/>
                      <w:kern w:val="0"/>
                      <w:szCs w:val="21"/>
                      <w:highlight w:val="none"/>
                    </w:rPr>
                  </w:pPr>
                  <w:r>
                    <w:rPr>
                      <w:color w:val="auto"/>
                      <w:kern w:val="0"/>
                      <w:szCs w:val="21"/>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56" w:type="pct"/>
                  <w:vMerge w:val="continue"/>
                  <w:noWrap w:val="0"/>
                  <w:vAlign w:val="center"/>
                </w:tcPr>
                <w:p>
                  <w:pPr>
                    <w:widowControl/>
                    <w:autoSpaceDE w:val="0"/>
                    <w:autoSpaceDN w:val="0"/>
                    <w:adjustRightInd w:val="0"/>
                    <w:jc w:val="center"/>
                    <w:rPr>
                      <w:color w:val="auto"/>
                      <w:kern w:val="0"/>
                      <w:szCs w:val="21"/>
                      <w:highlight w:val="none"/>
                    </w:rPr>
                  </w:pPr>
                </w:p>
              </w:tc>
              <w:tc>
                <w:tcPr>
                  <w:tcW w:w="799" w:type="pct"/>
                  <w:vMerge w:val="continue"/>
                  <w:noWrap w:val="0"/>
                  <w:vAlign w:val="center"/>
                </w:tcPr>
                <w:p>
                  <w:pPr>
                    <w:widowControl/>
                    <w:autoSpaceDE w:val="0"/>
                    <w:autoSpaceDN w:val="0"/>
                    <w:adjustRightInd w:val="0"/>
                    <w:jc w:val="center"/>
                    <w:rPr>
                      <w:color w:val="auto"/>
                      <w:kern w:val="0"/>
                      <w:szCs w:val="21"/>
                      <w:highlight w:val="none"/>
                    </w:rPr>
                  </w:pPr>
                </w:p>
              </w:tc>
              <w:tc>
                <w:tcPr>
                  <w:tcW w:w="443" w:type="pct"/>
                  <w:vMerge w:val="continue"/>
                  <w:noWrap w:val="0"/>
                  <w:vAlign w:val="center"/>
                </w:tcPr>
                <w:p>
                  <w:pPr>
                    <w:widowControl/>
                    <w:autoSpaceDE w:val="0"/>
                    <w:autoSpaceDN w:val="0"/>
                    <w:adjustRightInd w:val="0"/>
                    <w:jc w:val="center"/>
                    <w:rPr>
                      <w:color w:val="auto"/>
                      <w:kern w:val="0"/>
                      <w:szCs w:val="21"/>
                      <w:highlight w:val="none"/>
                    </w:rPr>
                  </w:pPr>
                </w:p>
              </w:tc>
              <w:tc>
                <w:tcPr>
                  <w:tcW w:w="725" w:type="pct"/>
                  <w:vMerge w:val="continue"/>
                  <w:noWrap w:val="0"/>
                  <w:vAlign w:val="center"/>
                </w:tcPr>
                <w:p>
                  <w:pPr>
                    <w:widowControl/>
                    <w:autoSpaceDE w:val="0"/>
                    <w:autoSpaceDN w:val="0"/>
                    <w:adjustRightInd w:val="0"/>
                    <w:jc w:val="center"/>
                    <w:rPr>
                      <w:color w:val="auto"/>
                      <w:kern w:val="0"/>
                      <w:szCs w:val="21"/>
                      <w:highlight w:val="none"/>
                    </w:rPr>
                  </w:pPr>
                </w:p>
              </w:tc>
              <w:tc>
                <w:tcPr>
                  <w:tcW w:w="972" w:type="pct"/>
                  <w:vMerge w:val="continue"/>
                  <w:noWrap w:val="0"/>
                  <w:vAlign w:val="center"/>
                </w:tcPr>
                <w:p>
                  <w:pPr>
                    <w:widowControl/>
                    <w:autoSpaceDE w:val="0"/>
                    <w:autoSpaceDN w:val="0"/>
                    <w:adjustRightInd w:val="0"/>
                    <w:jc w:val="center"/>
                    <w:rPr>
                      <w:color w:val="auto"/>
                      <w:kern w:val="0"/>
                      <w:szCs w:val="21"/>
                      <w:highlight w:val="none"/>
                    </w:rPr>
                  </w:pPr>
                </w:p>
              </w:tc>
              <w:tc>
                <w:tcPr>
                  <w:tcW w:w="712" w:type="pct"/>
                  <w:vMerge w:val="continue"/>
                  <w:noWrap w:val="0"/>
                  <w:vAlign w:val="center"/>
                </w:tcPr>
                <w:p>
                  <w:pPr>
                    <w:widowControl/>
                    <w:autoSpaceDE w:val="0"/>
                    <w:autoSpaceDN w:val="0"/>
                    <w:adjustRightInd w:val="0"/>
                    <w:jc w:val="center"/>
                    <w:rPr>
                      <w:color w:val="auto"/>
                      <w:kern w:val="0"/>
                      <w:szCs w:val="21"/>
                      <w:highlight w:val="none"/>
                    </w:rPr>
                  </w:pPr>
                </w:p>
              </w:tc>
              <w:tc>
                <w:tcPr>
                  <w:tcW w:w="446" w:type="pct"/>
                  <w:vMerge w:val="continue"/>
                  <w:noWrap w:val="0"/>
                  <w:vAlign w:val="center"/>
                </w:tcPr>
                <w:p>
                  <w:pPr>
                    <w:widowControl/>
                    <w:autoSpaceDE w:val="0"/>
                    <w:autoSpaceDN w:val="0"/>
                    <w:adjustRightInd w:val="0"/>
                    <w:jc w:val="center"/>
                    <w:rPr>
                      <w:color w:val="auto"/>
                      <w:kern w:val="0"/>
                      <w:szCs w:val="21"/>
                      <w:highlight w:val="none"/>
                    </w:rPr>
                  </w:pPr>
                </w:p>
              </w:tc>
              <w:tc>
                <w:tcPr>
                  <w:tcW w:w="447" w:type="pct"/>
                  <w:vMerge w:val="continue"/>
                  <w:noWrap w:val="0"/>
                  <w:vAlign w:val="center"/>
                </w:tcPr>
                <w:p>
                  <w:pPr>
                    <w:widowControl/>
                    <w:autoSpaceDE w:val="0"/>
                    <w:autoSpaceDN w:val="0"/>
                    <w:adjustRightInd w:val="0"/>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6" w:type="pct"/>
                  <w:noWrap w:val="0"/>
                  <w:vAlign w:val="center"/>
                </w:tcPr>
                <w:p>
                  <w:pPr>
                    <w:jc w:val="center"/>
                    <w:rPr>
                      <w:bCs/>
                      <w:color w:val="auto"/>
                      <w:szCs w:val="21"/>
                      <w:highlight w:val="none"/>
                    </w:rPr>
                  </w:pPr>
                  <w:r>
                    <w:rPr>
                      <w:rFonts w:hint="eastAsia"/>
                      <w:bCs/>
                      <w:color w:val="auto"/>
                      <w:szCs w:val="21"/>
                      <w:highlight w:val="none"/>
                    </w:rPr>
                    <w:t>1</w:t>
                  </w:r>
                </w:p>
              </w:tc>
              <w:tc>
                <w:tcPr>
                  <w:tcW w:w="799" w:type="pct"/>
                  <w:noWrap w:val="0"/>
                  <w:vAlign w:val="center"/>
                </w:tcPr>
                <w:p>
                  <w:pPr>
                    <w:jc w:val="center"/>
                    <w:rPr>
                      <w:snapToGrid w:val="0"/>
                      <w:color w:val="auto"/>
                      <w:szCs w:val="21"/>
                      <w:highlight w:val="none"/>
                    </w:rPr>
                  </w:pPr>
                  <w:r>
                    <w:rPr>
                      <w:snapToGrid w:val="0"/>
                      <w:color w:val="auto"/>
                      <w:szCs w:val="21"/>
                      <w:highlight w:val="none"/>
                    </w:rPr>
                    <w:t>TSP</w:t>
                  </w:r>
                </w:p>
              </w:tc>
              <w:tc>
                <w:tcPr>
                  <w:tcW w:w="443" w:type="pct"/>
                  <w:noWrap w:val="0"/>
                  <w:vAlign w:val="center"/>
                </w:tcPr>
                <w:p>
                  <w:pPr>
                    <w:widowControl/>
                    <w:autoSpaceDE w:val="0"/>
                    <w:autoSpaceDN w:val="0"/>
                    <w:adjustRightInd w:val="0"/>
                    <w:jc w:val="center"/>
                    <w:rPr>
                      <w:color w:val="auto"/>
                      <w:kern w:val="0"/>
                      <w:szCs w:val="21"/>
                      <w:highlight w:val="none"/>
                    </w:rPr>
                  </w:pPr>
                  <w:r>
                    <w:rPr>
                      <w:color w:val="auto"/>
                      <w:kern w:val="0"/>
                      <w:szCs w:val="21"/>
                      <w:highlight w:val="none"/>
                    </w:rPr>
                    <w:t>24</w:t>
                  </w:r>
                  <w:r>
                    <w:rPr>
                      <w:rFonts w:hint="eastAsia"/>
                      <w:color w:val="auto"/>
                      <w:kern w:val="0"/>
                      <w:szCs w:val="21"/>
                      <w:highlight w:val="none"/>
                    </w:rPr>
                    <w:t>h</w:t>
                  </w:r>
                </w:p>
              </w:tc>
              <w:tc>
                <w:tcPr>
                  <w:tcW w:w="725" w:type="pct"/>
                  <w:noWrap w:val="0"/>
                  <w:vAlign w:val="center"/>
                </w:tcPr>
                <w:p>
                  <w:pPr>
                    <w:widowControl/>
                    <w:autoSpaceDE w:val="0"/>
                    <w:autoSpaceDN w:val="0"/>
                    <w:adjustRightInd w:val="0"/>
                    <w:jc w:val="center"/>
                    <w:rPr>
                      <w:color w:val="auto"/>
                      <w:kern w:val="0"/>
                      <w:szCs w:val="21"/>
                      <w:highlight w:val="none"/>
                    </w:rPr>
                  </w:pPr>
                  <w:r>
                    <w:rPr>
                      <w:rFonts w:hint="eastAsia"/>
                      <w:color w:val="auto"/>
                      <w:szCs w:val="21"/>
                      <w:highlight w:val="none"/>
                    </w:rPr>
                    <w:t>300</w:t>
                  </w:r>
                </w:p>
              </w:tc>
              <w:tc>
                <w:tcPr>
                  <w:tcW w:w="972" w:type="pct"/>
                  <w:noWrap w:val="0"/>
                  <w:vAlign w:val="center"/>
                </w:tcPr>
                <w:p>
                  <w:pPr>
                    <w:widowControl/>
                    <w:autoSpaceDE w:val="0"/>
                    <w:autoSpaceDN w:val="0"/>
                    <w:adjustRightInd w:val="0"/>
                    <w:jc w:val="center"/>
                    <w:rPr>
                      <w:rFonts w:hint="default" w:eastAsia="宋体"/>
                      <w:color w:val="auto"/>
                      <w:kern w:val="0"/>
                      <w:szCs w:val="21"/>
                      <w:highlight w:val="none"/>
                      <w:lang w:val="en-US" w:eastAsia="zh-CN"/>
                    </w:rPr>
                  </w:pPr>
                  <w:r>
                    <w:rPr>
                      <w:color w:val="auto"/>
                      <w:szCs w:val="21"/>
                      <w:highlight w:val="none"/>
                    </w:rPr>
                    <w:t>1</w:t>
                  </w:r>
                  <w:r>
                    <w:rPr>
                      <w:rFonts w:hint="eastAsia"/>
                      <w:color w:val="auto"/>
                      <w:szCs w:val="21"/>
                      <w:highlight w:val="none"/>
                      <w:lang w:val="en-US" w:eastAsia="zh-CN"/>
                    </w:rPr>
                    <w:t>5</w:t>
                  </w:r>
                  <w:r>
                    <w:rPr>
                      <w:color w:val="auto"/>
                      <w:szCs w:val="21"/>
                      <w:highlight w:val="none"/>
                    </w:rPr>
                    <w:t>2~1</w:t>
                  </w:r>
                  <w:r>
                    <w:rPr>
                      <w:rFonts w:hint="eastAsia"/>
                      <w:color w:val="auto"/>
                      <w:szCs w:val="21"/>
                      <w:highlight w:val="none"/>
                      <w:lang w:val="en-US" w:eastAsia="zh-CN"/>
                    </w:rPr>
                    <w:t>85</w:t>
                  </w:r>
                </w:p>
              </w:tc>
              <w:tc>
                <w:tcPr>
                  <w:tcW w:w="712" w:type="pct"/>
                  <w:noWrap w:val="0"/>
                  <w:vAlign w:val="center"/>
                </w:tcPr>
                <w:p>
                  <w:pPr>
                    <w:widowControl/>
                    <w:autoSpaceDE w:val="0"/>
                    <w:autoSpaceDN w:val="0"/>
                    <w:adjustRightIn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62</w:t>
                  </w:r>
                </w:p>
              </w:tc>
              <w:tc>
                <w:tcPr>
                  <w:tcW w:w="446" w:type="pct"/>
                  <w:noWrap w:val="0"/>
                  <w:vAlign w:val="center"/>
                </w:tcPr>
                <w:p>
                  <w:pPr>
                    <w:widowControl/>
                    <w:jc w:val="center"/>
                    <w:rPr>
                      <w:color w:val="auto"/>
                      <w:kern w:val="0"/>
                      <w:szCs w:val="21"/>
                      <w:highlight w:val="none"/>
                    </w:rPr>
                  </w:pPr>
                  <w:r>
                    <w:rPr>
                      <w:color w:val="auto"/>
                      <w:kern w:val="0"/>
                      <w:szCs w:val="21"/>
                      <w:highlight w:val="none"/>
                    </w:rPr>
                    <w:t>0</w:t>
                  </w:r>
                </w:p>
              </w:tc>
              <w:tc>
                <w:tcPr>
                  <w:tcW w:w="447" w:type="pct"/>
                  <w:noWrap w:val="0"/>
                  <w:vAlign w:val="center"/>
                </w:tcPr>
                <w:p>
                  <w:pPr>
                    <w:widowControl/>
                    <w:jc w:val="center"/>
                    <w:rPr>
                      <w:color w:val="auto"/>
                      <w:kern w:val="0"/>
                      <w:szCs w:val="21"/>
                      <w:highlight w:val="none"/>
                    </w:rPr>
                  </w:pPr>
                  <w:r>
                    <w:rPr>
                      <w:color w:val="auto"/>
                      <w:kern w:val="0"/>
                      <w:szCs w:val="21"/>
                      <w:highlight w:val="none"/>
                    </w:rPr>
                    <w:t>达标</w:t>
                  </w:r>
                </w:p>
              </w:tc>
            </w:tr>
          </w:tbl>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根据监测结果可知，本评价区环境空气中TSP</w:t>
            </w:r>
            <w:r>
              <w:rPr>
                <w:rFonts w:hint="eastAsia" w:cs="Times New Roman"/>
                <w:color w:val="auto"/>
                <w:sz w:val="24"/>
                <w:szCs w:val="24"/>
                <w:highlight w:val="none"/>
                <w:lang w:val="en-US" w:eastAsia="zh-CN"/>
              </w:rPr>
              <w:t>24小时均值浓度</w:t>
            </w:r>
            <w:r>
              <w:rPr>
                <w:rFonts w:hint="eastAsia" w:ascii="Times New Roman" w:hAnsi="Times New Roman" w:eastAsia="宋体" w:cs="Times New Roman"/>
                <w:color w:val="auto"/>
                <w:sz w:val="24"/>
                <w:szCs w:val="24"/>
                <w:highlight w:val="none"/>
                <w:lang w:val="en-US" w:eastAsia="zh-CN"/>
              </w:rPr>
              <w:t>满足《环境空气质量标准》（GB3095-2012）中二级标准要求。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2、噪声</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w:t>
            </w:r>
            <w:r>
              <w:rPr>
                <w:rFonts w:hint="eastAsia" w:ascii="Times New Roman" w:hAnsi="Times New Roman" w:eastAsia="宋体" w:cs="Times New Roman"/>
                <w:color w:val="auto"/>
                <w:sz w:val="24"/>
                <w:szCs w:val="24"/>
                <w:highlight w:val="none"/>
                <w:lang w:val="en-US" w:eastAsia="zh-CN"/>
              </w:rPr>
              <w:t>评价委托陕西盾源检测技术有限公司于2022年10月21日~10月23日对项目地噪声进行了监测</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（1）监测时间和监测布点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监测时间：202</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日，分昼间和夜间各监测一次。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监测布点：在东、南、</w:t>
            </w:r>
            <w:r>
              <w:rPr>
                <w:rFonts w:hint="default" w:ascii="Times New Roman" w:hAnsi="Times New Roman" w:eastAsia="宋体" w:cs="Times New Roman"/>
                <w:color w:val="auto"/>
                <w:sz w:val="24"/>
                <w:szCs w:val="24"/>
                <w:highlight w:val="none"/>
                <w:lang w:val="en-US" w:eastAsia="zh-CN"/>
              </w:rPr>
              <w:t>西、</w:t>
            </w:r>
            <w:r>
              <w:rPr>
                <w:rFonts w:hint="default" w:ascii="Times New Roman" w:hAnsi="Times New Roman" w:eastAsia="宋体" w:cs="Times New Roman"/>
                <w:color w:val="auto"/>
                <w:sz w:val="24"/>
                <w:szCs w:val="24"/>
                <w:highlight w:val="none"/>
              </w:rPr>
              <w:t>北厂界</w:t>
            </w:r>
            <w:r>
              <w:rPr>
                <w:rFonts w:hint="default" w:ascii="Times New Roman" w:hAnsi="Times New Roman" w:eastAsia="宋体" w:cs="Times New Roman"/>
                <w:color w:val="auto"/>
                <w:sz w:val="24"/>
                <w:szCs w:val="24"/>
                <w:highlight w:val="none"/>
                <w:lang w:val="en-US" w:eastAsia="zh-CN"/>
              </w:rPr>
              <w:t>及周边敏感点各布设1个监测点，共</w:t>
            </w:r>
            <w:r>
              <w:rPr>
                <w:rFonts w:hint="default" w:ascii="Times New Roman" w:hAnsi="Times New Roman" w:eastAsia="宋体" w:cs="Times New Roman"/>
                <w:color w:val="auto"/>
                <w:sz w:val="24"/>
                <w:szCs w:val="24"/>
                <w:highlight w:val="none"/>
              </w:rPr>
              <w:t>布设</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个监测点，监测布点见附图。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（2）监测结果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项目监测结果见下表。</w:t>
            </w:r>
          </w:p>
          <w:p>
            <w:pPr>
              <w:spacing w:line="360" w:lineRule="auto"/>
              <w:jc w:val="center"/>
              <w:rPr>
                <w:rFonts w:hint="default" w:cs="宋体"/>
                <w:b/>
                <w:color w:val="auto"/>
                <w:szCs w:val="21"/>
                <w:highlight w:val="none"/>
                <w:lang w:val="en-US" w:eastAsia="zh-CN" w:bidi="ar"/>
              </w:rPr>
            </w:pPr>
            <w:r>
              <w:rPr>
                <w:rFonts w:hint="default" w:cs="宋体"/>
                <w:b/>
                <w:color w:val="auto"/>
                <w:szCs w:val="21"/>
                <w:highlight w:val="none"/>
                <w:lang w:val="en-US" w:eastAsia="zh-CN" w:bidi="ar"/>
              </w:rPr>
              <w:t xml:space="preserve">表3-3 声环境质量现状监测结果 </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753"/>
              <w:gridCol w:w="2073"/>
              <w:gridCol w:w="2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2403" w:type="pct"/>
                  <w:gridSpan w:val="2"/>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监测时间</w:t>
                  </w:r>
                </w:p>
              </w:tc>
              <w:tc>
                <w:tcPr>
                  <w:tcW w:w="1570"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标准限值dB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A</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101" w:type="pc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新宋体" w:cs="Times New Roman"/>
                      <w:color w:val="auto"/>
                      <w:sz w:val="21"/>
                      <w:szCs w:val="21"/>
                      <w:highlight w:val="none"/>
                      <w:lang w:val="en-US" w:eastAsia="zh-CN"/>
                    </w:rPr>
                    <w:t>昼间</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A</w:t>
                  </w:r>
                  <w:r>
                    <w:rPr>
                      <w:rFonts w:hint="eastAsia" w:ascii="Times New Roman" w:hAnsi="Times New Roman" w:eastAsia="宋体" w:cs="Times New Roman"/>
                      <w:color w:val="auto"/>
                      <w:sz w:val="21"/>
                      <w:szCs w:val="21"/>
                      <w:highlight w:val="none"/>
                      <w:lang w:val="en-US" w:eastAsia="zh-CN"/>
                    </w:rPr>
                    <w:t>)）</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新宋体" w:cs="Times New Roman"/>
                      <w:color w:val="auto"/>
                      <w:sz w:val="21"/>
                      <w:szCs w:val="21"/>
                      <w:highlight w:val="none"/>
                      <w:lang w:val="en-US" w:eastAsia="zh-CN"/>
                    </w:rPr>
                    <w:t>夜间</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A</w:t>
                  </w:r>
                  <w:r>
                    <w:rPr>
                      <w:rFonts w:hint="eastAsia" w:ascii="Times New Roman" w:hAnsi="Times New Roman" w:eastAsia="宋体" w:cs="Times New Roman"/>
                      <w:color w:val="auto"/>
                      <w:sz w:val="21"/>
                      <w:szCs w:val="21"/>
                      <w:highlight w:val="none"/>
                      <w:lang w:val="en-US" w:eastAsia="zh-CN"/>
                    </w:rPr>
                    <w:t>)）</w:t>
                  </w:r>
                </w:p>
              </w:tc>
              <w:tc>
                <w:tcPr>
                  <w:tcW w:w="1570"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5" w:type="pc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新宋体" w:cs="Times New Roman"/>
                      <w:color w:val="auto"/>
                      <w:sz w:val="21"/>
                      <w:szCs w:val="21"/>
                      <w:highlight w:val="none"/>
                      <w:lang w:val="en-US" w:eastAsia="zh-CN"/>
                    </w:rPr>
                    <w:t>厂界</w:t>
                  </w:r>
                  <w:r>
                    <w:rPr>
                      <w:rFonts w:hint="eastAsia" w:eastAsia="新宋体" w:cs="Times New Roman"/>
                      <w:color w:val="auto"/>
                      <w:sz w:val="21"/>
                      <w:szCs w:val="21"/>
                      <w:highlight w:val="none"/>
                      <w:lang w:val="en-US" w:eastAsia="zh-CN"/>
                    </w:rPr>
                    <w:t>东N1</w:t>
                  </w:r>
                </w:p>
              </w:tc>
              <w:tc>
                <w:tcPr>
                  <w:tcW w:w="1101" w:type="pct"/>
                  <w:noWrap w:val="0"/>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vertAlign w:val="baseline"/>
                      <w:lang w:val="en-US" w:eastAsia="zh-CN" w:bidi="ar-SA"/>
                    </w:rPr>
                    <w:t>58</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1570"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昼间：60</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夜间：50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25" w:type="pc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新宋体" w:cs="Times New Roman"/>
                      <w:color w:val="auto"/>
                      <w:kern w:val="2"/>
                      <w:sz w:val="21"/>
                      <w:szCs w:val="21"/>
                      <w:highlight w:val="none"/>
                      <w:lang w:val="en-US" w:eastAsia="zh-CN" w:bidi="ar-SA"/>
                    </w:rPr>
                    <w:t>厂界南N2</w:t>
                  </w:r>
                </w:p>
              </w:tc>
              <w:tc>
                <w:tcPr>
                  <w:tcW w:w="1101" w:type="pct"/>
                  <w:noWrap w:val="0"/>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vertAlign w:val="baseline"/>
                      <w:lang w:val="en-US" w:eastAsia="zh-CN" w:bidi="ar-SA"/>
                    </w:rPr>
                    <w:t>63</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1570"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r>
                    <w:rPr>
                      <w:rFonts w:hint="eastAsia" w:ascii="Times New Roman" w:hAnsi="Times New Roman" w:eastAsia="宋体" w:cs="Times New Roman"/>
                      <w:color w:val="auto"/>
                      <w:sz w:val="21"/>
                      <w:szCs w:val="21"/>
                      <w:highlight w:val="none"/>
                      <w:lang w:val="en-US" w:eastAsia="zh-CN"/>
                    </w:rPr>
                    <w:t>70</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夜间：</w:t>
                  </w:r>
                  <w:r>
                    <w:rPr>
                      <w:rFonts w:hint="eastAsia" w:ascii="Times New Roman" w:hAnsi="Times New Roman" w:eastAsia="宋体" w:cs="Times New Roman"/>
                      <w:color w:val="auto"/>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5" w:type="pc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新宋体" w:cs="Times New Roman"/>
                      <w:color w:val="auto"/>
                      <w:kern w:val="2"/>
                      <w:sz w:val="21"/>
                      <w:szCs w:val="21"/>
                      <w:highlight w:val="none"/>
                      <w:lang w:val="en-US" w:eastAsia="zh-CN" w:bidi="ar-SA"/>
                    </w:rPr>
                    <w:t>厂界西N3</w:t>
                  </w:r>
                </w:p>
              </w:tc>
              <w:tc>
                <w:tcPr>
                  <w:tcW w:w="1101" w:type="pct"/>
                  <w:noWrap w:val="0"/>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vertAlign w:val="baseline"/>
                      <w:lang w:val="en-US" w:eastAsia="zh-CN" w:bidi="ar-SA"/>
                    </w:rPr>
                    <w:t>59</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1570"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昼间：60</w:t>
                  </w:r>
                </w:p>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夜间：50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025" w:type="pc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新宋体" w:cs="Times New Roman"/>
                      <w:color w:val="auto"/>
                      <w:kern w:val="2"/>
                      <w:sz w:val="21"/>
                      <w:szCs w:val="21"/>
                      <w:highlight w:val="none"/>
                      <w:lang w:val="en-US" w:eastAsia="zh-CN" w:bidi="ar-SA"/>
                    </w:rPr>
                    <w:t>厂界北N5</w:t>
                  </w:r>
                </w:p>
              </w:tc>
              <w:tc>
                <w:tcPr>
                  <w:tcW w:w="1101" w:type="pct"/>
                  <w:noWrap w:val="0"/>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宋体" w:hAnsi="Calibri"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58</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rPr>
                      <w:rFonts w:hint="default" w:ascii="Times New Roman" w:hAnsi="Times New Roman" w:eastAsia="新宋体" w:cs="Times New Roman"/>
                      <w:color w:val="auto"/>
                      <w:kern w:val="2"/>
                      <w:sz w:val="21"/>
                      <w:szCs w:val="21"/>
                      <w:highlight w:val="none"/>
                      <w:lang w:val="en-US" w:eastAsia="zh-CN" w:bidi="ar-SA"/>
                    </w:rPr>
                  </w:pPr>
                  <w:r>
                    <w:rPr>
                      <w:rFonts w:hint="eastAsia" w:eastAsia="新宋体" w:cs="Times New Roman"/>
                      <w:color w:val="auto"/>
                      <w:sz w:val="21"/>
                      <w:szCs w:val="21"/>
                      <w:highlight w:val="none"/>
                      <w:lang w:val="en-US" w:eastAsia="zh-CN"/>
                    </w:rPr>
                    <w:t>48</w:t>
                  </w:r>
                </w:p>
              </w:tc>
              <w:tc>
                <w:tcPr>
                  <w:tcW w:w="1570"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25" w:type="pc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新宋体" w:cs="Times New Roman"/>
                      <w:color w:val="auto"/>
                      <w:kern w:val="2"/>
                      <w:sz w:val="21"/>
                      <w:szCs w:val="21"/>
                      <w:highlight w:val="none"/>
                      <w:lang w:val="en-US" w:eastAsia="zh-CN" w:bidi="ar-SA"/>
                    </w:rPr>
                    <w:t>石桥村N4</w:t>
                  </w:r>
                </w:p>
              </w:tc>
              <w:tc>
                <w:tcPr>
                  <w:tcW w:w="1101" w:type="pct"/>
                  <w:noWrap w:val="0"/>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58</w:t>
                  </w:r>
                </w:p>
              </w:tc>
              <w:tc>
                <w:tcPr>
                  <w:tcW w:w="1302" w:type="pc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rPr>
                      <w:rFonts w:hint="eastAsia" w:eastAsia="新宋体" w:cs="Times New Roman"/>
                      <w:color w:val="auto"/>
                      <w:sz w:val="21"/>
                      <w:szCs w:val="21"/>
                      <w:highlight w:val="none"/>
                      <w:lang w:val="en-US" w:eastAsia="zh-CN"/>
                    </w:rPr>
                  </w:pPr>
                  <w:r>
                    <w:rPr>
                      <w:rFonts w:hint="eastAsia" w:eastAsia="新宋体" w:cs="Times New Roman"/>
                      <w:color w:val="auto"/>
                      <w:sz w:val="21"/>
                      <w:szCs w:val="21"/>
                      <w:highlight w:val="none"/>
                      <w:lang w:val="en-US" w:eastAsia="zh-CN"/>
                    </w:rPr>
                    <w:t>46</w:t>
                  </w:r>
                </w:p>
              </w:tc>
              <w:tc>
                <w:tcPr>
                  <w:tcW w:w="1570"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r>
          </w:tbl>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根据监测结果可知，本</w:t>
            </w:r>
            <w:r>
              <w:rPr>
                <w:rFonts w:hint="eastAsia" w:cs="Times New Roman"/>
                <w:color w:val="auto"/>
                <w:sz w:val="24"/>
                <w:szCs w:val="24"/>
                <w:highlight w:val="none"/>
                <w:lang w:val="en-US" w:eastAsia="zh-CN"/>
              </w:rPr>
              <w:t>项目东、西、北厂界</w:t>
            </w:r>
            <w:r>
              <w:rPr>
                <w:rFonts w:hint="eastAsia" w:ascii="Times New Roman" w:hAnsi="Times New Roman" w:eastAsia="宋体" w:cs="Times New Roman"/>
                <w:color w:val="auto"/>
                <w:sz w:val="24"/>
                <w:szCs w:val="24"/>
                <w:highlight w:val="none"/>
                <w:lang w:val="en-US" w:eastAsia="zh-CN"/>
              </w:rPr>
              <w:t>噪声满足《环境空气质量标准》（GB3095-2012）中2类</w:t>
            </w:r>
            <w:r>
              <w:rPr>
                <w:rFonts w:hint="eastAsia"/>
                <w:color w:val="auto"/>
                <w:highlight w:val="none"/>
                <w:lang w:eastAsia="zh-CN"/>
              </w:rPr>
              <w:t>标</w:t>
            </w:r>
            <w:r>
              <w:rPr>
                <w:rFonts w:hint="eastAsia" w:ascii="Times New Roman" w:hAnsi="Times New Roman" w:eastAsia="宋体" w:cs="Times New Roman"/>
                <w:color w:val="auto"/>
                <w:sz w:val="24"/>
                <w:szCs w:val="24"/>
                <w:highlight w:val="none"/>
                <w:lang w:val="en-US" w:eastAsia="zh-CN"/>
              </w:rPr>
              <w:t>准要求</w:t>
            </w:r>
            <w:r>
              <w:rPr>
                <w:rFonts w:hint="eastAsia" w:cs="Times New Roman"/>
                <w:color w:val="auto"/>
                <w:sz w:val="24"/>
                <w:szCs w:val="24"/>
                <w:highlight w:val="none"/>
                <w:lang w:val="en-US" w:eastAsia="zh-CN"/>
              </w:rPr>
              <w:t>，厂界南侧紧邻咸铜铁路，厂界南侧噪声监测值</w:t>
            </w:r>
            <w:r>
              <w:rPr>
                <w:rFonts w:hint="eastAsia" w:ascii="Times New Roman" w:hAnsi="Times New Roman" w:eastAsia="宋体" w:cs="Times New Roman"/>
                <w:color w:val="auto"/>
                <w:sz w:val="24"/>
                <w:szCs w:val="24"/>
                <w:highlight w:val="none"/>
                <w:lang w:val="en-US" w:eastAsia="zh-CN"/>
              </w:rPr>
              <w:t>满足《环境空气质量标准》（GB3095-2012）中4</w:t>
            </w:r>
            <w:r>
              <w:rPr>
                <w:rFonts w:hint="eastAsia"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lang w:val="en-US" w:eastAsia="zh-CN"/>
              </w:rPr>
              <w:t>类标准</w:t>
            </w:r>
            <w:r>
              <w:rPr>
                <w:rFonts w:hint="eastAsia" w:cs="Times New Roman"/>
                <w:color w:val="auto"/>
                <w:sz w:val="24"/>
                <w:szCs w:val="24"/>
                <w:highlight w:val="none"/>
                <w:lang w:val="en-US" w:eastAsia="zh-CN"/>
              </w:rPr>
              <w:t>。敏感点（石桥村）噪声监测值</w:t>
            </w:r>
            <w:r>
              <w:rPr>
                <w:rFonts w:hint="eastAsia" w:ascii="Times New Roman" w:hAnsi="Times New Roman" w:eastAsia="宋体" w:cs="Times New Roman"/>
                <w:color w:val="auto"/>
                <w:sz w:val="24"/>
                <w:szCs w:val="24"/>
                <w:highlight w:val="none"/>
                <w:lang w:val="en-US" w:eastAsia="zh-CN"/>
              </w:rPr>
              <w:t>噪声满足《环境空气质量标准》（GB3095-2012）中2类准要求。</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地下水环</w:t>
            </w:r>
            <w:r>
              <w:rPr>
                <w:rFonts w:hint="eastAsia" w:cs="Times New Roman"/>
                <w:color w:val="auto"/>
                <w:kern w:val="0"/>
                <w:sz w:val="24"/>
                <w:szCs w:val="24"/>
                <w:highlight w:val="none"/>
                <w:lang w:val="en-US" w:eastAsia="zh-CN" w:bidi="ar-SA"/>
              </w:rPr>
              <w:t>境</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根据《环境影响评价技术导则 地下水环境》（HJ610-2016）中的附录A“地下水环境影响评价行业分类表”，该项目属于“J 非金属矿采选及制品制造”中的“60 砼结构构件制造、商品混凝土加工”。项目属于Ⅳ类建设项目， 因此不需开展地下水环境影响评价。</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eastAsia"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4、土壤环境</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 w:val="24"/>
                <w:highlight w:val="none"/>
                <w:lang w:val="en-US" w:eastAsia="zh-CN"/>
              </w:rPr>
              <w:t>根据《建设项目环境影响报告表编制技术指南》（污染影响类）（试行）中“原则上不开展环境质量现状调查。建设项目存在土壤、地下水环境污染途径的，应结合污染源、保护目标分布情况开展现状调查以留作背景值”要求，本项目租赁厂房进行建设，地面进行硬化，从源头减少了项目对土壤的污染，本次评价不进行土壤环境质量进行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目标</w:t>
            </w:r>
          </w:p>
        </w:tc>
        <w:tc>
          <w:tcPr>
            <w:tcW w:w="81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1、大气环境保护目标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据调查</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本项目周边500m范围内大气环境</w:t>
            </w:r>
            <w:r>
              <w:rPr>
                <w:rFonts w:hint="eastAsia" w:ascii="Times New Roman" w:hAnsi="Times New Roman" w:eastAsia="宋体" w:cs="Times New Roman"/>
                <w:color w:val="auto"/>
                <w:kern w:val="0"/>
                <w:sz w:val="24"/>
                <w:szCs w:val="24"/>
                <w:highlight w:val="none"/>
                <w:lang w:val="en-US" w:eastAsia="zh-CN" w:bidi="ar-SA"/>
              </w:rPr>
              <w:t>保护目标情况如下表所示</w:t>
            </w:r>
            <w:r>
              <w:rPr>
                <w:rFonts w:hint="default" w:ascii="Times New Roman" w:hAnsi="Times New Roman" w:eastAsia="宋体" w:cs="Times New Roman"/>
                <w:color w:val="auto"/>
                <w:kern w:val="0"/>
                <w:sz w:val="24"/>
                <w:szCs w:val="24"/>
                <w:highlight w:val="none"/>
                <w:lang w:val="en-US" w:eastAsia="zh-CN" w:bidi="ar-SA"/>
              </w:rPr>
              <w:t>。</w:t>
            </w:r>
          </w:p>
          <w:p>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表3-4 </w:t>
            </w:r>
            <w:r>
              <w:rPr>
                <w:rFonts w:hint="eastAsia" w:cs="Times New Roman"/>
                <w:color w:val="auto"/>
                <w:sz w:val="21"/>
                <w:szCs w:val="21"/>
                <w:highlight w:val="none"/>
                <w:lang w:val="en-US" w:eastAsia="zh-CN"/>
              </w:rPr>
              <w:t>大气</w:t>
            </w:r>
            <w:r>
              <w:rPr>
                <w:rFonts w:hint="eastAsia" w:ascii="Times New Roman" w:hAnsi="Times New Roman" w:eastAsia="宋体" w:cs="Times New Roman"/>
                <w:color w:val="auto"/>
                <w:sz w:val="21"/>
                <w:szCs w:val="21"/>
                <w:highlight w:val="none"/>
                <w:lang w:val="en-US" w:eastAsia="zh-CN"/>
              </w:rPr>
              <w:t>环境保护目标情况</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933"/>
              <w:gridCol w:w="1673"/>
              <w:gridCol w:w="1528"/>
              <w:gridCol w:w="545"/>
              <w:gridCol w:w="709"/>
              <w:gridCol w:w="696"/>
              <w:gridCol w:w="1036"/>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55"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bookmarkStart w:id="6" w:name="_Hlk530670226"/>
                  <w:r>
                    <w:rPr>
                      <w:rFonts w:hint="eastAsia" w:ascii="Times New Roman" w:hAnsi="Times New Roman" w:eastAsia="宋体" w:cs="Times New Roman"/>
                      <w:color w:val="auto"/>
                      <w:sz w:val="21"/>
                      <w:szCs w:val="21"/>
                      <w:highlight w:val="none"/>
                      <w:lang w:val="en-US" w:eastAsia="zh-CN"/>
                    </w:rPr>
                    <w:t>类别</w:t>
                  </w:r>
                </w:p>
              </w:tc>
              <w:tc>
                <w:tcPr>
                  <w:tcW w:w="585"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名称</w:t>
                  </w:r>
                </w:p>
              </w:tc>
              <w:tc>
                <w:tcPr>
                  <w:tcW w:w="2009" w:type="pct"/>
                  <w:gridSpan w:val="2"/>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坐标</w:t>
                  </w:r>
                </w:p>
              </w:tc>
              <w:tc>
                <w:tcPr>
                  <w:tcW w:w="342"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方位</w:t>
                  </w:r>
                </w:p>
              </w:tc>
              <w:tc>
                <w:tcPr>
                  <w:tcW w:w="445"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距离（</w:t>
                  </w:r>
                  <w:r>
                    <w:rPr>
                      <w:rFonts w:hint="eastAsia"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lang w:val="en-US" w:eastAsia="zh-CN"/>
                    </w:rPr>
                    <w:t>）</w:t>
                  </w:r>
                </w:p>
              </w:tc>
              <w:tc>
                <w:tcPr>
                  <w:tcW w:w="436"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人数</w:t>
                  </w:r>
                </w:p>
              </w:tc>
              <w:tc>
                <w:tcPr>
                  <w:tcW w:w="650"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保护级别</w:t>
                  </w:r>
                </w:p>
              </w:tc>
              <w:tc>
                <w:tcPr>
                  <w:tcW w:w="274"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保护对象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55"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color w:val="auto"/>
                      <w:highlight w:val="none"/>
                    </w:rPr>
                  </w:pPr>
                </w:p>
              </w:tc>
              <w:tc>
                <w:tcPr>
                  <w:tcW w:w="585"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color w:val="auto"/>
                      <w:highlight w:val="none"/>
                    </w:rPr>
                  </w:pPr>
                </w:p>
              </w:tc>
              <w:tc>
                <w:tcPr>
                  <w:tcW w:w="1050"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color w:val="auto"/>
                      <w:sz w:val="21"/>
                      <w:szCs w:val="22"/>
                      <w:highlight w:val="none"/>
                    </w:rPr>
                  </w:pPr>
                  <w:r>
                    <w:rPr>
                      <w:rFonts w:hint="eastAsia"/>
                      <w:color w:val="auto"/>
                      <w:sz w:val="21"/>
                      <w:szCs w:val="22"/>
                      <w:highlight w:val="none"/>
                      <w:lang w:val="en-US" w:eastAsia="zh-CN"/>
                    </w:rPr>
                    <w:t>东经</w:t>
                  </w:r>
                </w:p>
              </w:tc>
              <w:tc>
                <w:tcPr>
                  <w:tcW w:w="959"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color w:val="auto"/>
                      <w:sz w:val="21"/>
                      <w:szCs w:val="22"/>
                      <w:highlight w:val="none"/>
                    </w:rPr>
                  </w:pPr>
                  <w:r>
                    <w:rPr>
                      <w:rFonts w:hint="eastAsia"/>
                      <w:color w:val="auto"/>
                      <w:sz w:val="21"/>
                      <w:szCs w:val="22"/>
                      <w:highlight w:val="none"/>
                      <w:lang w:val="en-US" w:eastAsia="zh-CN"/>
                    </w:rPr>
                    <w:t>北纬</w:t>
                  </w:r>
                </w:p>
              </w:tc>
              <w:tc>
                <w:tcPr>
                  <w:tcW w:w="342"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color w:val="auto"/>
                      <w:highlight w:val="none"/>
                    </w:rPr>
                  </w:pPr>
                </w:p>
              </w:tc>
              <w:tc>
                <w:tcPr>
                  <w:tcW w:w="445"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color w:val="auto"/>
                      <w:highlight w:val="none"/>
                    </w:rPr>
                  </w:pPr>
                </w:p>
              </w:tc>
              <w:tc>
                <w:tcPr>
                  <w:tcW w:w="436"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color w:val="auto"/>
                      <w:highlight w:val="none"/>
                    </w:rPr>
                  </w:pPr>
                </w:p>
              </w:tc>
              <w:tc>
                <w:tcPr>
                  <w:tcW w:w="650"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color w:val="auto"/>
                      <w:highlight w:val="none"/>
                    </w:rPr>
                  </w:pPr>
                </w:p>
              </w:tc>
              <w:tc>
                <w:tcPr>
                  <w:tcW w:w="274"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w:t>
                  </w:r>
                </w:p>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空气</w:t>
                  </w:r>
                </w:p>
              </w:tc>
              <w:tc>
                <w:tcPr>
                  <w:tcW w:w="585"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石桥村</w:t>
                  </w:r>
                </w:p>
              </w:tc>
              <w:tc>
                <w:tcPr>
                  <w:tcW w:w="1050"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108.7917443°</w:t>
                  </w:r>
                </w:p>
              </w:tc>
              <w:tc>
                <w:tcPr>
                  <w:tcW w:w="959"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34.3843762°</w:t>
                  </w:r>
                </w:p>
              </w:tc>
              <w:tc>
                <w:tcPr>
                  <w:tcW w:w="342"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西</w:t>
                  </w:r>
                </w:p>
              </w:tc>
              <w:tc>
                <w:tcPr>
                  <w:tcW w:w="445"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w:t>
                  </w:r>
                </w:p>
              </w:tc>
              <w:tc>
                <w:tcPr>
                  <w:tcW w:w="436"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r>
                    <w:rPr>
                      <w:rFonts w:hint="eastAsia" w:cs="Times New Roman"/>
                      <w:color w:val="auto"/>
                      <w:sz w:val="21"/>
                      <w:szCs w:val="21"/>
                      <w:highlight w:val="none"/>
                      <w:lang w:val="en-US" w:eastAsia="zh-CN"/>
                    </w:rPr>
                    <w:t>人</w:t>
                  </w:r>
                </w:p>
              </w:tc>
              <w:tc>
                <w:tcPr>
                  <w:tcW w:w="650"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《环境空气质量标准》（GB3095-2012）二级标准</w:t>
                  </w:r>
                </w:p>
              </w:tc>
              <w:tc>
                <w:tcPr>
                  <w:tcW w:w="274"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居民</w:t>
                  </w:r>
                  <w:r>
                    <w:rPr>
                      <w:rFonts w:hint="eastAsia"/>
                      <w:color w:val="auto"/>
                      <w:highlight w:val="none"/>
                      <w:lang w:eastAsia="zh-CN"/>
                    </w:rPr>
                    <w:t>、</w:t>
                  </w:r>
                  <w:r>
                    <w:rPr>
                      <w:rFonts w:hint="eastAsia" w:ascii="Times New Roman" w:hAnsi="Times New Roman" w:eastAsia="宋体" w:cs="Times New Roman"/>
                      <w:color w:val="auto"/>
                      <w:sz w:val="21"/>
                      <w:szCs w:val="21"/>
                      <w:highlight w:val="none"/>
                      <w:lang w:val="en-US" w:eastAsia="zh-CN"/>
                    </w:rPr>
                    <w:t>学校</w:t>
                  </w:r>
                </w:p>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85"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渭城启航幼儿园</w:t>
                  </w:r>
                </w:p>
              </w:tc>
              <w:tc>
                <w:tcPr>
                  <w:tcW w:w="1050"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108.7911245°</w:t>
                  </w:r>
                </w:p>
              </w:tc>
              <w:tc>
                <w:tcPr>
                  <w:tcW w:w="959"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34.3814640°</w:t>
                  </w:r>
                </w:p>
              </w:tc>
              <w:tc>
                <w:tcPr>
                  <w:tcW w:w="342"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w:t>
                  </w:r>
                  <w:r>
                    <w:rPr>
                      <w:rFonts w:hint="eastAsia" w:ascii="Times New Roman" w:hAnsi="Times New Roman" w:eastAsia="宋体" w:cs="Times New Roman"/>
                      <w:color w:val="auto"/>
                      <w:sz w:val="21"/>
                      <w:szCs w:val="21"/>
                      <w:highlight w:val="none"/>
                      <w:lang w:val="en-US" w:eastAsia="zh-CN"/>
                    </w:rPr>
                    <w:t>南</w:t>
                  </w:r>
                </w:p>
              </w:tc>
              <w:tc>
                <w:tcPr>
                  <w:tcW w:w="445"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00</w:t>
                  </w:r>
                </w:p>
              </w:tc>
              <w:tc>
                <w:tcPr>
                  <w:tcW w:w="436"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c>
                <w:tcPr>
                  <w:tcW w:w="650"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4"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85"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幼优乐幼儿园</w:t>
                  </w:r>
                </w:p>
              </w:tc>
              <w:tc>
                <w:tcPr>
                  <w:tcW w:w="1050"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108.7888113°</w:t>
                  </w:r>
                </w:p>
              </w:tc>
              <w:tc>
                <w:tcPr>
                  <w:tcW w:w="959"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34.3806150°</w:t>
                  </w:r>
                </w:p>
              </w:tc>
              <w:tc>
                <w:tcPr>
                  <w:tcW w:w="342"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w:t>
                  </w:r>
                </w:p>
              </w:tc>
              <w:tc>
                <w:tcPr>
                  <w:tcW w:w="445"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479</w:t>
                  </w:r>
                </w:p>
              </w:tc>
              <w:tc>
                <w:tcPr>
                  <w:tcW w:w="436"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c>
                <w:tcPr>
                  <w:tcW w:w="650"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4"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85"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渭阳佳苑（在建）</w:t>
                  </w:r>
                </w:p>
              </w:tc>
              <w:tc>
                <w:tcPr>
                  <w:tcW w:w="1050"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108.7946278°</w:t>
                  </w:r>
                </w:p>
              </w:tc>
              <w:tc>
                <w:tcPr>
                  <w:tcW w:w="959"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34.3844283°</w:t>
                  </w:r>
                </w:p>
              </w:tc>
              <w:tc>
                <w:tcPr>
                  <w:tcW w:w="342"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东、东北</w:t>
                  </w:r>
                </w:p>
              </w:tc>
              <w:tc>
                <w:tcPr>
                  <w:tcW w:w="445"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紧邻</w:t>
                  </w:r>
                </w:p>
              </w:tc>
              <w:tc>
                <w:tcPr>
                  <w:tcW w:w="436"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600</w:t>
                  </w:r>
                </w:p>
              </w:tc>
              <w:tc>
                <w:tcPr>
                  <w:tcW w:w="650"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4"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r>
            <w:bookmarkEnd w:id="6"/>
          </w:tbl>
          <w:p>
            <w:pPr>
              <w:keepNext w:val="0"/>
              <w:keepLines w:val="0"/>
              <w:pageBreakBefore w:val="0"/>
              <w:widowControl w:val="0"/>
              <w:numPr>
                <w:ilvl w:val="-1"/>
                <w:numId w:val="0"/>
              </w:numPr>
              <w:kinsoku/>
              <w:wordWrap w:val="0"/>
              <w:overflowPunct/>
              <w:topLinePunct w:val="0"/>
              <w:autoSpaceDE/>
              <w:autoSpaceDN/>
              <w:bidi w:val="0"/>
              <w:adjustRightInd w:val="0"/>
              <w:snapToGrid w:val="0"/>
              <w:spacing w:line="360" w:lineRule="auto"/>
              <w:ind w:left="420" w:leftChars="200" w:firstLine="0" w:firstLineChars="0"/>
              <w:jc w:val="left"/>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噪声环境保护目标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据调查</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本项目周边50m范围内</w:t>
            </w:r>
            <w:r>
              <w:rPr>
                <w:rFonts w:hint="eastAsia" w:cs="Times New Roman"/>
                <w:color w:val="auto"/>
                <w:kern w:val="0"/>
                <w:sz w:val="24"/>
                <w:szCs w:val="24"/>
                <w:highlight w:val="none"/>
                <w:lang w:val="en-US" w:eastAsia="zh-CN" w:bidi="ar-SA"/>
              </w:rPr>
              <w:t>声</w:t>
            </w:r>
            <w:r>
              <w:rPr>
                <w:rFonts w:hint="default" w:ascii="Times New Roman" w:hAnsi="Times New Roman" w:eastAsia="宋体" w:cs="Times New Roman"/>
                <w:color w:val="auto"/>
                <w:kern w:val="0"/>
                <w:sz w:val="24"/>
                <w:szCs w:val="24"/>
                <w:highlight w:val="none"/>
                <w:lang w:val="en-US" w:eastAsia="zh-CN" w:bidi="ar-SA"/>
              </w:rPr>
              <w:t>环境</w:t>
            </w:r>
            <w:r>
              <w:rPr>
                <w:rFonts w:hint="eastAsia" w:ascii="Times New Roman" w:hAnsi="Times New Roman" w:eastAsia="宋体" w:cs="Times New Roman"/>
                <w:color w:val="auto"/>
                <w:kern w:val="0"/>
                <w:sz w:val="24"/>
                <w:szCs w:val="24"/>
                <w:highlight w:val="none"/>
                <w:lang w:val="en-US" w:eastAsia="zh-CN" w:bidi="ar-SA"/>
              </w:rPr>
              <w:t>保护目标情况如下表所示</w:t>
            </w:r>
            <w:r>
              <w:rPr>
                <w:rFonts w:hint="default" w:ascii="Times New Roman" w:hAnsi="Times New Roman" w:eastAsia="宋体" w:cs="Times New Roman"/>
                <w:color w:val="auto"/>
                <w:kern w:val="0"/>
                <w:sz w:val="24"/>
                <w:szCs w:val="24"/>
                <w:highlight w:val="none"/>
                <w:lang w:val="en-US" w:eastAsia="zh-CN" w:bidi="ar-SA"/>
              </w:rPr>
              <w:t>。</w:t>
            </w:r>
          </w:p>
          <w:p>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表3-5  声环境保护目标情况</w:t>
            </w:r>
          </w:p>
          <w:tbl>
            <w:tblPr>
              <w:tblStyle w:val="29"/>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928"/>
              <w:gridCol w:w="1557"/>
              <w:gridCol w:w="1448"/>
              <w:gridCol w:w="682"/>
              <w:gridCol w:w="694"/>
              <w:gridCol w:w="627"/>
              <w:gridCol w:w="1186"/>
              <w:gridCol w:w="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5"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类别</w:t>
                  </w:r>
                </w:p>
              </w:tc>
              <w:tc>
                <w:tcPr>
                  <w:tcW w:w="583"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名称</w:t>
                  </w:r>
                </w:p>
              </w:tc>
              <w:tc>
                <w:tcPr>
                  <w:tcW w:w="1889" w:type="pct"/>
                  <w:gridSpan w:val="2"/>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坐标</w:t>
                  </w:r>
                </w:p>
              </w:tc>
              <w:tc>
                <w:tcPr>
                  <w:tcW w:w="428"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方位</w:t>
                  </w:r>
                </w:p>
              </w:tc>
              <w:tc>
                <w:tcPr>
                  <w:tcW w:w="436"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距离（</w:t>
                  </w:r>
                  <w:r>
                    <w:rPr>
                      <w:rFonts w:hint="eastAsia"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lang w:val="en-US" w:eastAsia="zh-CN"/>
                    </w:rPr>
                    <w:t>）</w:t>
                  </w:r>
                </w:p>
              </w:tc>
              <w:tc>
                <w:tcPr>
                  <w:tcW w:w="394"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人数</w:t>
                  </w:r>
                </w:p>
              </w:tc>
              <w:tc>
                <w:tcPr>
                  <w:tcW w:w="745"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保护级别</w:t>
                  </w:r>
                </w:p>
              </w:tc>
              <w:tc>
                <w:tcPr>
                  <w:tcW w:w="277"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保护对象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5"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color w:val="auto"/>
                      <w:highlight w:val="none"/>
                    </w:rPr>
                  </w:pPr>
                </w:p>
              </w:tc>
              <w:tc>
                <w:tcPr>
                  <w:tcW w:w="583"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color w:val="auto"/>
                      <w:highlight w:val="none"/>
                    </w:rPr>
                  </w:pPr>
                </w:p>
              </w:tc>
              <w:tc>
                <w:tcPr>
                  <w:tcW w:w="978"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color w:val="auto"/>
                      <w:highlight w:val="none"/>
                    </w:rPr>
                  </w:pPr>
                  <w:r>
                    <w:rPr>
                      <w:rFonts w:hint="eastAsia"/>
                      <w:color w:val="auto"/>
                      <w:sz w:val="21"/>
                      <w:szCs w:val="22"/>
                      <w:highlight w:val="none"/>
                      <w:lang w:val="en-US" w:eastAsia="zh-CN"/>
                    </w:rPr>
                    <w:t>东经</w:t>
                  </w:r>
                </w:p>
              </w:tc>
              <w:tc>
                <w:tcPr>
                  <w:tcW w:w="910"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color w:val="auto"/>
                      <w:highlight w:val="none"/>
                    </w:rPr>
                  </w:pPr>
                  <w:r>
                    <w:rPr>
                      <w:rFonts w:hint="eastAsia"/>
                      <w:color w:val="auto"/>
                      <w:sz w:val="21"/>
                      <w:szCs w:val="22"/>
                      <w:highlight w:val="none"/>
                      <w:lang w:val="en-US" w:eastAsia="zh-CN"/>
                    </w:rPr>
                    <w:t>北纬</w:t>
                  </w:r>
                </w:p>
              </w:tc>
              <w:tc>
                <w:tcPr>
                  <w:tcW w:w="428"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color w:val="auto"/>
                      <w:highlight w:val="none"/>
                    </w:rPr>
                  </w:pPr>
                </w:p>
              </w:tc>
              <w:tc>
                <w:tcPr>
                  <w:tcW w:w="436"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color w:val="auto"/>
                      <w:highlight w:val="none"/>
                    </w:rPr>
                  </w:pPr>
                </w:p>
              </w:tc>
              <w:tc>
                <w:tcPr>
                  <w:tcW w:w="394"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color w:val="auto"/>
                      <w:highlight w:val="none"/>
                    </w:rPr>
                  </w:pPr>
                </w:p>
              </w:tc>
              <w:tc>
                <w:tcPr>
                  <w:tcW w:w="745"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color w:val="auto"/>
                      <w:highlight w:val="none"/>
                    </w:rPr>
                  </w:pPr>
                </w:p>
              </w:tc>
              <w:tc>
                <w:tcPr>
                  <w:tcW w:w="277"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5"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声环境</w:t>
                  </w:r>
                </w:p>
              </w:tc>
              <w:tc>
                <w:tcPr>
                  <w:tcW w:w="583"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石桥村</w:t>
                  </w:r>
                </w:p>
              </w:tc>
              <w:tc>
                <w:tcPr>
                  <w:tcW w:w="978"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108.7917443°</w:t>
                  </w:r>
                </w:p>
              </w:tc>
              <w:tc>
                <w:tcPr>
                  <w:tcW w:w="910"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34.3843762°</w:t>
                  </w:r>
                </w:p>
              </w:tc>
              <w:tc>
                <w:tcPr>
                  <w:tcW w:w="428"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西</w:t>
                  </w:r>
                </w:p>
              </w:tc>
              <w:tc>
                <w:tcPr>
                  <w:tcW w:w="436"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w:t>
                  </w:r>
                </w:p>
              </w:tc>
              <w:tc>
                <w:tcPr>
                  <w:tcW w:w="394"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745"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《声环境质量标准》（GB3096-2008）</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类标准</w:t>
                  </w:r>
                </w:p>
              </w:tc>
              <w:tc>
                <w:tcPr>
                  <w:tcW w:w="277" w:type="pct"/>
                  <w:vMerge w:val="restar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居民</w:t>
                  </w:r>
                </w:p>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5"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83"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渭阳佳苑（在建）</w:t>
                  </w:r>
                </w:p>
              </w:tc>
              <w:tc>
                <w:tcPr>
                  <w:tcW w:w="978"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108.7946278°</w:t>
                  </w:r>
                </w:p>
              </w:tc>
              <w:tc>
                <w:tcPr>
                  <w:tcW w:w="910"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34.3844283°</w:t>
                  </w:r>
                </w:p>
              </w:tc>
              <w:tc>
                <w:tcPr>
                  <w:tcW w:w="428"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东、东北</w:t>
                  </w:r>
                </w:p>
              </w:tc>
              <w:tc>
                <w:tcPr>
                  <w:tcW w:w="436"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紧邻</w:t>
                  </w:r>
                </w:p>
              </w:tc>
              <w:tc>
                <w:tcPr>
                  <w:tcW w:w="394" w:type="pct"/>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600</w:t>
                  </w:r>
                </w:p>
              </w:tc>
              <w:tc>
                <w:tcPr>
                  <w:tcW w:w="745"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7" w:type="pct"/>
                  <w:vMerge w:val="continue"/>
                  <w:noWrap w:val="0"/>
                  <w:vAlign w:val="center"/>
                </w:tcPr>
                <w:p>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r>
          </w:tbl>
          <w:p>
            <w:pPr>
              <w:pStyle w:val="63"/>
              <w:keepNext w:val="0"/>
              <w:keepLines w:val="0"/>
              <w:pageBreakBefore w:val="0"/>
              <w:widowControl w:val="0"/>
              <w:kinsoku/>
              <w:wordWrap/>
              <w:overflowPunct/>
              <w:topLinePunct w:val="0"/>
              <w:autoSpaceDE/>
              <w:autoSpaceDN/>
              <w:bidi w:val="0"/>
              <w:adjustRightInd w:val="0"/>
              <w:snapToGrid w:val="0"/>
              <w:spacing w:line="360" w:lineRule="auto"/>
              <w:ind w:left="113" w:right="0" w:firstLine="420" w:firstLineChars="200"/>
              <w:jc w:val="both"/>
              <w:textAlignment w:val="auto"/>
              <w:rPr>
                <w:rFonts w:hint="default"/>
                <w:color w:val="auto"/>
                <w:highlight w:val="none"/>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物排</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放控</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制标</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准</w:t>
            </w:r>
          </w:p>
        </w:tc>
        <w:tc>
          <w:tcPr>
            <w:tcW w:w="8190" w:type="dxa"/>
            <w:noWrap w:val="0"/>
            <w:vAlign w:val="center"/>
          </w:tcPr>
          <w:p>
            <w:pPr>
              <w:widowControl/>
              <w:spacing w:before="120" w:beforeLines="50"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1、废气</w:t>
            </w:r>
          </w:p>
          <w:p>
            <w:pPr>
              <w:widowControl/>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运营期无组织粉尘排放执行《水泥工业大气污染物排放标准》（GB4915-2013）表3相应标准。</w:t>
            </w:r>
          </w:p>
          <w:p>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表3-</w:t>
            </w:r>
            <w:r>
              <w:rPr>
                <w:rFonts w:hint="eastAsia"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lang w:val="en-US" w:eastAsia="zh-CN"/>
              </w:rPr>
              <w:t xml:space="preserve"> 项目废气排放执行标准一览表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17"/>
              <w:gridCol w:w="3028"/>
              <w:gridCol w:w="1387"/>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701" w:type="pct"/>
                  <w:shd w:val="clear" w:color="auto" w:fill="auto"/>
                  <w:vAlign w:val="center"/>
                </w:tcPr>
                <w:p>
                  <w:pPr>
                    <w:jc w:val="center"/>
                    <w:rPr>
                      <w:color w:val="auto"/>
                      <w:highlight w:val="none"/>
                    </w:rPr>
                  </w:pPr>
                  <w:r>
                    <w:rPr>
                      <w:rFonts w:hint="eastAsia"/>
                      <w:color w:val="auto"/>
                      <w:highlight w:val="none"/>
                    </w:rPr>
                    <w:t>污染物</w:t>
                  </w:r>
                </w:p>
              </w:tc>
              <w:tc>
                <w:tcPr>
                  <w:tcW w:w="1901" w:type="pct"/>
                  <w:shd w:val="clear" w:color="auto" w:fill="auto"/>
                  <w:vAlign w:val="center"/>
                </w:tcPr>
                <w:p>
                  <w:pPr>
                    <w:jc w:val="center"/>
                    <w:rPr>
                      <w:color w:val="auto"/>
                      <w:highlight w:val="none"/>
                    </w:rPr>
                  </w:pPr>
                  <w:r>
                    <w:rPr>
                      <w:rFonts w:hint="eastAsia"/>
                      <w:color w:val="auto"/>
                      <w:highlight w:val="none"/>
                    </w:rPr>
                    <w:t>执行标准</w:t>
                  </w:r>
                </w:p>
              </w:tc>
              <w:tc>
                <w:tcPr>
                  <w:tcW w:w="871" w:type="pct"/>
                  <w:shd w:val="clear" w:color="auto" w:fill="auto"/>
                  <w:vAlign w:val="center"/>
                </w:tcPr>
                <w:p>
                  <w:pPr>
                    <w:jc w:val="center"/>
                    <w:rPr>
                      <w:color w:val="auto"/>
                      <w:highlight w:val="none"/>
                    </w:rPr>
                  </w:pPr>
                  <w:r>
                    <w:rPr>
                      <w:rFonts w:hint="eastAsia"/>
                      <w:color w:val="auto"/>
                      <w:highlight w:val="none"/>
                    </w:rPr>
                    <w:t>浓度限值</w:t>
                  </w:r>
                </w:p>
              </w:tc>
              <w:tc>
                <w:tcPr>
                  <w:tcW w:w="1525" w:type="pct"/>
                  <w:shd w:val="clear" w:color="auto" w:fill="auto"/>
                  <w:vAlign w:val="center"/>
                </w:tcPr>
                <w:p>
                  <w:pPr>
                    <w:jc w:val="center"/>
                    <w:rPr>
                      <w:color w:val="auto"/>
                      <w:highlight w:val="none"/>
                    </w:rPr>
                  </w:pPr>
                  <w:r>
                    <w:rPr>
                      <w:rFonts w:hint="eastAsia"/>
                      <w:color w:val="auto"/>
                      <w:highlight w:val="none"/>
                    </w:rPr>
                    <w:t>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shd w:val="clear" w:color="auto" w:fill="auto"/>
                  <w:vAlign w:val="center"/>
                </w:tcPr>
                <w:p>
                  <w:pPr>
                    <w:jc w:val="center"/>
                    <w:rPr>
                      <w:color w:val="auto"/>
                      <w:highlight w:val="none"/>
                    </w:rPr>
                  </w:pPr>
                  <w:r>
                    <w:rPr>
                      <w:rFonts w:hint="eastAsia"/>
                      <w:color w:val="auto"/>
                      <w:highlight w:val="none"/>
                    </w:rPr>
                    <w:t>无组织颗粒物</w:t>
                  </w:r>
                </w:p>
              </w:tc>
              <w:tc>
                <w:tcPr>
                  <w:tcW w:w="1901" w:type="pct"/>
                  <w:shd w:val="clear" w:color="auto" w:fill="auto"/>
                  <w:vAlign w:val="center"/>
                </w:tcPr>
                <w:p>
                  <w:pPr>
                    <w:jc w:val="center"/>
                    <w:rPr>
                      <w:color w:val="auto"/>
                      <w:highlight w:val="none"/>
                    </w:rPr>
                  </w:pPr>
                  <w:r>
                    <w:rPr>
                      <w:rFonts w:hint="eastAsia"/>
                      <w:color w:val="auto"/>
                      <w:highlight w:val="none"/>
                    </w:rPr>
                    <w:t>《水泥工业大气污染物排放标准》（G</w:t>
                  </w:r>
                  <w:r>
                    <w:rPr>
                      <w:color w:val="auto"/>
                      <w:highlight w:val="none"/>
                    </w:rPr>
                    <w:t>B4915-2013</w:t>
                  </w:r>
                  <w:r>
                    <w:rPr>
                      <w:rFonts w:hint="eastAsia"/>
                      <w:color w:val="auto"/>
                      <w:highlight w:val="none"/>
                    </w:rPr>
                    <w:t>）表3标准</w:t>
                  </w:r>
                </w:p>
              </w:tc>
              <w:tc>
                <w:tcPr>
                  <w:tcW w:w="871" w:type="pct"/>
                  <w:shd w:val="clear" w:color="auto" w:fill="auto"/>
                  <w:vAlign w:val="center"/>
                </w:tcPr>
                <w:p>
                  <w:pPr>
                    <w:jc w:val="center"/>
                    <w:rPr>
                      <w:color w:val="auto"/>
                      <w:highlight w:val="none"/>
                    </w:rPr>
                  </w:pPr>
                  <w:r>
                    <w:rPr>
                      <w:color w:val="auto"/>
                      <w:highlight w:val="none"/>
                    </w:rPr>
                    <w:t>0.5</w:t>
                  </w:r>
                  <w:r>
                    <w:rPr>
                      <w:rFonts w:hint="eastAsia"/>
                      <w:color w:val="auto"/>
                      <w:highlight w:val="none"/>
                    </w:rPr>
                    <w:t>m</w:t>
                  </w:r>
                  <w:r>
                    <w:rPr>
                      <w:color w:val="auto"/>
                      <w:highlight w:val="none"/>
                    </w:rPr>
                    <w:t>g/m</w:t>
                  </w:r>
                  <w:r>
                    <w:rPr>
                      <w:color w:val="auto"/>
                      <w:highlight w:val="none"/>
                      <w:vertAlign w:val="superscript"/>
                    </w:rPr>
                    <w:t>3</w:t>
                  </w:r>
                </w:p>
              </w:tc>
              <w:tc>
                <w:tcPr>
                  <w:tcW w:w="1525" w:type="pct"/>
                  <w:shd w:val="clear" w:color="auto" w:fill="auto"/>
                  <w:vAlign w:val="center"/>
                </w:tcPr>
                <w:p>
                  <w:pPr>
                    <w:jc w:val="center"/>
                    <w:rPr>
                      <w:color w:val="auto"/>
                      <w:highlight w:val="none"/>
                    </w:rPr>
                  </w:pPr>
                  <w:r>
                    <w:rPr>
                      <w:rFonts w:hint="eastAsia"/>
                      <w:color w:val="auto"/>
                      <w:highlight w:val="none"/>
                    </w:rPr>
                    <w:t>厂界外2</w:t>
                  </w:r>
                  <w:r>
                    <w:rPr>
                      <w:color w:val="auto"/>
                      <w:highlight w:val="none"/>
                    </w:rPr>
                    <w:t>0m</w:t>
                  </w:r>
                  <w:r>
                    <w:rPr>
                      <w:rFonts w:hint="eastAsia"/>
                      <w:color w:val="auto"/>
                      <w:highlight w:val="none"/>
                    </w:rPr>
                    <w:t>处上风向设参照点，下风向设监控点</w:t>
                  </w:r>
                </w:p>
              </w:tc>
            </w:tr>
          </w:tbl>
          <w:p>
            <w:pPr>
              <w:widowControl/>
              <w:spacing w:before="120" w:beforeLines="50"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废水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s="Times New Roman"/>
                <w:sz w:val="24"/>
                <w:szCs w:val="24"/>
                <w:highlight w:val="yellow"/>
                <w:lang w:val="en-US" w:eastAsia="zh-CN"/>
              </w:rPr>
            </w:pPr>
            <w:r>
              <w:rPr>
                <w:rFonts w:hint="eastAsia" w:cs="Times New Roman"/>
                <w:sz w:val="24"/>
                <w:szCs w:val="24"/>
                <w:highlight w:val="none"/>
                <w:lang w:eastAsia="zh-CN"/>
              </w:rPr>
              <w:t>本项目</w:t>
            </w:r>
            <w:r>
              <w:rPr>
                <w:rFonts w:hint="eastAsia" w:cs="Times New Roman"/>
                <w:sz w:val="24"/>
                <w:szCs w:val="24"/>
                <w:highlight w:val="none"/>
                <w:lang w:val="en-US" w:eastAsia="zh-CN"/>
              </w:rPr>
              <w:t>不</w:t>
            </w:r>
            <w:r>
              <w:rPr>
                <w:rFonts w:hint="eastAsia" w:cs="Times New Roman"/>
                <w:sz w:val="24"/>
                <w:szCs w:val="24"/>
                <w:highlight w:val="none"/>
                <w:lang w:eastAsia="zh-CN"/>
              </w:rPr>
              <w:t>新增</w:t>
            </w:r>
            <w:r>
              <w:rPr>
                <w:rFonts w:hint="eastAsia" w:cs="Times New Roman"/>
                <w:sz w:val="24"/>
                <w:szCs w:val="24"/>
                <w:highlight w:val="none"/>
                <w:lang w:val="en-US" w:eastAsia="zh-CN"/>
              </w:rPr>
              <w:t>员工，因此不新增生活废水。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项目生产废水产生</w:t>
            </w:r>
            <w:r>
              <w:rPr>
                <w:rFonts w:hint="eastAsia" w:cs="Times New Roman"/>
                <w:color w:val="auto"/>
                <w:sz w:val="24"/>
                <w:szCs w:val="24"/>
                <w:highlight w:val="none"/>
                <w:lang w:eastAsia="zh-CN"/>
              </w:rPr>
              <w:t>主要为</w:t>
            </w:r>
            <w:r>
              <w:rPr>
                <w:rFonts w:hint="eastAsia" w:ascii="Times New Roman" w:hAnsi="Times New Roman" w:eastAsia="宋体" w:cs="Times New Roman"/>
                <w:color w:val="auto"/>
                <w:sz w:val="24"/>
                <w:szCs w:val="24"/>
                <w:highlight w:val="none"/>
              </w:rPr>
              <w:t>洗车</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搅拌机冲洗废水</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道路和场地冲洗废水</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洗车</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搅拌机冲洗废水</w:t>
            </w:r>
            <w:r>
              <w:rPr>
                <w:rFonts w:hint="eastAsia" w:cs="Times New Roman"/>
                <w:color w:val="auto"/>
                <w:sz w:val="24"/>
                <w:szCs w:val="24"/>
                <w:highlight w:val="none"/>
                <w:lang w:eastAsia="zh-CN"/>
              </w:rPr>
              <w:t>经压滤机</w:t>
            </w:r>
            <w:r>
              <w:rPr>
                <w:rFonts w:hint="eastAsia" w:cs="Times New Roman"/>
                <w:color w:val="auto"/>
                <w:sz w:val="24"/>
                <w:szCs w:val="24"/>
                <w:highlight w:val="none"/>
                <w:lang w:val="en-US" w:eastAsia="zh-CN"/>
              </w:rPr>
              <w:t>+砂石分离机+三级沉淀池处理后</w:t>
            </w:r>
            <w:r>
              <w:rPr>
                <w:rFonts w:hint="eastAsia" w:ascii="Times New Roman" w:hAnsi="Times New Roman" w:eastAsia="宋体" w:cs="Times New Roman"/>
                <w:color w:val="auto"/>
                <w:sz w:val="24"/>
                <w:szCs w:val="24"/>
                <w:highlight w:val="none"/>
              </w:rPr>
              <w:t>循环使用不外排；道路和场地冲洗废水经</w:t>
            </w:r>
            <w:r>
              <w:rPr>
                <w:rFonts w:hint="eastAsia" w:ascii="Times New Roman" w:hAnsi="Times New Roman" w:eastAsia="宋体" w:cs="Times New Roman"/>
                <w:color w:val="auto"/>
                <w:sz w:val="24"/>
                <w:szCs w:val="24"/>
                <w:highlight w:val="none"/>
                <w:lang w:eastAsia="zh-CN"/>
              </w:rPr>
              <w:t>沉淀池</w:t>
            </w:r>
            <w:r>
              <w:rPr>
                <w:rFonts w:hint="eastAsia" w:ascii="Times New Roman" w:hAnsi="Times New Roman" w:eastAsia="宋体" w:cs="Times New Roman"/>
                <w:color w:val="auto"/>
                <w:sz w:val="24"/>
                <w:szCs w:val="24"/>
                <w:highlight w:val="none"/>
              </w:rPr>
              <w:t>收集</w:t>
            </w:r>
            <w:r>
              <w:rPr>
                <w:rFonts w:hint="eastAsia" w:ascii="Times New Roman" w:hAnsi="Times New Roman" w:eastAsia="宋体" w:cs="Times New Roman"/>
                <w:color w:val="auto"/>
                <w:sz w:val="24"/>
                <w:szCs w:val="24"/>
                <w:highlight w:val="none"/>
                <w:lang w:eastAsia="zh-CN"/>
              </w:rPr>
              <w:t>处理后</w:t>
            </w:r>
            <w:r>
              <w:rPr>
                <w:rFonts w:hint="eastAsia" w:ascii="Times New Roman" w:hAnsi="Times New Roman" w:eastAsia="宋体" w:cs="Times New Roman"/>
                <w:color w:val="auto"/>
                <w:sz w:val="24"/>
                <w:szCs w:val="24"/>
                <w:highlight w:val="none"/>
              </w:rPr>
              <w:t>回用</w:t>
            </w:r>
            <w:r>
              <w:rPr>
                <w:rFonts w:hint="eastAsia" w:cs="Times New Roman"/>
                <w:color w:val="auto"/>
                <w:sz w:val="24"/>
                <w:szCs w:val="24"/>
                <w:highlight w:val="none"/>
                <w:lang w:eastAsia="zh-CN"/>
              </w:rPr>
              <w:t>不外排。</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施工期噪声排放执行《建筑施工场界环境噪声排放标准》（G</w:t>
            </w:r>
            <w:r>
              <w:rPr>
                <w:rFonts w:hint="default" w:ascii="Times New Roman" w:hAnsi="Times New Roman" w:eastAsia="宋体" w:cs="Times New Roman"/>
                <w:color w:val="auto"/>
                <w:sz w:val="24"/>
                <w:szCs w:val="24"/>
                <w:highlight w:val="none"/>
              </w:rPr>
              <w:t>B12523-2011</w:t>
            </w:r>
            <w:r>
              <w:rPr>
                <w:rFonts w:hint="eastAsia" w:ascii="Times New Roman" w:hAnsi="Times New Roman" w:eastAsia="宋体" w:cs="Times New Roman"/>
                <w:color w:val="auto"/>
                <w:sz w:val="24"/>
                <w:szCs w:val="24"/>
                <w:highlight w:val="none"/>
              </w:rPr>
              <w:t>）中有关要求；运行期厂界噪声排放执行</w:t>
            </w:r>
            <w:r>
              <w:rPr>
                <w:rFonts w:hint="default" w:ascii="Times New Roman" w:hAnsi="Times New Roman" w:eastAsia="宋体" w:cs="Times New Roman"/>
                <w:color w:val="auto"/>
                <w:sz w:val="24"/>
                <w:szCs w:val="24"/>
                <w:highlight w:val="none"/>
              </w:rPr>
              <w:t>《工业企业厂界环境噪声排放标准》</w:t>
            </w:r>
            <w:r>
              <w:rPr>
                <w:rFonts w:hint="eastAsia"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GB12348-2008）中2</w:t>
            </w:r>
            <w:r>
              <w:rPr>
                <w:rFonts w:hint="eastAsia" w:ascii="Times New Roman" w:hAnsi="Times New Roman" w:eastAsia="宋体" w:cs="Times New Roman"/>
                <w:color w:val="auto"/>
                <w:sz w:val="24"/>
                <w:szCs w:val="24"/>
                <w:highlight w:val="none"/>
              </w:rPr>
              <w:t>类</w:t>
            </w:r>
            <w:r>
              <w:rPr>
                <w:rFonts w:hint="default" w:ascii="Times New Roman" w:hAnsi="Times New Roman" w:eastAsia="宋体" w:cs="Times New Roman"/>
                <w:color w:val="auto"/>
                <w:sz w:val="24"/>
                <w:szCs w:val="24"/>
                <w:highlight w:val="none"/>
              </w:rPr>
              <w:t>标准</w:t>
            </w:r>
            <w:r>
              <w:rPr>
                <w:rFonts w:hint="eastAsia" w:ascii="Times New Roman" w:hAnsi="Times New Roman" w:eastAsia="宋体" w:cs="Times New Roman"/>
                <w:color w:val="auto"/>
                <w:sz w:val="24"/>
                <w:szCs w:val="24"/>
                <w:highlight w:val="none"/>
              </w:rPr>
              <w:t>和4类</w:t>
            </w:r>
            <w:r>
              <w:rPr>
                <w:rFonts w:hint="default" w:ascii="Times New Roman" w:hAnsi="Times New Roman" w:eastAsia="宋体" w:cs="Times New Roman"/>
                <w:color w:val="auto"/>
                <w:sz w:val="24"/>
                <w:szCs w:val="24"/>
                <w:highlight w:val="none"/>
              </w:rPr>
              <w:t>标准。</w:t>
            </w:r>
          </w:p>
          <w:p>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表3-</w:t>
            </w:r>
            <w:r>
              <w:rPr>
                <w:rFonts w:hint="eastAsia"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 xml:space="preserve">  《建筑施工场界环境噪声排放标准》（GB12523-2011）</w:t>
            </w:r>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3977"/>
              <w:gridCol w:w="39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rPr>
                <w:trHeight w:val="340" w:hRule="atLeast"/>
                <w:jc w:val="center"/>
              </w:trPr>
              <w:tc>
                <w:tcPr>
                  <w:tcW w:w="5000" w:type="pct"/>
                  <w:gridSpan w:val="2"/>
                  <w:shd w:val="clear" w:color="auto" w:fill="auto"/>
                  <w:vAlign w:val="center"/>
                </w:tcPr>
                <w:p>
                  <w:pPr>
                    <w:jc w:val="center"/>
                    <w:rPr>
                      <w:color w:val="auto"/>
                      <w:highlight w:val="none"/>
                    </w:rPr>
                  </w:pPr>
                  <w:r>
                    <w:rPr>
                      <w:color w:val="auto"/>
                      <w:highlight w:val="none"/>
                    </w:rPr>
                    <w:t>标准限值</w:t>
                  </w:r>
                  <w:r>
                    <w:rPr>
                      <w:rFonts w:hint="eastAsia"/>
                      <w:color w:val="auto"/>
                      <w:highlight w:val="none"/>
                    </w:rPr>
                    <w:t>[</w:t>
                  </w:r>
                  <w:r>
                    <w:rPr>
                      <w:color w:val="auto"/>
                      <w:highlight w:val="none"/>
                    </w:rPr>
                    <w:t>dB（A）</w:t>
                  </w:r>
                  <w:r>
                    <w:rPr>
                      <w:rFonts w:hint="eastAsia"/>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97" w:type="pct"/>
                  <w:shd w:val="clear" w:color="auto" w:fill="auto"/>
                  <w:vAlign w:val="center"/>
                </w:tcPr>
                <w:p>
                  <w:pPr>
                    <w:jc w:val="center"/>
                    <w:rPr>
                      <w:color w:val="auto"/>
                      <w:highlight w:val="none"/>
                    </w:rPr>
                  </w:pPr>
                  <w:r>
                    <w:rPr>
                      <w:color w:val="auto"/>
                      <w:highlight w:val="none"/>
                    </w:rPr>
                    <w:t>昼间</w:t>
                  </w:r>
                </w:p>
              </w:tc>
              <w:tc>
                <w:tcPr>
                  <w:tcW w:w="2502" w:type="pct"/>
                  <w:shd w:val="clear" w:color="auto" w:fill="auto"/>
                  <w:vAlign w:val="center"/>
                </w:tcPr>
                <w:p>
                  <w:pPr>
                    <w:jc w:val="center"/>
                    <w:rPr>
                      <w:color w:val="auto"/>
                      <w:highlight w:val="none"/>
                    </w:rPr>
                  </w:pPr>
                  <w:r>
                    <w:rPr>
                      <w:color w:val="auto"/>
                      <w:highlight w:val="none"/>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97" w:type="pct"/>
                  <w:shd w:val="clear" w:color="auto" w:fill="auto"/>
                  <w:vAlign w:val="center"/>
                </w:tcPr>
                <w:p>
                  <w:pPr>
                    <w:jc w:val="center"/>
                    <w:rPr>
                      <w:color w:val="auto"/>
                      <w:highlight w:val="none"/>
                    </w:rPr>
                  </w:pPr>
                  <w:r>
                    <w:rPr>
                      <w:color w:val="auto"/>
                      <w:highlight w:val="none"/>
                    </w:rPr>
                    <w:t>70</w:t>
                  </w:r>
                </w:p>
              </w:tc>
              <w:tc>
                <w:tcPr>
                  <w:tcW w:w="2502" w:type="pct"/>
                  <w:shd w:val="clear" w:color="auto" w:fill="auto"/>
                  <w:vAlign w:val="center"/>
                </w:tcPr>
                <w:p>
                  <w:pPr>
                    <w:jc w:val="center"/>
                    <w:rPr>
                      <w:color w:val="auto"/>
                      <w:highlight w:val="none"/>
                    </w:rPr>
                  </w:pPr>
                  <w:r>
                    <w:rPr>
                      <w:color w:val="auto"/>
                      <w:highlight w:val="none"/>
                    </w:rPr>
                    <w:t>55</w:t>
                  </w:r>
                </w:p>
              </w:tc>
            </w:tr>
          </w:tbl>
          <w:p>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表3-</w:t>
            </w:r>
            <w:r>
              <w:rPr>
                <w:rFonts w:hint="eastAsia" w:cs="Times New Roman"/>
                <w:color w:val="auto"/>
                <w:sz w:val="21"/>
                <w:szCs w:val="21"/>
                <w:highlight w:val="none"/>
                <w:lang w:val="en-US" w:eastAsia="zh-CN"/>
              </w:rPr>
              <w:t>8</w:t>
            </w:r>
            <w:r>
              <w:rPr>
                <w:rFonts w:hint="eastAsia" w:ascii="Times New Roman" w:hAnsi="Times New Roman" w:eastAsia="宋体" w:cs="Times New Roman"/>
                <w:color w:val="auto"/>
                <w:sz w:val="21"/>
                <w:szCs w:val="21"/>
                <w:highlight w:val="none"/>
                <w:lang w:val="en-US" w:eastAsia="zh-CN"/>
              </w:rPr>
              <w:t xml:space="preserve"> 《工业企业厂界环境噪声排放标准》（GB12348-2008）</w:t>
            </w:r>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730"/>
              <w:gridCol w:w="2547"/>
              <w:gridCol w:w="26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714" w:type="pct"/>
                  <w:vMerge w:val="restart"/>
                  <w:shd w:val="clear" w:color="auto" w:fill="auto"/>
                  <w:vAlign w:val="center"/>
                </w:tcPr>
                <w:p>
                  <w:pPr>
                    <w:jc w:val="center"/>
                    <w:rPr>
                      <w:color w:val="auto"/>
                      <w:highlight w:val="none"/>
                    </w:rPr>
                  </w:pPr>
                  <w:r>
                    <w:rPr>
                      <w:color w:val="auto"/>
                      <w:highlight w:val="none"/>
                    </w:rPr>
                    <w:t>厂界外声环境功能区划分</w:t>
                  </w:r>
                </w:p>
              </w:tc>
              <w:tc>
                <w:tcPr>
                  <w:tcW w:w="3286" w:type="pct"/>
                  <w:gridSpan w:val="2"/>
                  <w:shd w:val="clear" w:color="auto" w:fill="auto"/>
                  <w:vAlign w:val="center"/>
                </w:tcPr>
                <w:p>
                  <w:pPr>
                    <w:jc w:val="center"/>
                    <w:rPr>
                      <w:color w:val="auto"/>
                      <w:highlight w:val="none"/>
                    </w:rPr>
                  </w:pPr>
                  <w:r>
                    <w:rPr>
                      <w:color w:val="auto"/>
                      <w:highlight w:val="none"/>
                    </w:rPr>
                    <w:t>标准限值</w:t>
                  </w:r>
                  <w:r>
                    <w:rPr>
                      <w:rFonts w:hint="eastAsia"/>
                      <w:color w:val="auto"/>
                      <w:highlight w:val="none"/>
                    </w:rPr>
                    <w:t>[</w:t>
                  </w:r>
                  <w:r>
                    <w:rPr>
                      <w:color w:val="auto"/>
                      <w:highlight w:val="none"/>
                    </w:rPr>
                    <w:t>dB（A）</w:t>
                  </w:r>
                  <w:r>
                    <w:rPr>
                      <w:rFonts w:hint="eastAsia"/>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14" w:type="pct"/>
                  <w:vMerge w:val="continue"/>
                  <w:shd w:val="clear" w:color="auto" w:fill="auto"/>
                  <w:vAlign w:val="center"/>
                </w:tcPr>
                <w:p>
                  <w:pPr>
                    <w:jc w:val="center"/>
                    <w:rPr>
                      <w:color w:val="auto"/>
                      <w:highlight w:val="none"/>
                    </w:rPr>
                  </w:pPr>
                </w:p>
              </w:tc>
              <w:tc>
                <w:tcPr>
                  <w:tcW w:w="1599" w:type="pct"/>
                  <w:shd w:val="clear" w:color="auto" w:fill="auto"/>
                  <w:vAlign w:val="center"/>
                </w:tcPr>
                <w:p>
                  <w:pPr>
                    <w:jc w:val="center"/>
                    <w:rPr>
                      <w:color w:val="auto"/>
                      <w:highlight w:val="none"/>
                    </w:rPr>
                  </w:pPr>
                  <w:r>
                    <w:rPr>
                      <w:color w:val="auto"/>
                      <w:highlight w:val="none"/>
                    </w:rPr>
                    <w:t>昼间</w:t>
                  </w:r>
                </w:p>
              </w:tc>
              <w:tc>
                <w:tcPr>
                  <w:tcW w:w="1687" w:type="pct"/>
                  <w:shd w:val="clear" w:color="auto" w:fill="auto"/>
                  <w:vAlign w:val="center"/>
                </w:tcPr>
                <w:p>
                  <w:pPr>
                    <w:jc w:val="center"/>
                    <w:rPr>
                      <w:color w:val="auto"/>
                      <w:highlight w:val="none"/>
                    </w:rPr>
                  </w:pPr>
                  <w:r>
                    <w:rPr>
                      <w:color w:val="auto"/>
                      <w:highlight w:val="none"/>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14" w:type="pct"/>
                  <w:shd w:val="clear" w:color="auto" w:fill="auto"/>
                  <w:vAlign w:val="center"/>
                </w:tcPr>
                <w:p>
                  <w:pPr>
                    <w:jc w:val="center"/>
                    <w:rPr>
                      <w:color w:val="auto"/>
                      <w:highlight w:val="none"/>
                    </w:rPr>
                  </w:pPr>
                  <w:r>
                    <w:rPr>
                      <w:color w:val="auto"/>
                      <w:highlight w:val="none"/>
                    </w:rPr>
                    <w:t>2类</w:t>
                  </w:r>
                </w:p>
              </w:tc>
              <w:tc>
                <w:tcPr>
                  <w:tcW w:w="1599" w:type="pct"/>
                  <w:shd w:val="clear" w:color="auto" w:fill="auto"/>
                  <w:vAlign w:val="center"/>
                </w:tcPr>
                <w:p>
                  <w:pPr>
                    <w:jc w:val="center"/>
                    <w:rPr>
                      <w:color w:val="auto"/>
                      <w:highlight w:val="none"/>
                    </w:rPr>
                  </w:pPr>
                  <w:r>
                    <w:rPr>
                      <w:color w:val="auto"/>
                      <w:highlight w:val="none"/>
                    </w:rPr>
                    <w:t>60</w:t>
                  </w:r>
                </w:p>
              </w:tc>
              <w:tc>
                <w:tcPr>
                  <w:tcW w:w="1687" w:type="pct"/>
                  <w:shd w:val="clear" w:color="auto" w:fill="auto"/>
                  <w:vAlign w:val="center"/>
                </w:tcPr>
                <w:p>
                  <w:pPr>
                    <w:jc w:val="center"/>
                    <w:rPr>
                      <w:color w:val="auto"/>
                      <w:highlight w:val="none"/>
                    </w:rPr>
                  </w:pPr>
                  <w:r>
                    <w:rPr>
                      <w:color w:val="auto"/>
                      <w:highlight w:val="non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14" w:type="pct"/>
                  <w:shd w:val="clear" w:color="auto" w:fill="auto"/>
                  <w:vAlign w:val="center"/>
                </w:tcPr>
                <w:p>
                  <w:pPr>
                    <w:jc w:val="center"/>
                    <w:rPr>
                      <w:color w:val="auto"/>
                      <w:highlight w:val="none"/>
                    </w:rPr>
                  </w:pPr>
                  <w:r>
                    <w:rPr>
                      <w:rFonts w:hint="eastAsia"/>
                      <w:color w:val="auto"/>
                      <w:highlight w:val="none"/>
                    </w:rPr>
                    <w:t>4类</w:t>
                  </w:r>
                </w:p>
              </w:tc>
              <w:tc>
                <w:tcPr>
                  <w:tcW w:w="1599" w:type="pct"/>
                  <w:shd w:val="clear" w:color="auto" w:fill="auto"/>
                  <w:vAlign w:val="center"/>
                </w:tcPr>
                <w:p>
                  <w:pPr>
                    <w:jc w:val="center"/>
                    <w:rPr>
                      <w:color w:val="auto"/>
                      <w:highlight w:val="none"/>
                    </w:rPr>
                  </w:pPr>
                  <w:r>
                    <w:rPr>
                      <w:rFonts w:hint="eastAsia"/>
                      <w:color w:val="auto"/>
                      <w:highlight w:val="none"/>
                    </w:rPr>
                    <w:t>7</w:t>
                  </w:r>
                  <w:r>
                    <w:rPr>
                      <w:color w:val="auto"/>
                      <w:highlight w:val="none"/>
                    </w:rPr>
                    <w:t>0</w:t>
                  </w:r>
                </w:p>
              </w:tc>
              <w:tc>
                <w:tcPr>
                  <w:tcW w:w="1687" w:type="pct"/>
                  <w:shd w:val="clear" w:color="auto" w:fill="auto"/>
                  <w:vAlign w:val="center"/>
                </w:tcPr>
                <w:p>
                  <w:pPr>
                    <w:jc w:val="center"/>
                    <w:rPr>
                      <w:rFonts w:hint="default" w:eastAsia="宋体"/>
                      <w:color w:val="auto"/>
                      <w:highlight w:val="none"/>
                      <w:lang w:val="en-US" w:eastAsia="zh-CN"/>
                    </w:rPr>
                  </w:pPr>
                  <w:r>
                    <w:rPr>
                      <w:rFonts w:hint="eastAsia"/>
                      <w:color w:val="auto"/>
                      <w:highlight w:val="none"/>
                      <w:lang w:val="en-US" w:eastAsia="zh-CN"/>
                    </w:rPr>
                    <w:t>60</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固体废物</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lang w:val="en-US" w:eastAsia="zh-CN"/>
              </w:rPr>
            </w:pPr>
            <w:r>
              <w:rPr>
                <w:rFonts w:hint="default" w:ascii="Times New Roman" w:hAnsi="Times New Roman" w:eastAsia="宋体" w:cs="Times New Roman"/>
                <w:color w:val="auto"/>
                <w:sz w:val="24"/>
                <w:szCs w:val="24"/>
                <w:highlight w:val="none"/>
              </w:rPr>
              <w:t>一般工业固废执行《一般工业固体废物贮存</w:t>
            </w:r>
            <w:r>
              <w:rPr>
                <w:rFonts w:hint="eastAsia" w:ascii="Times New Roman" w:hAnsi="Times New Roman" w:eastAsia="宋体" w:cs="Times New Roman"/>
                <w:color w:val="auto"/>
                <w:sz w:val="24"/>
                <w:szCs w:val="24"/>
                <w:highlight w:val="none"/>
              </w:rPr>
              <w:t>和填埋</w:t>
            </w:r>
            <w:r>
              <w:rPr>
                <w:rFonts w:hint="default" w:ascii="Times New Roman" w:hAnsi="Times New Roman" w:eastAsia="宋体" w:cs="Times New Roman"/>
                <w:color w:val="auto"/>
                <w:sz w:val="24"/>
                <w:szCs w:val="24"/>
                <w:highlight w:val="none"/>
              </w:rPr>
              <w:t>污染控制标准》（GB18599-2020）</w:t>
            </w:r>
            <w:r>
              <w:rPr>
                <w:rFonts w:hint="eastAsia"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总量</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控制</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指标</w:t>
            </w:r>
          </w:p>
        </w:tc>
        <w:tc>
          <w:tcPr>
            <w:tcW w:w="8190" w:type="dxa"/>
            <w:noWrap w:val="0"/>
            <w:vAlign w:val="center"/>
          </w:tcPr>
          <w:p>
            <w:pPr>
              <w:widowControl/>
              <w:spacing w:before="120" w:beforeLines="50" w:line="360" w:lineRule="auto"/>
              <w:jc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kern w:val="2"/>
                <w:sz w:val="21"/>
                <w:szCs w:val="21"/>
                <w:highlight w:val="none"/>
                <w:lang w:val="en-US" w:eastAsia="zh-CN" w:bidi="ar-SA"/>
              </w:rPr>
              <w:t>无</w:t>
            </w:r>
          </w:p>
        </w:tc>
      </w:tr>
    </w:tbl>
    <w:p>
      <w:pPr>
        <w:pStyle w:val="25"/>
        <w:ind w:firstLine="420" w:firstLineChars="0"/>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none"/>
        </w:rPr>
        <w:br w:type="page"/>
      </w:r>
      <w:r>
        <w:rPr>
          <w:rFonts w:hint="default" w:ascii="Times New Roman" w:hAnsi="Times New Roman" w:eastAsia="黑体" w:cs="Times New Roman"/>
          <w:snapToGrid w:val="0"/>
          <w:color w:val="auto"/>
          <w:sz w:val="30"/>
          <w:szCs w:val="30"/>
          <w:highlight w:val="none"/>
        </w:rPr>
        <w:t>四、主要环境影响和保护措施</w:t>
      </w:r>
    </w:p>
    <w:tbl>
      <w:tblPr>
        <w:tblStyle w:val="2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6"/>
        <w:gridCol w:w="87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266" w:type="dxa"/>
            <w:noWrap w:val="0"/>
            <w:tcMar>
              <w:left w:w="28" w:type="dxa"/>
              <w:right w:w="28" w:type="dxa"/>
            </w:tcMar>
            <w:vAlign w:val="center"/>
          </w:tcPr>
          <w:p>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施工</w:t>
            </w:r>
          </w:p>
          <w:p>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期环</w:t>
            </w:r>
          </w:p>
          <w:p>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境保</w:t>
            </w:r>
          </w:p>
          <w:p>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护措</w:t>
            </w:r>
          </w:p>
          <w:p>
            <w:pPr>
              <w:pStyle w:val="25"/>
              <w:adjustRightInd w:val="0"/>
              <w:snapToGrid w:val="0"/>
              <w:spacing w:before="0" w:beforeAutospacing="0" w:after="0" w:afterAutospacing="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1"/>
                <w:szCs w:val="21"/>
                <w:highlight w:val="none"/>
              </w:rPr>
              <w:t>施</w:t>
            </w:r>
          </w:p>
        </w:tc>
        <w:tc>
          <w:tcPr>
            <w:tcW w:w="87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10"/>
                <w:szCs w:val="21"/>
                <w:highlight w:val="none"/>
                <w:lang w:val="en-US" w:eastAsia="zh-CN"/>
              </w:rPr>
            </w:pPr>
            <w:r>
              <w:rPr>
                <w:color w:val="auto"/>
                <w:sz w:val="24"/>
                <w:highlight w:val="none"/>
              </w:rPr>
              <w:t>由于</w:t>
            </w:r>
            <w:r>
              <w:rPr>
                <w:rFonts w:hint="eastAsia"/>
                <w:color w:val="auto"/>
                <w:sz w:val="24"/>
                <w:highlight w:val="none"/>
                <w:lang w:eastAsia="zh-CN"/>
              </w:rPr>
              <w:t>原有厂区</w:t>
            </w:r>
            <w:r>
              <w:rPr>
                <w:color w:val="auto"/>
                <w:sz w:val="24"/>
                <w:highlight w:val="none"/>
              </w:rPr>
              <w:t>已建成</w:t>
            </w:r>
            <w:r>
              <w:rPr>
                <w:rFonts w:hint="eastAsia"/>
                <w:color w:val="auto"/>
                <w:sz w:val="24"/>
                <w:highlight w:val="none"/>
                <w:lang w:eastAsia="zh-CN"/>
              </w:rPr>
              <w:t>，本项目只增加产能和设备</w:t>
            </w:r>
            <w:r>
              <w:rPr>
                <w:color w:val="auto"/>
                <w:sz w:val="24"/>
                <w:highlight w:val="none"/>
              </w:rPr>
              <w:t>，故其施工期</w:t>
            </w:r>
            <w:r>
              <w:rPr>
                <w:rFonts w:hint="eastAsia"/>
                <w:color w:val="auto"/>
                <w:sz w:val="24"/>
                <w:highlight w:val="none"/>
                <w:lang w:eastAsia="zh-CN"/>
              </w:rPr>
              <w:t>产生生活垃圾、生活污水及更换设备的噪声、</w:t>
            </w:r>
            <w:r>
              <w:rPr>
                <w:rFonts w:hint="eastAsia"/>
                <w:color w:val="auto"/>
                <w:sz w:val="24"/>
                <w:highlight w:val="none"/>
                <w:lang w:val="en-US" w:eastAsia="zh-CN"/>
              </w:rPr>
              <w:t>车辆运输噪声</w:t>
            </w:r>
            <w:r>
              <w:rPr>
                <w:rFonts w:hint="eastAsia"/>
                <w:color w:val="auto"/>
                <w:sz w:val="24"/>
                <w:highlight w:val="none"/>
                <w:lang w:eastAsia="zh-CN"/>
              </w:rPr>
              <w:t>。生活垃圾统一收集后由环卫部门处理，生活污水进入化粪池处理后，定期清掏不外排，更换设备时进行密闭，</w:t>
            </w:r>
            <w:r>
              <w:rPr>
                <w:rFonts w:hint="eastAsia"/>
                <w:color w:val="auto"/>
                <w:sz w:val="24"/>
                <w:highlight w:val="none"/>
                <w:lang w:val="en-US" w:eastAsia="zh-CN"/>
              </w:rPr>
              <w:t>车辆运输时控制车速，禁止鸣笛。</w:t>
            </w:r>
            <w:r>
              <w:rPr>
                <w:rFonts w:hint="eastAsia"/>
                <w:color w:val="auto"/>
                <w:sz w:val="24"/>
                <w:highlight w:val="none"/>
                <w:lang w:eastAsia="zh-CN"/>
              </w:rPr>
              <w:t>因此，施工期对环境的影响很小。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72" w:hRule="atLeast"/>
          <w:jc w:val="center"/>
        </w:trPr>
        <w:tc>
          <w:tcPr>
            <w:tcW w:w="266"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措施</w:t>
            </w:r>
          </w:p>
        </w:tc>
        <w:tc>
          <w:tcPr>
            <w:tcW w:w="8715"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vertAlign w:val="baseline"/>
                <w:lang w:val="en-US" w:eastAsia="zh-CN" w:bidi="ar-SA"/>
              </w:rPr>
            </w:pPr>
            <w:r>
              <w:rPr>
                <w:rFonts w:hint="default" w:ascii="Times New Roman" w:hAnsi="Times New Roman" w:eastAsia="宋体" w:cs="Times New Roman"/>
                <w:b/>
                <w:bCs/>
                <w:color w:val="auto"/>
                <w:kern w:val="0"/>
                <w:sz w:val="24"/>
                <w:szCs w:val="24"/>
                <w:highlight w:val="none"/>
                <w:vertAlign w:val="baseline"/>
                <w:lang w:val="en-US" w:eastAsia="zh-CN" w:bidi="ar-SA"/>
              </w:rPr>
              <w:t>1、</w:t>
            </w:r>
            <w:r>
              <w:rPr>
                <w:b/>
                <w:color w:val="auto"/>
                <w:sz w:val="24"/>
                <w:highlight w:val="none"/>
              </w:rPr>
              <w:t>大气环境影响分析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（1）污染源强核算</w:t>
            </w:r>
          </w:p>
          <w:p>
            <w:pPr>
              <w:spacing w:line="360" w:lineRule="auto"/>
              <w:ind w:firstLine="480" w:firstLineChars="200"/>
              <w:rPr>
                <w:rFonts w:ascii="Times New Roman" w:hAnsi="Times New Roman" w:eastAsia="宋体" w:cs="Times New Roman"/>
                <w:color w:val="auto"/>
                <w:kern w:val="0"/>
                <w:sz w:val="24"/>
                <w:szCs w:val="20"/>
                <w:highlight w:val="none"/>
                <w:lang w:val="en-US" w:eastAsia="zh-CN" w:bidi="ar-SA"/>
              </w:rPr>
            </w:pPr>
            <w:r>
              <w:rPr>
                <w:rFonts w:ascii="Times New Roman" w:hAnsi="Times New Roman" w:eastAsia="宋体" w:cs="Times New Roman"/>
                <w:color w:val="auto"/>
                <w:kern w:val="0"/>
                <w:sz w:val="24"/>
                <w:szCs w:val="20"/>
                <w:highlight w:val="none"/>
                <w:lang w:val="en-US" w:eastAsia="zh-CN" w:bidi="ar-SA"/>
              </w:rPr>
              <w:fldChar w:fldCharType="begin"/>
            </w:r>
            <w:r>
              <w:rPr>
                <w:rFonts w:ascii="Times New Roman" w:hAnsi="Times New Roman" w:eastAsia="宋体" w:cs="Times New Roman"/>
                <w:color w:val="auto"/>
                <w:kern w:val="0"/>
                <w:sz w:val="24"/>
                <w:szCs w:val="20"/>
                <w:highlight w:val="none"/>
                <w:lang w:val="en-US" w:eastAsia="zh-CN" w:bidi="ar-SA"/>
              </w:rPr>
              <w:instrText xml:space="preserve"> </w:instrText>
            </w:r>
            <w:r>
              <w:rPr>
                <w:rFonts w:hint="eastAsia" w:ascii="Times New Roman" w:hAnsi="Times New Roman" w:eastAsia="宋体" w:cs="Times New Roman"/>
                <w:color w:val="auto"/>
                <w:kern w:val="0"/>
                <w:sz w:val="24"/>
                <w:szCs w:val="20"/>
                <w:highlight w:val="none"/>
                <w:lang w:val="en-US" w:eastAsia="zh-CN" w:bidi="ar-SA"/>
              </w:rPr>
              <w:instrText xml:space="preserve">= 1 \* GB3</w:instrText>
            </w:r>
            <w:r>
              <w:rPr>
                <w:rFonts w:ascii="Times New Roman" w:hAnsi="Times New Roman" w:eastAsia="宋体" w:cs="Times New Roman"/>
                <w:color w:val="auto"/>
                <w:kern w:val="0"/>
                <w:sz w:val="24"/>
                <w:szCs w:val="20"/>
                <w:highlight w:val="none"/>
                <w:lang w:val="en-US" w:eastAsia="zh-CN" w:bidi="ar-SA"/>
              </w:rPr>
              <w:instrText xml:space="preserve"> </w:instrText>
            </w:r>
            <w:r>
              <w:rPr>
                <w:rFonts w:ascii="Times New Roman" w:hAnsi="Times New Roman" w:eastAsia="宋体" w:cs="Times New Roman"/>
                <w:color w:val="auto"/>
                <w:kern w:val="0"/>
                <w:sz w:val="24"/>
                <w:szCs w:val="20"/>
                <w:highlight w:val="none"/>
                <w:lang w:val="en-US" w:eastAsia="zh-CN" w:bidi="ar-SA"/>
              </w:rPr>
              <w:fldChar w:fldCharType="separate"/>
            </w:r>
            <w:r>
              <w:rPr>
                <w:rFonts w:hint="eastAsia" w:ascii="Times New Roman" w:hAnsi="Times New Roman" w:eastAsia="宋体" w:cs="Times New Roman"/>
                <w:color w:val="auto"/>
                <w:kern w:val="0"/>
                <w:sz w:val="24"/>
                <w:szCs w:val="20"/>
                <w:highlight w:val="none"/>
                <w:lang w:val="en-US" w:eastAsia="zh-CN" w:bidi="ar-SA"/>
              </w:rPr>
              <w:t>①</w:t>
            </w:r>
            <w:r>
              <w:rPr>
                <w:rFonts w:ascii="Times New Roman" w:hAnsi="Times New Roman" w:eastAsia="宋体" w:cs="Times New Roman"/>
                <w:color w:val="auto"/>
                <w:kern w:val="0"/>
                <w:sz w:val="24"/>
                <w:szCs w:val="20"/>
                <w:highlight w:val="none"/>
                <w:lang w:val="en-US" w:eastAsia="zh-CN" w:bidi="ar-SA"/>
              </w:rPr>
              <w:fldChar w:fldCharType="end"/>
            </w:r>
            <w:r>
              <w:rPr>
                <w:rFonts w:ascii="Times New Roman" w:hAnsi="Times New Roman" w:eastAsia="宋体" w:cs="Times New Roman"/>
                <w:color w:val="auto"/>
                <w:kern w:val="0"/>
                <w:sz w:val="24"/>
                <w:szCs w:val="20"/>
                <w:highlight w:val="none"/>
                <w:lang w:val="en-US" w:eastAsia="zh-CN" w:bidi="ar-SA"/>
              </w:rPr>
              <w:t xml:space="preserve"> </w:t>
            </w:r>
            <w:r>
              <w:rPr>
                <w:rFonts w:hint="eastAsia" w:ascii="Times New Roman" w:hAnsi="Times New Roman" w:eastAsia="宋体" w:cs="Times New Roman"/>
                <w:color w:val="auto"/>
                <w:kern w:val="0"/>
                <w:sz w:val="24"/>
                <w:szCs w:val="20"/>
                <w:highlight w:val="none"/>
                <w:lang w:val="en-US" w:eastAsia="zh-CN" w:bidi="ar-SA"/>
              </w:rPr>
              <w:t>粉料筒仓粉尘</w:t>
            </w:r>
          </w:p>
          <w:p>
            <w:pPr>
              <w:spacing w:line="360" w:lineRule="auto"/>
              <w:ind w:firstLine="480" w:firstLineChars="200"/>
              <w:rPr>
                <w:rFonts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本项目共设10个</w:t>
            </w:r>
            <w:r>
              <w:rPr>
                <w:rFonts w:hint="eastAsia" w:cs="Times New Roman"/>
                <w:color w:val="auto"/>
                <w:kern w:val="0"/>
                <w:sz w:val="24"/>
                <w:szCs w:val="20"/>
                <w:highlight w:val="none"/>
                <w:lang w:val="en-US" w:eastAsia="zh-CN" w:bidi="ar-SA"/>
              </w:rPr>
              <w:t>粉料筒仓</w:t>
            </w:r>
            <w:r>
              <w:rPr>
                <w:rFonts w:hint="eastAsia" w:ascii="Times New Roman" w:hAnsi="Times New Roman" w:eastAsia="宋体" w:cs="Times New Roman"/>
                <w:color w:val="auto"/>
                <w:kern w:val="0"/>
                <w:sz w:val="24"/>
                <w:szCs w:val="20"/>
                <w:highlight w:val="none"/>
                <w:lang w:val="en-US" w:eastAsia="zh-CN" w:bidi="ar-SA"/>
              </w:rPr>
              <w:t>（水泥仓6个，粉煤灰仓2个，矿粉仓2个），粉料在上料和仓底卸料过程中会产生粉尘，该粉尘随筒仓体内的空气从顶部呼吸孔排出。</w:t>
            </w:r>
          </w:p>
          <w:p>
            <w:pPr>
              <w:spacing w:line="360" w:lineRule="auto"/>
              <w:ind w:firstLine="480" w:firstLineChars="200"/>
              <w:rPr>
                <w:rFonts w:hint="default"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参考《工业源产排污核算方法和系数手册》（2</w:t>
            </w:r>
            <w:r>
              <w:rPr>
                <w:rFonts w:ascii="Times New Roman" w:hAnsi="Times New Roman" w:eastAsia="宋体" w:cs="Times New Roman"/>
                <w:color w:val="auto"/>
                <w:kern w:val="0"/>
                <w:sz w:val="24"/>
                <w:szCs w:val="20"/>
                <w:highlight w:val="none"/>
                <w:lang w:val="en-US" w:eastAsia="zh-CN" w:bidi="ar-SA"/>
              </w:rPr>
              <w:t>021</w:t>
            </w:r>
            <w:r>
              <w:rPr>
                <w:rFonts w:hint="eastAsia" w:ascii="Times New Roman" w:hAnsi="Times New Roman" w:eastAsia="宋体" w:cs="Times New Roman"/>
                <w:color w:val="auto"/>
                <w:kern w:val="0"/>
                <w:sz w:val="24"/>
                <w:szCs w:val="20"/>
                <w:highlight w:val="none"/>
                <w:lang w:val="en-US" w:eastAsia="zh-CN" w:bidi="ar-SA"/>
              </w:rPr>
              <w:t>版）水泥制品制造（含砼结构构件、其他水泥类似制品制造）中“混凝土制品—物料输送储存工序”中，工业粉尘产生系数为0</w:t>
            </w:r>
            <w:r>
              <w:rPr>
                <w:rFonts w:ascii="Times New Roman" w:hAnsi="Times New Roman" w:eastAsia="宋体" w:cs="Times New Roman"/>
                <w:color w:val="auto"/>
                <w:kern w:val="0"/>
                <w:sz w:val="24"/>
                <w:szCs w:val="20"/>
                <w:highlight w:val="none"/>
                <w:lang w:val="en-US" w:eastAsia="zh-CN" w:bidi="ar-SA"/>
              </w:rPr>
              <w:t>.12kg/t</w:t>
            </w:r>
            <w:r>
              <w:rPr>
                <w:rFonts w:hint="eastAsia" w:ascii="Times New Roman" w:hAnsi="Times New Roman" w:eastAsia="宋体" w:cs="Times New Roman"/>
                <w:color w:val="auto"/>
                <w:kern w:val="0"/>
                <w:sz w:val="24"/>
                <w:szCs w:val="20"/>
                <w:highlight w:val="none"/>
                <w:lang w:val="en-US" w:eastAsia="zh-CN" w:bidi="ar-SA"/>
              </w:rPr>
              <w:t>产品。</w:t>
            </w:r>
            <w:r>
              <w:rPr>
                <w:rFonts w:hint="eastAsia" w:cs="Times New Roman"/>
                <w:color w:val="auto"/>
                <w:kern w:val="0"/>
                <w:sz w:val="24"/>
                <w:szCs w:val="20"/>
                <w:highlight w:val="none"/>
                <w:lang w:val="en-US" w:eastAsia="zh-CN" w:bidi="ar-SA"/>
              </w:rPr>
              <w:t>本项目产品产量为60万吨，则粉尘产量为72</w:t>
            </w:r>
            <w:r>
              <w:rPr>
                <w:rFonts w:hint="default" w:ascii="Times New Roman" w:hAnsi="Times New Roman" w:eastAsia="宋体" w:cs="Times New Roman"/>
                <w:b/>
                <w:color w:val="auto"/>
                <w:sz w:val="21"/>
                <w:szCs w:val="21"/>
                <w:highlight w:val="none"/>
              </w:rPr>
              <w:t>t/a</w:t>
            </w:r>
            <w:r>
              <w:rPr>
                <w:rFonts w:hint="eastAsia" w:cs="Times New Roman"/>
                <w:color w:val="auto"/>
                <w:kern w:val="0"/>
                <w:sz w:val="24"/>
                <w:szCs w:val="20"/>
                <w:highlight w:val="none"/>
                <w:lang w:val="en-US" w:eastAsia="zh-CN" w:bidi="ar-SA"/>
              </w:rPr>
              <w:t>。</w:t>
            </w:r>
          </w:p>
          <w:p>
            <w:pPr>
              <w:spacing w:line="360" w:lineRule="auto"/>
              <w:ind w:firstLine="480" w:firstLineChars="200"/>
              <w:rPr>
                <w:rFonts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本项目粉料筒仓顶呼吸口处均安装有脉冲布袋除尘器，</w:t>
            </w:r>
            <w:r>
              <w:rPr>
                <w:rFonts w:hint="eastAsia" w:cs="Times New Roman"/>
                <w:color w:val="auto"/>
                <w:kern w:val="0"/>
                <w:sz w:val="24"/>
                <w:szCs w:val="20"/>
                <w:highlight w:val="none"/>
                <w:lang w:val="en-US" w:eastAsia="zh-CN" w:bidi="ar-SA"/>
              </w:rPr>
              <w:t>用管道连接。</w:t>
            </w:r>
            <w:r>
              <w:rPr>
                <w:rFonts w:hint="eastAsia" w:ascii="Times New Roman" w:hAnsi="Times New Roman" w:eastAsia="宋体" w:cs="Times New Roman"/>
                <w:color w:val="auto"/>
                <w:kern w:val="0"/>
                <w:sz w:val="24"/>
                <w:szCs w:val="20"/>
                <w:highlight w:val="none"/>
                <w:lang w:val="en-US" w:eastAsia="zh-CN" w:bidi="ar-SA"/>
              </w:rPr>
              <w:t>共计4套，</w:t>
            </w:r>
            <w:r>
              <w:rPr>
                <w:rFonts w:hint="eastAsia" w:cs="Times New Roman"/>
                <w:b w:val="0"/>
                <w:bCs w:val="0"/>
                <w:color w:val="auto"/>
                <w:kern w:val="0"/>
                <w:sz w:val="24"/>
                <w:szCs w:val="20"/>
                <w:highlight w:val="none"/>
                <w:lang w:val="en-US" w:eastAsia="zh-CN"/>
              </w:rPr>
              <w:t>每3个水泥筒仓共用1台除尘器，共有2台袋式除尘器用于水泥筒仓；2个粉煤灰筒仓共用一台布袋除尘器；2个矿粉筒仓共用一台布袋除尘器。</w:t>
            </w:r>
            <w:r>
              <w:rPr>
                <w:rFonts w:hint="eastAsia" w:ascii="Times New Roman" w:hAnsi="Times New Roman" w:eastAsia="宋体" w:cs="Times New Roman"/>
                <w:color w:val="auto"/>
                <w:kern w:val="0"/>
                <w:sz w:val="24"/>
                <w:szCs w:val="20"/>
                <w:highlight w:val="none"/>
                <w:lang w:val="en-US" w:eastAsia="zh-CN" w:bidi="ar-SA"/>
              </w:rPr>
              <w:t>布袋除尘器效率可达9</w:t>
            </w:r>
            <w:r>
              <w:rPr>
                <w:rFonts w:ascii="Times New Roman" w:hAnsi="Times New Roman" w:eastAsia="宋体" w:cs="Times New Roman"/>
                <w:color w:val="auto"/>
                <w:kern w:val="0"/>
                <w:sz w:val="24"/>
                <w:szCs w:val="20"/>
                <w:highlight w:val="none"/>
                <w:lang w:val="en-US" w:eastAsia="zh-CN" w:bidi="ar-SA"/>
              </w:rPr>
              <w:t>9.7</w:t>
            </w:r>
            <w:r>
              <w:rPr>
                <w:rFonts w:hint="eastAsia" w:ascii="Times New Roman" w:hAnsi="Times New Roman" w:eastAsia="宋体" w:cs="Times New Roman"/>
                <w:color w:val="auto"/>
                <w:kern w:val="0"/>
                <w:sz w:val="24"/>
                <w:szCs w:val="20"/>
                <w:highlight w:val="none"/>
                <w:lang w:val="en-US" w:eastAsia="zh-CN" w:bidi="ar-SA"/>
              </w:rPr>
              <w:t>%。同时，粉料筒仓均封闭于搅拌楼内，除尘器未收集</w:t>
            </w:r>
            <w:r>
              <w:rPr>
                <w:rFonts w:ascii="Times New Roman" w:hAnsi="Times New Roman" w:eastAsia="宋体" w:cs="Times New Roman"/>
                <w:color w:val="auto"/>
                <w:kern w:val="0"/>
                <w:sz w:val="24"/>
                <w:szCs w:val="20"/>
                <w:highlight w:val="none"/>
                <w:lang w:val="en-US" w:eastAsia="zh-CN" w:bidi="ar-SA"/>
              </w:rPr>
              <w:t>的粉尘，在</w:t>
            </w:r>
            <w:r>
              <w:rPr>
                <w:rFonts w:hint="eastAsia" w:ascii="Times New Roman" w:hAnsi="Times New Roman" w:eastAsia="宋体" w:cs="Times New Roman"/>
                <w:color w:val="auto"/>
                <w:kern w:val="0"/>
                <w:sz w:val="24"/>
                <w:szCs w:val="20"/>
                <w:highlight w:val="none"/>
                <w:lang w:val="en-US" w:eastAsia="zh-CN" w:bidi="ar-SA"/>
              </w:rPr>
              <w:t>搅拌楼</w:t>
            </w:r>
            <w:r>
              <w:rPr>
                <w:rFonts w:ascii="Times New Roman" w:hAnsi="Times New Roman" w:eastAsia="宋体" w:cs="Times New Roman"/>
                <w:color w:val="auto"/>
                <w:kern w:val="0"/>
                <w:sz w:val="24"/>
                <w:szCs w:val="20"/>
                <w:highlight w:val="none"/>
                <w:lang w:val="en-US" w:eastAsia="zh-CN" w:bidi="ar-SA"/>
              </w:rPr>
              <w:t>内二次沉降，沉降率取</w:t>
            </w:r>
            <w:r>
              <w:rPr>
                <w:rFonts w:hint="eastAsia" w:ascii="Times New Roman" w:hAnsi="Times New Roman" w:eastAsia="宋体" w:cs="Times New Roman"/>
                <w:color w:val="auto"/>
                <w:kern w:val="0"/>
                <w:sz w:val="24"/>
                <w:szCs w:val="20"/>
                <w:highlight w:val="none"/>
                <w:lang w:val="en-US" w:eastAsia="zh-CN" w:bidi="ar-SA"/>
              </w:rPr>
              <w:t>80</w:t>
            </w:r>
            <w:r>
              <w:rPr>
                <w:rFonts w:ascii="Times New Roman" w:hAnsi="Times New Roman" w:eastAsia="宋体" w:cs="Times New Roman"/>
                <w:color w:val="auto"/>
                <w:kern w:val="0"/>
                <w:sz w:val="24"/>
                <w:szCs w:val="20"/>
                <w:highlight w:val="none"/>
                <w:lang w:val="en-US" w:eastAsia="zh-CN" w:bidi="ar-SA"/>
              </w:rPr>
              <w:t>%</w:t>
            </w:r>
            <w:r>
              <w:rPr>
                <w:rFonts w:hint="eastAsia" w:ascii="Times New Roman" w:hAnsi="Times New Roman" w:eastAsia="宋体" w:cs="Times New Roman"/>
                <w:color w:val="auto"/>
                <w:kern w:val="0"/>
                <w:sz w:val="24"/>
                <w:szCs w:val="20"/>
                <w:highlight w:val="none"/>
                <w:lang w:val="en-US" w:eastAsia="zh-CN" w:bidi="ar-SA"/>
              </w:rPr>
              <w:t>。</w:t>
            </w:r>
          </w:p>
          <w:p>
            <w:pPr>
              <w:spacing w:line="360" w:lineRule="auto"/>
              <w:ind w:firstLine="480" w:firstLineChars="200"/>
              <w:rPr>
                <w:rFonts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根据企业提供资料，每天粉料上料和卸料生产时长为4</w:t>
            </w:r>
            <w:r>
              <w:rPr>
                <w:rFonts w:ascii="Times New Roman" w:hAnsi="Times New Roman" w:eastAsia="宋体" w:cs="Times New Roman"/>
                <w:color w:val="auto"/>
                <w:kern w:val="0"/>
                <w:sz w:val="24"/>
                <w:szCs w:val="20"/>
                <w:highlight w:val="none"/>
                <w:lang w:val="en-US" w:eastAsia="zh-CN" w:bidi="ar-SA"/>
              </w:rPr>
              <w:t>h</w:t>
            </w:r>
            <w:r>
              <w:rPr>
                <w:rFonts w:hint="eastAsia" w:ascii="Times New Roman" w:hAnsi="Times New Roman" w:eastAsia="宋体" w:cs="Times New Roman"/>
                <w:color w:val="auto"/>
                <w:kern w:val="0"/>
                <w:sz w:val="24"/>
                <w:szCs w:val="20"/>
                <w:highlight w:val="none"/>
                <w:lang w:val="en-US" w:eastAsia="zh-CN" w:bidi="ar-SA"/>
              </w:rPr>
              <w:t>，即1</w:t>
            </w:r>
            <w:r>
              <w:rPr>
                <w:rFonts w:ascii="Times New Roman" w:hAnsi="Times New Roman" w:eastAsia="宋体" w:cs="Times New Roman"/>
                <w:color w:val="auto"/>
                <w:kern w:val="0"/>
                <w:sz w:val="24"/>
                <w:szCs w:val="20"/>
                <w:highlight w:val="none"/>
                <w:lang w:val="en-US" w:eastAsia="zh-CN" w:bidi="ar-SA"/>
              </w:rPr>
              <w:t>200h/a</w:t>
            </w:r>
            <w:r>
              <w:rPr>
                <w:rFonts w:hint="eastAsia" w:ascii="Times New Roman" w:hAnsi="Times New Roman" w:eastAsia="宋体" w:cs="Times New Roman"/>
                <w:color w:val="auto"/>
                <w:kern w:val="0"/>
                <w:sz w:val="24"/>
                <w:szCs w:val="20"/>
                <w:highlight w:val="none"/>
                <w:lang w:val="en-US" w:eastAsia="zh-CN" w:bidi="ar-SA"/>
              </w:rPr>
              <w:t>，经计算，项目粉料筒仓呼吸废气</w:t>
            </w:r>
            <w:r>
              <w:rPr>
                <w:rFonts w:hint="eastAsia" w:cs="Times New Roman"/>
                <w:color w:val="auto"/>
                <w:kern w:val="0"/>
                <w:sz w:val="24"/>
                <w:szCs w:val="20"/>
                <w:highlight w:val="none"/>
                <w:lang w:val="en-US" w:eastAsia="zh-CN" w:bidi="ar-SA"/>
              </w:rPr>
              <w:t>无组织</w:t>
            </w:r>
            <w:r>
              <w:rPr>
                <w:rFonts w:hint="eastAsia" w:ascii="Times New Roman" w:hAnsi="Times New Roman" w:eastAsia="宋体" w:cs="Times New Roman"/>
                <w:color w:val="auto"/>
                <w:kern w:val="0"/>
                <w:sz w:val="24"/>
                <w:szCs w:val="20"/>
                <w:highlight w:val="none"/>
                <w:lang w:val="en-US" w:eastAsia="zh-CN" w:bidi="ar-SA"/>
              </w:rPr>
              <w:t>排放量为0.0432</w:t>
            </w:r>
            <w:r>
              <w:rPr>
                <w:rFonts w:ascii="Times New Roman" w:hAnsi="Times New Roman" w:eastAsia="宋体" w:cs="Times New Roman"/>
                <w:color w:val="auto"/>
                <w:kern w:val="0"/>
                <w:sz w:val="24"/>
                <w:szCs w:val="20"/>
                <w:highlight w:val="none"/>
                <w:lang w:val="en-US" w:eastAsia="zh-CN" w:bidi="ar-SA"/>
              </w:rPr>
              <w:t>t/a</w:t>
            </w:r>
            <w:r>
              <w:rPr>
                <w:rFonts w:hint="eastAsia" w:ascii="Times New Roman" w:hAnsi="Times New Roman" w:eastAsia="宋体" w:cs="Times New Roman"/>
                <w:color w:val="auto"/>
                <w:kern w:val="0"/>
                <w:sz w:val="24"/>
                <w:szCs w:val="20"/>
                <w:highlight w:val="none"/>
                <w:lang w:val="en-US" w:eastAsia="zh-CN" w:bidi="ar-SA"/>
              </w:rPr>
              <w:t>，排放速率为0.036</w:t>
            </w:r>
            <w:r>
              <w:rPr>
                <w:rFonts w:ascii="Times New Roman" w:hAnsi="Times New Roman" w:eastAsia="宋体" w:cs="Times New Roman"/>
                <w:color w:val="auto"/>
                <w:kern w:val="0"/>
                <w:sz w:val="24"/>
                <w:szCs w:val="20"/>
                <w:highlight w:val="none"/>
                <w:lang w:val="en-US" w:eastAsia="zh-CN" w:bidi="ar-SA"/>
              </w:rPr>
              <w:t>kg/h</w:t>
            </w:r>
            <w:r>
              <w:rPr>
                <w:rFonts w:hint="eastAsia" w:ascii="Times New Roman" w:hAnsi="Times New Roman" w:eastAsia="宋体" w:cs="Times New Roman"/>
                <w:color w:val="auto"/>
                <w:kern w:val="0"/>
                <w:sz w:val="24"/>
                <w:szCs w:val="20"/>
                <w:highlight w:val="none"/>
                <w:lang w:val="en-US" w:eastAsia="zh-CN" w:bidi="ar-SA"/>
              </w:rPr>
              <w:t>。</w:t>
            </w:r>
          </w:p>
          <w:p>
            <w:pPr>
              <w:spacing w:line="360" w:lineRule="auto"/>
              <w:ind w:firstLine="480" w:firstLineChars="200"/>
              <w:rPr>
                <w:rFonts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本项目粉料筒仓排放情况见表4</w:t>
            </w:r>
            <w:r>
              <w:rPr>
                <w:rFonts w:ascii="Times New Roman" w:hAnsi="Times New Roman" w:eastAsia="宋体" w:cs="Times New Roman"/>
                <w:color w:val="auto"/>
                <w:kern w:val="0"/>
                <w:sz w:val="24"/>
                <w:szCs w:val="20"/>
                <w:highlight w:val="none"/>
                <w:lang w:val="en-US" w:eastAsia="zh-CN" w:bidi="ar-SA"/>
              </w:rPr>
              <w:t>-</w:t>
            </w:r>
            <w:r>
              <w:rPr>
                <w:rFonts w:hint="eastAsia" w:ascii="Times New Roman" w:hAnsi="Times New Roman" w:eastAsia="宋体" w:cs="Times New Roman"/>
                <w:color w:val="auto"/>
                <w:kern w:val="0"/>
                <w:sz w:val="24"/>
                <w:szCs w:val="20"/>
                <w:highlight w:val="none"/>
                <w:lang w:val="en-US" w:eastAsia="zh-CN" w:bidi="ar-SA"/>
              </w:rPr>
              <w:t>1。</w:t>
            </w:r>
          </w:p>
          <w:p>
            <w:pPr>
              <w:spacing w:line="360" w:lineRule="auto"/>
              <w:jc w:val="center"/>
              <w:rPr>
                <w:b/>
                <w:color w:val="auto"/>
                <w:highlight w:val="none"/>
              </w:rPr>
            </w:pPr>
            <w:r>
              <w:rPr>
                <w:rFonts w:hint="eastAsia"/>
                <w:b/>
                <w:color w:val="auto"/>
                <w:highlight w:val="none"/>
              </w:rPr>
              <w:t>表4</w:t>
            </w:r>
            <w:r>
              <w:rPr>
                <w:b/>
                <w:color w:val="auto"/>
                <w:highlight w:val="none"/>
              </w:rPr>
              <w:t xml:space="preserve">-1 </w:t>
            </w:r>
            <w:r>
              <w:rPr>
                <w:rFonts w:hint="eastAsia"/>
                <w:b/>
                <w:color w:val="auto"/>
                <w:highlight w:val="none"/>
              </w:rPr>
              <w:t>粉料筒仓粉尘无组织废气产排情况一览表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993"/>
              <w:gridCol w:w="1158"/>
              <w:gridCol w:w="2321"/>
              <w:gridCol w:w="993"/>
              <w:gridCol w:w="1160"/>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tc>
              <w:tc>
                <w:tcPr>
                  <w:tcW w:w="585"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产生量（t/a）</w:t>
                  </w:r>
                </w:p>
              </w:tc>
              <w:tc>
                <w:tcPr>
                  <w:tcW w:w="682"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产生速率（kg/h）</w:t>
                  </w:r>
                </w:p>
              </w:tc>
              <w:tc>
                <w:tcPr>
                  <w:tcW w:w="1367"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585"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排放量（t/a）</w:t>
                  </w:r>
                </w:p>
              </w:tc>
              <w:tc>
                <w:tcPr>
                  <w:tcW w:w="683"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排放速率（kg/h）</w:t>
                  </w:r>
                </w:p>
              </w:tc>
              <w:tc>
                <w:tcPr>
                  <w:tcW w:w="682"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粉料筒仓</w:t>
                  </w:r>
                </w:p>
              </w:tc>
              <w:tc>
                <w:tcPr>
                  <w:tcW w:w="993"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w:t>
                  </w:r>
                </w:p>
              </w:tc>
              <w:tc>
                <w:tcPr>
                  <w:tcW w:w="1158"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6</w:t>
                  </w:r>
                </w:p>
              </w:tc>
              <w:tc>
                <w:tcPr>
                  <w:tcW w:w="2321"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脉冲布袋除尘器99.7%、封闭式搅拌楼80%</w:t>
                  </w:r>
                </w:p>
              </w:tc>
              <w:tc>
                <w:tcPr>
                  <w:tcW w:w="993"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0432</w:t>
                  </w:r>
                </w:p>
              </w:tc>
              <w:tc>
                <w:tcPr>
                  <w:tcW w:w="1160"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36</w:t>
                  </w:r>
                </w:p>
              </w:tc>
              <w:tc>
                <w:tcPr>
                  <w:tcW w:w="115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1200</w:t>
                  </w:r>
                </w:p>
              </w:tc>
            </w:tr>
          </w:tbl>
          <w:p>
            <w:pPr>
              <w:spacing w:line="360" w:lineRule="auto"/>
              <w:ind w:firstLine="480" w:firstLineChars="2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fldChar w:fldCharType="begin"/>
            </w:r>
            <w:r>
              <w:rPr>
                <w:rFonts w:hint="eastAsia" w:ascii="Times New Roman" w:hAnsi="Times New Roman" w:eastAsia="宋体" w:cs="Times New Roman"/>
                <w:color w:val="auto"/>
                <w:kern w:val="0"/>
                <w:sz w:val="24"/>
                <w:szCs w:val="20"/>
                <w:highlight w:val="none"/>
                <w:lang w:val="en-US" w:eastAsia="zh-CN" w:bidi="ar-SA"/>
              </w:rPr>
              <w:instrText xml:space="preserve"> = 2 \* GB3 </w:instrText>
            </w:r>
            <w:r>
              <w:rPr>
                <w:rFonts w:hint="eastAsia" w:ascii="Times New Roman" w:hAnsi="Times New Roman" w:eastAsia="宋体" w:cs="Times New Roman"/>
                <w:color w:val="auto"/>
                <w:kern w:val="0"/>
                <w:sz w:val="24"/>
                <w:szCs w:val="20"/>
                <w:highlight w:val="none"/>
                <w:lang w:val="en-US" w:eastAsia="zh-CN" w:bidi="ar-SA"/>
              </w:rPr>
              <w:fldChar w:fldCharType="separate"/>
            </w:r>
            <w:r>
              <w:rPr>
                <w:rFonts w:hint="eastAsia" w:ascii="Times New Roman" w:hAnsi="Times New Roman" w:eastAsia="宋体" w:cs="Times New Roman"/>
                <w:color w:val="auto"/>
                <w:kern w:val="0"/>
                <w:sz w:val="24"/>
                <w:szCs w:val="20"/>
                <w:highlight w:val="none"/>
                <w:lang w:val="en-US" w:eastAsia="zh-CN" w:bidi="ar-SA"/>
              </w:rPr>
              <w:t>②</w:t>
            </w:r>
            <w:r>
              <w:rPr>
                <w:rFonts w:hint="eastAsia" w:ascii="Times New Roman" w:hAnsi="Times New Roman" w:eastAsia="宋体" w:cs="Times New Roman"/>
                <w:color w:val="auto"/>
                <w:kern w:val="0"/>
                <w:sz w:val="24"/>
                <w:szCs w:val="20"/>
                <w:highlight w:val="none"/>
                <w:lang w:val="en-US" w:eastAsia="zh-CN" w:bidi="ar-SA"/>
              </w:rPr>
              <w:fldChar w:fldCharType="end"/>
            </w:r>
            <w:r>
              <w:rPr>
                <w:rFonts w:hint="eastAsia" w:ascii="Times New Roman" w:hAnsi="Times New Roman" w:eastAsia="宋体" w:cs="Times New Roman"/>
                <w:color w:val="auto"/>
                <w:kern w:val="0"/>
                <w:sz w:val="24"/>
                <w:szCs w:val="20"/>
                <w:highlight w:val="none"/>
                <w:lang w:val="en-US" w:eastAsia="zh-CN" w:bidi="ar-SA"/>
              </w:rPr>
              <w:t xml:space="preserve"> 砂、石料卸料及堆放粉尘</w:t>
            </w:r>
          </w:p>
          <w:p>
            <w:pPr>
              <w:spacing w:line="360" w:lineRule="auto"/>
              <w:ind w:firstLine="480" w:firstLineChars="2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本项目骨料（砂、石料），全部采用室内料场堆存，在气候干燥又有风的情况下，会产生扬尘。装卸粉尘量核算依据如下：根据《环境影响评价实用技术指南》（机械工业出版社，2012年），计算公式如下：</w:t>
            </w:r>
          </w:p>
          <w:p>
            <w:pPr>
              <w:spacing w:line="360" w:lineRule="auto"/>
              <w:jc w:val="center"/>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drawing>
                <wp:inline distT="0" distB="0" distL="0" distR="0">
                  <wp:extent cx="961390" cy="400685"/>
                  <wp:effectExtent l="0" t="0" r="10160" b="18415"/>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jpeg"/>
                          <pic:cNvPicPr>
                            <a:picLocks noChangeAspect="1"/>
                          </pic:cNvPicPr>
                        </pic:nvPicPr>
                        <pic:blipFill>
                          <a:blip r:embed="rId27" cstate="print"/>
                          <a:stretch>
                            <a:fillRect/>
                          </a:stretch>
                        </pic:blipFill>
                        <pic:spPr>
                          <a:xfrm>
                            <a:off x="0" y="0"/>
                            <a:ext cx="961644" cy="400812"/>
                          </a:xfrm>
                          <a:prstGeom prst="rect">
                            <a:avLst/>
                          </a:prstGeom>
                        </pic:spPr>
                      </pic:pic>
                    </a:graphicData>
                  </a:graphic>
                </wp:inline>
              </w:drawing>
            </w:r>
          </w:p>
          <w:p>
            <w:pPr>
              <w:spacing w:line="360" w:lineRule="auto"/>
              <w:ind w:firstLine="480" w:firstLineChars="2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式中：Q——自卸汽车卸料起尘量，g/次；</w:t>
            </w:r>
          </w:p>
          <w:p>
            <w:pPr>
              <w:spacing w:line="360" w:lineRule="auto"/>
              <w:ind w:firstLine="1200" w:firstLineChars="5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M——汽车卸料量</w:t>
            </w:r>
            <w:r>
              <w:rPr>
                <w:rFonts w:hint="eastAsia" w:cs="Times New Roman"/>
                <w:color w:val="auto"/>
                <w:kern w:val="0"/>
                <w:sz w:val="24"/>
                <w:szCs w:val="20"/>
                <w:highlight w:val="none"/>
                <w:lang w:val="en-US" w:eastAsia="zh-CN" w:bidi="ar-SA"/>
              </w:rPr>
              <w:t>（26.4t）</w:t>
            </w:r>
            <w:r>
              <w:rPr>
                <w:rFonts w:hint="eastAsia" w:ascii="Times New Roman" w:hAnsi="Times New Roman" w:eastAsia="宋体" w:cs="Times New Roman"/>
                <w:color w:val="auto"/>
                <w:kern w:val="0"/>
                <w:sz w:val="24"/>
                <w:szCs w:val="20"/>
                <w:highlight w:val="none"/>
                <w:lang w:val="en-US" w:eastAsia="zh-CN" w:bidi="ar-SA"/>
              </w:rPr>
              <w:t>；</w:t>
            </w:r>
          </w:p>
          <w:p>
            <w:pPr>
              <w:spacing w:line="360" w:lineRule="auto"/>
              <w:ind w:firstLine="1200" w:firstLineChars="5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U——地面平均风速，m/s，取静风，0.2m/s。</w:t>
            </w:r>
          </w:p>
          <w:p>
            <w:pPr>
              <w:spacing w:line="360" w:lineRule="auto"/>
              <w:ind w:firstLine="480" w:firstLineChars="2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根据上述公式计算，本次过程料场装卸过程起尘量核算情况见下表。</w:t>
            </w:r>
          </w:p>
          <w:p>
            <w:pPr>
              <w:spacing w:line="360" w:lineRule="auto"/>
              <w:jc w:val="center"/>
              <w:rPr>
                <w:rFonts w:hint="eastAsia"/>
                <w:color w:val="auto"/>
                <w:highlight w:val="none"/>
                <w:lang w:val="en-US" w:eastAsia="zh-CN"/>
              </w:rPr>
            </w:pPr>
            <w:r>
              <w:rPr>
                <w:rFonts w:hint="eastAsia"/>
                <w:b/>
                <w:color w:val="auto"/>
                <w:highlight w:val="none"/>
              </w:rPr>
              <w:t>表4</w:t>
            </w:r>
            <w:r>
              <w:rPr>
                <w:b/>
                <w:color w:val="auto"/>
                <w:highlight w:val="none"/>
              </w:rPr>
              <w:t>-</w:t>
            </w:r>
            <w:r>
              <w:rPr>
                <w:rFonts w:hint="eastAsia"/>
                <w:b/>
                <w:color w:val="auto"/>
                <w:highlight w:val="none"/>
                <w:lang w:val="en-US" w:eastAsia="zh-CN"/>
              </w:rPr>
              <w:t>2</w:t>
            </w:r>
            <w:r>
              <w:rPr>
                <w:b/>
                <w:color w:val="auto"/>
                <w:highlight w:val="none"/>
              </w:rPr>
              <w:t xml:space="preserve"> 物料装卸过程起尘量核算一览表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416"/>
              <w:gridCol w:w="1416"/>
              <w:gridCol w:w="1417"/>
              <w:gridCol w:w="141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6" w:type="dxa"/>
                  <w:vAlign w:val="center"/>
                </w:tcPr>
                <w:p>
                  <w:pPr>
                    <w:pStyle w:val="6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项目</w:t>
                  </w:r>
                </w:p>
              </w:tc>
              <w:tc>
                <w:tcPr>
                  <w:tcW w:w="1416" w:type="dxa"/>
                  <w:vAlign w:val="center"/>
                </w:tcPr>
                <w:p>
                  <w:pPr>
                    <w:pStyle w:val="6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装卸量（t/a）</w:t>
                  </w:r>
                </w:p>
              </w:tc>
              <w:tc>
                <w:tcPr>
                  <w:tcW w:w="1416" w:type="dxa"/>
                  <w:vAlign w:val="center"/>
                </w:tcPr>
                <w:p>
                  <w:pPr>
                    <w:pStyle w:val="6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装卸次数</w:t>
                  </w:r>
                </w:p>
                <w:p>
                  <w:pPr>
                    <w:pStyle w:val="6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（次/a</w:t>
                  </w:r>
                  <w:r>
                    <w:rPr>
                      <w:rFonts w:hint="default" w:ascii="Times New Roman" w:hAnsi="Times New Roman" w:eastAsia="宋体" w:cs="Times New Roman"/>
                      <w:b/>
                      <w:bCs/>
                      <w:color w:val="auto"/>
                      <w:w w:val="95"/>
                      <w:sz w:val="21"/>
                      <w:szCs w:val="21"/>
                      <w:highlight w:val="none"/>
                    </w:rPr>
                    <w:t>）</w:t>
                  </w:r>
                </w:p>
              </w:tc>
              <w:tc>
                <w:tcPr>
                  <w:tcW w:w="1417" w:type="dxa"/>
                  <w:vAlign w:val="center"/>
                </w:tcPr>
                <w:p>
                  <w:pPr>
                    <w:pStyle w:val="6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Q（g/次）</w:t>
                  </w:r>
                </w:p>
              </w:tc>
              <w:tc>
                <w:tcPr>
                  <w:tcW w:w="1417" w:type="dxa"/>
                  <w:vAlign w:val="center"/>
                </w:tcPr>
                <w:p>
                  <w:pPr>
                    <w:pStyle w:val="63"/>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起尘量</w:t>
                  </w:r>
                </w:p>
                <w:p>
                  <w:pPr>
                    <w:pStyle w:val="63"/>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（kg/a）</w:t>
                  </w:r>
                </w:p>
              </w:tc>
              <w:tc>
                <w:tcPr>
                  <w:tcW w:w="1417" w:type="dxa"/>
                  <w:vAlign w:val="center"/>
                </w:tcPr>
                <w:p>
                  <w:pPr>
                    <w:pStyle w:val="63"/>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w w:val="95"/>
                      <w:sz w:val="21"/>
                      <w:szCs w:val="21"/>
                      <w:highlight w:val="none"/>
                    </w:rPr>
                    <w:t>产生源强</w:t>
                  </w:r>
                </w:p>
                <w:p>
                  <w:pPr>
                    <w:pStyle w:val="63"/>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rPr>
              <w:tc>
                <w:tcPr>
                  <w:tcW w:w="1416" w:type="dxa"/>
                  <w:vAlign w:val="center"/>
                </w:tcPr>
                <w:p>
                  <w:pPr>
                    <w:pStyle w:val="6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原料装卸</w:t>
                  </w:r>
                </w:p>
              </w:tc>
              <w:tc>
                <w:tcPr>
                  <w:tcW w:w="1416" w:type="dxa"/>
                  <w:vAlign w:val="center"/>
                </w:tcPr>
                <w:p>
                  <w:pPr>
                    <w:pStyle w:val="63"/>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475000</w:t>
                  </w:r>
                </w:p>
              </w:tc>
              <w:tc>
                <w:tcPr>
                  <w:tcW w:w="1416" w:type="dxa"/>
                  <w:vAlign w:val="center"/>
                </w:tcPr>
                <w:p>
                  <w:pPr>
                    <w:pStyle w:val="6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lang w:val="en-US" w:eastAsia="zh-CN"/>
                    </w:rPr>
                    <w:t>17992</w:t>
                  </w:r>
                </w:p>
              </w:tc>
              <w:tc>
                <w:tcPr>
                  <w:tcW w:w="1417" w:type="dxa"/>
                  <w:vAlign w:val="center"/>
                </w:tcPr>
                <w:p>
                  <w:pPr>
                    <w:pStyle w:val="6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2.</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1</w:t>
                  </w:r>
                </w:p>
              </w:tc>
              <w:tc>
                <w:tcPr>
                  <w:tcW w:w="1417" w:type="dxa"/>
                  <w:vAlign w:val="center"/>
                </w:tcPr>
                <w:p>
                  <w:pPr>
                    <w:pStyle w:val="63"/>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lang w:val="en-US" w:eastAsia="zh-CN"/>
                    </w:rPr>
                    <w:t>39.76</w:t>
                  </w:r>
                </w:p>
              </w:tc>
              <w:tc>
                <w:tcPr>
                  <w:tcW w:w="1417" w:type="dxa"/>
                  <w:vAlign w:val="center"/>
                </w:tcPr>
                <w:p>
                  <w:pPr>
                    <w:pStyle w:val="63"/>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66</w:t>
                  </w:r>
                </w:p>
              </w:tc>
            </w:tr>
          </w:tbl>
          <w:p>
            <w:pPr>
              <w:spacing w:line="360" w:lineRule="auto"/>
              <w:ind w:firstLine="480" w:firstLineChars="2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每辆车卸料均约需2min，本项目石子年装卸车约</w:t>
            </w:r>
            <w:r>
              <w:rPr>
                <w:rFonts w:hint="eastAsia" w:cs="Times New Roman"/>
                <w:color w:val="auto"/>
                <w:kern w:val="0"/>
                <w:sz w:val="24"/>
                <w:szCs w:val="20"/>
                <w:highlight w:val="none"/>
                <w:lang w:val="en-US" w:eastAsia="zh-CN" w:bidi="ar-SA"/>
              </w:rPr>
              <w:t>17992</w:t>
            </w:r>
            <w:r>
              <w:rPr>
                <w:rFonts w:hint="eastAsia" w:ascii="Times New Roman" w:hAnsi="Times New Roman" w:eastAsia="宋体" w:cs="Times New Roman"/>
                <w:color w:val="auto"/>
                <w:kern w:val="0"/>
                <w:sz w:val="24"/>
                <w:szCs w:val="20"/>
                <w:highlight w:val="none"/>
                <w:lang w:val="en-US" w:eastAsia="zh-CN" w:bidi="ar-SA"/>
              </w:rPr>
              <w:t>辆次，</w:t>
            </w:r>
            <w:r>
              <w:rPr>
                <w:rFonts w:hint="eastAsia" w:cs="Times New Roman"/>
                <w:color w:val="auto"/>
                <w:kern w:val="0"/>
                <w:sz w:val="24"/>
                <w:szCs w:val="20"/>
                <w:highlight w:val="none"/>
                <w:lang w:val="en-US" w:eastAsia="zh-CN" w:bidi="ar-SA"/>
              </w:rPr>
              <w:t>年装卸时间600h</w:t>
            </w:r>
            <w:r>
              <w:rPr>
                <w:rFonts w:hint="eastAsia" w:ascii="Times New Roman" w:hAnsi="Times New Roman" w:eastAsia="宋体" w:cs="Times New Roman"/>
                <w:color w:val="auto"/>
                <w:kern w:val="0"/>
                <w:sz w:val="24"/>
                <w:szCs w:val="20"/>
                <w:highlight w:val="none"/>
                <w:lang w:val="en-US" w:eastAsia="zh-CN" w:bidi="ar-SA"/>
              </w:rPr>
              <w:t>企业在卸料时采用喷淋法抑制扬尘，可以削减砂石起尘量的80%，则装卸过程粉尘</w:t>
            </w:r>
            <w:r>
              <w:rPr>
                <w:rFonts w:hint="eastAsia" w:cs="Times New Roman"/>
                <w:color w:val="auto"/>
                <w:kern w:val="0"/>
                <w:sz w:val="24"/>
                <w:szCs w:val="20"/>
                <w:highlight w:val="none"/>
                <w:lang w:val="en-US" w:eastAsia="zh-CN" w:bidi="ar-SA"/>
              </w:rPr>
              <w:t>排放</w:t>
            </w:r>
            <w:r>
              <w:rPr>
                <w:rFonts w:hint="eastAsia" w:ascii="Times New Roman" w:hAnsi="Times New Roman" w:eastAsia="宋体" w:cs="Times New Roman"/>
                <w:color w:val="auto"/>
                <w:kern w:val="0"/>
                <w:sz w:val="24"/>
                <w:szCs w:val="20"/>
                <w:highlight w:val="none"/>
                <w:lang w:val="en-US" w:eastAsia="zh-CN" w:bidi="ar-SA"/>
              </w:rPr>
              <w:t>量为0.</w:t>
            </w:r>
            <w:r>
              <w:rPr>
                <w:rFonts w:hint="eastAsia" w:cs="Times New Roman"/>
                <w:color w:val="auto"/>
                <w:kern w:val="0"/>
                <w:sz w:val="24"/>
                <w:szCs w:val="20"/>
                <w:highlight w:val="none"/>
                <w:lang w:val="en-US" w:eastAsia="zh-CN" w:bidi="ar-SA"/>
              </w:rPr>
              <w:t>008</w:t>
            </w:r>
            <w:r>
              <w:rPr>
                <w:rFonts w:hint="eastAsia" w:ascii="Times New Roman" w:hAnsi="Times New Roman" w:eastAsia="宋体" w:cs="Times New Roman"/>
                <w:color w:val="auto"/>
                <w:kern w:val="0"/>
                <w:sz w:val="24"/>
                <w:szCs w:val="20"/>
                <w:highlight w:val="none"/>
                <w:lang w:val="en-US" w:eastAsia="zh-CN" w:bidi="ar-SA"/>
              </w:rPr>
              <w:t>t/a，排放速率为0.</w:t>
            </w:r>
            <w:r>
              <w:rPr>
                <w:rFonts w:hint="eastAsia" w:cs="Times New Roman"/>
                <w:color w:val="auto"/>
                <w:kern w:val="0"/>
                <w:sz w:val="24"/>
                <w:szCs w:val="20"/>
                <w:highlight w:val="none"/>
                <w:lang w:val="en-US" w:eastAsia="zh-CN" w:bidi="ar-SA"/>
              </w:rPr>
              <w:t>013</w:t>
            </w:r>
            <w:r>
              <w:rPr>
                <w:rFonts w:hint="eastAsia" w:ascii="Times New Roman" w:hAnsi="Times New Roman" w:eastAsia="宋体" w:cs="Times New Roman"/>
                <w:color w:val="auto"/>
                <w:kern w:val="0"/>
                <w:sz w:val="24"/>
                <w:szCs w:val="20"/>
                <w:highlight w:val="none"/>
                <w:lang w:val="en-US" w:eastAsia="zh-CN" w:bidi="ar-SA"/>
              </w:rPr>
              <w:t>kg/h。</w:t>
            </w:r>
          </w:p>
          <w:p>
            <w:pPr>
              <w:spacing w:line="360" w:lineRule="auto"/>
              <w:ind w:firstLine="480" w:firstLineChars="2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骨料堆放起尘量参考经验公式进行估算：</w:t>
            </w:r>
          </w:p>
          <w:p>
            <w:pPr>
              <w:spacing w:line="360" w:lineRule="auto"/>
              <w:jc w:val="center"/>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Q=11.7U</w:t>
            </w:r>
            <w:r>
              <w:rPr>
                <w:rFonts w:hint="eastAsia" w:ascii="Times New Roman" w:hAnsi="Times New Roman" w:eastAsia="宋体" w:cs="Times New Roman"/>
                <w:color w:val="auto"/>
                <w:kern w:val="0"/>
                <w:sz w:val="24"/>
                <w:szCs w:val="20"/>
                <w:highlight w:val="none"/>
                <w:vertAlign w:val="superscript"/>
                <w:lang w:val="en-US" w:eastAsia="zh-CN" w:bidi="ar-SA"/>
              </w:rPr>
              <w:t>2.45</w:t>
            </w:r>
            <w:r>
              <w:rPr>
                <w:rFonts w:hint="eastAsia" w:ascii="Times New Roman" w:hAnsi="Times New Roman" w:eastAsia="宋体" w:cs="Times New Roman"/>
                <w:color w:val="auto"/>
                <w:kern w:val="0"/>
                <w:sz w:val="24"/>
                <w:szCs w:val="20"/>
                <w:highlight w:val="none"/>
                <w:lang w:val="en-US" w:eastAsia="zh-CN" w:bidi="ar-SA"/>
              </w:rPr>
              <w:t>S</w:t>
            </w:r>
            <w:r>
              <w:rPr>
                <w:rFonts w:hint="eastAsia" w:ascii="Times New Roman" w:hAnsi="Times New Roman" w:eastAsia="宋体" w:cs="Times New Roman"/>
                <w:color w:val="auto"/>
                <w:kern w:val="0"/>
                <w:sz w:val="24"/>
                <w:szCs w:val="20"/>
                <w:highlight w:val="none"/>
                <w:vertAlign w:val="superscript"/>
                <w:lang w:val="en-US" w:eastAsia="zh-CN" w:bidi="ar-SA"/>
              </w:rPr>
              <w:t>0.345</w:t>
            </w:r>
            <w:r>
              <w:rPr>
                <w:rFonts w:hint="eastAsia" w:ascii="Times New Roman" w:hAnsi="Times New Roman" w:eastAsia="宋体" w:cs="Times New Roman"/>
                <w:color w:val="auto"/>
                <w:kern w:val="0"/>
                <w:sz w:val="24"/>
                <w:szCs w:val="20"/>
                <w:highlight w:val="none"/>
                <w:lang w:val="en-US" w:eastAsia="zh-CN" w:bidi="ar-SA"/>
              </w:rPr>
              <w:t>×e</w:t>
            </w:r>
            <w:r>
              <w:rPr>
                <w:rFonts w:hint="eastAsia" w:ascii="Times New Roman" w:hAnsi="Times New Roman" w:eastAsia="宋体" w:cs="Times New Roman"/>
                <w:color w:val="auto"/>
                <w:kern w:val="0"/>
                <w:sz w:val="24"/>
                <w:szCs w:val="20"/>
                <w:highlight w:val="none"/>
                <w:vertAlign w:val="superscript"/>
                <w:lang w:val="en-US" w:eastAsia="zh-CN" w:bidi="ar-SA"/>
              </w:rPr>
              <w:t>-0.5w</w:t>
            </w:r>
          </w:p>
          <w:p>
            <w:pPr>
              <w:spacing w:line="360" w:lineRule="auto"/>
              <w:ind w:firstLine="960" w:firstLineChars="4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式中：S——堆场表面积，m</w:t>
            </w:r>
            <w:r>
              <w:rPr>
                <w:rFonts w:hint="eastAsia" w:ascii="Times New Roman" w:hAnsi="Times New Roman" w:eastAsia="宋体" w:cs="Times New Roman"/>
                <w:color w:val="auto"/>
                <w:kern w:val="0"/>
                <w:sz w:val="24"/>
                <w:szCs w:val="20"/>
                <w:highlight w:val="none"/>
                <w:vertAlign w:val="superscript"/>
                <w:lang w:val="en-US" w:eastAsia="zh-CN" w:bidi="ar-SA"/>
              </w:rPr>
              <w:t>2</w:t>
            </w:r>
            <w:r>
              <w:rPr>
                <w:rFonts w:hint="eastAsia" w:ascii="Times New Roman" w:hAnsi="Times New Roman" w:eastAsia="宋体" w:cs="Times New Roman"/>
                <w:color w:val="auto"/>
                <w:kern w:val="0"/>
                <w:sz w:val="24"/>
                <w:szCs w:val="20"/>
                <w:highlight w:val="none"/>
                <w:lang w:val="en-US" w:eastAsia="zh-CN" w:bidi="ar-SA"/>
              </w:rPr>
              <w:t>；砂石堆场表面积约为4000m</w:t>
            </w:r>
            <w:r>
              <w:rPr>
                <w:rFonts w:hint="eastAsia" w:ascii="Times New Roman" w:hAnsi="Times New Roman" w:eastAsia="宋体" w:cs="Times New Roman"/>
                <w:color w:val="auto"/>
                <w:kern w:val="0"/>
                <w:sz w:val="24"/>
                <w:szCs w:val="20"/>
                <w:highlight w:val="none"/>
                <w:vertAlign w:val="superscript"/>
                <w:lang w:val="en-US" w:eastAsia="zh-CN" w:bidi="ar-SA"/>
              </w:rPr>
              <w:t>2</w:t>
            </w:r>
            <w:r>
              <w:rPr>
                <w:rFonts w:hint="eastAsia" w:ascii="Times New Roman" w:hAnsi="Times New Roman" w:eastAsia="宋体" w:cs="Times New Roman"/>
                <w:color w:val="auto"/>
                <w:kern w:val="0"/>
                <w:sz w:val="24"/>
                <w:szCs w:val="20"/>
                <w:highlight w:val="none"/>
                <w:lang w:val="en-US" w:eastAsia="zh-CN" w:bidi="ar-SA"/>
              </w:rPr>
              <w:t>；</w:t>
            </w:r>
          </w:p>
          <w:p>
            <w:pPr>
              <w:spacing w:line="360" w:lineRule="auto"/>
              <w:ind w:firstLine="960" w:firstLineChars="4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U——风速，m/s，风速平均值为1.0m/s；</w:t>
            </w:r>
          </w:p>
          <w:p>
            <w:pPr>
              <w:spacing w:line="360" w:lineRule="auto"/>
              <w:ind w:firstLine="960" w:firstLineChars="4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W——物料含水率，%；含水率约6%；</w:t>
            </w:r>
          </w:p>
          <w:p>
            <w:pPr>
              <w:spacing w:line="360" w:lineRule="auto"/>
              <w:ind w:firstLine="960" w:firstLineChars="4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Q——堆场起尘强度，mg/s；</w:t>
            </w:r>
          </w:p>
          <w:p>
            <w:pPr>
              <w:spacing w:line="360" w:lineRule="auto"/>
              <w:ind w:firstLine="480" w:firstLineChars="2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料场的起尘同碎石料堆表面积、碎石料的湿度、当地的气候因素等有关。经过计算得到的起尘量为198.54mg/s，有效堆放时间3600h，则项目堆场产生的扬尘量为2.57t/a。企业不定时进行喷淋抑尘，可以削减起尘量的</w:t>
            </w:r>
            <w:r>
              <w:rPr>
                <w:rFonts w:hint="eastAsia" w:cs="Times New Roman"/>
                <w:color w:val="auto"/>
                <w:kern w:val="0"/>
                <w:sz w:val="24"/>
                <w:szCs w:val="20"/>
                <w:highlight w:val="none"/>
                <w:lang w:val="en-US" w:eastAsia="zh-CN" w:bidi="ar-SA"/>
              </w:rPr>
              <w:t>80</w:t>
            </w:r>
            <w:r>
              <w:rPr>
                <w:rFonts w:hint="eastAsia" w:ascii="Times New Roman" w:hAnsi="Times New Roman" w:eastAsia="宋体" w:cs="Times New Roman"/>
                <w:color w:val="auto"/>
                <w:kern w:val="0"/>
                <w:sz w:val="24"/>
                <w:szCs w:val="20"/>
                <w:highlight w:val="none"/>
                <w:lang w:val="en-US" w:eastAsia="zh-CN" w:bidi="ar-SA"/>
              </w:rPr>
              <w:t>%，则堆放起尘量为0.</w:t>
            </w:r>
            <w:r>
              <w:rPr>
                <w:rFonts w:hint="eastAsia" w:cs="Times New Roman"/>
                <w:color w:val="auto"/>
                <w:kern w:val="0"/>
                <w:sz w:val="24"/>
                <w:szCs w:val="20"/>
                <w:highlight w:val="none"/>
                <w:lang w:val="en-US" w:eastAsia="zh-CN" w:bidi="ar-SA"/>
              </w:rPr>
              <w:t>514</w:t>
            </w:r>
            <w:r>
              <w:rPr>
                <w:rFonts w:hint="eastAsia" w:ascii="Times New Roman" w:hAnsi="Times New Roman" w:eastAsia="宋体" w:cs="Times New Roman"/>
                <w:color w:val="auto"/>
                <w:kern w:val="0"/>
                <w:sz w:val="24"/>
                <w:szCs w:val="20"/>
                <w:highlight w:val="none"/>
                <w:lang w:val="en-US" w:eastAsia="zh-CN" w:bidi="ar-SA"/>
              </w:rPr>
              <w:t>t/a，排放速率为0.</w:t>
            </w:r>
            <w:r>
              <w:rPr>
                <w:rFonts w:hint="eastAsia" w:cs="Times New Roman"/>
                <w:color w:val="auto"/>
                <w:kern w:val="0"/>
                <w:sz w:val="24"/>
                <w:szCs w:val="20"/>
                <w:highlight w:val="none"/>
                <w:lang w:val="en-US" w:eastAsia="zh-CN" w:bidi="ar-SA"/>
              </w:rPr>
              <w:t>14</w:t>
            </w:r>
            <w:r>
              <w:rPr>
                <w:rFonts w:hint="eastAsia" w:ascii="Times New Roman" w:hAnsi="Times New Roman" w:eastAsia="宋体" w:cs="Times New Roman"/>
                <w:color w:val="auto"/>
                <w:kern w:val="0"/>
                <w:sz w:val="24"/>
                <w:szCs w:val="20"/>
                <w:highlight w:val="none"/>
                <w:lang w:val="en-US" w:eastAsia="zh-CN" w:bidi="ar-SA"/>
              </w:rPr>
              <w:t>kg/h。</w:t>
            </w:r>
          </w:p>
          <w:p>
            <w:pPr>
              <w:spacing w:line="360" w:lineRule="auto"/>
              <w:ind w:firstLine="480" w:firstLineChars="2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骨料卸料及堆放粉尘排放量见表4-</w:t>
            </w:r>
            <w:r>
              <w:rPr>
                <w:rFonts w:hint="eastAsia" w:cs="Times New Roman"/>
                <w:color w:val="auto"/>
                <w:kern w:val="0"/>
                <w:sz w:val="24"/>
                <w:szCs w:val="20"/>
                <w:highlight w:val="none"/>
                <w:lang w:val="en-US" w:eastAsia="zh-CN" w:bidi="ar-SA"/>
              </w:rPr>
              <w:t>3</w:t>
            </w:r>
            <w:r>
              <w:rPr>
                <w:rFonts w:hint="eastAsia" w:ascii="Times New Roman" w:hAnsi="Times New Roman" w:eastAsia="宋体" w:cs="Times New Roman"/>
                <w:color w:val="auto"/>
                <w:kern w:val="0"/>
                <w:sz w:val="24"/>
                <w:szCs w:val="20"/>
                <w:highlight w:val="none"/>
                <w:lang w:val="en-US" w:eastAsia="zh-CN" w:bidi="ar-SA"/>
              </w:rPr>
              <w:t>。</w:t>
            </w:r>
          </w:p>
          <w:p>
            <w:pPr>
              <w:spacing w:line="360" w:lineRule="auto"/>
              <w:jc w:val="center"/>
              <w:rPr>
                <w:b/>
                <w:color w:val="auto"/>
                <w:highlight w:val="none"/>
              </w:rPr>
            </w:pPr>
            <w:r>
              <w:rPr>
                <w:rFonts w:hint="eastAsia"/>
                <w:b/>
                <w:color w:val="auto"/>
                <w:highlight w:val="none"/>
              </w:rPr>
              <w:t>表4</w:t>
            </w:r>
            <w:r>
              <w:rPr>
                <w:b/>
                <w:color w:val="auto"/>
                <w:highlight w:val="none"/>
              </w:rPr>
              <w:t>-</w:t>
            </w:r>
            <w:r>
              <w:rPr>
                <w:rFonts w:hint="eastAsia"/>
                <w:b/>
                <w:color w:val="auto"/>
                <w:highlight w:val="none"/>
                <w:lang w:val="en-US" w:eastAsia="zh-CN"/>
              </w:rPr>
              <w:t>3</w:t>
            </w:r>
            <w:r>
              <w:rPr>
                <w:b/>
                <w:color w:val="auto"/>
                <w:highlight w:val="none"/>
              </w:rPr>
              <w:t xml:space="preserve"> </w:t>
            </w:r>
            <w:r>
              <w:rPr>
                <w:rFonts w:hint="eastAsia"/>
                <w:b/>
                <w:color w:val="auto"/>
                <w:highlight w:val="none"/>
              </w:rPr>
              <w:t>骨料卸料及堆放粉尘无组织废气产排情况一览表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846"/>
              <w:gridCol w:w="1118"/>
              <w:gridCol w:w="2135"/>
              <w:gridCol w:w="993"/>
              <w:gridCol w:w="1160"/>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2"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tc>
              <w:tc>
                <w:tcPr>
                  <w:tcW w:w="498"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产生量（t/a）</w:t>
                  </w:r>
                </w:p>
              </w:tc>
              <w:tc>
                <w:tcPr>
                  <w:tcW w:w="658"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产生速率（kg/h）</w:t>
                  </w:r>
                </w:p>
              </w:tc>
              <w:tc>
                <w:tcPr>
                  <w:tcW w:w="1258"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585"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排放量（t/a）</w:t>
                  </w:r>
                </w:p>
              </w:tc>
              <w:tc>
                <w:tcPr>
                  <w:tcW w:w="683"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排放速率（kg/h）</w:t>
                  </w:r>
                </w:p>
              </w:tc>
              <w:tc>
                <w:tcPr>
                  <w:tcW w:w="682"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2" w:type="pct"/>
                  <w:vAlign w:val="center"/>
                </w:tcPr>
                <w:p>
                  <w:pPr>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装</w:t>
                  </w:r>
                  <w:r>
                    <w:rPr>
                      <w:rFonts w:hint="default" w:ascii="Times New Roman" w:hAnsi="Times New Roman" w:eastAsia="宋体" w:cs="Times New Roman"/>
                      <w:color w:val="auto"/>
                      <w:sz w:val="21"/>
                      <w:szCs w:val="21"/>
                      <w:highlight w:val="none"/>
                    </w:rPr>
                    <w:t>卸料</w:t>
                  </w:r>
                  <w:r>
                    <w:rPr>
                      <w:rFonts w:hint="eastAsia" w:cs="Times New Roman"/>
                      <w:color w:val="auto"/>
                      <w:sz w:val="21"/>
                      <w:szCs w:val="21"/>
                      <w:highlight w:val="none"/>
                      <w:lang w:eastAsia="zh-CN"/>
                    </w:rPr>
                    <w:t>粉尘</w:t>
                  </w:r>
                </w:p>
              </w:tc>
              <w:tc>
                <w:tcPr>
                  <w:tcW w:w="498" w:type="pct"/>
                  <w:vAlign w:val="center"/>
                </w:tcPr>
                <w:p>
                  <w:pPr>
                    <w:pStyle w:val="6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0.04</w:t>
                  </w:r>
                </w:p>
              </w:tc>
              <w:tc>
                <w:tcPr>
                  <w:tcW w:w="658" w:type="pct"/>
                  <w:vAlign w:val="center"/>
                </w:tcPr>
                <w:p>
                  <w:pPr>
                    <w:pStyle w:val="6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66</w:t>
                  </w:r>
                </w:p>
              </w:tc>
              <w:tc>
                <w:tcPr>
                  <w:tcW w:w="1258" w:type="pct"/>
                  <w:vMerge w:val="restar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全封闭厂房内，三面密闭，设置喷淋装置</w:t>
                  </w:r>
                </w:p>
              </w:tc>
              <w:tc>
                <w:tcPr>
                  <w:tcW w:w="585"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0.008</w:t>
                  </w:r>
                </w:p>
              </w:tc>
              <w:tc>
                <w:tcPr>
                  <w:tcW w:w="683"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013</w:t>
                  </w:r>
                </w:p>
              </w:tc>
              <w:tc>
                <w:tcPr>
                  <w:tcW w:w="682"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2"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堆放粉尘</w:t>
                  </w:r>
                </w:p>
              </w:tc>
              <w:tc>
                <w:tcPr>
                  <w:tcW w:w="498"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2.57</w:t>
                  </w:r>
                </w:p>
              </w:tc>
              <w:tc>
                <w:tcPr>
                  <w:tcW w:w="658"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714</w:t>
                  </w:r>
                </w:p>
              </w:tc>
              <w:tc>
                <w:tcPr>
                  <w:tcW w:w="1258" w:type="pct"/>
                  <w:vMerge w:val="continue"/>
                  <w:vAlign w:val="center"/>
                </w:tcPr>
                <w:p>
                  <w:pPr>
                    <w:jc w:val="center"/>
                    <w:rPr>
                      <w:rFonts w:hint="default" w:ascii="Times New Roman" w:hAnsi="Times New Roman" w:eastAsia="宋体" w:cs="Times New Roman"/>
                      <w:color w:val="auto"/>
                      <w:sz w:val="21"/>
                      <w:szCs w:val="21"/>
                      <w:highlight w:val="none"/>
                    </w:rPr>
                  </w:pPr>
                </w:p>
              </w:tc>
              <w:tc>
                <w:tcPr>
                  <w:tcW w:w="585"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0.514</w:t>
                  </w:r>
                </w:p>
              </w:tc>
              <w:tc>
                <w:tcPr>
                  <w:tcW w:w="683"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14</w:t>
                  </w:r>
                </w:p>
              </w:tc>
              <w:tc>
                <w:tcPr>
                  <w:tcW w:w="682"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2" w:type="pct"/>
                  <w:vAlign w:val="center"/>
                </w:tcPr>
                <w:p>
                  <w:pPr>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合计</w:t>
                  </w:r>
                </w:p>
              </w:tc>
              <w:tc>
                <w:tcPr>
                  <w:tcW w:w="498"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2.61</w:t>
                  </w:r>
                </w:p>
              </w:tc>
              <w:tc>
                <w:tcPr>
                  <w:tcW w:w="658"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58"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85"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0.522</w:t>
                  </w:r>
                </w:p>
              </w:tc>
              <w:tc>
                <w:tcPr>
                  <w:tcW w:w="683"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2"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fldChar w:fldCharType="begin"/>
            </w:r>
            <w:r>
              <w:rPr>
                <w:rFonts w:hint="eastAsia" w:ascii="Times New Roman" w:hAnsi="Times New Roman" w:eastAsia="宋体" w:cs="Times New Roman"/>
                <w:color w:val="auto"/>
                <w:kern w:val="0"/>
                <w:sz w:val="24"/>
                <w:szCs w:val="20"/>
                <w:highlight w:val="none"/>
                <w:lang w:val="en-US" w:eastAsia="zh-CN" w:bidi="ar-SA"/>
              </w:rPr>
              <w:instrText xml:space="preserve"> = 3 \* GB3 </w:instrText>
            </w:r>
            <w:r>
              <w:rPr>
                <w:rFonts w:hint="eastAsia" w:ascii="Times New Roman" w:hAnsi="Times New Roman" w:eastAsia="宋体" w:cs="Times New Roman"/>
                <w:color w:val="auto"/>
                <w:kern w:val="0"/>
                <w:sz w:val="24"/>
                <w:szCs w:val="20"/>
                <w:highlight w:val="none"/>
                <w:lang w:val="en-US" w:eastAsia="zh-CN" w:bidi="ar-SA"/>
              </w:rPr>
              <w:fldChar w:fldCharType="separate"/>
            </w:r>
            <w:r>
              <w:rPr>
                <w:rFonts w:hint="eastAsia" w:ascii="Times New Roman" w:hAnsi="Times New Roman" w:eastAsia="宋体" w:cs="Times New Roman"/>
                <w:color w:val="auto"/>
                <w:kern w:val="0"/>
                <w:sz w:val="24"/>
                <w:szCs w:val="20"/>
                <w:highlight w:val="none"/>
                <w:lang w:val="en-US" w:eastAsia="zh-CN" w:bidi="ar-SA"/>
              </w:rPr>
              <w:t>③</w:t>
            </w:r>
            <w:r>
              <w:rPr>
                <w:rFonts w:hint="eastAsia" w:ascii="Times New Roman" w:hAnsi="Times New Roman" w:eastAsia="宋体" w:cs="Times New Roman"/>
                <w:color w:val="auto"/>
                <w:kern w:val="0"/>
                <w:sz w:val="24"/>
                <w:szCs w:val="20"/>
                <w:highlight w:val="none"/>
                <w:lang w:val="en-US" w:eastAsia="zh-CN" w:bidi="ar-SA"/>
              </w:rPr>
              <w:fldChar w:fldCharType="end"/>
            </w:r>
            <w:r>
              <w:rPr>
                <w:rFonts w:hint="eastAsia" w:ascii="Times New Roman" w:hAnsi="Times New Roman" w:eastAsia="宋体" w:cs="Times New Roman"/>
                <w:color w:val="auto"/>
                <w:kern w:val="0"/>
                <w:sz w:val="24"/>
                <w:szCs w:val="20"/>
                <w:highlight w:val="none"/>
                <w:lang w:val="en-US" w:eastAsia="zh-CN" w:bidi="ar-SA"/>
              </w:rPr>
              <w:t xml:space="preserve"> 搅拌系统上料过程粉尘</w:t>
            </w:r>
          </w:p>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砂石于料场堆放，使用时由铲车将原料由堆场运至料斗内，料斗下设有一个落料口，落料口下设有斗车和计量装置，原料由料车向斗车内落料是，会产生一定量的粉尘，类比同类项目，落料时粉尘散逸量约为原料总量的0.05‰。本项目搅拌楼年上料量为</w:t>
            </w:r>
            <w:r>
              <w:rPr>
                <w:rFonts w:hint="eastAsia" w:cs="Times New Roman"/>
                <w:color w:val="auto"/>
                <w:kern w:val="0"/>
                <w:sz w:val="24"/>
                <w:szCs w:val="20"/>
                <w:highlight w:val="none"/>
                <w:shd w:val="clear"/>
                <w:lang w:val="en-US" w:eastAsia="zh-CN" w:bidi="ar-SA"/>
              </w:rPr>
              <w:t>57.1</w:t>
            </w:r>
            <w:r>
              <w:rPr>
                <w:rFonts w:hint="eastAsia" w:ascii="Times New Roman" w:hAnsi="Times New Roman" w:eastAsia="宋体" w:cs="Times New Roman"/>
                <w:color w:val="auto"/>
                <w:kern w:val="0"/>
                <w:sz w:val="24"/>
                <w:szCs w:val="20"/>
                <w:highlight w:val="none"/>
                <w:lang w:val="en-US" w:eastAsia="zh-CN" w:bidi="ar-SA"/>
              </w:rPr>
              <w:t>万t，则搅拌楼上</w:t>
            </w:r>
            <w:r>
              <w:rPr>
                <w:rFonts w:hint="eastAsia" w:ascii="Times New Roman" w:hAnsi="Times New Roman" w:eastAsia="宋体" w:cs="Times New Roman"/>
                <w:color w:val="auto"/>
                <w:kern w:val="0"/>
                <w:sz w:val="24"/>
                <w:szCs w:val="20"/>
                <w:highlight w:val="none"/>
                <w:shd w:val="clear"/>
                <w:lang w:val="en-US" w:eastAsia="zh-CN" w:bidi="ar-SA"/>
              </w:rPr>
              <w:t>料过程粉尘散逸量为</w:t>
            </w:r>
            <w:r>
              <w:rPr>
                <w:rFonts w:hint="eastAsia" w:cs="Times New Roman"/>
                <w:color w:val="auto"/>
                <w:kern w:val="0"/>
                <w:sz w:val="24"/>
                <w:szCs w:val="20"/>
                <w:highlight w:val="none"/>
                <w:shd w:val="clear"/>
                <w:lang w:val="en-US" w:eastAsia="zh-CN" w:bidi="ar-SA"/>
              </w:rPr>
              <w:t>0.0029万</w:t>
            </w:r>
            <w:r>
              <w:rPr>
                <w:rFonts w:hint="eastAsia" w:ascii="Times New Roman" w:hAnsi="Times New Roman" w:eastAsia="宋体" w:cs="Times New Roman"/>
                <w:color w:val="auto"/>
                <w:kern w:val="0"/>
                <w:sz w:val="24"/>
                <w:szCs w:val="20"/>
                <w:highlight w:val="none"/>
                <w:shd w:val="clear"/>
                <w:lang w:val="en-US" w:eastAsia="zh-CN" w:bidi="ar-SA"/>
              </w:rPr>
              <w:t>t/a，年上料</w:t>
            </w:r>
            <w:r>
              <w:rPr>
                <w:rFonts w:hint="eastAsia" w:ascii="Times New Roman" w:hAnsi="Times New Roman" w:eastAsia="宋体" w:cs="Times New Roman"/>
                <w:color w:val="auto"/>
                <w:kern w:val="0"/>
                <w:sz w:val="24"/>
                <w:szCs w:val="20"/>
                <w:highlight w:val="none"/>
                <w:lang w:val="en-US" w:eastAsia="zh-CN" w:bidi="ar-SA"/>
              </w:rPr>
              <w:t>时间为2400h。骨料通过封闭的输送带输送至搅拌机，装卸料点及料斗上方设置喷淋装置，经采取降尘措施后，抑尘效率约为</w:t>
            </w:r>
            <w:r>
              <w:rPr>
                <w:rFonts w:hint="eastAsia" w:cs="Times New Roman"/>
                <w:color w:val="auto"/>
                <w:kern w:val="0"/>
                <w:sz w:val="24"/>
                <w:szCs w:val="20"/>
                <w:highlight w:val="none"/>
                <w:lang w:val="en-US" w:eastAsia="zh-CN" w:bidi="ar-SA"/>
              </w:rPr>
              <w:t>8</w:t>
            </w:r>
            <w:r>
              <w:rPr>
                <w:rFonts w:hint="eastAsia" w:ascii="Times New Roman" w:hAnsi="Times New Roman" w:eastAsia="宋体" w:cs="Times New Roman"/>
                <w:color w:val="auto"/>
                <w:kern w:val="0"/>
                <w:sz w:val="24"/>
                <w:szCs w:val="20"/>
                <w:highlight w:val="none"/>
                <w:lang w:val="en-US" w:eastAsia="zh-CN" w:bidi="ar-SA"/>
              </w:rPr>
              <w:t>0%。</w:t>
            </w:r>
          </w:p>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搅拌系统上料过程粉尘排放量见表4-</w:t>
            </w:r>
            <w:r>
              <w:rPr>
                <w:rFonts w:hint="eastAsia" w:cs="Times New Roman"/>
                <w:color w:val="auto"/>
                <w:kern w:val="0"/>
                <w:sz w:val="24"/>
                <w:szCs w:val="20"/>
                <w:highlight w:val="none"/>
                <w:lang w:val="en-US" w:eastAsia="zh-CN" w:bidi="ar-SA"/>
              </w:rPr>
              <w:t>4</w:t>
            </w:r>
            <w:r>
              <w:rPr>
                <w:rFonts w:hint="eastAsia" w:ascii="Times New Roman" w:hAnsi="Times New Roman" w:eastAsia="宋体" w:cs="Times New Roman"/>
                <w:color w:val="auto"/>
                <w:kern w:val="0"/>
                <w:sz w:val="24"/>
                <w:szCs w:val="20"/>
                <w:highlight w:val="none"/>
                <w:lang w:val="en-US" w:eastAsia="zh-CN" w:bidi="ar-SA"/>
              </w:rPr>
              <w:t>。</w:t>
            </w:r>
          </w:p>
          <w:p>
            <w:pPr>
              <w:spacing w:line="360" w:lineRule="auto"/>
              <w:jc w:val="center"/>
              <w:rPr>
                <w:b/>
                <w:color w:val="auto"/>
                <w:highlight w:val="none"/>
              </w:rPr>
            </w:pPr>
            <w:r>
              <w:rPr>
                <w:rFonts w:hint="eastAsia"/>
                <w:b/>
                <w:color w:val="auto"/>
                <w:highlight w:val="none"/>
              </w:rPr>
              <w:t>表</w:t>
            </w:r>
            <w:r>
              <w:rPr>
                <w:b/>
                <w:color w:val="auto"/>
                <w:highlight w:val="none"/>
              </w:rPr>
              <w:t>4-</w:t>
            </w:r>
            <w:r>
              <w:rPr>
                <w:rFonts w:hint="eastAsia"/>
                <w:b/>
                <w:color w:val="auto"/>
                <w:highlight w:val="none"/>
                <w:lang w:val="en-US" w:eastAsia="zh-CN"/>
              </w:rPr>
              <w:t>4</w:t>
            </w:r>
            <w:r>
              <w:rPr>
                <w:b/>
                <w:color w:val="auto"/>
                <w:highlight w:val="none"/>
              </w:rPr>
              <w:t xml:space="preserve"> </w:t>
            </w:r>
            <w:r>
              <w:rPr>
                <w:rFonts w:hint="eastAsia"/>
                <w:b/>
                <w:color w:val="auto"/>
                <w:highlight w:val="none"/>
              </w:rPr>
              <w:t>搅拌系统上料粉尘无组织废气产排情况一览表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179"/>
              <w:gridCol w:w="1500"/>
              <w:gridCol w:w="1753"/>
              <w:gridCol w:w="1017"/>
              <w:gridCol w:w="1209"/>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04"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tc>
              <w:tc>
                <w:tcPr>
                  <w:tcW w:w="694"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产生量（t/a）</w:t>
                  </w:r>
                </w:p>
              </w:tc>
              <w:tc>
                <w:tcPr>
                  <w:tcW w:w="884"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产生速率（kg/h）</w:t>
                  </w:r>
                </w:p>
              </w:tc>
              <w:tc>
                <w:tcPr>
                  <w:tcW w:w="1033"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599"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排放量（t/a）</w:t>
                  </w:r>
                </w:p>
              </w:tc>
              <w:tc>
                <w:tcPr>
                  <w:tcW w:w="712"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排放速率（kg/h）</w:t>
                  </w:r>
                </w:p>
              </w:tc>
              <w:tc>
                <w:tcPr>
                  <w:tcW w:w="671"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上料系统</w:t>
                  </w:r>
                </w:p>
              </w:tc>
              <w:tc>
                <w:tcPr>
                  <w:tcW w:w="694"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w:t>
                  </w:r>
                </w:p>
              </w:tc>
              <w:tc>
                <w:tcPr>
                  <w:tcW w:w="884"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12.08</w:t>
                  </w:r>
                </w:p>
              </w:tc>
              <w:tc>
                <w:tcPr>
                  <w:tcW w:w="1033"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喷淋设施、输送皮带全封闭</w:t>
                  </w:r>
                </w:p>
              </w:tc>
              <w:tc>
                <w:tcPr>
                  <w:tcW w:w="599"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712"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2.42</w:t>
                  </w:r>
                </w:p>
              </w:tc>
              <w:tc>
                <w:tcPr>
                  <w:tcW w:w="671"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2400</w:t>
                  </w:r>
                </w:p>
              </w:tc>
            </w:tr>
          </w:tbl>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fldChar w:fldCharType="begin"/>
            </w:r>
            <w:r>
              <w:rPr>
                <w:rFonts w:hint="eastAsia" w:ascii="Times New Roman" w:hAnsi="Times New Roman" w:eastAsia="宋体" w:cs="Times New Roman"/>
                <w:color w:val="auto"/>
                <w:kern w:val="0"/>
                <w:sz w:val="24"/>
                <w:szCs w:val="20"/>
                <w:highlight w:val="none"/>
                <w:lang w:val="en-US" w:eastAsia="zh-CN" w:bidi="ar-SA"/>
              </w:rPr>
              <w:instrText xml:space="preserve"> = 4 \* GB3 </w:instrText>
            </w:r>
            <w:r>
              <w:rPr>
                <w:rFonts w:hint="eastAsia" w:ascii="Times New Roman" w:hAnsi="Times New Roman" w:eastAsia="宋体" w:cs="Times New Roman"/>
                <w:color w:val="auto"/>
                <w:kern w:val="0"/>
                <w:sz w:val="24"/>
                <w:szCs w:val="20"/>
                <w:highlight w:val="none"/>
                <w:lang w:val="en-US" w:eastAsia="zh-CN" w:bidi="ar-SA"/>
              </w:rPr>
              <w:fldChar w:fldCharType="separate"/>
            </w:r>
            <w:r>
              <w:rPr>
                <w:rFonts w:hint="eastAsia" w:ascii="Times New Roman" w:hAnsi="Times New Roman" w:eastAsia="宋体" w:cs="Times New Roman"/>
                <w:color w:val="auto"/>
                <w:kern w:val="0"/>
                <w:sz w:val="24"/>
                <w:szCs w:val="20"/>
                <w:highlight w:val="none"/>
                <w:lang w:val="en-US" w:eastAsia="zh-CN" w:bidi="ar-SA"/>
              </w:rPr>
              <w:t>④</w:t>
            </w:r>
            <w:r>
              <w:rPr>
                <w:rFonts w:hint="eastAsia" w:ascii="Times New Roman" w:hAnsi="Times New Roman" w:eastAsia="宋体" w:cs="Times New Roman"/>
                <w:color w:val="auto"/>
                <w:kern w:val="0"/>
                <w:sz w:val="24"/>
                <w:szCs w:val="20"/>
                <w:highlight w:val="none"/>
                <w:lang w:val="en-US" w:eastAsia="zh-CN" w:bidi="ar-SA"/>
              </w:rPr>
              <w:fldChar w:fldCharType="end"/>
            </w:r>
            <w:r>
              <w:rPr>
                <w:rFonts w:hint="eastAsia" w:ascii="Times New Roman" w:hAnsi="Times New Roman" w:eastAsia="宋体" w:cs="Times New Roman"/>
                <w:color w:val="auto"/>
                <w:kern w:val="0"/>
                <w:sz w:val="24"/>
                <w:szCs w:val="20"/>
                <w:highlight w:val="none"/>
                <w:lang w:val="en-US" w:eastAsia="zh-CN" w:bidi="ar-SA"/>
              </w:rPr>
              <w:t xml:space="preserve"> 搅拌粉尘</w:t>
            </w:r>
          </w:p>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本项目砂石料由密闭输送带进入搅拌楼搅拌机内，水泥粉煤灰由螺旋输送机进入搅拌机内，搅拌机进料处会产生一定量的粉尘，参考《工业源产排污核算方法和系数手册》（2021版）水泥制品制造（含砼结构构件、其他水泥类似制品制造）中“混凝土制品—物料搅拌工序”中，工业粉尘产生系数为0.13kg/t产品。根据企业提供资料，</w:t>
            </w:r>
            <w:r>
              <w:rPr>
                <w:rFonts w:hint="eastAsia" w:cs="Times New Roman"/>
                <w:color w:val="auto"/>
                <w:kern w:val="0"/>
                <w:sz w:val="24"/>
                <w:szCs w:val="20"/>
                <w:highlight w:val="none"/>
                <w:lang w:val="en-US" w:eastAsia="zh-CN" w:bidi="ar-SA"/>
              </w:rPr>
              <w:t>本项目产品产量为60万吨，</w:t>
            </w:r>
            <w:r>
              <w:rPr>
                <w:rFonts w:hint="eastAsia" w:ascii="Times New Roman" w:hAnsi="Times New Roman" w:eastAsia="宋体" w:cs="Times New Roman"/>
                <w:color w:val="auto"/>
                <w:kern w:val="0"/>
                <w:sz w:val="24"/>
                <w:szCs w:val="20"/>
                <w:highlight w:val="none"/>
                <w:lang w:val="en-US" w:eastAsia="zh-CN" w:bidi="ar-SA"/>
              </w:rPr>
              <w:t>则搅拌工序凝粉尘产生量为</w:t>
            </w:r>
            <w:r>
              <w:rPr>
                <w:rFonts w:hint="eastAsia" w:cs="Times New Roman"/>
                <w:color w:val="auto"/>
                <w:kern w:val="0"/>
                <w:sz w:val="24"/>
                <w:szCs w:val="20"/>
                <w:highlight w:val="none"/>
                <w:lang w:val="en-US" w:eastAsia="zh-CN" w:bidi="ar-SA"/>
              </w:rPr>
              <w:t>78</w:t>
            </w:r>
            <w:r>
              <w:rPr>
                <w:rFonts w:hint="eastAsia" w:ascii="Times New Roman" w:hAnsi="Times New Roman" w:eastAsia="宋体" w:cs="Times New Roman"/>
                <w:color w:val="auto"/>
                <w:kern w:val="0"/>
                <w:sz w:val="24"/>
                <w:szCs w:val="20"/>
                <w:highlight w:val="none"/>
                <w:lang w:val="en-US" w:eastAsia="zh-CN" w:bidi="ar-SA"/>
              </w:rPr>
              <w:t>t/a。</w:t>
            </w:r>
          </w:p>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eastAsia"/>
                <w:b/>
                <w:color w:val="auto"/>
                <w:highlight w:val="none"/>
              </w:rPr>
            </w:pPr>
            <w:r>
              <w:rPr>
                <w:rFonts w:hint="eastAsia" w:ascii="Times New Roman" w:hAnsi="Times New Roman" w:eastAsia="宋体" w:cs="Times New Roman"/>
                <w:color w:val="auto"/>
                <w:kern w:val="0"/>
                <w:sz w:val="24"/>
                <w:szCs w:val="20"/>
                <w:highlight w:val="none"/>
                <w:lang w:val="en-US" w:eastAsia="zh-CN" w:bidi="ar-SA"/>
              </w:rPr>
              <w:t>搅拌机</w:t>
            </w:r>
            <w:r>
              <w:rPr>
                <w:rFonts w:hint="eastAsia" w:cs="Times New Roman"/>
                <w:color w:val="auto"/>
                <w:kern w:val="0"/>
                <w:sz w:val="24"/>
                <w:szCs w:val="20"/>
                <w:highlight w:val="none"/>
                <w:lang w:val="en-US" w:eastAsia="zh-CN" w:bidi="ar-SA"/>
              </w:rPr>
              <w:t>下料口</w:t>
            </w:r>
            <w:r>
              <w:rPr>
                <w:rFonts w:hint="eastAsia" w:ascii="Times New Roman" w:hAnsi="Times New Roman" w:eastAsia="宋体" w:cs="Times New Roman"/>
                <w:color w:val="auto"/>
                <w:kern w:val="0"/>
                <w:sz w:val="24"/>
                <w:szCs w:val="20"/>
                <w:highlight w:val="none"/>
                <w:lang w:val="en-US" w:eastAsia="zh-CN" w:bidi="ar-SA"/>
              </w:rPr>
              <w:t>安装脉冲布袋除尘器，布袋除尘器效率可达99.7%，搅拌机产生的粉尘通过管道连接布袋除尘器，经过布袋除尘后落到料斗内，未收集的粉尘于封闭搅拌楼内无组织排放，无组织粉尘处理效率为80%。本项目搅拌粉尘无组织排放情况见表4-</w:t>
            </w:r>
            <w:r>
              <w:rPr>
                <w:rFonts w:hint="eastAsia" w:cs="Times New Roman"/>
                <w:color w:val="auto"/>
                <w:kern w:val="0"/>
                <w:sz w:val="24"/>
                <w:szCs w:val="20"/>
                <w:highlight w:val="none"/>
                <w:lang w:val="en-US" w:eastAsia="zh-CN" w:bidi="ar-SA"/>
              </w:rPr>
              <w:t>5</w:t>
            </w:r>
            <w:r>
              <w:rPr>
                <w:rFonts w:hint="eastAsia" w:ascii="Times New Roman" w:hAnsi="Times New Roman" w:eastAsia="宋体" w:cs="Times New Roman"/>
                <w:color w:val="auto"/>
                <w:kern w:val="0"/>
                <w:sz w:val="24"/>
                <w:szCs w:val="20"/>
                <w:highlight w:val="none"/>
                <w:lang w:val="en-US" w:eastAsia="zh-CN" w:bidi="ar-SA"/>
              </w:rPr>
              <w:t>。</w:t>
            </w:r>
          </w:p>
          <w:p>
            <w:pPr>
              <w:spacing w:line="360" w:lineRule="auto"/>
              <w:jc w:val="center"/>
              <w:rPr>
                <w:rFonts w:hint="eastAsia"/>
                <w:b/>
                <w:color w:val="auto"/>
                <w:highlight w:val="none"/>
              </w:rPr>
            </w:pPr>
          </w:p>
          <w:p>
            <w:pPr>
              <w:spacing w:line="360" w:lineRule="auto"/>
              <w:jc w:val="center"/>
              <w:rPr>
                <w:b/>
                <w:color w:val="auto"/>
                <w:highlight w:val="none"/>
              </w:rPr>
            </w:pPr>
            <w:r>
              <w:rPr>
                <w:rFonts w:hint="eastAsia"/>
                <w:b/>
                <w:color w:val="auto"/>
                <w:highlight w:val="none"/>
              </w:rPr>
              <w:t>表</w:t>
            </w:r>
            <w:r>
              <w:rPr>
                <w:b/>
                <w:color w:val="auto"/>
                <w:highlight w:val="none"/>
              </w:rPr>
              <w:t>4-</w:t>
            </w:r>
            <w:r>
              <w:rPr>
                <w:rFonts w:hint="eastAsia"/>
                <w:b/>
                <w:color w:val="auto"/>
                <w:highlight w:val="none"/>
                <w:lang w:val="en-US" w:eastAsia="zh-CN"/>
              </w:rPr>
              <w:t>5</w:t>
            </w:r>
            <w:r>
              <w:rPr>
                <w:b/>
                <w:color w:val="auto"/>
                <w:highlight w:val="none"/>
              </w:rPr>
              <w:t xml:space="preserve"> </w:t>
            </w:r>
            <w:r>
              <w:rPr>
                <w:rFonts w:hint="eastAsia"/>
                <w:b/>
                <w:color w:val="auto"/>
                <w:highlight w:val="none"/>
              </w:rPr>
              <w:t>搅拌粉尘无组织废气产排情况一览表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846"/>
              <w:gridCol w:w="1158"/>
              <w:gridCol w:w="2321"/>
              <w:gridCol w:w="993"/>
              <w:gridCol w:w="1160"/>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7" w:hRule="atLeast"/>
              </w:trPr>
              <w:tc>
                <w:tcPr>
                  <w:tcW w:w="499"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tc>
              <w:tc>
                <w:tcPr>
                  <w:tcW w:w="498"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产生量（t/a）</w:t>
                  </w:r>
                </w:p>
              </w:tc>
              <w:tc>
                <w:tcPr>
                  <w:tcW w:w="682"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产生速率（kg/h）</w:t>
                  </w:r>
                </w:p>
              </w:tc>
              <w:tc>
                <w:tcPr>
                  <w:tcW w:w="1367"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585"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排放量（t/a）</w:t>
                  </w:r>
                </w:p>
              </w:tc>
              <w:tc>
                <w:tcPr>
                  <w:tcW w:w="683"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排放速率（kg/h）</w:t>
                  </w:r>
                </w:p>
              </w:tc>
              <w:tc>
                <w:tcPr>
                  <w:tcW w:w="683"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搅拌机</w:t>
                  </w:r>
                </w:p>
              </w:tc>
              <w:tc>
                <w:tcPr>
                  <w:tcW w:w="498" w:type="pct"/>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w:t>
                  </w:r>
                </w:p>
              </w:tc>
              <w:tc>
                <w:tcPr>
                  <w:tcW w:w="682" w:type="pct"/>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32.5</w:t>
                  </w:r>
                </w:p>
              </w:tc>
              <w:tc>
                <w:tcPr>
                  <w:tcW w:w="1367" w:type="pc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脉冲布袋除尘器99.7%、封闭式搅拌楼80%</w:t>
                  </w:r>
                </w:p>
              </w:tc>
              <w:tc>
                <w:tcPr>
                  <w:tcW w:w="585" w:type="pct"/>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w:t>
                  </w:r>
                  <w:r>
                    <w:rPr>
                      <w:rFonts w:hint="eastAsia" w:cs="Times New Roman"/>
                      <w:color w:val="auto"/>
                      <w:sz w:val="21"/>
                      <w:szCs w:val="21"/>
                      <w:highlight w:val="none"/>
                      <w:lang w:val="en-US" w:eastAsia="zh-CN"/>
                    </w:rPr>
                    <w:t>468</w:t>
                  </w:r>
                </w:p>
              </w:tc>
              <w:tc>
                <w:tcPr>
                  <w:tcW w:w="683" w:type="pct"/>
                  <w:shd w:val="clear" w:color="auto" w:fill="auto"/>
                  <w:vAlign w:val="center"/>
                </w:tcPr>
                <w:p>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0.0</w:t>
                  </w:r>
                  <w:r>
                    <w:rPr>
                      <w:rFonts w:hint="eastAsia" w:cs="Times New Roman"/>
                      <w:color w:val="auto"/>
                      <w:sz w:val="21"/>
                      <w:szCs w:val="21"/>
                      <w:highlight w:val="none"/>
                      <w:lang w:val="en-US" w:eastAsia="zh-CN"/>
                    </w:rPr>
                    <w:t>2</w:t>
                  </w:r>
                </w:p>
              </w:tc>
              <w:tc>
                <w:tcPr>
                  <w:tcW w:w="683" w:type="pc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2400</w:t>
                  </w:r>
                </w:p>
              </w:tc>
            </w:tr>
          </w:tbl>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fldChar w:fldCharType="begin"/>
            </w:r>
            <w:r>
              <w:rPr>
                <w:rFonts w:hint="eastAsia" w:ascii="Times New Roman" w:hAnsi="Times New Roman" w:eastAsia="宋体" w:cs="Times New Roman"/>
                <w:color w:val="auto"/>
                <w:kern w:val="0"/>
                <w:sz w:val="24"/>
                <w:szCs w:val="20"/>
                <w:highlight w:val="none"/>
                <w:lang w:val="en-US" w:eastAsia="zh-CN" w:bidi="ar-SA"/>
              </w:rPr>
              <w:instrText xml:space="preserve"> = 5 \* GB3 </w:instrText>
            </w:r>
            <w:r>
              <w:rPr>
                <w:rFonts w:hint="eastAsia" w:ascii="Times New Roman" w:hAnsi="Times New Roman" w:eastAsia="宋体" w:cs="Times New Roman"/>
                <w:color w:val="auto"/>
                <w:kern w:val="0"/>
                <w:sz w:val="24"/>
                <w:szCs w:val="20"/>
                <w:highlight w:val="none"/>
                <w:lang w:val="en-US" w:eastAsia="zh-CN" w:bidi="ar-SA"/>
              </w:rPr>
              <w:fldChar w:fldCharType="separate"/>
            </w:r>
            <w:r>
              <w:rPr>
                <w:rFonts w:hint="eastAsia" w:ascii="Times New Roman" w:hAnsi="Times New Roman" w:eastAsia="宋体" w:cs="Times New Roman"/>
                <w:color w:val="auto"/>
                <w:kern w:val="0"/>
                <w:sz w:val="24"/>
                <w:szCs w:val="20"/>
                <w:highlight w:val="none"/>
                <w:lang w:val="en-US" w:eastAsia="zh-CN" w:bidi="ar-SA"/>
              </w:rPr>
              <w:t>⑤</w:t>
            </w:r>
            <w:r>
              <w:rPr>
                <w:rFonts w:hint="eastAsia" w:ascii="Times New Roman" w:hAnsi="Times New Roman" w:eastAsia="宋体" w:cs="Times New Roman"/>
                <w:color w:val="auto"/>
                <w:kern w:val="0"/>
                <w:sz w:val="24"/>
                <w:szCs w:val="20"/>
                <w:highlight w:val="none"/>
                <w:lang w:val="en-US" w:eastAsia="zh-CN" w:bidi="ar-SA"/>
              </w:rPr>
              <w:fldChar w:fldCharType="end"/>
            </w:r>
            <w:r>
              <w:rPr>
                <w:rFonts w:hint="eastAsia" w:ascii="Times New Roman" w:hAnsi="Times New Roman" w:eastAsia="宋体" w:cs="Times New Roman"/>
                <w:color w:val="auto"/>
                <w:kern w:val="0"/>
                <w:sz w:val="24"/>
                <w:szCs w:val="20"/>
                <w:highlight w:val="none"/>
                <w:lang w:val="en-US" w:eastAsia="zh-CN" w:bidi="ar-SA"/>
              </w:rPr>
              <w:t xml:space="preserve"> 运输道路扬尘</w:t>
            </w:r>
          </w:p>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项目在生产过程中，需要运入原料，同时需要将生产好的成品运出厂外。在进出运输时会产生一定的扬尘，在道路完全干燥的情况下，可按下列经验公式计算：</w:t>
            </w:r>
          </w:p>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center"/>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Q=0.0079×V×W</w:t>
            </w:r>
            <w:r>
              <w:rPr>
                <w:rFonts w:hint="eastAsia" w:ascii="Times New Roman" w:hAnsi="Times New Roman" w:eastAsia="宋体" w:cs="Times New Roman"/>
                <w:color w:val="auto"/>
                <w:kern w:val="0"/>
                <w:sz w:val="24"/>
                <w:szCs w:val="20"/>
                <w:highlight w:val="none"/>
                <w:vertAlign w:val="superscript"/>
                <w:lang w:val="en-US" w:eastAsia="zh-CN" w:bidi="ar-SA"/>
              </w:rPr>
              <w:t>0.85</w:t>
            </w:r>
            <w:r>
              <w:rPr>
                <w:rFonts w:hint="eastAsia" w:ascii="Times New Roman" w:hAnsi="Times New Roman" w:eastAsia="宋体" w:cs="Times New Roman"/>
                <w:color w:val="auto"/>
                <w:kern w:val="0"/>
                <w:sz w:val="24"/>
                <w:szCs w:val="20"/>
                <w:highlight w:val="none"/>
                <w:lang w:val="en-US" w:eastAsia="zh-CN" w:bidi="ar-SA"/>
              </w:rPr>
              <w:t>×P</w:t>
            </w:r>
            <w:r>
              <w:rPr>
                <w:rFonts w:hint="eastAsia" w:ascii="Times New Roman" w:hAnsi="Times New Roman" w:eastAsia="宋体" w:cs="Times New Roman"/>
                <w:color w:val="auto"/>
                <w:kern w:val="0"/>
                <w:sz w:val="24"/>
                <w:szCs w:val="20"/>
                <w:highlight w:val="none"/>
                <w:vertAlign w:val="superscript"/>
                <w:lang w:val="en-US" w:eastAsia="zh-CN" w:bidi="ar-SA"/>
              </w:rPr>
              <w:t>0.72</w:t>
            </w:r>
          </w:p>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式中：Q：每辆汽车行驶时的扬尘，kg/km辆；</w:t>
            </w:r>
          </w:p>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1200" w:firstLineChars="5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V：汽车速度，km/h；</w:t>
            </w:r>
          </w:p>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1200" w:firstLineChars="5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W：汽车重量，吨；</w:t>
            </w:r>
          </w:p>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1200" w:firstLineChars="5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P：道路表面粉尘量，kg/m</w:t>
            </w:r>
            <w:r>
              <w:rPr>
                <w:rFonts w:hint="eastAsia" w:ascii="Times New Roman" w:hAnsi="Times New Roman" w:eastAsia="宋体" w:cs="Times New Roman"/>
                <w:color w:val="auto"/>
                <w:kern w:val="0"/>
                <w:sz w:val="24"/>
                <w:szCs w:val="20"/>
                <w:highlight w:val="none"/>
                <w:vertAlign w:val="superscript"/>
                <w:lang w:val="en-US" w:eastAsia="zh-CN" w:bidi="ar-SA"/>
              </w:rPr>
              <w:t>2</w:t>
            </w:r>
          </w:p>
          <w:p>
            <w:pPr>
              <w:spacing w:line="360" w:lineRule="auto"/>
              <w:jc w:val="center"/>
              <w:rPr>
                <w:color w:val="auto"/>
                <w:highlight w:val="none"/>
              </w:rPr>
            </w:pPr>
            <w:r>
              <w:rPr>
                <w:b/>
                <w:bCs/>
                <w:color w:val="auto"/>
                <w:highlight w:val="none"/>
              </w:rPr>
              <w:t>表4-</w:t>
            </w:r>
            <w:r>
              <w:rPr>
                <w:rFonts w:hint="eastAsia"/>
                <w:b/>
                <w:bCs/>
                <w:color w:val="auto"/>
                <w:highlight w:val="none"/>
                <w:lang w:val="en-US" w:eastAsia="zh-CN"/>
              </w:rPr>
              <w:t>6</w:t>
            </w:r>
            <w:r>
              <w:rPr>
                <w:b/>
                <w:bCs/>
                <w:color w:val="auto"/>
                <w:highlight w:val="none"/>
              </w:rPr>
              <w:t xml:space="preserve"> 汽车道路扬尘计算参数和结果</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407"/>
              <w:gridCol w:w="1268"/>
              <w:gridCol w:w="1297"/>
              <w:gridCol w:w="2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999" w:type="pct"/>
                  <w:shd w:val="clear" w:color="auto" w:fill="auto"/>
                  <w:vAlign w:val="center"/>
                </w:tcPr>
                <w:p>
                  <w:pPr>
                    <w:jc w:val="center"/>
                    <w:rPr>
                      <w:rFonts w:hint="default" w:ascii="Times New Roman" w:hAnsi="Times New Roman" w:eastAsia="宋体" w:cs="Times New Roman"/>
                      <w:b/>
                      <w:color w:val="auto"/>
                      <w:spacing w:val="-10"/>
                      <w:sz w:val="21"/>
                      <w:szCs w:val="21"/>
                      <w:highlight w:val="none"/>
                    </w:rPr>
                  </w:pPr>
                  <w:r>
                    <w:rPr>
                      <w:rFonts w:hint="default" w:ascii="Times New Roman" w:hAnsi="Times New Roman" w:eastAsia="宋体" w:cs="Times New Roman"/>
                      <w:b/>
                      <w:color w:val="auto"/>
                      <w:spacing w:val="-10"/>
                      <w:sz w:val="21"/>
                      <w:szCs w:val="21"/>
                      <w:highlight w:val="none"/>
                    </w:rPr>
                    <w:t>路况</w:t>
                  </w:r>
                </w:p>
              </w:tc>
              <w:tc>
                <w:tcPr>
                  <w:tcW w:w="829" w:type="pct"/>
                  <w:shd w:val="clear" w:color="auto" w:fill="auto"/>
                  <w:vAlign w:val="center"/>
                </w:tcPr>
                <w:p>
                  <w:pPr>
                    <w:jc w:val="center"/>
                    <w:rPr>
                      <w:rFonts w:hint="default" w:ascii="Times New Roman" w:hAnsi="Times New Roman" w:eastAsia="宋体" w:cs="Times New Roman"/>
                      <w:b/>
                      <w:color w:val="auto"/>
                      <w:spacing w:val="-10"/>
                      <w:sz w:val="21"/>
                      <w:szCs w:val="21"/>
                      <w:highlight w:val="none"/>
                    </w:rPr>
                  </w:pPr>
                  <w:r>
                    <w:rPr>
                      <w:rFonts w:hint="default" w:ascii="Times New Roman" w:hAnsi="Times New Roman" w:eastAsia="宋体" w:cs="Times New Roman"/>
                      <w:b/>
                      <w:bCs/>
                      <w:color w:val="auto"/>
                      <w:sz w:val="21"/>
                      <w:szCs w:val="21"/>
                      <w:highlight w:val="none"/>
                    </w:rPr>
                    <w:t>V（km/h）</w:t>
                  </w:r>
                </w:p>
              </w:tc>
              <w:tc>
                <w:tcPr>
                  <w:tcW w:w="747" w:type="pct"/>
                  <w:shd w:val="clear" w:color="auto" w:fill="auto"/>
                  <w:vAlign w:val="center"/>
                </w:tcPr>
                <w:p>
                  <w:pPr>
                    <w:jc w:val="center"/>
                    <w:rPr>
                      <w:rFonts w:hint="default" w:ascii="Times New Roman" w:hAnsi="Times New Roman" w:eastAsia="宋体" w:cs="Times New Roman"/>
                      <w:b/>
                      <w:color w:val="auto"/>
                      <w:spacing w:val="-10"/>
                      <w:sz w:val="21"/>
                      <w:szCs w:val="21"/>
                      <w:highlight w:val="none"/>
                    </w:rPr>
                  </w:pPr>
                  <w:r>
                    <w:rPr>
                      <w:rFonts w:hint="default" w:ascii="Times New Roman" w:hAnsi="Times New Roman" w:eastAsia="宋体" w:cs="Times New Roman"/>
                      <w:b/>
                      <w:bCs/>
                      <w:color w:val="auto"/>
                      <w:sz w:val="21"/>
                      <w:szCs w:val="21"/>
                      <w:highlight w:val="none"/>
                    </w:rPr>
                    <w:t>W（t）</w:t>
                  </w:r>
                </w:p>
              </w:tc>
              <w:tc>
                <w:tcPr>
                  <w:tcW w:w="764" w:type="pct"/>
                  <w:shd w:val="clear" w:color="auto" w:fill="auto"/>
                  <w:vAlign w:val="center"/>
                </w:tcPr>
                <w:p>
                  <w:pPr>
                    <w:jc w:val="center"/>
                    <w:rPr>
                      <w:rFonts w:hint="default" w:ascii="Times New Roman" w:hAnsi="Times New Roman" w:eastAsia="宋体" w:cs="Times New Roman"/>
                      <w:b/>
                      <w:color w:val="auto"/>
                      <w:spacing w:val="-10"/>
                      <w:sz w:val="21"/>
                      <w:szCs w:val="21"/>
                      <w:highlight w:val="none"/>
                    </w:rPr>
                  </w:pPr>
                  <w:r>
                    <w:rPr>
                      <w:rFonts w:hint="default" w:ascii="Times New Roman" w:hAnsi="Times New Roman" w:eastAsia="宋体" w:cs="Times New Roman"/>
                      <w:b/>
                      <w:bCs/>
                      <w:color w:val="auto"/>
                      <w:sz w:val="21"/>
                      <w:szCs w:val="21"/>
                      <w:highlight w:val="none"/>
                    </w:rPr>
                    <w:t>P(kg/m</w:t>
                  </w:r>
                  <w:r>
                    <w:rPr>
                      <w:rFonts w:hint="default" w:ascii="Times New Roman" w:hAnsi="Times New Roman" w:eastAsia="宋体" w:cs="Times New Roman"/>
                      <w:b/>
                      <w:bCs/>
                      <w:color w:val="auto"/>
                      <w:sz w:val="21"/>
                      <w:szCs w:val="21"/>
                      <w:highlight w:val="none"/>
                      <w:vertAlign w:val="superscript"/>
                    </w:rPr>
                    <w:t>2</w:t>
                  </w:r>
                  <w:r>
                    <w:rPr>
                      <w:rFonts w:hint="default" w:ascii="Times New Roman" w:hAnsi="Times New Roman" w:eastAsia="宋体" w:cs="Times New Roman"/>
                      <w:b/>
                      <w:bCs/>
                      <w:color w:val="auto"/>
                      <w:sz w:val="21"/>
                      <w:szCs w:val="21"/>
                      <w:highlight w:val="none"/>
                    </w:rPr>
                    <w:t>)</w:t>
                  </w:r>
                </w:p>
              </w:tc>
              <w:tc>
                <w:tcPr>
                  <w:tcW w:w="1659" w:type="pct"/>
                  <w:shd w:val="clear" w:color="auto" w:fill="auto"/>
                  <w:vAlign w:val="center"/>
                </w:tcPr>
                <w:p>
                  <w:pPr>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每辆汽车行驶扬尘量</w:t>
                  </w:r>
                </w:p>
                <w:p>
                  <w:pPr>
                    <w:jc w:val="center"/>
                    <w:rPr>
                      <w:rFonts w:hint="default" w:ascii="Times New Roman" w:hAnsi="Times New Roman" w:eastAsia="宋体" w:cs="Times New Roman"/>
                      <w:b/>
                      <w:color w:val="auto"/>
                      <w:spacing w:val="-10"/>
                      <w:sz w:val="21"/>
                      <w:szCs w:val="21"/>
                      <w:highlight w:val="none"/>
                    </w:rPr>
                  </w:pPr>
                  <w:r>
                    <w:rPr>
                      <w:rFonts w:hint="default" w:ascii="Times New Roman" w:hAnsi="Times New Roman" w:eastAsia="宋体" w:cs="Times New Roman"/>
                      <w:b/>
                      <w:bCs/>
                      <w:color w:val="auto"/>
                      <w:sz w:val="21"/>
                      <w:szCs w:val="21"/>
                      <w:highlight w:val="none"/>
                    </w:rPr>
                    <w:t>kg/（km·辆）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9" w:type="pct"/>
                  <w:shd w:val="clear" w:color="auto" w:fill="auto"/>
                  <w:vAlign w:val="center"/>
                </w:tcPr>
                <w:p>
                  <w:pPr>
                    <w:jc w:val="center"/>
                    <w:rPr>
                      <w:rFonts w:hint="default" w:ascii="Times New Roman" w:hAnsi="Times New Roman" w:eastAsia="宋体" w:cs="Times New Roman"/>
                      <w:b/>
                      <w:color w:val="auto"/>
                      <w:spacing w:val="-10"/>
                      <w:sz w:val="21"/>
                      <w:szCs w:val="21"/>
                      <w:highlight w:val="none"/>
                    </w:rPr>
                  </w:pPr>
                  <w:r>
                    <w:rPr>
                      <w:rFonts w:hint="default" w:ascii="Times New Roman" w:hAnsi="Times New Roman" w:eastAsia="宋体" w:cs="Times New Roman"/>
                      <w:color w:val="auto"/>
                      <w:sz w:val="21"/>
                      <w:szCs w:val="21"/>
                      <w:highlight w:val="none"/>
                    </w:rPr>
                    <w:t>道路起尘量</w:t>
                  </w:r>
                </w:p>
              </w:tc>
              <w:tc>
                <w:tcPr>
                  <w:tcW w:w="829" w:type="pct"/>
                  <w:shd w:val="clear" w:color="auto" w:fill="auto"/>
                  <w:vAlign w:val="center"/>
                </w:tcPr>
                <w:p>
                  <w:pPr>
                    <w:jc w:val="center"/>
                    <w:rPr>
                      <w:rFonts w:hint="default" w:ascii="Times New Roman" w:hAnsi="Times New Roman" w:eastAsia="宋体" w:cs="Times New Roman"/>
                      <w:b/>
                      <w:color w:val="auto"/>
                      <w:spacing w:val="-10"/>
                      <w:sz w:val="21"/>
                      <w:szCs w:val="21"/>
                      <w:highlight w:val="none"/>
                    </w:rPr>
                  </w:pPr>
                  <w:r>
                    <w:rPr>
                      <w:rFonts w:hint="default" w:ascii="Times New Roman" w:hAnsi="Times New Roman" w:eastAsia="宋体" w:cs="Times New Roman"/>
                      <w:color w:val="auto"/>
                      <w:sz w:val="21"/>
                      <w:szCs w:val="21"/>
                      <w:highlight w:val="none"/>
                    </w:rPr>
                    <w:t>15</w:t>
                  </w:r>
                </w:p>
              </w:tc>
              <w:tc>
                <w:tcPr>
                  <w:tcW w:w="747" w:type="pct"/>
                  <w:shd w:val="clear" w:color="auto" w:fill="auto"/>
                  <w:vAlign w:val="center"/>
                </w:tcPr>
                <w:p>
                  <w:pPr>
                    <w:jc w:val="center"/>
                    <w:rPr>
                      <w:rFonts w:hint="default" w:ascii="Times New Roman" w:hAnsi="Times New Roman" w:eastAsia="宋体" w:cs="Times New Roman"/>
                      <w:b/>
                      <w:color w:val="auto"/>
                      <w:spacing w:val="-10"/>
                      <w:sz w:val="21"/>
                      <w:szCs w:val="21"/>
                      <w:highlight w:val="none"/>
                      <w:lang w:val="en-US" w:eastAsia="zh-CN"/>
                    </w:rPr>
                  </w:pPr>
                  <w:r>
                    <w:rPr>
                      <w:rFonts w:hint="eastAsia" w:cs="Times New Roman"/>
                      <w:color w:val="auto"/>
                      <w:sz w:val="21"/>
                      <w:szCs w:val="21"/>
                      <w:highlight w:val="none"/>
                      <w:lang w:val="en-US" w:eastAsia="zh-CN"/>
                    </w:rPr>
                    <w:t>30</w:t>
                  </w:r>
                </w:p>
              </w:tc>
              <w:tc>
                <w:tcPr>
                  <w:tcW w:w="764" w:type="pct"/>
                  <w:shd w:val="clear" w:color="auto" w:fill="auto"/>
                  <w:vAlign w:val="center"/>
                </w:tcPr>
                <w:p>
                  <w:pPr>
                    <w:jc w:val="center"/>
                    <w:rPr>
                      <w:rFonts w:hint="default" w:ascii="Times New Roman" w:hAnsi="Times New Roman" w:eastAsia="宋体" w:cs="Times New Roman"/>
                      <w:b/>
                      <w:color w:val="auto"/>
                      <w:spacing w:val="-10"/>
                      <w:sz w:val="21"/>
                      <w:szCs w:val="21"/>
                      <w:highlight w:val="none"/>
                    </w:rPr>
                  </w:pPr>
                  <w:r>
                    <w:rPr>
                      <w:rFonts w:hint="default" w:ascii="Times New Roman" w:hAnsi="Times New Roman" w:eastAsia="宋体" w:cs="Times New Roman"/>
                      <w:color w:val="auto"/>
                      <w:sz w:val="21"/>
                      <w:szCs w:val="21"/>
                      <w:highlight w:val="none"/>
                    </w:rPr>
                    <w:t>0.1</w:t>
                  </w:r>
                </w:p>
              </w:tc>
              <w:tc>
                <w:tcPr>
                  <w:tcW w:w="1659" w:type="pct"/>
                  <w:shd w:val="clear" w:color="auto" w:fill="auto"/>
                  <w:vAlign w:val="center"/>
                </w:tcPr>
                <w:p>
                  <w:pPr>
                    <w:jc w:val="center"/>
                    <w:rPr>
                      <w:rFonts w:hint="default" w:ascii="Times New Roman" w:hAnsi="Times New Roman"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0.407</w:t>
                  </w:r>
                </w:p>
              </w:tc>
            </w:tr>
          </w:tbl>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本项目生产中原料及成品厂区内运输距离按</w:t>
            </w:r>
            <w:r>
              <w:rPr>
                <w:rFonts w:hint="eastAsia" w:cs="Times New Roman"/>
                <w:color w:val="auto"/>
                <w:kern w:val="0"/>
                <w:sz w:val="24"/>
                <w:szCs w:val="20"/>
                <w:highlight w:val="none"/>
                <w:lang w:val="en-US" w:eastAsia="zh-CN" w:bidi="ar-SA"/>
              </w:rPr>
              <w:t>3</w:t>
            </w:r>
            <w:r>
              <w:rPr>
                <w:rFonts w:hint="eastAsia" w:ascii="Times New Roman" w:hAnsi="Times New Roman" w:eastAsia="宋体" w:cs="Times New Roman"/>
                <w:color w:val="auto"/>
                <w:kern w:val="0"/>
                <w:sz w:val="24"/>
                <w:szCs w:val="20"/>
                <w:highlight w:val="none"/>
                <w:lang w:val="en-US" w:eastAsia="zh-CN" w:bidi="ar-SA"/>
              </w:rPr>
              <w:t>00m计，平均每天原料运入和成品运出车辆共计</w:t>
            </w:r>
            <w:r>
              <w:rPr>
                <w:rFonts w:hint="eastAsia" w:cs="Times New Roman"/>
                <w:color w:val="auto"/>
                <w:kern w:val="0"/>
                <w:sz w:val="24"/>
                <w:szCs w:val="20"/>
                <w:highlight w:val="none"/>
                <w:lang w:val="en-US" w:eastAsia="zh-CN" w:bidi="ar-SA"/>
              </w:rPr>
              <w:t>15</w:t>
            </w:r>
            <w:r>
              <w:rPr>
                <w:rFonts w:hint="eastAsia" w:ascii="Times New Roman" w:hAnsi="Times New Roman" w:eastAsia="宋体" w:cs="Times New Roman"/>
                <w:color w:val="auto"/>
                <w:kern w:val="0"/>
                <w:sz w:val="24"/>
                <w:szCs w:val="20"/>
                <w:highlight w:val="none"/>
                <w:lang w:val="en-US" w:eastAsia="zh-CN" w:bidi="ar-SA"/>
              </w:rPr>
              <w:t>辆，则道路扬尘产生量为</w:t>
            </w:r>
            <w:r>
              <w:rPr>
                <w:rFonts w:hint="eastAsia" w:cs="Times New Roman"/>
                <w:color w:val="auto"/>
                <w:kern w:val="0"/>
                <w:sz w:val="24"/>
                <w:szCs w:val="20"/>
                <w:highlight w:val="none"/>
                <w:lang w:val="en-US" w:eastAsia="zh-CN" w:bidi="ar-SA"/>
              </w:rPr>
              <w:t>0.54</w:t>
            </w:r>
            <w:r>
              <w:rPr>
                <w:rFonts w:hint="eastAsia" w:ascii="Times New Roman" w:hAnsi="Times New Roman" w:eastAsia="宋体" w:cs="Times New Roman"/>
                <w:color w:val="auto"/>
                <w:kern w:val="0"/>
                <w:sz w:val="24"/>
                <w:szCs w:val="20"/>
                <w:highlight w:val="none"/>
                <w:lang w:val="en-US" w:eastAsia="zh-CN" w:bidi="ar-SA"/>
              </w:rPr>
              <w:t>t/a。建设单位采取厂内道路全部硬化，定期洒水抑尘，加强清扫等措施，可将道路扬尘减少70%，则道路扬尘年排放量为0.</w:t>
            </w:r>
            <w:r>
              <w:rPr>
                <w:rFonts w:hint="eastAsia" w:cs="Times New Roman"/>
                <w:color w:val="auto"/>
                <w:kern w:val="0"/>
                <w:sz w:val="24"/>
                <w:szCs w:val="20"/>
                <w:highlight w:val="none"/>
                <w:lang w:val="en-US" w:eastAsia="zh-CN" w:bidi="ar-SA"/>
              </w:rPr>
              <w:t>16</w:t>
            </w:r>
            <w:r>
              <w:rPr>
                <w:rFonts w:hint="eastAsia" w:ascii="Times New Roman" w:hAnsi="Times New Roman" w:eastAsia="宋体" w:cs="Times New Roman"/>
                <w:color w:val="auto"/>
                <w:kern w:val="0"/>
                <w:sz w:val="24"/>
                <w:szCs w:val="20"/>
                <w:highlight w:val="none"/>
                <w:lang w:val="en-US" w:eastAsia="zh-CN" w:bidi="ar-SA"/>
              </w:rPr>
              <w:t>t/a，以无组织形式排放。</w:t>
            </w:r>
          </w:p>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fldChar w:fldCharType="begin"/>
            </w:r>
            <w:r>
              <w:rPr>
                <w:rFonts w:hint="eastAsia" w:ascii="Times New Roman" w:hAnsi="Times New Roman" w:eastAsia="宋体" w:cs="Times New Roman"/>
                <w:color w:val="auto"/>
                <w:kern w:val="0"/>
                <w:sz w:val="24"/>
                <w:szCs w:val="20"/>
                <w:highlight w:val="none"/>
                <w:lang w:val="en-US" w:eastAsia="zh-CN" w:bidi="ar-SA"/>
              </w:rPr>
              <w:instrText xml:space="preserve"> = 6 \* GB3 </w:instrText>
            </w:r>
            <w:r>
              <w:rPr>
                <w:rFonts w:hint="eastAsia" w:ascii="Times New Roman" w:hAnsi="Times New Roman" w:eastAsia="宋体" w:cs="Times New Roman"/>
                <w:color w:val="auto"/>
                <w:kern w:val="0"/>
                <w:sz w:val="24"/>
                <w:szCs w:val="20"/>
                <w:highlight w:val="none"/>
                <w:lang w:val="en-US" w:eastAsia="zh-CN" w:bidi="ar-SA"/>
              </w:rPr>
              <w:fldChar w:fldCharType="separate"/>
            </w:r>
            <w:r>
              <w:rPr>
                <w:rFonts w:hint="eastAsia" w:ascii="Times New Roman" w:hAnsi="Times New Roman" w:eastAsia="宋体" w:cs="Times New Roman"/>
                <w:color w:val="auto"/>
                <w:kern w:val="0"/>
                <w:sz w:val="24"/>
                <w:szCs w:val="20"/>
                <w:highlight w:val="none"/>
                <w:lang w:val="en-US" w:eastAsia="zh-CN" w:bidi="ar-SA"/>
              </w:rPr>
              <w:t>⑥</w:t>
            </w:r>
            <w:r>
              <w:rPr>
                <w:rFonts w:hint="eastAsia" w:ascii="Times New Roman" w:hAnsi="Times New Roman" w:eastAsia="宋体" w:cs="Times New Roman"/>
                <w:color w:val="auto"/>
                <w:kern w:val="0"/>
                <w:sz w:val="24"/>
                <w:szCs w:val="20"/>
                <w:highlight w:val="none"/>
                <w:lang w:val="en-US" w:eastAsia="zh-CN" w:bidi="ar-SA"/>
              </w:rPr>
              <w:fldChar w:fldCharType="end"/>
            </w:r>
            <w:r>
              <w:rPr>
                <w:rFonts w:hint="eastAsia" w:ascii="Times New Roman" w:hAnsi="Times New Roman" w:eastAsia="宋体" w:cs="Times New Roman"/>
                <w:color w:val="auto"/>
                <w:kern w:val="0"/>
                <w:sz w:val="24"/>
                <w:szCs w:val="20"/>
                <w:highlight w:val="none"/>
                <w:lang w:val="en-US" w:eastAsia="zh-CN" w:bidi="ar-SA"/>
              </w:rPr>
              <w:t>装载机尾气</w:t>
            </w:r>
          </w:p>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本站上料用装载机（</w:t>
            </w:r>
            <w:r>
              <w:rPr>
                <w:rFonts w:hint="eastAsia" w:cs="Times New Roman"/>
                <w:color w:val="auto"/>
                <w:kern w:val="0"/>
                <w:sz w:val="24"/>
                <w:szCs w:val="20"/>
                <w:highlight w:val="none"/>
                <w:lang w:val="en-US" w:eastAsia="zh-CN" w:bidi="ar-SA"/>
              </w:rPr>
              <w:t>2</w:t>
            </w:r>
            <w:r>
              <w:rPr>
                <w:rFonts w:hint="eastAsia" w:ascii="Times New Roman" w:hAnsi="Times New Roman" w:eastAsia="宋体" w:cs="Times New Roman"/>
                <w:color w:val="auto"/>
                <w:kern w:val="0"/>
                <w:sz w:val="24"/>
                <w:szCs w:val="20"/>
                <w:highlight w:val="none"/>
                <w:lang w:val="en-US" w:eastAsia="zh-CN" w:bidi="ar-SA"/>
              </w:rPr>
              <w:t>辆），均有“非道路移动机械排放检测合格标识”。</w:t>
            </w:r>
          </w:p>
          <w:p>
            <w:pPr>
              <w:pStyle w:val="68"/>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cs="Times New Roman"/>
                <w:color w:val="auto"/>
                <w:kern w:val="0"/>
                <w:sz w:val="24"/>
                <w:szCs w:val="20"/>
                <w:highlight w:val="none"/>
                <w:lang w:val="en-US" w:eastAsia="zh-CN" w:bidi="ar-SA"/>
              </w:rPr>
              <w:t>（2）</w:t>
            </w:r>
            <w:r>
              <w:rPr>
                <w:rFonts w:hint="eastAsia" w:ascii="Times New Roman" w:hAnsi="Times New Roman" w:eastAsia="宋体" w:cs="Times New Roman"/>
                <w:color w:val="auto"/>
                <w:kern w:val="0"/>
                <w:sz w:val="24"/>
                <w:szCs w:val="20"/>
                <w:highlight w:val="none"/>
                <w:lang w:val="en-US" w:eastAsia="zh-CN" w:bidi="ar-SA"/>
              </w:rPr>
              <w:t>大气污染物无组织排放量核算表</w:t>
            </w:r>
          </w:p>
          <w:p>
            <w:pPr>
              <w:adjustRightInd w:val="0"/>
              <w:snapToGrid w:val="0"/>
              <w:spacing w:line="360" w:lineRule="auto"/>
              <w:ind w:firstLine="422"/>
              <w:jc w:val="center"/>
              <w:rPr>
                <w:b/>
                <w:snapToGrid w:val="0"/>
                <w:color w:val="auto"/>
                <w:kern w:val="0"/>
                <w:highlight w:val="none"/>
              </w:rPr>
            </w:pPr>
            <w:r>
              <w:rPr>
                <w:rFonts w:hint="eastAsia"/>
                <w:b/>
                <w:snapToGrid w:val="0"/>
                <w:color w:val="auto"/>
                <w:kern w:val="0"/>
                <w:highlight w:val="none"/>
              </w:rPr>
              <w:t>表4</w:t>
            </w:r>
            <w:r>
              <w:rPr>
                <w:b/>
                <w:snapToGrid w:val="0"/>
                <w:color w:val="auto"/>
                <w:kern w:val="0"/>
                <w:highlight w:val="none"/>
              </w:rPr>
              <w:t xml:space="preserve">-7 </w:t>
            </w:r>
            <w:r>
              <w:rPr>
                <w:rFonts w:hint="eastAsia"/>
                <w:b/>
                <w:snapToGrid w:val="0"/>
                <w:color w:val="auto"/>
                <w:kern w:val="0"/>
                <w:highlight w:val="none"/>
              </w:rPr>
              <w:t>本项目无组织排放量核算表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492"/>
              <w:gridCol w:w="660"/>
              <w:gridCol w:w="333"/>
              <w:gridCol w:w="292"/>
              <w:gridCol w:w="1376"/>
              <w:gridCol w:w="1833"/>
              <w:gridCol w:w="1213"/>
              <w:gridCol w:w="933"/>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trPr>
              <w:tc>
                <w:tcPr>
                  <w:tcW w:w="249" w:type="pct"/>
                  <w:vMerge w:val="restart"/>
                  <w:shd w:val="clear" w:color="auto" w:fill="auto"/>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序号</w:t>
                  </w:r>
                </w:p>
              </w:tc>
              <w:tc>
                <w:tcPr>
                  <w:tcW w:w="289" w:type="pct"/>
                  <w:vMerge w:val="restart"/>
                  <w:shd w:val="clear" w:color="auto" w:fill="auto"/>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排放口编号</w:t>
                  </w:r>
                </w:p>
              </w:tc>
              <w:tc>
                <w:tcPr>
                  <w:tcW w:w="388" w:type="pct"/>
                  <w:vMerge w:val="restart"/>
                  <w:shd w:val="clear" w:color="auto" w:fill="auto"/>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产污环节</w:t>
                  </w:r>
                </w:p>
              </w:tc>
              <w:tc>
                <w:tcPr>
                  <w:tcW w:w="368" w:type="pct"/>
                  <w:gridSpan w:val="2"/>
                  <w:vMerge w:val="restart"/>
                  <w:shd w:val="clear" w:color="auto" w:fill="auto"/>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污染物</w:t>
                  </w:r>
                </w:p>
              </w:tc>
              <w:tc>
                <w:tcPr>
                  <w:tcW w:w="810" w:type="pct"/>
                  <w:vMerge w:val="restart"/>
                  <w:shd w:val="clear" w:color="auto" w:fill="auto"/>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主要污染防治措施</w:t>
                  </w:r>
                </w:p>
              </w:tc>
              <w:tc>
                <w:tcPr>
                  <w:tcW w:w="1795" w:type="pct"/>
                  <w:gridSpan w:val="2"/>
                  <w:shd w:val="clear" w:color="auto" w:fill="auto"/>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国家或地方污染物排放标准</w:t>
                  </w:r>
                </w:p>
              </w:tc>
              <w:tc>
                <w:tcPr>
                  <w:tcW w:w="549" w:type="pct"/>
                  <w:vMerge w:val="restart"/>
                  <w:shd w:val="clear" w:color="auto" w:fill="auto"/>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年产生量</w:t>
                  </w:r>
                  <w:r>
                    <w:rPr>
                      <w:rFonts w:hint="default" w:ascii="Times New Roman" w:hAnsi="Times New Roman" w:eastAsia="宋体" w:cs="Times New Roman"/>
                      <w:b/>
                      <w:snapToGrid w:val="0"/>
                      <w:color w:val="auto"/>
                      <w:kern w:val="0"/>
                      <w:sz w:val="21"/>
                      <w:szCs w:val="21"/>
                      <w:highlight w:val="none"/>
                    </w:rPr>
                    <w:t>（t/a）</w:t>
                  </w:r>
                </w:p>
              </w:tc>
              <w:tc>
                <w:tcPr>
                  <w:tcW w:w="546" w:type="pct"/>
                  <w:vMerge w:val="restart"/>
                  <w:shd w:val="clear" w:color="auto" w:fill="auto"/>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49" w:type="pct"/>
                  <w:vMerge w:val="continue"/>
                  <w:shd w:val="clear" w:color="auto" w:fill="D8D8D8" w:themeFill="background1" w:themeFillShade="D9"/>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289" w:type="pct"/>
                  <w:vMerge w:val="continue"/>
                  <w:shd w:val="clear" w:color="auto" w:fill="D8D8D8" w:themeFill="background1" w:themeFillShade="D9"/>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388" w:type="pct"/>
                  <w:vMerge w:val="continue"/>
                  <w:shd w:val="clear" w:color="auto" w:fill="D8D8D8" w:themeFill="background1" w:themeFillShade="D9"/>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368" w:type="pct"/>
                  <w:gridSpan w:val="2"/>
                  <w:vMerge w:val="continue"/>
                  <w:shd w:val="clear" w:color="auto" w:fill="D8D8D8" w:themeFill="background1" w:themeFillShade="D9"/>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810" w:type="pct"/>
                  <w:vMerge w:val="continue"/>
                  <w:shd w:val="clear" w:color="auto" w:fill="D8D8D8" w:themeFill="background1" w:themeFillShade="D9"/>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1080" w:type="pct"/>
                  <w:shd w:val="clear" w:color="auto" w:fill="auto"/>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标准名称</w:t>
                  </w:r>
                </w:p>
              </w:tc>
              <w:tc>
                <w:tcPr>
                  <w:tcW w:w="714" w:type="pct"/>
                  <w:shd w:val="clear" w:color="auto" w:fill="auto"/>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浓度限值（mg/m</w:t>
                  </w:r>
                  <w:r>
                    <w:rPr>
                      <w:rFonts w:hint="default" w:ascii="Times New Roman" w:hAnsi="Times New Roman" w:eastAsia="宋体" w:cs="Times New Roman"/>
                      <w:b/>
                      <w:snapToGrid w:val="0"/>
                      <w:color w:val="auto"/>
                      <w:kern w:val="0"/>
                      <w:sz w:val="21"/>
                      <w:szCs w:val="21"/>
                      <w:highlight w:val="none"/>
                      <w:vertAlign w:val="superscript"/>
                    </w:rPr>
                    <w:t>3</w:t>
                  </w:r>
                  <w:r>
                    <w:rPr>
                      <w:rFonts w:hint="default" w:ascii="Times New Roman" w:hAnsi="Times New Roman" w:eastAsia="宋体" w:cs="Times New Roman"/>
                      <w:b/>
                      <w:snapToGrid w:val="0"/>
                      <w:color w:val="auto"/>
                      <w:kern w:val="0"/>
                      <w:sz w:val="21"/>
                      <w:szCs w:val="21"/>
                      <w:highlight w:val="none"/>
                    </w:rPr>
                    <w:t>）</w:t>
                  </w:r>
                </w:p>
              </w:tc>
              <w:tc>
                <w:tcPr>
                  <w:tcW w:w="549" w:type="pct"/>
                  <w:vMerge w:val="continue"/>
                  <w:shd w:val="clear" w:color="auto" w:fill="D8D8D8" w:themeFill="background1" w:themeFillShade="D9"/>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546" w:type="pct"/>
                  <w:vMerge w:val="continue"/>
                  <w:shd w:val="clear" w:color="auto" w:fill="D8D8D8" w:themeFill="background1" w:themeFillShade="D9"/>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trPr>
              <w:tc>
                <w:tcPr>
                  <w:tcW w:w="249"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w:t>
                  </w:r>
                </w:p>
              </w:tc>
              <w:tc>
                <w:tcPr>
                  <w:tcW w:w="289" w:type="pct"/>
                  <w:vMerge w:val="restar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c>
                <w:tcPr>
                  <w:tcW w:w="388"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粉料筒仓粉尘</w:t>
                  </w:r>
                </w:p>
              </w:tc>
              <w:tc>
                <w:tcPr>
                  <w:tcW w:w="368" w:type="pct"/>
                  <w:gridSpan w:val="2"/>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810"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脉冲布袋除尘器、封闭搅拌楼</w:t>
                  </w:r>
                </w:p>
              </w:tc>
              <w:tc>
                <w:tcPr>
                  <w:tcW w:w="1080" w:type="pct"/>
                  <w:vMerge w:val="restart"/>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Cs/>
                      <w:color w:val="auto"/>
                      <w:kern w:val="24"/>
                      <w:sz w:val="21"/>
                      <w:szCs w:val="21"/>
                      <w:highlight w:val="none"/>
                    </w:rPr>
                    <w:t>《水泥工业大气污染物排放标准》（GB4915-2013）表3标准</w:t>
                  </w:r>
                </w:p>
              </w:tc>
              <w:tc>
                <w:tcPr>
                  <w:tcW w:w="714" w:type="pct"/>
                  <w:vMerge w:val="restar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0.5</w:t>
                  </w:r>
                </w:p>
              </w:tc>
              <w:tc>
                <w:tcPr>
                  <w:tcW w:w="549"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72</w:t>
                  </w:r>
                </w:p>
              </w:tc>
              <w:tc>
                <w:tcPr>
                  <w:tcW w:w="546"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0.0432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trPr>
              <w:tc>
                <w:tcPr>
                  <w:tcW w:w="249"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2</w:t>
                  </w:r>
                </w:p>
              </w:tc>
              <w:tc>
                <w:tcPr>
                  <w:tcW w:w="289" w:type="pct"/>
                  <w:vMerge w:val="continue"/>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p>
              </w:tc>
              <w:tc>
                <w:tcPr>
                  <w:tcW w:w="388"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val="en-US" w:eastAsia="zh-CN"/>
                    </w:rPr>
                    <w:t>砂、石料卸料及堆放粉尘</w:t>
                  </w:r>
                </w:p>
              </w:tc>
              <w:tc>
                <w:tcPr>
                  <w:tcW w:w="368" w:type="pct"/>
                  <w:gridSpan w:val="2"/>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810"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喷淋措施、封闭厂房</w:t>
                  </w:r>
                </w:p>
              </w:tc>
              <w:tc>
                <w:tcPr>
                  <w:tcW w:w="1080" w:type="pct"/>
                  <w:vMerge w:val="continue"/>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714" w:type="pct"/>
                  <w:vMerge w:val="continue"/>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p>
              </w:tc>
              <w:tc>
                <w:tcPr>
                  <w:tcW w:w="549"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2.61</w:t>
                  </w:r>
                </w:p>
              </w:tc>
              <w:tc>
                <w:tcPr>
                  <w:tcW w:w="546"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0.522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49"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3</w:t>
                  </w:r>
                </w:p>
              </w:tc>
              <w:tc>
                <w:tcPr>
                  <w:tcW w:w="289" w:type="pct"/>
                  <w:vMerge w:val="continue"/>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p>
              </w:tc>
              <w:tc>
                <w:tcPr>
                  <w:tcW w:w="388"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搅拌系统上料粉尘</w:t>
                  </w:r>
                </w:p>
              </w:tc>
              <w:tc>
                <w:tcPr>
                  <w:tcW w:w="368" w:type="pct"/>
                  <w:gridSpan w:val="2"/>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810"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皮带全封闭、喷淋设施、封闭厂房</w:t>
                  </w:r>
                </w:p>
              </w:tc>
              <w:tc>
                <w:tcPr>
                  <w:tcW w:w="1080" w:type="pct"/>
                  <w:vMerge w:val="continue"/>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714" w:type="pct"/>
                  <w:vMerge w:val="continue"/>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p>
              </w:tc>
              <w:tc>
                <w:tcPr>
                  <w:tcW w:w="549"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29</w:t>
                  </w:r>
                </w:p>
              </w:tc>
              <w:tc>
                <w:tcPr>
                  <w:tcW w:w="546"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49"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4</w:t>
                  </w:r>
                </w:p>
              </w:tc>
              <w:tc>
                <w:tcPr>
                  <w:tcW w:w="289" w:type="pct"/>
                  <w:vMerge w:val="continue"/>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p>
              </w:tc>
              <w:tc>
                <w:tcPr>
                  <w:tcW w:w="388"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搅拌粉尘</w:t>
                  </w:r>
                </w:p>
              </w:tc>
              <w:tc>
                <w:tcPr>
                  <w:tcW w:w="368" w:type="pct"/>
                  <w:gridSpan w:val="2"/>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810"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脉冲布袋除尘器、封闭搅拌楼</w:t>
                  </w:r>
                </w:p>
              </w:tc>
              <w:tc>
                <w:tcPr>
                  <w:tcW w:w="1080" w:type="pct"/>
                  <w:vMerge w:val="continue"/>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714" w:type="pct"/>
                  <w:vMerge w:val="continue"/>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p>
              </w:tc>
              <w:tc>
                <w:tcPr>
                  <w:tcW w:w="549"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78</w:t>
                  </w:r>
                </w:p>
              </w:tc>
              <w:tc>
                <w:tcPr>
                  <w:tcW w:w="546"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0.0468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trPr>
              <w:tc>
                <w:tcPr>
                  <w:tcW w:w="249" w:type="pct"/>
                  <w:vAlign w:val="center"/>
                </w:tcPr>
                <w:p>
                  <w:pPr>
                    <w:adjustRightInd w:val="0"/>
                    <w:snapToGrid w:val="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5</w:t>
                  </w:r>
                </w:p>
              </w:tc>
              <w:tc>
                <w:tcPr>
                  <w:tcW w:w="289" w:type="pct"/>
                  <w:vMerge w:val="continue"/>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p>
              </w:tc>
              <w:tc>
                <w:tcPr>
                  <w:tcW w:w="388"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运输道路扬尘</w:t>
                  </w:r>
                </w:p>
              </w:tc>
              <w:tc>
                <w:tcPr>
                  <w:tcW w:w="368" w:type="pct"/>
                  <w:gridSpan w:val="2"/>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810"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定期洒水、加强清扫、洗车台</w:t>
                  </w:r>
                </w:p>
              </w:tc>
              <w:tc>
                <w:tcPr>
                  <w:tcW w:w="1080" w:type="pct"/>
                  <w:vMerge w:val="continue"/>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p>
              </w:tc>
              <w:tc>
                <w:tcPr>
                  <w:tcW w:w="714" w:type="pct"/>
                  <w:vMerge w:val="continue"/>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p>
              </w:tc>
              <w:tc>
                <w:tcPr>
                  <w:tcW w:w="549"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0.54</w:t>
                  </w:r>
                </w:p>
              </w:tc>
              <w:tc>
                <w:tcPr>
                  <w:tcW w:w="546" w:type="pct"/>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4453" w:type="pct"/>
                  <w:gridSpan w:val="9"/>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无组织排放总计</w:t>
                  </w:r>
                </w:p>
              </w:tc>
              <w:tc>
                <w:tcPr>
                  <w:tcW w:w="546" w:type="pct"/>
                  <w:vAlign w:val="center"/>
                </w:tcPr>
                <w:p>
                  <w:pPr>
                    <w:adjustRightInd w:val="0"/>
                    <w:snapToGrid w:val="0"/>
                    <w:jc w:val="center"/>
                    <w:rPr>
                      <w:rFonts w:hint="default" w:ascii="Times New Roman" w:hAnsi="Times New Roman" w:eastAsia="宋体" w:cs="Times New Roman"/>
                      <w:b/>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125" w:type="pct"/>
                  <w:gridSpan w:val="4"/>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无组织排放总计</w:t>
                  </w:r>
                </w:p>
              </w:tc>
              <w:tc>
                <w:tcPr>
                  <w:tcW w:w="2063" w:type="pct"/>
                  <w:gridSpan w:val="3"/>
                  <w:vAlign w:val="center"/>
                </w:tcPr>
                <w:p>
                  <w:pPr>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2146" w:type="dxa"/>
                  <w:gridSpan w:val="2"/>
                  <w:vAlign w:val="center"/>
                </w:tcPr>
                <w:p>
                  <w:pPr>
                    <w:adjustRightInd w:val="0"/>
                    <w:snapToGrid w:val="0"/>
                    <w:jc w:val="center"/>
                    <w:rPr>
                      <w:rFonts w:hint="default"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182.15</w:t>
                  </w:r>
                </w:p>
              </w:tc>
              <w:tc>
                <w:tcPr>
                  <w:tcW w:w="928" w:type="dxa"/>
                  <w:vAlign w:val="center"/>
                </w:tcPr>
                <w:p>
                  <w:pPr>
                    <w:adjustRightInd w:val="0"/>
                    <w:snapToGrid w:val="0"/>
                    <w:jc w:val="center"/>
                    <w:rPr>
                      <w:rFonts w:hint="default"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6.572</w:t>
                  </w:r>
                </w:p>
              </w:tc>
            </w:tr>
          </w:tbl>
          <w:p>
            <w:pPr>
              <w:spacing w:line="360" w:lineRule="auto"/>
              <w:ind w:firstLine="480" w:firstLineChars="200"/>
              <w:rPr>
                <w:rFonts w:hint="eastAsia" w:ascii="Times New Roman" w:hAnsi="Times New Roman" w:eastAsia="宋体" w:cs="Times New Roman"/>
                <w:color w:val="auto"/>
                <w:kern w:val="0"/>
                <w:sz w:val="24"/>
                <w:szCs w:val="20"/>
                <w:highlight w:val="none"/>
                <w:lang w:val="en-US" w:eastAsia="zh-CN" w:bidi="ar-SA"/>
              </w:rPr>
            </w:pPr>
            <w:r>
              <w:rPr>
                <w:rFonts w:hint="eastAsia" w:cs="Times New Roman"/>
                <w:color w:val="auto"/>
                <w:kern w:val="0"/>
                <w:sz w:val="24"/>
                <w:szCs w:val="20"/>
                <w:highlight w:val="none"/>
                <w:lang w:val="en-US" w:eastAsia="zh-CN" w:bidi="ar-SA"/>
              </w:rPr>
              <w:t>（3）</w:t>
            </w:r>
            <w:r>
              <w:rPr>
                <w:rFonts w:hint="eastAsia" w:ascii="Times New Roman" w:hAnsi="Times New Roman" w:eastAsia="宋体" w:cs="Times New Roman"/>
                <w:color w:val="auto"/>
                <w:kern w:val="0"/>
                <w:sz w:val="24"/>
                <w:szCs w:val="20"/>
                <w:highlight w:val="none"/>
                <w:lang w:val="en-US" w:eastAsia="zh-CN" w:bidi="ar-SA"/>
              </w:rPr>
              <w:t>防治措施可行性及达标分析</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项目</w:t>
            </w:r>
            <w:r>
              <w:rPr>
                <w:rFonts w:hint="eastAsia" w:cs="Times New Roman"/>
                <w:color w:val="auto"/>
                <w:kern w:val="0"/>
                <w:sz w:val="24"/>
                <w:szCs w:val="20"/>
                <w:highlight w:val="none"/>
                <w:lang w:val="en-US" w:eastAsia="zh-CN" w:bidi="ar-SA"/>
              </w:rPr>
              <w:t>搅拌站</w:t>
            </w:r>
            <w:r>
              <w:rPr>
                <w:rFonts w:hint="eastAsia" w:ascii="Times New Roman" w:hAnsi="Times New Roman" w:eastAsia="宋体" w:cs="Times New Roman"/>
                <w:color w:val="auto"/>
                <w:kern w:val="0"/>
                <w:sz w:val="24"/>
                <w:szCs w:val="20"/>
                <w:highlight w:val="none"/>
                <w:lang w:val="en-US" w:eastAsia="zh-CN" w:bidi="ar-SA"/>
              </w:rPr>
              <w:t>为封闭式钢结构厂房，三面密闭，只留</w:t>
            </w:r>
            <w:r>
              <w:rPr>
                <w:rFonts w:hint="eastAsia" w:cs="Times New Roman"/>
                <w:color w:val="auto"/>
                <w:kern w:val="0"/>
                <w:sz w:val="24"/>
                <w:szCs w:val="20"/>
                <w:highlight w:val="none"/>
                <w:lang w:val="en-US" w:eastAsia="zh-CN" w:bidi="ar-SA"/>
              </w:rPr>
              <w:t>南</w:t>
            </w:r>
            <w:r>
              <w:rPr>
                <w:rFonts w:hint="eastAsia" w:ascii="Times New Roman" w:hAnsi="Times New Roman" w:eastAsia="宋体" w:cs="Times New Roman"/>
                <w:color w:val="auto"/>
                <w:kern w:val="0"/>
                <w:sz w:val="24"/>
                <w:szCs w:val="20"/>
                <w:highlight w:val="none"/>
                <w:lang w:val="en-US" w:eastAsia="zh-CN" w:bidi="ar-SA"/>
              </w:rPr>
              <w:t>侧进出口</w:t>
            </w:r>
            <w:r>
              <w:rPr>
                <w:rFonts w:hint="eastAsia" w:cs="Times New Roman"/>
                <w:color w:val="auto"/>
                <w:kern w:val="0"/>
                <w:sz w:val="24"/>
                <w:szCs w:val="20"/>
                <w:highlight w:val="none"/>
                <w:lang w:val="en-US" w:eastAsia="zh-CN" w:bidi="ar-SA"/>
              </w:rPr>
              <w:t>，其他出入口均用移动式门帘进行封闭</w:t>
            </w:r>
            <w:r>
              <w:rPr>
                <w:rFonts w:hint="eastAsia" w:ascii="Times New Roman" w:hAnsi="Times New Roman" w:eastAsia="宋体" w:cs="Times New Roman"/>
                <w:color w:val="auto"/>
                <w:kern w:val="0"/>
                <w:sz w:val="24"/>
                <w:szCs w:val="20"/>
                <w:highlight w:val="none"/>
                <w:lang w:val="en-US" w:eastAsia="zh-CN" w:bidi="ar-SA"/>
              </w:rPr>
              <w:t>。粉料筒仓仓顶</w:t>
            </w:r>
            <w:r>
              <w:rPr>
                <w:rFonts w:hint="eastAsia" w:cs="Times New Roman"/>
                <w:color w:val="auto"/>
                <w:kern w:val="0"/>
                <w:sz w:val="24"/>
                <w:szCs w:val="20"/>
                <w:highlight w:val="none"/>
                <w:lang w:val="en-US" w:eastAsia="zh-CN" w:bidi="ar-SA"/>
              </w:rPr>
              <w:t>均</w:t>
            </w:r>
            <w:r>
              <w:rPr>
                <w:rFonts w:hint="eastAsia" w:ascii="Times New Roman" w:hAnsi="Times New Roman" w:eastAsia="宋体" w:cs="Times New Roman"/>
                <w:color w:val="auto"/>
                <w:kern w:val="0"/>
                <w:sz w:val="24"/>
                <w:szCs w:val="20"/>
                <w:highlight w:val="none"/>
                <w:lang w:val="en-US" w:eastAsia="zh-CN" w:bidi="ar-SA"/>
              </w:rPr>
              <w:t>配置脉冲布袋除尘器，布袋对粉尘吸附效率较好，截留效率可达99.7%，粉料筒仓均封闭于搅拌楼内，除尘器未收集的粉尘在搅拌楼内进行二次沉降，可更好的阻止呼吸口粉尘逸散至外环境中；砂石堆场在</w:t>
            </w:r>
            <w:r>
              <w:rPr>
                <w:rFonts w:hint="eastAsia" w:cs="Times New Roman"/>
                <w:color w:val="auto"/>
                <w:kern w:val="0"/>
                <w:sz w:val="24"/>
                <w:szCs w:val="20"/>
                <w:highlight w:val="none"/>
                <w:lang w:val="en-US" w:eastAsia="zh-CN" w:bidi="ar-SA"/>
              </w:rPr>
              <w:t>搅拌站北</w:t>
            </w:r>
            <w:r>
              <w:rPr>
                <w:rFonts w:hint="eastAsia" w:ascii="Times New Roman" w:hAnsi="Times New Roman" w:eastAsia="宋体" w:cs="Times New Roman"/>
                <w:color w:val="auto"/>
                <w:kern w:val="0"/>
                <w:sz w:val="24"/>
                <w:szCs w:val="20"/>
                <w:highlight w:val="none"/>
                <w:lang w:val="en-US" w:eastAsia="zh-CN" w:bidi="ar-SA"/>
              </w:rPr>
              <w:t>侧内，堆场及上料口厂房顶部安装喷淋管线，卸装及堆放过程采取喷淋抑尘；搅拌系统上料过程输送带全封闭，投料采用地坑配料机，投料口配备喷淋装置，可大大减少扬尘的产生；搅拌机</w:t>
            </w:r>
            <w:r>
              <w:rPr>
                <w:rFonts w:hint="eastAsia" w:cs="Times New Roman"/>
                <w:color w:val="auto"/>
                <w:kern w:val="0"/>
                <w:sz w:val="24"/>
                <w:szCs w:val="20"/>
                <w:highlight w:val="none"/>
                <w:lang w:val="en-US" w:eastAsia="zh-CN" w:bidi="ar-SA"/>
              </w:rPr>
              <w:t>下料口</w:t>
            </w:r>
            <w:r>
              <w:rPr>
                <w:rFonts w:hint="eastAsia" w:ascii="Times New Roman" w:hAnsi="Times New Roman" w:eastAsia="宋体" w:cs="Times New Roman"/>
                <w:color w:val="auto"/>
                <w:kern w:val="0"/>
                <w:sz w:val="24"/>
                <w:szCs w:val="20"/>
                <w:highlight w:val="none"/>
                <w:lang w:val="en-US" w:eastAsia="zh-CN" w:bidi="ar-SA"/>
              </w:rPr>
              <w:t>安装脉冲布袋除尘器，搅拌产生的粉尘经除尘器收集后，外溢粉尘在封闭搅拌楼内进行二次沉降；在厂区门口设置洗车台，并定时在厂区道路洒水抑尘。</w:t>
            </w:r>
          </w:p>
          <w:p>
            <w:pPr>
              <w:autoSpaceDE w:val="0"/>
              <w:autoSpaceDN w:val="0"/>
              <w:adjustRightInd w:val="0"/>
              <w:snapToGrid w:val="0"/>
              <w:spacing w:line="360" w:lineRule="auto"/>
              <w:ind w:firstLine="480" w:firstLineChars="200"/>
              <w:rPr>
                <w:rFonts w:eastAsia="PMingLiU"/>
                <w:color w:val="auto"/>
                <w:sz w:val="24"/>
                <w:highlight w:val="none"/>
                <w:lang w:eastAsia="zh-TW"/>
              </w:rPr>
            </w:pPr>
            <w:r>
              <w:rPr>
                <w:rFonts w:hint="eastAsia"/>
                <w:color w:val="auto"/>
                <w:sz w:val="24"/>
                <w:highlight w:val="none"/>
                <w:lang w:eastAsia="zh-TW"/>
              </w:rPr>
              <w:t>脉冲袋式除尘器原理：</w:t>
            </w:r>
          </w:p>
          <w:p>
            <w:pPr>
              <w:autoSpaceDE w:val="0"/>
              <w:autoSpaceDN w:val="0"/>
              <w:adjustRightInd w:val="0"/>
              <w:snapToGrid w:val="0"/>
              <w:spacing w:line="360" w:lineRule="auto"/>
              <w:ind w:firstLine="480" w:firstLineChars="200"/>
              <w:rPr>
                <w:rFonts w:hint="eastAsia" w:eastAsia="PMingLiU"/>
                <w:color w:val="auto"/>
                <w:sz w:val="24"/>
                <w:highlight w:val="none"/>
                <w:lang w:eastAsia="zh-TW"/>
              </w:rPr>
            </w:pPr>
            <w:r>
              <w:rPr>
                <w:rFonts w:hint="eastAsia"/>
                <w:color w:val="auto"/>
                <w:sz w:val="24"/>
                <w:highlight w:val="none"/>
                <w:lang w:eastAsia="zh-TW"/>
              </w:rPr>
              <w:t>含尘气体由灰斗</w:t>
            </w:r>
            <w:r>
              <w:rPr>
                <w:rFonts w:hint="eastAsia"/>
                <w:color w:val="auto"/>
                <w:sz w:val="24"/>
                <w:highlight w:val="none"/>
                <w:lang w:eastAsia="zh-CN"/>
              </w:rPr>
              <w:t>（</w:t>
            </w:r>
            <w:r>
              <w:rPr>
                <w:rFonts w:hint="eastAsia"/>
                <w:color w:val="auto"/>
                <w:sz w:val="24"/>
                <w:highlight w:val="none"/>
                <w:lang w:eastAsia="zh-TW"/>
              </w:rPr>
              <w:t>或下部宽敞开式法兰</w:t>
            </w:r>
            <w:r>
              <w:rPr>
                <w:rFonts w:hint="eastAsia"/>
                <w:color w:val="auto"/>
                <w:sz w:val="24"/>
                <w:highlight w:val="none"/>
                <w:lang w:eastAsia="zh-CN"/>
              </w:rPr>
              <w:t>）</w:t>
            </w:r>
            <w:r>
              <w:rPr>
                <w:rFonts w:hint="eastAsia"/>
                <w:color w:val="auto"/>
                <w:sz w:val="24"/>
                <w:highlight w:val="none"/>
                <w:lang w:eastAsia="zh-TW"/>
              </w:rPr>
              <w:t>进入过滤室，较粗颗粒直接落入灰斗或灰仓，灰尘气体经滤袋过滤，粉尘阻留于滤袋表面，净气经袋口到净气室、由风机排入大气，当滤袋表面的粉尘不断增加，导致设备阻力上升至设定值时，时间继电器</w:t>
            </w:r>
            <w:r>
              <w:rPr>
                <w:rFonts w:hint="eastAsia"/>
                <w:color w:val="auto"/>
                <w:sz w:val="24"/>
                <w:highlight w:val="none"/>
                <w:lang w:eastAsia="zh-CN"/>
              </w:rPr>
              <w:t>（</w:t>
            </w:r>
            <w:r>
              <w:rPr>
                <w:rFonts w:hint="eastAsia"/>
                <w:color w:val="auto"/>
                <w:sz w:val="24"/>
                <w:highlight w:val="none"/>
                <w:lang w:eastAsia="zh-TW"/>
              </w:rPr>
              <w:t>或微差压控制器</w:t>
            </w:r>
            <w:r>
              <w:rPr>
                <w:rFonts w:hint="eastAsia"/>
                <w:color w:val="auto"/>
                <w:sz w:val="24"/>
                <w:highlight w:val="none"/>
                <w:lang w:eastAsia="zh-CN"/>
              </w:rPr>
              <w:t>）</w:t>
            </w:r>
            <w:r>
              <w:rPr>
                <w:rFonts w:hint="eastAsia"/>
                <w:color w:val="auto"/>
                <w:sz w:val="24"/>
                <w:highlight w:val="none"/>
                <w:lang w:eastAsia="zh-TW"/>
              </w:rPr>
              <w:t>输出信号，程控仪开始工作，逐个开启脉冲阀，使压缩空气通过喷口对滤袋进行喷吹清灰，使滤袋突然膨胀，在反向气流的作用下，附于滤袋表面的粉尘迅速脱离滤袋落入灰斗</w:t>
            </w:r>
            <w:r>
              <w:rPr>
                <w:rFonts w:hint="eastAsia"/>
                <w:color w:val="auto"/>
                <w:sz w:val="24"/>
                <w:highlight w:val="none"/>
                <w:lang w:eastAsia="zh-CN"/>
              </w:rPr>
              <w:t>（</w:t>
            </w:r>
            <w:r>
              <w:rPr>
                <w:rFonts w:hint="eastAsia"/>
                <w:color w:val="auto"/>
                <w:sz w:val="24"/>
                <w:highlight w:val="none"/>
                <w:lang w:eastAsia="zh-TW"/>
              </w:rPr>
              <w:t>或灰仓</w:t>
            </w:r>
            <w:r>
              <w:rPr>
                <w:rFonts w:hint="eastAsia"/>
                <w:color w:val="auto"/>
                <w:sz w:val="24"/>
                <w:highlight w:val="none"/>
                <w:lang w:eastAsia="zh-CN"/>
              </w:rPr>
              <w:t>）</w:t>
            </w:r>
            <w:r>
              <w:rPr>
                <w:rFonts w:hint="eastAsia"/>
                <w:color w:val="auto"/>
                <w:sz w:val="24"/>
                <w:highlight w:val="none"/>
                <w:lang w:eastAsia="zh-TW"/>
              </w:rPr>
              <w:t>内，粉尘由卸灰阀排出，全部滤袋喷吹清灰结束后，除尘器恢复正常工作。</w:t>
            </w:r>
          </w:p>
          <w:p>
            <w:pPr>
              <w:autoSpaceDE w:val="0"/>
              <w:autoSpaceDN w:val="0"/>
              <w:adjustRightInd w:val="0"/>
              <w:snapToGrid w:val="0"/>
              <w:spacing w:line="360" w:lineRule="auto"/>
              <w:ind w:firstLine="480" w:firstLineChars="200"/>
              <w:rPr>
                <w:rFonts w:eastAsia="PMingLiU"/>
                <w:color w:val="auto"/>
                <w:sz w:val="24"/>
                <w:highlight w:val="none"/>
                <w:lang w:eastAsia="zh-TW"/>
              </w:rPr>
            </w:pPr>
            <w:r>
              <w:rPr>
                <w:rFonts w:hint="eastAsia"/>
                <w:color w:val="auto"/>
                <w:sz w:val="24"/>
                <w:highlight w:val="none"/>
                <w:lang w:eastAsia="zh-TW"/>
              </w:rPr>
              <w:t>脉冲袋式除尘器正常工作时，含尘气体由进风口进入灰斗，由于气体体积的急速膨胀，一部分较粗的尘粒受惯性或自然沉降等原因落入灰斗，其余大部分尘粒随气流上升进入袋室，经滤袋过滤后，尘粒被滞留在滤袋的外侧，净化后的气体由滤袋内部进入上箱体，再由阀板孔、排风口排入大气，从而达到除尘的目的。随着过滤的不断进行，除尘器阻力也随之上升，当阻力达到一定值时，清灰控制器发出清灰命令，首先将提升阀板关闭，切断过滤气流;然后，清灰控制器向脉冲电磁阀发出信号，随着脉冲阀把用作清灰的高压逆向气流送入袋内，滤袋迅速鼓胀，并产生强烈抖动，导致滤袋外侧的粉尘抖落，达到清灰的目的。由于设备分为若干个箱区，所以上述过程是逐箱进行的，一个箱区在清灰时，其余箱区仍在正常工作，保证了设备的连续正常运转。之所以能处理高浓度粉尘，关键在于这种强清灰所需清灰时间极短</w:t>
            </w:r>
            <w:r>
              <w:rPr>
                <w:rFonts w:hint="eastAsia"/>
                <w:color w:val="auto"/>
                <w:sz w:val="24"/>
                <w:highlight w:val="none"/>
                <w:lang w:eastAsia="zh-CN"/>
              </w:rPr>
              <w:t>（</w:t>
            </w:r>
            <w:r>
              <w:rPr>
                <w:rFonts w:hint="eastAsia"/>
                <w:color w:val="auto"/>
                <w:sz w:val="24"/>
                <w:highlight w:val="none"/>
                <w:lang w:eastAsia="zh-TW"/>
              </w:rPr>
              <w:t>喷吹一次只需0.1~0.2s</w:t>
            </w:r>
            <w:r>
              <w:rPr>
                <w:rFonts w:hint="eastAsia"/>
                <w:color w:val="auto"/>
                <w:sz w:val="24"/>
                <w:highlight w:val="none"/>
                <w:lang w:eastAsia="zh-CN"/>
              </w:rPr>
              <w:t>）</w:t>
            </w:r>
            <w:r>
              <w:rPr>
                <w:rFonts w:hint="eastAsia"/>
                <w:color w:val="auto"/>
                <w:sz w:val="24"/>
                <w:highlight w:val="none"/>
                <w:lang w:eastAsia="zh-TW"/>
              </w:rPr>
              <w:t>。</w:t>
            </w:r>
          </w:p>
          <w:p>
            <w:pPr>
              <w:adjustRightInd/>
              <w:spacing w:line="360" w:lineRule="auto"/>
              <w:ind w:firstLine="480" w:firstLineChars="200"/>
              <w:rPr>
                <w:rFonts w:hint="eastAsia"/>
                <w:color w:val="000000"/>
                <w:spacing w:val="2"/>
                <w:sz w:val="24"/>
              </w:rPr>
            </w:pPr>
            <w:r>
              <w:rPr>
                <w:rFonts w:hint="eastAsia" w:ascii="Times New Roman" w:hAnsi="Times New Roman" w:eastAsia="宋体" w:cs="Times New Roman"/>
                <w:color w:val="auto"/>
                <w:kern w:val="0"/>
                <w:sz w:val="24"/>
                <w:szCs w:val="20"/>
                <w:highlight w:val="none"/>
                <w:lang w:val="en-US" w:eastAsia="zh-CN" w:bidi="ar-SA"/>
              </w:rPr>
              <w:t>综上，本项目环保措施可行，厂界颗粒物排放浓度可满足《水泥工业大气污染物排放标准》（GB4915-2013）中无组织排放标准要求。企业在严格执行本次评价给出的大气污染防治措施后，对区域大气环境影响较小。</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0"/>
                <w:highlight w:val="none"/>
                <w:lang w:val="en-US" w:eastAsia="zh-CN" w:bidi="ar-SA"/>
              </w:rPr>
            </w:pPr>
            <w:r>
              <w:rPr>
                <w:rFonts w:hint="eastAsia" w:cs="Times New Roman"/>
                <w:color w:val="auto"/>
                <w:kern w:val="0"/>
                <w:sz w:val="24"/>
                <w:szCs w:val="20"/>
                <w:highlight w:val="none"/>
                <w:lang w:val="en-US" w:eastAsia="zh-CN" w:bidi="ar-SA"/>
              </w:rPr>
              <w:t>（4）</w:t>
            </w:r>
            <w:r>
              <w:rPr>
                <w:rFonts w:hint="eastAsia" w:ascii="Times New Roman" w:hAnsi="Times New Roman" w:eastAsia="宋体" w:cs="Times New Roman"/>
                <w:color w:val="auto"/>
                <w:kern w:val="0"/>
                <w:sz w:val="24"/>
                <w:szCs w:val="20"/>
                <w:highlight w:val="none"/>
                <w:lang w:val="en-US" w:eastAsia="zh-CN" w:bidi="ar-SA"/>
              </w:rPr>
              <w:t>废气监测方案</w:t>
            </w:r>
          </w:p>
          <w:p>
            <w:pPr>
              <w:spacing w:line="360" w:lineRule="auto"/>
              <w:ind w:firstLine="480" w:firstLineChars="2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依据《排污单位自行监测技术指南 水泥工业》（HJ848-2017），运行期废气监测计划见表4-</w:t>
            </w:r>
            <w:r>
              <w:rPr>
                <w:rFonts w:hint="eastAsia" w:cs="Times New Roman"/>
                <w:color w:val="auto"/>
                <w:kern w:val="0"/>
                <w:sz w:val="24"/>
                <w:szCs w:val="20"/>
                <w:highlight w:val="none"/>
                <w:lang w:val="en-US" w:eastAsia="zh-CN" w:bidi="ar-SA"/>
              </w:rPr>
              <w:t>8</w:t>
            </w:r>
            <w:r>
              <w:rPr>
                <w:rFonts w:hint="eastAsia" w:ascii="Times New Roman" w:hAnsi="Times New Roman" w:eastAsia="宋体" w:cs="Times New Roman"/>
                <w:color w:val="auto"/>
                <w:kern w:val="0"/>
                <w:sz w:val="24"/>
                <w:szCs w:val="20"/>
                <w:highlight w:val="none"/>
                <w:lang w:val="en-US" w:eastAsia="zh-CN" w:bidi="ar-SA"/>
              </w:rPr>
              <w:t>。</w:t>
            </w:r>
          </w:p>
          <w:p>
            <w:pPr>
              <w:spacing w:line="360" w:lineRule="auto"/>
              <w:jc w:val="center"/>
              <w:rPr>
                <w:rFonts w:cs="宋体"/>
                <w:b/>
                <w:color w:val="auto"/>
                <w:szCs w:val="21"/>
                <w:highlight w:val="none"/>
              </w:rPr>
            </w:pPr>
            <w:r>
              <w:rPr>
                <w:rFonts w:hint="eastAsia" w:cs="宋体"/>
                <w:b/>
                <w:color w:val="auto"/>
                <w:szCs w:val="21"/>
                <w:highlight w:val="none"/>
              </w:rPr>
              <w:t>表4</w:t>
            </w:r>
            <w:r>
              <w:rPr>
                <w:rFonts w:cs="宋体"/>
                <w:b/>
                <w:color w:val="auto"/>
                <w:szCs w:val="21"/>
                <w:highlight w:val="none"/>
              </w:rPr>
              <w:t>-</w:t>
            </w:r>
            <w:r>
              <w:rPr>
                <w:rFonts w:hint="eastAsia" w:cs="宋体"/>
                <w:b/>
                <w:color w:val="auto"/>
                <w:szCs w:val="21"/>
                <w:highlight w:val="none"/>
                <w:lang w:val="en-US" w:eastAsia="zh-CN"/>
              </w:rPr>
              <w:t>8</w:t>
            </w:r>
            <w:r>
              <w:rPr>
                <w:rFonts w:cs="宋体"/>
                <w:b/>
                <w:color w:val="auto"/>
                <w:szCs w:val="21"/>
                <w:highlight w:val="none"/>
              </w:rPr>
              <w:t xml:space="preserve"> </w:t>
            </w:r>
            <w:r>
              <w:rPr>
                <w:rFonts w:hint="eastAsia" w:cs="宋体"/>
                <w:b/>
                <w:color w:val="auto"/>
                <w:szCs w:val="21"/>
                <w:highlight w:val="none"/>
              </w:rPr>
              <w:t>废气监测方案</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338"/>
              <w:gridCol w:w="1338"/>
              <w:gridCol w:w="4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12"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监测点位</w:t>
                  </w:r>
                </w:p>
              </w:tc>
              <w:tc>
                <w:tcPr>
                  <w:tcW w:w="788"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监测指标</w:t>
                  </w:r>
                </w:p>
              </w:tc>
              <w:tc>
                <w:tcPr>
                  <w:tcW w:w="788"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监测频次</w:t>
                  </w:r>
                </w:p>
              </w:tc>
              <w:tc>
                <w:tcPr>
                  <w:tcW w:w="2710" w:type="pct"/>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pct"/>
                  <w:vAlign w:val="center"/>
                </w:tcPr>
                <w:p>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厂界</w:t>
                  </w:r>
                  <w:r>
                    <w:rPr>
                      <w:rFonts w:hint="eastAsia" w:ascii="Times New Roman" w:hAnsi="Times New Roman" w:eastAsia="宋体" w:cs="Times New Roman"/>
                      <w:color w:val="auto"/>
                      <w:sz w:val="21"/>
                      <w:szCs w:val="21"/>
                      <w:highlight w:val="none"/>
                      <w:lang w:eastAsia="zh-CN"/>
                    </w:rPr>
                    <w:t>（上风向</w:t>
                  </w:r>
                  <w:r>
                    <w:rPr>
                      <w:rFonts w:hint="eastAsia" w:ascii="Times New Roman" w:hAnsi="Times New Roman" w:eastAsia="宋体" w:cs="Times New Roman"/>
                      <w:color w:val="auto"/>
                      <w:sz w:val="21"/>
                      <w:szCs w:val="21"/>
                      <w:highlight w:val="none"/>
                      <w:lang w:val="en-US" w:eastAsia="zh-CN"/>
                    </w:rPr>
                    <w:t>1个，下风向</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个</w:t>
                  </w:r>
                  <w:r>
                    <w:rPr>
                      <w:rFonts w:hint="eastAsia" w:ascii="Times New Roman" w:hAnsi="Times New Roman" w:eastAsia="宋体" w:cs="Times New Roman"/>
                      <w:color w:val="auto"/>
                      <w:sz w:val="21"/>
                      <w:szCs w:val="21"/>
                      <w:highlight w:val="none"/>
                      <w:lang w:eastAsia="zh-CN"/>
                    </w:rPr>
                    <w:t>）</w:t>
                  </w:r>
                </w:p>
              </w:tc>
              <w:tc>
                <w:tcPr>
                  <w:tcW w:w="788"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788"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1次/</w:t>
                  </w:r>
                  <w:r>
                    <w:rPr>
                      <w:rFonts w:hint="eastAsia" w:cs="Times New Roman"/>
                      <w:color w:val="auto"/>
                      <w:sz w:val="21"/>
                      <w:szCs w:val="21"/>
                      <w:highlight w:val="none"/>
                      <w:lang w:eastAsia="zh-CN"/>
                    </w:rPr>
                    <w:t>季度</w:t>
                  </w:r>
                </w:p>
              </w:tc>
              <w:tc>
                <w:tcPr>
                  <w:tcW w:w="2710" w:type="pct"/>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Cs/>
                      <w:color w:val="auto"/>
                      <w:kern w:val="24"/>
                      <w:sz w:val="21"/>
                      <w:szCs w:val="21"/>
                      <w:highlight w:val="none"/>
                    </w:rPr>
                    <w:t>《水泥工业大气污染物排放标准》（GB4915-2013）</w:t>
                  </w:r>
                  <w:r>
                    <w:rPr>
                      <w:rFonts w:hint="default" w:ascii="Times New Roman" w:hAnsi="Times New Roman" w:eastAsia="宋体" w:cs="Times New Roman"/>
                      <w:color w:val="auto"/>
                      <w:sz w:val="21"/>
                      <w:szCs w:val="21"/>
                      <w:highlight w:val="none"/>
                    </w:rPr>
                    <w:t>中表3标准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kern w:val="0"/>
                <w:sz w:val="24"/>
                <w:szCs w:val="24"/>
                <w:highlight w:val="none"/>
                <w:vertAlign w:val="baseline"/>
                <w:lang w:val="en-US" w:eastAsia="zh-CN" w:bidi="ar-SA"/>
              </w:rPr>
            </w:pPr>
            <w:r>
              <w:rPr>
                <w:rFonts w:hint="eastAsia" w:cs="Times New Roman"/>
                <w:b/>
                <w:bCs/>
                <w:color w:val="auto"/>
                <w:kern w:val="0"/>
                <w:sz w:val="24"/>
                <w:szCs w:val="24"/>
                <w:highlight w:val="none"/>
                <w:vertAlign w:val="baseline"/>
                <w:lang w:val="en-US" w:eastAsia="zh-CN" w:bidi="ar-SA"/>
              </w:rPr>
              <w:t>2、</w:t>
            </w:r>
            <w:r>
              <w:rPr>
                <w:rFonts w:hint="eastAsia" w:ascii="Times New Roman" w:hAnsi="Times New Roman" w:eastAsia="宋体" w:cs="Times New Roman"/>
                <w:b/>
                <w:bCs/>
                <w:color w:val="auto"/>
                <w:kern w:val="0"/>
                <w:sz w:val="24"/>
                <w:szCs w:val="24"/>
                <w:highlight w:val="none"/>
                <w:vertAlign w:val="baseline"/>
                <w:lang w:val="en-US" w:eastAsia="zh-CN" w:bidi="ar-SA"/>
              </w:rPr>
              <w:t>水环境影响分析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kern w:val="0"/>
                <w:sz w:val="24"/>
                <w:szCs w:val="20"/>
                <w:highlight w:val="none"/>
                <w:lang w:val="en-US" w:eastAsia="zh-CN" w:bidi="ar-SA"/>
              </w:rPr>
            </w:pPr>
            <w:r>
              <w:rPr>
                <w:rFonts w:hint="eastAsia" w:cs="Times New Roman"/>
                <w:color w:val="auto"/>
                <w:kern w:val="0"/>
                <w:sz w:val="24"/>
                <w:szCs w:val="20"/>
                <w:highlight w:val="none"/>
                <w:lang w:val="en-US" w:eastAsia="zh-CN" w:bidi="ar-SA"/>
              </w:rPr>
              <w:t>本项目不新增员工，因此不新增生活污水。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本项目配料用水全部进入产品；厂区喷淋设施用水全部损耗不外排；车辆清洗废水经沉淀池处理后循环使用不外排</w:t>
            </w:r>
            <w:r>
              <w:rPr>
                <w:rFonts w:hint="eastAsia" w:cs="Times New Roman"/>
                <w:color w:val="auto"/>
                <w:kern w:val="0"/>
                <w:sz w:val="24"/>
                <w:szCs w:val="20"/>
                <w:highlight w:val="none"/>
                <w:lang w:val="en-US" w:eastAsia="zh-CN" w:bidi="ar-SA"/>
              </w:rPr>
              <w:t>，因此，本项目生产污水均回用，不外排</w:t>
            </w:r>
            <w:r>
              <w:rPr>
                <w:rFonts w:hint="eastAsia" w:ascii="Times New Roman" w:hAnsi="Times New Roman" w:eastAsia="宋体" w:cs="Times New Roman"/>
                <w:color w:val="auto"/>
                <w:kern w:val="0"/>
                <w:sz w:val="24"/>
                <w:szCs w:val="20"/>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因此，本项目无废水排放，对环境影响较小</w:t>
            </w:r>
            <w:r>
              <w:rPr>
                <w:rFonts w:hint="eastAsia" w:cs="Times New Roman"/>
                <w:color w:val="auto"/>
                <w:kern w:val="0"/>
                <w:sz w:val="24"/>
                <w:szCs w:val="20"/>
                <w:highlight w:val="none"/>
                <w:lang w:val="en-US" w:eastAsia="zh-CN" w:bidi="ar-SA"/>
              </w:rPr>
              <w:t>。</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0"/>
                <w:highlight w:val="none"/>
                <w:lang w:val="en-US" w:eastAsia="zh-CN" w:bidi="ar-SA"/>
              </w:rPr>
            </w:pPr>
            <w:r>
              <w:rPr>
                <w:rFonts w:hint="eastAsia" w:cs="Times New Roman"/>
                <w:color w:val="auto"/>
                <w:kern w:val="0"/>
                <w:sz w:val="24"/>
                <w:szCs w:val="20"/>
                <w:highlight w:val="none"/>
                <w:lang w:val="en-US" w:eastAsia="zh-CN" w:bidi="ar-SA"/>
              </w:rPr>
              <w:t>三级沉淀池</w:t>
            </w:r>
            <w:r>
              <w:rPr>
                <w:rFonts w:hint="eastAsia" w:ascii="Times New Roman" w:hAnsi="Times New Roman" w:eastAsia="宋体" w:cs="Times New Roman"/>
                <w:color w:val="auto"/>
                <w:kern w:val="0"/>
                <w:sz w:val="24"/>
                <w:szCs w:val="20"/>
                <w:highlight w:val="none"/>
                <w:lang w:val="en-US" w:eastAsia="zh-CN" w:bidi="ar-SA"/>
              </w:rPr>
              <w:t>可行性分析</w:t>
            </w:r>
          </w:p>
          <w:p>
            <w:pPr>
              <w:pStyle w:val="2"/>
              <w:spacing w:after="0"/>
              <w:ind w:left="0" w:leftChars="0"/>
              <w:rPr>
                <w:rFonts w:hint="eastAsia" w:eastAsia="宋体"/>
                <w:color w:val="auto"/>
                <w:kern w:val="0"/>
                <w:sz w:val="24"/>
                <w:szCs w:val="20"/>
                <w:highlight w:val="none"/>
                <w:lang w:val="en-US" w:eastAsia="zh-CN"/>
              </w:rPr>
            </w:pPr>
            <w:r>
              <w:rPr>
                <w:rFonts w:hint="eastAsia" w:eastAsia="宋体"/>
                <w:color w:val="auto"/>
                <w:spacing w:val="0"/>
                <w:kern w:val="0"/>
                <w:sz w:val="24"/>
                <w:szCs w:val="20"/>
                <w:highlight w:val="none"/>
              </w:rPr>
              <w:t>原项目三级沉淀池容积为</w:t>
            </w:r>
            <w:r>
              <w:rPr>
                <w:rFonts w:hint="eastAsia" w:eastAsia="宋体"/>
                <w:color w:val="auto"/>
                <w:spacing w:val="0"/>
                <w:kern w:val="0"/>
                <w:sz w:val="24"/>
                <w:szCs w:val="20"/>
                <w:highlight w:val="none"/>
                <w:lang w:val="en-US" w:eastAsia="zh-CN"/>
              </w:rPr>
              <w:t>180</w:t>
            </w:r>
            <w:r>
              <w:rPr>
                <w:rFonts w:hint="eastAsia" w:eastAsia="宋体"/>
                <w:color w:val="auto"/>
                <w:spacing w:val="0"/>
                <w:kern w:val="0"/>
                <w:sz w:val="24"/>
                <w:szCs w:val="20"/>
                <w:highlight w:val="none"/>
              </w:rPr>
              <w:t>m</w:t>
            </w:r>
            <w:r>
              <w:rPr>
                <w:rFonts w:hint="eastAsia" w:eastAsia="宋体"/>
                <w:color w:val="auto"/>
                <w:spacing w:val="0"/>
                <w:kern w:val="0"/>
                <w:sz w:val="24"/>
                <w:szCs w:val="20"/>
                <w:highlight w:val="none"/>
                <w:vertAlign w:val="superscript"/>
              </w:rPr>
              <w:t>3</w:t>
            </w:r>
            <w:r>
              <w:rPr>
                <w:rFonts w:hint="eastAsia" w:eastAsia="宋体"/>
                <w:color w:val="auto"/>
                <w:spacing w:val="0"/>
                <w:kern w:val="0"/>
                <w:sz w:val="24"/>
                <w:szCs w:val="20"/>
                <w:highlight w:val="none"/>
              </w:rPr>
              <w:t>，</w:t>
            </w:r>
            <w:r>
              <w:rPr>
                <w:rFonts w:hint="eastAsia" w:eastAsia="宋体"/>
                <w:color w:val="auto"/>
                <w:spacing w:val="0"/>
                <w:kern w:val="0"/>
                <w:sz w:val="24"/>
                <w:szCs w:val="20"/>
                <w:highlight w:val="none"/>
                <w:lang w:eastAsia="zh-CN"/>
              </w:rPr>
              <w:t>根据废水产生量计算可得每日进入到三级沉淀池的废水量约</w:t>
            </w:r>
            <w:r>
              <w:rPr>
                <w:rFonts w:hint="eastAsia" w:eastAsia="宋体"/>
                <w:color w:val="auto"/>
                <w:spacing w:val="0"/>
                <w:kern w:val="0"/>
                <w:sz w:val="24"/>
                <w:szCs w:val="20"/>
                <w:highlight w:val="none"/>
                <w:lang w:val="en-US" w:eastAsia="zh-CN"/>
              </w:rPr>
              <w:t>8.76</w:t>
            </w:r>
            <w:r>
              <w:rPr>
                <w:rFonts w:hint="eastAsia" w:eastAsia="宋体"/>
                <w:color w:val="auto"/>
                <w:spacing w:val="0"/>
                <w:kern w:val="0"/>
                <w:sz w:val="24"/>
                <w:szCs w:val="20"/>
                <w:highlight w:val="none"/>
              </w:rPr>
              <w:t>m</w:t>
            </w:r>
            <w:r>
              <w:rPr>
                <w:rFonts w:hint="eastAsia" w:eastAsia="宋体"/>
                <w:color w:val="auto"/>
                <w:spacing w:val="0"/>
                <w:kern w:val="0"/>
                <w:sz w:val="24"/>
                <w:szCs w:val="20"/>
                <w:highlight w:val="none"/>
                <w:vertAlign w:val="superscript"/>
              </w:rPr>
              <w:t>3</w:t>
            </w:r>
            <w:r>
              <w:rPr>
                <w:rFonts w:hint="eastAsia" w:eastAsia="宋体"/>
                <w:color w:val="auto"/>
                <w:spacing w:val="0"/>
                <w:kern w:val="0"/>
                <w:sz w:val="24"/>
                <w:szCs w:val="20"/>
                <w:highlight w:val="none"/>
                <w:lang w:eastAsia="zh-CN"/>
              </w:rPr>
              <w:t>。三级沉淀池容积</w:t>
            </w:r>
            <w:r>
              <w:rPr>
                <w:rFonts w:hint="eastAsia" w:eastAsia="宋体"/>
                <w:color w:val="auto"/>
                <w:spacing w:val="0"/>
                <w:kern w:val="0"/>
                <w:sz w:val="24"/>
                <w:szCs w:val="20"/>
                <w:highlight w:val="none"/>
              </w:rPr>
              <w:t>均可以满足新增废水收集处理需求，</w:t>
            </w:r>
            <w:r>
              <w:rPr>
                <w:rFonts w:hint="eastAsia" w:eastAsia="宋体"/>
                <w:color w:val="auto"/>
                <w:spacing w:val="0"/>
                <w:kern w:val="0"/>
                <w:sz w:val="24"/>
                <w:szCs w:val="20"/>
                <w:highlight w:val="none"/>
                <w:lang w:eastAsia="zh-CN"/>
              </w:rPr>
              <w:t>产生的废水主要污染物为悬浮物，经三级沉淀池沉淀后，去除废水中的悬浮物后可回用于生产、道路冲洗等，水质满足要求。</w:t>
            </w:r>
            <w:r>
              <w:rPr>
                <w:rFonts w:hint="eastAsia" w:eastAsia="宋体"/>
                <w:color w:val="auto"/>
                <w:spacing w:val="0"/>
                <w:kern w:val="0"/>
                <w:sz w:val="24"/>
                <w:szCs w:val="20"/>
                <w:highlight w:val="none"/>
              </w:rPr>
              <w:t>且依托的沉淀池已通过竣工环境保护验收，故依托原有沉淀池处理废水后回用于生产可行。</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kern w:val="0"/>
                <w:sz w:val="24"/>
                <w:szCs w:val="24"/>
                <w:highlight w:val="none"/>
                <w:vertAlign w:val="baseline"/>
                <w:lang w:val="en-US" w:eastAsia="zh-CN" w:bidi="ar-SA"/>
              </w:rPr>
            </w:pPr>
            <w:r>
              <w:rPr>
                <w:rFonts w:hint="eastAsia" w:cs="Times New Roman"/>
                <w:b/>
                <w:bCs/>
                <w:color w:val="auto"/>
                <w:kern w:val="0"/>
                <w:sz w:val="24"/>
                <w:szCs w:val="24"/>
                <w:highlight w:val="none"/>
                <w:vertAlign w:val="baseline"/>
                <w:lang w:val="en-US" w:eastAsia="zh-CN" w:bidi="ar-SA"/>
              </w:rPr>
              <w:t>3、声</w:t>
            </w:r>
            <w:r>
              <w:rPr>
                <w:rFonts w:hint="eastAsia" w:ascii="Times New Roman" w:hAnsi="Times New Roman" w:eastAsia="宋体" w:cs="Times New Roman"/>
                <w:b/>
                <w:bCs/>
                <w:color w:val="auto"/>
                <w:kern w:val="0"/>
                <w:sz w:val="24"/>
                <w:szCs w:val="24"/>
                <w:highlight w:val="none"/>
                <w:vertAlign w:val="baseline"/>
                <w:lang w:val="en-US" w:eastAsia="zh-CN" w:bidi="ar-SA"/>
              </w:rPr>
              <w:t>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项目噪声主要来源于</w:t>
            </w:r>
            <w:r>
              <w:rPr>
                <w:rFonts w:hint="eastAsia" w:cs="Times New Roman"/>
                <w:color w:val="auto"/>
                <w:kern w:val="0"/>
                <w:sz w:val="24"/>
                <w:szCs w:val="20"/>
                <w:highlight w:val="none"/>
                <w:lang w:val="en-US" w:eastAsia="zh-CN" w:bidi="ar-SA"/>
              </w:rPr>
              <w:t>新增的</w:t>
            </w:r>
            <w:r>
              <w:rPr>
                <w:rFonts w:hint="eastAsia" w:ascii="Times New Roman" w:hAnsi="Times New Roman" w:eastAsia="宋体" w:cs="Times New Roman"/>
                <w:color w:val="auto"/>
                <w:kern w:val="0"/>
                <w:sz w:val="24"/>
                <w:szCs w:val="20"/>
                <w:highlight w:val="none"/>
                <w:lang w:val="en-US" w:eastAsia="zh-CN" w:bidi="ar-SA"/>
              </w:rPr>
              <w:t>螺旋输送机、搅拌机、</w:t>
            </w:r>
            <w:r>
              <w:rPr>
                <w:rFonts w:hint="eastAsia" w:cs="Times New Roman"/>
                <w:color w:val="auto"/>
                <w:kern w:val="0"/>
                <w:sz w:val="24"/>
                <w:szCs w:val="20"/>
                <w:highlight w:val="none"/>
                <w:lang w:val="en-US" w:eastAsia="zh-CN" w:bidi="ar-SA"/>
              </w:rPr>
              <w:t>装载机等</w:t>
            </w:r>
            <w:r>
              <w:rPr>
                <w:rFonts w:hint="eastAsia" w:ascii="Times New Roman" w:hAnsi="Times New Roman" w:eastAsia="宋体" w:cs="Times New Roman"/>
                <w:color w:val="auto"/>
                <w:kern w:val="0"/>
                <w:sz w:val="24"/>
                <w:szCs w:val="20"/>
                <w:highlight w:val="none"/>
                <w:lang w:val="en-US" w:eastAsia="zh-CN" w:bidi="ar-SA"/>
              </w:rPr>
              <w:t>设备运行时产生的噪声，其噪声值约在7</w:t>
            </w:r>
            <w:r>
              <w:rPr>
                <w:rFonts w:hint="eastAsia" w:cs="Times New Roman"/>
                <w:color w:val="auto"/>
                <w:kern w:val="0"/>
                <w:sz w:val="24"/>
                <w:szCs w:val="20"/>
                <w:highlight w:val="none"/>
                <w:lang w:val="en-US" w:eastAsia="zh-CN" w:bidi="ar-SA"/>
              </w:rPr>
              <w:t>0</w:t>
            </w:r>
            <w:r>
              <w:rPr>
                <w:rFonts w:hint="eastAsia" w:ascii="Times New Roman" w:hAnsi="Times New Roman" w:eastAsia="宋体" w:cs="Times New Roman"/>
                <w:color w:val="auto"/>
                <w:kern w:val="0"/>
                <w:sz w:val="24"/>
                <w:szCs w:val="20"/>
                <w:highlight w:val="none"/>
                <w:lang w:val="en-US" w:eastAsia="zh-CN" w:bidi="ar-SA"/>
              </w:rPr>
              <w:t>～95dB（A）范围内，设备全部设置在车间内，厂房结构为钢结构，对机械设备产生的噪声，采用基础减振、</w:t>
            </w:r>
            <w:r>
              <w:rPr>
                <w:rFonts w:hint="eastAsia" w:cs="Times New Roman"/>
                <w:color w:val="auto"/>
                <w:kern w:val="0"/>
                <w:sz w:val="24"/>
                <w:szCs w:val="20"/>
                <w:highlight w:val="none"/>
                <w:lang w:val="en-US" w:eastAsia="zh-CN" w:bidi="ar-SA"/>
              </w:rPr>
              <w:t>厂房</w:t>
            </w:r>
            <w:r>
              <w:rPr>
                <w:rFonts w:hint="eastAsia" w:ascii="Times New Roman" w:hAnsi="Times New Roman" w:eastAsia="宋体" w:cs="Times New Roman"/>
                <w:color w:val="auto"/>
                <w:kern w:val="0"/>
                <w:sz w:val="24"/>
                <w:szCs w:val="20"/>
                <w:highlight w:val="none"/>
                <w:lang w:val="en-US" w:eastAsia="zh-CN" w:bidi="ar-SA"/>
              </w:rPr>
              <w:t>隔声等措施，减弱或降低声源的振动，达到控制噪声的目的</w:t>
            </w:r>
            <w:r>
              <w:rPr>
                <w:rFonts w:hint="eastAsia" w:cs="Times New Roman"/>
                <w:color w:val="auto"/>
                <w:kern w:val="0"/>
                <w:sz w:val="24"/>
                <w:szCs w:val="20"/>
                <w:highlight w:val="none"/>
                <w:lang w:val="en-US" w:eastAsia="zh-CN" w:bidi="ar-SA"/>
              </w:rPr>
              <w:t>，</w:t>
            </w:r>
            <w:r>
              <w:rPr>
                <w:rFonts w:hint="eastAsia" w:ascii="Times New Roman" w:hAnsi="Times New Roman" w:eastAsia="宋体" w:cs="Times New Roman"/>
                <w:color w:val="auto"/>
                <w:kern w:val="0"/>
                <w:sz w:val="24"/>
                <w:szCs w:val="20"/>
                <w:highlight w:val="none"/>
                <w:lang w:val="en-US" w:eastAsia="zh-CN" w:bidi="ar-SA"/>
              </w:rPr>
              <w:t xml:space="preserve">可使声源源强降低 </w:t>
            </w:r>
            <w:r>
              <w:rPr>
                <w:rFonts w:hint="eastAsia" w:cs="Times New Roman"/>
                <w:color w:val="auto"/>
                <w:kern w:val="0"/>
                <w:sz w:val="24"/>
                <w:szCs w:val="20"/>
                <w:highlight w:val="none"/>
                <w:lang w:val="en-US" w:eastAsia="zh-CN" w:bidi="ar-SA"/>
              </w:rPr>
              <w:t>20</w:t>
            </w:r>
            <w:r>
              <w:rPr>
                <w:rFonts w:hint="eastAsia" w:ascii="Times New Roman" w:hAnsi="Times New Roman" w:eastAsia="宋体" w:cs="Times New Roman"/>
                <w:color w:val="auto"/>
                <w:kern w:val="0"/>
                <w:sz w:val="24"/>
                <w:szCs w:val="20"/>
                <w:highlight w:val="none"/>
                <w:lang w:val="en-US" w:eastAsia="zh-CN" w:bidi="ar-SA"/>
              </w:rPr>
              <w:t>dB(A)</w:t>
            </w:r>
            <w:r>
              <w:rPr>
                <w:rFonts w:hint="eastAsia" w:cs="Times New Roman"/>
                <w:color w:val="auto"/>
                <w:kern w:val="0"/>
                <w:sz w:val="24"/>
                <w:szCs w:val="20"/>
                <w:highlight w:val="none"/>
                <w:lang w:val="en-US" w:eastAsia="zh-CN" w:bidi="ar-SA"/>
              </w:rPr>
              <w:t>。</w:t>
            </w:r>
            <w:r>
              <w:rPr>
                <w:rFonts w:hint="eastAsia" w:ascii="Times New Roman" w:hAnsi="Times New Roman" w:eastAsia="宋体" w:cs="Times New Roman"/>
                <w:color w:val="auto"/>
                <w:kern w:val="0"/>
                <w:sz w:val="24"/>
                <w:szCs w:val="20"/>
                <w:highlight w:val="none"/>
                <w:lang w:val="en-US" w:eastAsia="zh-CN" w:bidi="ar-SA"/>
              </w:rPr>
              <w:t>详见下表：</w:t>
            </w:r>
          </w:p>
          <w:p>
            <w:pPr>
              <w:spacing w:line="360" w:lineRule="auto"/>
              <w:ind w:firstLine="422" w:firstLineChars="200"/>
              <w:jc w:val="center"/>
              <w:rPr>
                <w:rFonts w:hAnsi="宋体"/>
                <w:b/>
                <w:color w:val="auto"/>
                <w:szCs w:val="21"/>
                <w:highlight w:val="none"/>
              </w:rPr>
            </w:pPr>
            <w:r>
              <w:rPr>
                <w:rFonts w:hAnsi="宋体"/>
                <w:b/>
                <w:color w:val="auto"/>
                <w:szCs w:val="21"/>
                <w:highlight w:val="none"/>
              </w:rPr>
              <w:t>表</w:t>
            </w:r>
            <w:r>
              <w:rPr>
                <w:b/>
                <w:color w:val="auto"/>
                <w:szCs w:val="21"/>
                <w:highlight w:val="none"/>
              </w:rPr>
              <w:t>4-</w:t>
            </w:r>
            <w:r>
              <w:rPr>
                <w:rFonts w:hint="eastAsia"/>
                <w:b/>
                <w:color w:val="auto"/>
                <w:szCs w:val="21"/>
                <w:highlight w:val="none"/>
                <w:lang w:val="en-US" w:eastAsia="zh-CN"/>
              </w:rPr>
              <w:t>9</w:t>
            </w:r>
            <w:r>
              <w:rPr>
                <w:b/>
                <w:color w:val="auto"/>
                <w:szCs w:val="21"/>
                <w:highlight w:val="none"/>
              </w:rPr>
              <w:t xml:space="preserve"> </w:t>
            </w:r>
            <w:r>
              <w:rPr>
                <w:rFonts w:hint="eastAsia"/>
                <w:b/>
                <w:color w:val="auto"/>
                <w:szCs w:val="21"/>
                <w:highlight w:val="none"/>
              </w:rPr>
              <w:t>运行期</w:t>
            </w:r>
            <w:r>
              <w:rPr>
                <w:rFonts w:hAnsi="宋体"/>
                <w:b/>
                <w:color w:val="auto"/>
                <w:szCs w:val="21"/>
                <w:highlight w:val="none"/>
              </w:rPr>
              <w:t>主要噪声源噪声级</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323"/>
              <w:gridCol w:w="531"/>
              <w:gridCol w:w="846"/>
              <w:gridCol w:w="589"/>
              <w:gridCol w:w="623"/>
              <w:gridCol w:w="504"/>
              <w:gridCol w:w="586"/>
              <w:gridCol w:w="740"/>
              <w:gridCol w:w="913"/>
              <w:gridCol w:w="778"/>
              <w:gridCol w:w="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trPr>
              <w:tc>
                <w:tcPr>
                  <w:tcW w:w="253" w:type="pct"/>
                  <w:vMerge w:val="restart"/>
                  <w:vAlign w:val="center"/>
                </w:tcPr>
                <w:p>
                  <w:pPr>
                    <w:pStyle w:val="60"/>
                    <w:bidi w:val="0"/>
                    <w:ind w:firstLine="0" w:firstLineChars="0"/>
                    <w:jc w:val="center"/>
                    <w:rPr>
                      <w:color w:val="auto"/>
                      <w:highlight w:val="none"/>
                      <w:vertAlign w:val="baseline"/>
                    </w:rPr>
                  </w:pPr>
                  <w:r>
                    <w:rPr>
                      <w:rFonts w:hint="default" w:ascii="Times New Roman" w:hAnsi="Times New Roman" w:eastAsia="宋体" w:cs="Times New Roman"/>
                      <w:b w:val="0"/>
                      <w:bCs w:val="0"/>
                      <w:color w:val="auto"/>
                      <w:sz w:val="21"/>
                      <w:szCs w:val="21"/>
                      <w:highlight w:val="none"/>
                      <w:lang w:val="en-US" w:eastAsia="zh-CN"/>
                    </w:rPr>
                    <w:t>序号</w:t>
                  </w:r>
                </w:p>
              </w:tc>
              <w:tc>
                <w:tcPr>
                  <w:tcW w:w="779" w:type="pct"/>
                  <w:vMerge w:val="restart"/>
                  <w:vAlign w:val="center"/>
                </w:tcPr>
                <w:p>
                  <w:pPr>
                    <w:pStyle w:val="60"/>
                    <w:bidi w:val="0"/>
                    <w:ind w:firstLine="0" w:firstLineChars="0"/>
                    <w:jc w:val="center"/>
                    <w:rPr>
                      <w:color w:val="auto"/>
                      <w:highlight w:val="none"/>
                      <w:vertAlign w:val="baseline"/>
                    </w:rPr>
                  </w:pPr>
                  <w:r>
                    <w:rPr>
                      <w:rFonts w:hint="default" w:ascii="Times New Roman" w:hAnsi="Times New Roman" w:eastAsia="宋体" w:cs="Times New Roman"/>
                      <w:b w:val="0"/>
                      <w:bCs w:val="0"/>
                      <w:color w:val="auto"/>
                      <w:sz w:val="21"/>
                      <w:szCs w:val="21"/>
                      <w:highlight w:val="none"/>
                      <w:lang w:val="en-US" w:eastAsia="zh-CN"/>
                    </w:rPr>
                    <w:t>设备名称</w:t>
                  </w:r>
                </w:p>
              </w:tc>
              <w:tc>
                <w:tcPr>
                  <w:tcW w:w="312" w:type="pct"/>
                  <w:vMerge w:val="restart"/>
                  <w:vAlign w:val="center"/>
                </w:tcPr>
                <w:p>
                  <w:pPr>
                    <w:pStyle w:val="60"/>
                    <w:bidi w:val="0"/>
                    <w:ind w:firstLine="0" w:firstLineChars="0"/>
                    <w:jc w:val="center"/>
                    <w:rPr>
                      <w:color w:val="auto"/>
                      <w:highlight w:val="none"/>
                      <w:vertAlign w:val="baseline"/>
                    </w:rPr>
                  </w:pPr>
                  <w:r>
                    <w:rPr>
                      <w:rFonts w:hint="default" w:ascii="Times New Roman" w:hAnsi="Times New Roman" w:eastAsia="宋体" w:cs="Times New Roman"/>
                      <w:b w:val="0"/>
                      <w:bCs w:val="0"/>
                      <w:color w:val="auto"/>
                      <w:sz w:val="21"/>
                      <w:szCs w:val="21"/>
                      <w:highlight w:val="none"/>
                      <w:lang w:val="en-US" w:eastAsia="zh-CN"/>
                    </w:rPr>
                    <w:t>数量</w:t>
                  </w:r>
                </w:p>
              </w:tc>
              <w:tc>
                <w:tcPr>
                  <w:tcW w:w="498" w:type="pct"/>
                  <w:vMerge w:val="restart"/>
                  <w:vAlign w:val="center"/>
                </w:tcPr>
                <w:p>
                  <w:pPr>
                    <w:pStyle w:val="60"/>
                    <w:bidi w:val="0"/>
                    <w:ind w:firstLine="0" w:firstLineChars="0"/>
                    <w:jc w:val="center"/>
                    <w:rPr>
                      <w:color w:val="auto"/>
                      <w:highlight w:val="none"/>
                      <w:vertAlign w:val="baseline"/>
                    </w:rPr>
                  </w:pPr>
                  <w:r>
                    <w:rPr>
                      <w:rFonts w:hint="default" w:ascii="Times New Roman" w:hAnsi="Times New Roman" w:eastAsia="宋体" w:cs="Times New Roman"/>
                      <w:b w:val="0"/>
                      <w:bCs w:val="0"/>
                      <w:color w:val="auto"/>
                      <w:sz w:val="21"/>
                      <w:szCs w:val="21"/>
                      <w:highlight w:val="none"/>
                      <w:lang w:val="en-US" w:eastAsia="zh-CN"/>
                    </w:rPr>
                    <w:t>单台设备噪声声源</w:t>
                  </w:r>
                </w:p>
              </w:tc>
              <w:tc>
                <w:tcPr>
                  <w:tcW w:w="1792" w:type="pct"/>
                  <w:gridSpan w:val="5"/>
                  <w:vAlign w:val="center"/>
                </w:tcPr>
                <w:p>
                  <w:pPr>
                    <w:pStyle w:val="60"/>
                    <w:bidi w:val="0"/>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与厂界距离（m）</w:t>
                  </w:r>
                </w:p>
              </w:tc>
              <w:tc>
                <w:tcPr>
                  <w:tcW w:w="538" w:type="pct"/>
                  <w:vMerge w:val="restart"/>
                  <w:vAlign w:val="center"/>
                </w:tcPr>
                <w:p>
                  <w:pPr>
                    <w:pStyle w:val="60"/>
                    <w:bidi w:val="0"/>
                    <w:ind w:firstLine="0" w:firstLineChars="0"/>
                    <w:jc w:val="center"/>
                    <w:rPr>
                      <w:color w:val="auto"/>
                      <w:highlight w:val="none"/>
                      <w:vertAlign w:val="baseline"/>
                    </w:rPr>
                  </w:pPr>
                  <w:r>
                    <w:rPr>
                      <w:rFonts w:hint="default" w:ascii="Times New Roman" w:hAnsi="Times New Roman" w:eastAsia="宋体" w:cs="Times New Roman"/>
                      <w:b w:val="0"/>
                      <w:bCs w:val="0"/>
                      <w:color w:val="auto"/>
                      <w:sz w:val="21"/>
                      <w:szCs w:val="21"/>
                      <w:highlight w:val="none"/>
                      <w:lang w:val="en-US" w:eastAsia="zh-CN"/>
                    </w:rPr>
                    <w:t>治理措施</w:t>
                  </w:r>
                </w:p>
              </w:tc>
              <w:tc>
                <w:tcPr>
                  <w:tcW w:w="458" w:type="pct"/>
                  <w:vMerge w:val="restart"/>
                  <w:vAlign w:val="center"/>
                </w:tcPr>
                <w:p>
                  <w:pPr>
                    <w:pStyle w:val="60"/>
                    <w:bidi w:val="0"/>
                    <w:ind w:firstLine="0" w:firstLineChars="0"/>
                    <w:jc w:val="center"/>
                    <w:rPr>
                      <w:color w:val="auto"/>
                      <w:highlight w:val="none"/>
                      <w:vertAlign w:val="baseline"/>
                    </w:rPr>
                  </w:pPr>
                  <w:r>
                    <w:rPr>
                      <w:rFonts w:hint="default" w:ascii="Times New Roman" w:hAnsi="Times New Roman" w:eastAsia="宋体" w:cs="Times New Roman"/>
                      <w:b w:val="0"/>
                      <w:bCs w:val="0"/>
                      <w:color w:val="auto"/>
                      <w:sz w:val="21"/>
                      <w:szCs w:val="21"/>
                      <w:highlight w:val="none"/>
                      <w:lang w:val="en-US" w:eastAsia="zh-CN"/>
                    </w:rPr>
                    <w:t>设备排放强度</w:t>
                  </w:r>
                </w:p>
              </w:tc>
              <w:tc>
                <w:tcPr>
                  <w:tcW w:w="365" w:type="pct"/>
                  <w:vMerge w:val="restart"/>
                  <w:vAlign w:val="center"/>
                </w:tcPr>
                <w:p>
                  <w:pPr>
                    <w:pStyle w:val="60"/>
                    <w:bidi w:val="0"/>
                    <w:ind w:firstLine="0" w:firstLineChars="0"/>
                    <w:jc w:val="center"/>
                    <w:rPr>
                      <w:color w:val="auto"/>
                      <w:highlight w:val="none"/>
                      <w:vertAlign w:val="baseline"/>
                    </w:rPr>
                  </w:pPr>
                  <w:r>
                    <w:rPr>
                      <w:rFonts w:hint="eastAsia" w:ascii="Times New Roman" w:hAnsi="Times New Roman" w:eastAsia="宋体" w:cs="Times New Roman"/>
                      <w:b w:val="0"/>
                      <w:bCs w:val="0"/>
                      <w:color w:val="auto"/>
                      <w:sz w:val="21"/>
                      <w:szCs w:val="21"/>
                      <w:highlight w:val="none"/>
                      <w:lang w:val="en-US" w:eastAsia="zh-CN"/>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53" w:type="pct"/>
                  <w:vMerge w:val="continue"/>
                  <w:vAlign w:val="center"/>
                </w:tcPr>
                <w:p>
                  <w:pPr>
                    <w:pStyle w:val="60"/>
                    <w:bidi w:val="0"/>
                    <w:ind w:firstLine="0" w:firstLineChars="0"/>
                    <w:jc w:val="center"/>
                    <w:rPr>
                      <w:color w:val="auto"/>
                      <w:highlight w:val="none"/>
                    </w:rPr>
                  </w:pPr>
                </w:p>
              </w:tc>
              <w:tc>
                <w:tcPr>
                  <w:tcW w:w="779" w:type="pct"/>
                  <w:vMerge w:val="continue"/>
                  <w:vAlign w:val="center"/>
                </w:tcPr>
                <w:p>
                  <w:pPr>
                    <w:pStyle w:val="60"/>
                    <w:bidi w:val="0"/>
                    <w:ind w:firstLine="0" w:firstLineChars="0"/>
                    <w:jc w:val="center"/>
                    <w:rPr>
                      <w:color w:val="auto"/>
                      <w:highlight w:val="none"/>
                    </w:rPr>
                  </w:pPr>
                </w:p>
              </w:tc>
              <w:tc>
                <w:tcPr>
                  <w:tcW w:w="312" w:type="pct"/>
                  <w:vMerge w:val="continue"/>
                  <w:vAlign w:val="center"/>
                </w:tcPr>
                <w:p>
                  <w:pPr>
                    <w:pStyle w:val="60"/>
                    <w:bidi w:val="0"/>
                    <w:ind w:firstLine="0" w:firstLineChars="0"/>
                    <w:jc w:val="center"/>
                    <w:rPr>
                      <w:color w:val="auto"/>
                      <w:highlight w:val="none"/>
                    </w:rPr>
                  </w:pPr>
                </w:p>
              </w:tc>
              <w:tc>
                <w:tcPr>
                  <w:tcW w:w="498" w:type="pct"/>
                  <w:vMerge w:val="continue"/>
                  <w:vAlign w:val="center"/>
                </w:tcPr>
                <w:p>
                  <w:pPr>
                    <w:pStyle w:val="60"/>
                    <w:bidi w:val="0"/>
                    <w:ind w:firstLine="0" w:firstLineChars="0"/>
                    <w:jc w:val="center"/>
                    <w:rPr>
                      <w:color w:val="auto"/>
                      <w:highlight w:val="none"/>
                    </w:rPr>
                  </w:pPr>
                </w:p>
              </w:tc>
              <w:tc>
                <w:tcPr>
                  <w:tcW w:w="347" w:type="pct"/>
                  <w:vAlign w:val="center"/>
                </w:tcPr>
                <w:p>
                  <w:pPr>
                    <w:pStyle w:val="60"/>
                    <w:bidi w:val="0"/>
                    <w:ind w:firstLine="0" w:firstLineChars="0"/>
                    <w:jc w:val="center"/>
                    <w:rPr>
                      <w:color w:val="auto"/>
                      <w:highlight w:val="none"/>
                    </w:rPr>
                  </w:pPr>
                  <w:r>
                    <w:rPr>
                      <w:rFonts w:hint="default" w:ascii="Times New Roman" w:hAnsi="Times New Roman" w:eastAsia="宋体" w:cs="Times New Roman"/>
                      <w:color w:val="auto"/>
                      <w:sz w:val="21"/>
                      <w:szCs w:val="21"/>
                      <w:highlight w:val="none"/>
                      <w:lang w:eastAsia="zh-CN"/>
                    </w:rPr>
                    <w:t>东</w:t>
                  </w:r>
                </w:p>
              </w:tc>
              <w:tc>
                <w:tcPr>
                  <w:tcW w:w="367" w:type="pct"/>
                  <w:vAlign w:val="center"/>
                </w:tcPr>
                <w:p>
                  <w:pPr>
                    <w:pStyle w:val="60"/>
                    <w:bidi w:val="0"/>
                    <w:ind w:firstLine="0" w:firstLineChars="0"/>
                    <w:jc w:val="center"/>
                    <w:rPr>
                      <w:color w:val="auto"/>
                      <w:highlight w:val="none"/>
                    </w:rPr>
                  </w:pPr>
                  <w:r>
                    <w:rPr>
                      <w:rFonts w:hint="default" w:ascii="Times New Roman" w:hAnsi="Times New Roman" w:eastAsia="宋体" w:cs="Times New Roman"/>
                      <w:color w:val="auto"/>
                      <w:sz w:val="21"/>
                      <w:szCs w:val="21"/>
                      <w:highlight w:val="none"/>
                      <w:lang w:eastAsia="zh-CN"/>
                    </w:rPr>
                    <w:t>南</w:t>
                  </w:r>
                </w:p>
              </w:tc>
              <w:tc>
                <w:tcPr>
                  <w:tcW w:w="297" w:type="pct"/>
                  <w:vAlign w:val="center"/>
                </w:tcPr>
                <w:p>
                  <w:pPr>
                    <w:pStyle w:val="60"/>
                    <w:bidi w:val="0"/>
                    <w:ind w:firstLine="0" w:firstLineChars="0"/>
                    <w:jc w:val="center"/>
                    <w:rPr>
                      <w:color w:val="auto"/>
                      <w:highlight w:val="none"/>
                    </w:rPr>
                  </w:pPr>
                  <w:r>
                    <w:rPr>
                      <w:rFonts w:hint="default" w:ascii="Times New Roman" w:hAnsi="Times New Roman" w:eastAsia="宋体" w:cs="Times New Roman"/>
                      <w:color w:val="auto"/>
                      <w:sz w:val="21"/>
                      <w:szCs w:val="21"/>
                      <w:highlight w:val="none"/>
                      <w:lang w:eastAsia="zh-CN"/>
                    </w:rPr>
                    <w:t>西</w:t>
                  </w:r>
                </w:p>
              </w:tc>
              <w:tc>
                <w:tcPr>
                  <w:tcW w:w="345" w:type="pct"/>
                  <w:vAlign w:val="center"/>
                </w:tcPr>
                <w:p>
                  <w:pPr>
                    <w:pStyle w:val="60"/>
                    <w:bidi w:val="0"/>
                    <w:ind w:firstLine="0" w:firstLineChars="0"/>
                    <w:jc w:val="center"/>
                    <w:rPr>
                      <w:color w:val="auto"/>
                      <w:highlight w:val="none"/>
                    </w:rPr>
                  </w:pPr>
                  <w:r>
                    <w:rPr>
                      <w:rFonts w:hint="default" w:ascii="Times New Roman" w:hAnsi="Times New Roman" w:eastAsia="宋体" w:cs="Times New Roman"/>
                      <w:color w:val="auto"/>
                      <w:sz w:val="21"/>
                      <w:szCs w:val="21"/>
                      <w:highlight w:val="none"/>
                      <w:lang w:eastAsia="zh-CN"/>
                    </w:rPr>
                    <w:t>北</w:t>
                  </w:r>
                </w:p>
              </w:tc>
              <w:tc>
                <w:tcPr>
                  <w:tcW w:w="436" w:type="pct"/>
                  <w:vAlign w:val="center"/>
                </w:tcPr>
                <w:p>
                  <w:pPr>
                    <w:pStyle w:val="60"/>
                    <w:bidi w:val="0"/>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石桥村</w:t>
                  </w:r>
                </w:p>
              </w:tc>
              <w:tc>
                <w:tcPr>
                  <w:tcW w:w="538" w:type="pct"/>
                  <w:vMerge w:val="continue"/>
                  <w:vAlign w:val="center"/>
                </w:tcPr>
                <w:p>
                  <w:pPr>
                    <w:pStyle w:val="60"/>
                    <w:bidi w:val="0"/>
                    <w:ind w:firstLine="0" w:firstLineChars="0"/>
                    <w:jc w:val="center"/>
                    <w:rPr>
                      <w:color w:val="auto"/>
                      <w:highlight w:val="none"/>
                    </w:rPr>
                  </w:pPr>
                </w:p>
              </w:tc>
              <w:tc>
                <w:tcPr>
                  <w:tcW w:w="458" w:type="pct"/>
                  <w:vMerge w:val="continue"/>
                  <w:vAlign w:val="center"/>
                </w:tcPr>
                <w:p>
                  <w:pPr>
                    <w:pStyle w:val="60"/>
                    <w:bidi w:val="0"/>
                    <w:ind w:firstLine="0" w:firstLineChars="0"/>
                    <w:jc w:val="center"/>
                    <w:rPr>
                      <w:color w:val="auto"/>
                      <w:highlight w:val="none"/>
                    </w:rPr>
                  </w:pPr>
                </w:p>
              </w:tc>
              <w:tc>
                <w:tcPr>
                  <w:tcW w:w="365" w:type="pct"/>
                  <w:vMerge w:val="continue"/>
                  <w:vAlign w:val="center"/>
                </w:tcPr>
                <w:p>
                  <w:pPr>
                    <w:pStyle w:val="60"/>
                    <w:bidi w:val="0"/>
                    <w:ind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 w:type="pct"/>
                  <w:vAlign w:val="center"/>
                </w:tcPr>
                <w:p>
                  <w:pPr>
                    <w:pStyle w:val="60"/>
                    <w:bidi w:val="0"/>
                    <w:ind w:firstLine="0" w:firstLineChars="0"/>
                    <w:jc w:val="center"/>
                    <w:rPr>
                      <w:rFonts w:hint="eastAsia" w:eastAsia="宋体"/>
                      <w:color w:val="auto"/>
                      <w:highlight w:val="none"/>
                      <w:lang w:val="en-US" w:eastAsia="zh-CN"/>
                    </w:rPr>
                  </w:pPr>
                  <w:r>
                    <w:rPr>
                      <w:rFonts w:hint="eastAsia"/>
                      <w:color w:val="auto"/>
                      <w:highlight w:val="none"/>
                      <w:lang w:val="en-US" w:eastAsia="zh-CN"/>
                    </w:rPr>
                    <w:t>1</w:t>
                  </w:r>
                </w:p>
              </w:tc>
              <w:tc>
                <w:tcPr>
                  <w:tcW w:w="779"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螺旋输送机</w:t>
                  </w:r>
                </w:p>
              </w:tc>
              <w:tc>
                <w:tcPr>
                  <w:tcW w:w="312" w:type="pct"/>
                  <w:vAlign w:val="center"/>
                </w:tcPr>
                <w:p>
                  <w:pPr>
                    <w:pStyle w:val="60"/>
                    <w:bidi w:val="0"/>
                    <w:ind w:firstLine="0" w:firstLineChars="0"/>
                    <w:jc w:val="center"/>
                    <w:rPr>
                      <w:rFonts w:hint="default"/>
                      <w:color w:val="auto"/>
                      <w:highlight w:val="none"/>
                      <w:lang w:val="en-US" w:eastAsia="zh-CN"/>
                    </w:rPr>
                  </w:pPr>
                  <w:r>
                    <w:rPr>
                      <w:rFonts w:hint="eastAsia"/>
                      <w:color w:val="auto"/>
                      <w:highlight w:val="none"/>
                      <w:lang w:val="en-US" w:eastAsia="zh-CN"/>
                    </w:rPr>
                    <w:t>5</w:t>
                  </w:r>
                </w:p>
              </w:tc>
              <w:tc>
                <w:tcPr>
                  <w:tcW w:w="498" w:type="pct"/>
                  <w:vAlign w:val="center"/>
                </w:tcPr>
                <w:p>
                  <w:pPr>
                    <w:pStyle w:val="60"/>
                    <w:bidi w:val="0"/>
                    <w:ind w:firstLine="0" w:firstLineChars="0"/>
                    <w:jc w:val="center"/>
                    <w:rPr>
                      <w:rFonts w:hint="default"/>
                      <w:color w:val="auto"/>
                      <w:highlight w:val="none"/>
                      <w:lang w:val="en-US" w:eastAsia="zh-CN"/>
                    </w:rPr>
                  </w:pPr>
                  <w:r>
                    <w:rPr>
                      <w:rFonts w:hint="eastAsia"/>
                      <w:color w:val="auto"/>
                      <w:highlight w:val="none"/>
                      <w:lang w:val="en-US" w:eastAsia="zh-CN"/>
                    </w:rPr>
                    <w:t>85</w:t>
                  </w:r>
                </w:p>
              </w:tc>
              <w:tc>
                <w:tcPr>
                  <w:tcW w:w="347"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103</w:t>
                  </w:r>
                </w:p>
              </w:tc>
              <w:tc>
                <w:tcPr>
                  <w:tcW w:w="367"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56</w:t>
                  </w:r>
                </w:p>
              </w:tc>
              <w:tc>
                <w:tcPr>
                  <w:tcW w:w="297"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49</w:t>
                  </w:r>
                </w:p>
              </w:tc>
              <w:tc>
                <w:tcPr>
                  <w:tcW w:w="345"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122</w:t>
                  </w:r>
                </w:p>
              </w:tc>
              <w:tc>
                <w:tcPr>
                  <w:tcW w:w="436" w:type="pct"/>
                  <w:vAlign w:val="center"/>
                </w:tcPr>
                <w:p>
                  <w:pPr>
                    <w:pStyle w:val="60"/>
                    <w:bidi w:val="0"/>
                    <w:ind w:firstLine="0" w:firstLineChars="0"/>
                    <w:jc w:val="center"/>
                    <w:rPr>
                      <w:rFonts w:hint="default"/>
                      <w:color w:val="auto"/>
                      <w:highlight w:val="none"/>
                      <w:lang w:val="en-US" w:eastAsia="zh-CN"/>
                    </w:rPr>
                  </w:pPr>
                  <w:r>
                    <w:rPr>
                      <w:rFonts w:hint="eastAsia"/>
                      <w:color w:val="auto"/>
                      <w:highlight w:val="none"/>
                      <w:lang w:val="en-US" w:eastAsia="zh-CN"/>
                    </w:rPr>
                    <w:t>96</w:t>
                  </w:r>
                </w:p>
              </w:tc>
              <w:tc>
                <w:tcPr>
                  <w:tcW w:w="538" w:type="pct"/>
                  <w:vMerge w:val="restar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基础减振、钢结构车间隔声等</w:t>
                  </w:r>
                </w:p>
              </w:tc>
              <w:tc>
                <w:tcPr>
                  <w:tcW w:w="458" w:type="pct"/>
                  <w:vAlign w:val="center"/>
                </w:tcPr>
                <w:p>
                  <w:pPr>
                    <w:pStyle w:val="60"/>
                    <w:bidi w:val="0"/>
                    <w:ind w:firstLine="0" w:firstLineChars="0"/>
                    <w:jc w:val="center"/>
                    <w:rPr>
                      <w:rFonts w:hint="default" w:eastAsia="宋体"/>
                      <w:color w:val="auto"/>
                      <w:highlight w:val="none"/>
                      <w:lang w:val="en-US" w:eastAsia="zh-CN"/>
                    </w:rPr>
                  </w:pPr>
                  <w:r>
                    <w:rPr>
                      <w:rFonts w:hint="eastAsia"/>
                      <w:color w:val="auto"/>
                      <w:highlight w:val="none"/>
                      <w:lang w:val="en-US" w:eastAsia="zh-CN"/>
                    </w:rPr>
                    <w:t>72</w:t>
                  </w:r>
                </w:p>
              </w:tc>
              <w:tc>
                <w:tcPr>
                  <w:tcW w:w="365" w:type="pct"/>
                  <w:vMerge w:val="restart"/>
                  <w:vAlign w:val="center"/>
                </w:tcPr>
                <w:p>
                  <w:pPr>
                    <w:pStyle w:val="60"/>
                    <w:bidi w:val="0"/>
                    <w:ind w:firstLine="0" w:firstLineChars="0"/>
                    <w:jc w:val="center"/>
                    <w:rPr>
                      <w:rFonts w:hint="eastAsia" w:eastAsia="宋体"/>
                      <w:color w:val="auto"/>
                      <w:highlight w:val="none"/>
                      <w:lang w:eastAsia="zh-CN"/>
                    </w:rPr>
                  </w:pPr>
                  <w:r>
                    <w:rPr>
                      <w:rFonts w:hint="eastAsia"/>
                      <w:color w:val="auto"/>
                      <w:highlight w:val="none"/>
                      <w:lang w:eastAsia="zh-CN"/>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 w:type="pct"/>
                  <w:vAlign w:val="center"/>
                </w:tcPr>
                <w:p>
                  <w:pPr>
                    <w:pStyle w:val="60"/>
                    <w:bidi w:val="0"/>
                    <w:ind w:firstLine="0" w:firstLineChars="0"/>
                    <w:jc w:val="center"/>
                    <w:rPr>
                      <w:rFonts w:hint="eastAsia" w:eastAsia="宋体"/>
                      <w:color w:val="auto"/>
                      <w:highlight w:val="none"/>
                      <w:lang w:val="en-US" w:eastAsia="zh-CN"/>
                    </w:rPr>
                  </w:pPr>
                  <w:r>
                    <w:rPr>
                      <w:rFonts w:hint="eastAsia"/>
                      <w:color w:val="auto"/>
                      <w:highlight w:val="none"/>
                      <w:lang w:val="en-US" w:eastAsia="zh-CN"/>
                    </w:rPr>
                    <w:t>2</w:t>
                  </w:r>
                </w:p>
              </w:tc>
              <w:tc>
                <w:tcPr>
                  <w:tcW w:w="779"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搅拌机</w:t>
                  </w:r>
                </w:p>
              </w:tc>
              <w:tc>
                <w:tcPr>
                  <w:tcW w:w="312"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2</w:t>
                  </w:r>
                </w:p>
              </w:tc>
              <w:tc>
                <w:tcPr>
                  <w:tcW w:w="498" w:type="pct"/>
                  <w:vAlign w:val="center"/>
                </w:tcPr>
                <w:p>
                  <w:pPr>
                    <w:pStyle w:val="60"/>
                    <w:bidi w:val="0"/>
                    <w:ind w:firstLine="0" w:firstLineChars="0"/>
                    <w:jc w:val="center"/>
                    <w:rPr>
                      <w:rFonts w:hint="default"/>
                      <w:color w:val="auto"/>
                      <w:highlight w:val="none"/>
                      <w:lang w:val="en-US" w:eastAsia="zh-CN"/>
                    </w:rPr>
                  </w:pPr>
                  <w:r>
                    <w:rPr>
                      <w:rFonts w:hint="eastAsia"/>
                      <w:color w:val="auto"/>
                      <w:highlight w:val="none"/>
                      <w:lang w:val="en-US" w:eastAsia="zh-CN"/>
                    </w:rPr>
                    <w:t>95</w:t>
                  </w:r>
                </w:p>
              </w:tc>
              <w:tc>
                <w:tcPr>
                  <w:tcW w:w="347" w:type="pct"/>
                  <w:vAlign w:val="center"/>
                </w:tcPr>
                <w:p>
                  <w:pPr>
                    <w:pStyle w:val="60"/>
                    <w:bidi w:val="0"/>
                    <w:ind w:firstLine="0" w:firstLineChars="0"/>
                    <w:jc w:val="center"/>
                    <w:rPr>
                      <w:rFonts w:hint="default"/>
                      <w:color w:val="auto"/>
                      <w:highlight w:val="none"/>
                      <w:lang w:val="en-US" w:eastAsia="zh-CN"/>
                    </w:rPr>
                  </w:pPr>
                  <w:r>
                    <w:rPr>
                      <w:rFonts w:hint="eastAsia"/>
                      <w:color w:val="auto"/>
                      <w:highlight w:val="none"/>
                      <w:lang w:val="en-US" w:eastAsia="zh-CN"/>
                    </w:rPr>
                    <w:t>103</w:t>
                  </w:r>
                </w:p>
              </w:tc>
              <w:tc>
                <w:tcPr>
                  <w:tcW w:w="367" w:type="pct"/>
                  <w:vAlign w:val="center"/>
                </w:tcPr>
                <w:p>
                  <w:pPr>
                    <w:pStyle w:val="60"/>
                    <w:bidi w:val="0"/>
                    <w:ind w:firstLine="0" w:firstLineChars="0"/>
                    <w:jc w:val="center"/>
                    <w:rPr>
                      <w:rFonts w:hint="default"/>
                      <w:color w:val="auto"/>
                      <w:highlight w:val="none"/>
                      <w:lang w:val="en-US" w:eastAsia="zh-CN"/>
                    </w:rPr>
                  </w:pPr>
                  <w:r>
                    <w:rPr>
                      <w:rFonts w:hint="eastAsia"/>
                      <w:color w:val="auto"/>
                      <w:highlight w:val="none"/>
                      <w:lang w:val="en-US" w:eastAsia="zh-CN"/>
                    </w:rPr>
                    <w:t>56</w:t>
                  </w:r>
                </w:p>
              </w:tc>
              <w:tc>
                <w:tcPr>
                  <w:tcW w:w="297" w:type="pct"/>
                  <w:vAlign w:val="center"/>
                </w:tcPr>
                <w:p>
                  <w:pPr>
                    <w:pStyle w:val="60"/>
                    <w:bidi w:val="0"/>
                    <w:ind w:firstLine="0" w:firstLineChars="0"/>
                    <w:jc w:val="center"/>
                    <w:rPr>
                      <w:rFonts w:hint="default"/>
                      <w:color w:val="auto"/>
                      <w:highlight w:val="none"/>
                      <w:lang w:val="en-US" w:eastAsia="zh-CN"/>
                    </w:rPr>
                  </w:pPr>
                  <w:r>
                    <w:rPr>
                      <w:rFonts w:hint="eastAsia"/>
                      <w:color w:val="auto"/>
                      <w:highlight w:val="none"/>
                      <w:lang w:val="en-US" w:eastAsia="zh-CN"/>
                    </w:rPr>
                    <w:t>49</w:t>
                  </w:r>
                </w:p>
              </w:tc>
              <w:tc>
                <w:tcPr>
                  <w:tcW w:w="345" w:type="pct"/>
                  <w:vAlign w:val="center"/>
                </w:tcPr>
                <w:p>
                  <w:pPr>
                    <w:pStyle w:val="60"/>
                    <w:bidi w:val="0"/>
                    <w:ind w:firstLine="0" w:firstLineChars="0"/>
                    <w:jc w:val="center"/>
                    <w:rPr>
                      <w:rFonts w:hint="default"/>
                      <w:color w:val="auto"/>
                      <w:highlight w:val="none"/>
                      <w:lang w:val="en-US" w:eastAsia="zh-CN"/>
                    </w:rPr>
                  </w:pPr>
                  <w:r>
                    <w:rPr>
                      <w:rFonts w:hint="eastAsia"/>
                      <w:color w:val="auto"/>
                      <w:highlight w:val="none"/>
                      <w:lang w:val="en-US" w:eastAsia="zh-CN"/>
                    </w:rPr>
                    <w:t>122</w:t>
                  </w:r>
                </w:p>
              </w:tc>
              <w:tc>
                <w:tcPr>
                  <w:tcW w:w="436" w:type="pct"/>
                  <w:vAlign w:val="center"/>
                </w:tcPr>
                <w:p>
                  <w:pPr>
                    <w:bidi w:val="0"/>
                    <w:ind w:firstLine="0" w:firstLineChars="0"/>
                    <w:jc w:val="center"/>
                    <w:rPr>
                      <w:rFonts w:hint="eastAsia"/>
                      <w:color w:val="auto"/>
                      <w:highlight w:val="none"/>
                      <w:lang w:val="en-US" w:eastAsia="zh-CN"/>
                    </w:rPr>
                  </w:pPr>
                  <w:r>
                    <w:rPr>
                      <w:rFonts w:hint="eastAsia"/>
                      <w:color w:val="auto"/>
                      <w:highlight w:val="none"/>
                      <w:lang w:val="en-US" w:eastAsia="zh-CN"/>
                    </w:rPr>
                    <w:t>96</w:t>
                  </w:r>
                </w:p>
              </w:tc>
              <w:tc>
                <w:tcPr>
                  <w:tcW w:w="538" w:type="pct"/>
                  <w:vMerge w:val="continue"/>
                  <w:vAlign w:val="center"/>
                </w:tcPr>
                <w:p>
                  <w:pPr>
                    <w:pStyle w:val="60"/>
                    <w:bidi w:val="0"/>
                    <w:ind w:firstLine="0" w:firstLineChars="0"/>
                    <w:jc w:val="center"/>
                    <w:rPr>
                      <w:rFonts w:hint="eastAsia"/>
                      <w:color w:val="auto"/>
                      <w:highlight w:val="none"/>
                      <w:lang w:val="en-US" w:eastAsia="zh-CN"/>
                    </w:rPr>
                  </w:pPr>
                </w:p>
              </w:tc>
              <w:tc>
                <w:tcPr>
                  <w:tcW w:w="458" w:type="pct"/>
                  <w:vAlign w:val="center"/>
                </w:tcPr>
                <w:p>
                  <w:pPr>
                    <w:pStyle w:val="60"/>
                    <w:bidi w:val="0"/>
                    <w:ind w:firstLine="0" w:firstLineChars="0"/>
                    <w:jc w:val="center"/>
                    <w:rPr>
                      <w:rFonts w:hint="default" w:eastAsia="宋体"/>
                      <w:color w:val="auto"/>
                      <w:highlight w:val="none"/>
                      <w:lang w:val="en-US" w:eastAsia="zh-CN"/>
                    </w:rPr>
                  </w:pPr>
                  <w:r>
                    <w:rPr>
                      <w:rFonts w:hint="eastAsia"/>
                      <w:color w:val="auto"/>
                      <w:highlight w:val="none"/>
                      <w:lang w:val="en-US" w:eastAsia="zh-CN"/>
                    </w:rPr>
                    <w:t>78</w:t>
                  </w:r>
                </w:p>
              </w:tc>
              <w:tc>
                <w:tcPr>
                  <w:tcW w:w="365" w:type="pct"/>
                  <w:vMerge w:val="continue"/>
                  <w:vAlign w:val="center"/>
                </w:tcPr>
                <w:p>
                  <w:pPr>
                    <w:pStyle w:val="60"/>
                    <w:bidi w:val="0"/>
                    <w:ind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4" w:hRule="atLeast"/>
              </w:trPr>
              <w:tc>
                <w:tcPr>
                  <w:tcW w:w="253" w:type="pct"/>
                  <w:vAlign w:val="center"/>
                </w:tcPr>
                <w:p>
                  <w:pPr>
                    <w:pStyle w:val="60"/>
                    <w:bidi w:val="0"/>
                    <w:ind w:firstLine="0" w:firstLineChars="0"/>
                    <w:jc w:val="center"/>
                    <w:rPr>
                      <w:rFonts w:hint="default" w:eastAsia="宋体"/>
                      <w:color w:val="auto"/>
                      <w:highlight w:val="none"/>
                      <w:lang w:val="en-US" w:eastAsia="zh-CN"/>
                    </w:rPr>
                  </w:pPr>
                  <w:r>
                    <w:rPr>
                      <w:rFonts w:hint="eastAsia"/>
                      <w:color w:val="auto"/>
                      <w:highlight w:val="none"/>
                      <w:lang w:val="en-US" w:eastAsia="zh-CN"/>
                    </w:rPr>
                    <w:t>3</w:t>
                  </w:r>
                </w:p>
              </w:tc>
              <w:tc>
                <w:tcPr>
                  <w:tcW w:w="779"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装载机</w:t>
                  </w:r>
                </w:p>
              </w:tc>
              <w:tc>
                <w:tcPr>
                  <w:tcW w:w="312"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2</w:t>
                  </w:r>
                </w:p>
              </w:tc>
              <w:tc>
                <w:tcPr>
                  <w:tcW w:w="498" w:type="pct"/>
                  <w:vAlign w:val="center"/>
                </w:tcPr>
                <w:p>
                  <w:pPr>
                    <w:pStyle w:val="60"/>
                    <w:bidi w:val="0"/>
                    <w:ind w:firstLine="0" w:firstLineChars="0"/>
                    <w:jc w:val="center"/>
                    <w:rPr>
                      <w:rFonts w:hint="default"/>
                      <w:color w:val="auto"/>
                      <w:highlight w:val="none"/>
                      <w:lang w:val="en-US" w:eastAsia="zh-CN"/>
                    </w:rPr>
                  </w:pPr>
                  <w:r>
                    <w:rPr>
                      <w:rFonts w:hint="eastAsia"/>
                      <w:color w:val="auto"/>
                      <w:highlight w:val="none"/>
                      <w:lang w:val="en-US" w:eastAsia="zh-CN"/>
                    </w:rPr>
                    <w:t>90</w:t>
                  </w:r>
                </w:p>
              </w:tc>
              <w:tc>
                <w:tcPr>
                  <w:tcW w:w="347" w:type="pct"/>
                  <w:vAlign w:val="center"/>
                </w:tcPr>
                <w:p>
                  <w:pPr>
                    <w:pStyle w:val="60"/>
                    <w:bidi w:val="0"/>
                    <w:ind w:firstLine="0" w:firstLineChars="0"/>
                    <w:jc w:val="center"/>
                    <w:rPr>
                      <w:rFonts w:hint="default"/>
                      <w:color w:val="auto"/>
                      <w:highlight w:val="none"/>
                      <w:lang w:val="en-US" w:eastAsia="zh-CN"/>
                    </w:rPr>
                  </w:pPr>
                  <w:r>
                    <w:rPr>
                      <w:rFonts w:hint="eastAsia"/>
                      <w:color w:val="auto"/>
                      <w:highlight w:val="none"/>
                      <w:lang w:val="en-US" w:eastAsia="zh-CN"/>
                    </w:rPr>
                    <w:t>93</w:t>
                  </w:r>
                </w:p>
              </w:tc>
              <w:tc>
                <w:tcPr>
                  <w:tcW w:w="367"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56</w:t>
                  </w:r>
                </w:p>
              </w:tc>
              <w:tc>
                <w:tcPr>
                  <w:tcW w:w="297"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49</w:t>
                  </w:r>
                </w:p>
              </w:tc>
              <w:tc>
                <w:tcPr>
                  <w:tcW w:w="345"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132</w:t>
                  </w:r>
                </w:p>
              </w:tc>
              <w:tc>
                <w:tcPr>
                  <w:tcW w:w="436" w:type="pct"/>
                  <w:vAlign w:val="center"/>
                </w:tcPr>
                <w:p>
                  <w:pPr>
                    <w:bidi w:val="0"/>
                    <w:ind w:firstLine="0" w:firstLineChars="0"/>
                    <w:jc w:val="center"/>
                    <w:rPr>
                      <w:rFonts w:hint="default"/>
                      <w:color w:val="auto"/>
                      <w:highlight w:val="none"/>
                      <w:lang w:val="en-US" w:eastAsia="zh-CN"/>
                    </w:rPr>
                  </w:pPr>
                  <w:r>
                    <w:rPr>
                      <w:rFonts w:hint="eastAsia"/>
                      <w:color w:val="auto"/>
                      <w:highlight w:val="none"/>
                      <w:lang w:val="en-US" w:eastAsia="zh-CN"/>
                    </w:rPr>
                    <w:t>103</w:t>
                  </w:r>
                </w:p>
              </w:tc>
              <w:tc>
                <w:tcPr>
                  <w:tcW w:w="538" w:type="pct"/>
                  <w:vMerge w:val="continue"/>
                  <w:vAlign w:val="center"/>
                </w:tcPr>
                <w:p>
                  <w:pPr>
                    <w:pStyle w:val="60"/>
                    <w:bidi w:val="0"/>
                    <w:ind w:firstLine="0" w:firstLineChars="0"/>
                    <w:jc w:val="center"/>
                    <w:rPr>
                      <w:rFonts w:hint="eastAsia"/>
                      <w:color w:val="auto"/>
                      <w:highlight w:val="none"/>
                      <w:lang w:val="en-US" w:eastAsia="zh-CN"/>
                    </w:rPr>
                  </w:pPr>
                </w:p>
              </w:tc>
              <w:tc>
                <w:tcPr>
                  <w:tcW w:w="458" w:type="pct"/>
                  <w:vAlign w:val="center"/>
                </w:tcPr>
                <w:p>
                  <w:pPr>
                    <w:pStyle w:val="60"/>
                    <w:bidi w:val="0"/>
                    <w:ind w:firstLine="0" w:firstLineChars="0"/>
                    <w:jc w:val="center"/>
                    <w:rPr>
                      <w:rFonts w:hint="default" w:eastAsia="宋体"/>
                      <w:color w:val="auto"/>
                      <w:highlight w:val="none"/>
                      <w:lang w:val="en-US" w:eastAsia="zh-CN"/>
                    </w:rPr>
                  </w:pPr>
                  <w:r>
                    <w:rPr>
                      <w:rFonts w:hint="eastAsia"/>
                      <w:color w:val="auto"/>
                      <w:highlight w:val="none"/>
                      <w:lang w:val="en-US" w:eastAsia="zh-CN"/>
                    </w:rPr>
                    <w:t>73</w:t>
                  </w:r>
                </w:p>
              </w:tc>
              <w:tc>
                <w:tcPr>
                  <w:tcW w:w="365" w:type="pct"/>
                  <w:vMerge w:val="continue"/>
                  <w:vAlign w:val="center"/>
                </w:tcPr>
                <w:p>
                  <w:pPr>
                    <w:pStyle w:val="60"/>
                    <w:bidi w:val="0"/>
                    <w:ind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 w:type="pct"/>
                  <w:vAlign w:val="center"/>
                </w:tcPr>
                <w:p>
                  <w:pPr>
                    <w:pStyle w:val="60"/>
                    <w:bidi w:val="0"/>
                    <w:ind w:firstLine="0" w:firstLineChars="0"/>
                    <w:jc w:val="center"/>
                    <w:rPr>
                      <w:rFonts w:hint="default"/>
                      <w:color w:val="auto"/>
                      <w:highlight w:val="none"/>
                      <w:lang w:val="en-US" w:eastAsia="zh-CN"/>
                    </w:rPr>
                  </w:pPr>
                  <w:r>
                    <w:rPr>
                      <w:rFonts w:hint="eastAsia"/>
                      <w:color w:val="auto"/>
                      <w:highlight w:val="none"/>
                      <w:lang w:val="en-US" w:eastAsia="zh-CN"/>
                    </w:rPr>
                    <w:t>4</w:t>
                  </w:r>
                </w:p>
              </w:tc>
              <w:tc>
                <w:tcPr>
                  <w:tcW w:w="779"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减速机</w:t>
                  </w:r>
                </w:p>
              </w:tc>
              <w:tc>
                <w:tcPr>
                  <w:tcW w:w="312" w:type="pct"/>
                  <w:vAlign w:val="center"/>
                </w:tcPr>
                <w:p>
                  <w:pPr>
                    <w:pStyle w:val="60"/>
                    <w:bidi w:val="0"/>
                    <w:ind w:firstLine="0" w:firstLineChars="0"/>
                    <w:jc w:val="center"/>
                    <w:rPr>
                      <w:rFonts w:hint="default"/>
                      <w:color w:val="auto"/>
                      <w:highlight w:val="none"/>
                      <w:lang w:val="en-US" w:eastAsia="zh-CN"/>
                    </w:rPr>
                  </w:pPr>
                  <w:r>
                    <w:rPr>
                      <w:rFonts w:hint="eastAsia"/>
                      <w:color w:val="auto"/>
                      <w:highlight w:val="none"/>
                      <w:lang w:val="en-US" w:eastAsia="zh-CN"/>
                    </w:rPr>
                    <w:t>5</w:t>
                  </w:r>
                </w:p>
              </w:tc>
              <w:tc>
                <w:tcPr>
                  <w:tcW w:w="498" w:type="pct"/>
                  <w:vAlign w:val="center"/>
                </w:tcPr>
                <w:p>
                  <w:pPr>
                    <w:pStyle w:val="60"/>
                    <w:bidi w:val="0"/>
                    <w:ind w:firstLine="0" w:firstLineChars="0"/>
                    <w:jc w:val="center"/>
                    <w:rPr>
                      <w:rFonts w:hint="default"/>
                      <w:color w:val="auto"/>
                      <w:highlight w:val="none"/>
                      <w:lang w:val="en-US" w:eastAsia="zh-CN"/>
                    </w:rPr>
                  </w:pPr>
                  <w:r>
                    <w:rPr>
                      <w:rFonts w:hint="eastAsia"/>
                      <w:color w:val="auto"/>
                      <w:highlight w:val="none"/>
                      <w:lang w:val="en-US" w:eastAsia="zh-CN"/>
                    </w:rPr>
                    <w:t>80</w:t>
                  </w:r>
                </w:p>
              </w:tc>
              <w:tc>
                <w:tcPr>
                  <w:tcW w:w="347"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103</w:t>
                  </w:r>
                </w:p>
              </w:tc>
              <w:tc>
                <w:tcPr>
                  <w:tcW w:w="367"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56</w:t>
                  </w:r>
                </w:p>
              </w:tc>
              <w:tc>
                <w:tcPr>
                  <w:tcW w:w="297"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49</w:t>
                  </w:r>
                </w:p>
              </w:tc>
              <w:tc>
                <w:tcPr>
                  <w:tcW w:w="345"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122</w:t>
                  </w:r>
                </w:p>
              </w:tc>
              <w:tc>
                <w:tcPr>
                  <w:tcW w:w="436" w:type="pct"/>
                  <w:vAlign w:val="center"/>
                </w:tcPr>
                <w:p>
                  <w:pPr>
                    <w:pStyle w:val="60"/>
                    <w:bidi w:val="0"/>
                    <w:ind w:firstLine="0" w:firstLineChars="0"/>
                    <w:jc w:val="center"/>
                    <w:rPr>
                      <w:rFonts w:hint="eastAsia"/>
                      <w:color w:val="auto"/>
                      <w:highlight w:val="none"/>
                      <w:lang w:val="en-US" w:eastAsia="zh-CN"/>
                    </w:rPr>
                  </w:pPr>
                  <w:r>
                    <w:rPr>
                      <w:rFonts w:hint="eastAsia"/>
                      <w:color w:val="auto"/>
                      <w:highlight w:val="none"/>
                      <w:lang w:val="en-US" w:eastAsia="zh-CN"/>
                    </w:rPr>
                    <w:t>96</w:t>
                  </w:r>
                </w:p>
              </w:tc>
              <w:tc>
                <w:tcPr>
                  <w:tcW w:w="538" w:type="pct"/>
                  <w:vMerge w:val="continue"/>
                  <w:vAlign w:val="center"/>
                </w:tcPr>
                <w:p>
                  <w:pPr>
                    <w:pStyle w:val="60"/>
                    <w:bidi w:val="0"/>
                    <w:ind w:firstLine="0" w:firstLineChars="0"/>
                    <w:jc w:val="center"/>
                    <w:rPr>
                      <w:rFonts w:hint="eastAsia"/>
                      <w:color w:val="auto"/>
                      <w:highlight w:val="none"/>
                      <w:lang w:val="en-US" w:eastAsia="zh-CN"/>
                    </w:rPr>
                  </w:pPr>
                </w:p>
              </w:tc>
              <w:tc>
                <w:tcPr>
                  <w:tcW w:w="458" w:type="pct"/>
                  <w:vAlign w:val="center"/>
                </w:tcPr>
                <w:p>
                  <w:pPr>
                    <w:pStyle w:val="60"/>
                    <w:bidi w:val="0"/>
                    <w:ind w:firstLine="0" w:firstLineChars="0"/>
                    <w:jc w:val="center"/>
                    <w:rPr>
                      <w:rFonts w:hint="default"/>
                      <w:color w:val="auto"/>
                      <w:highlight w:val="none"/>
                      <w:lang w:val="en-US" w:eastAsia="zh-CN"/>
                    </w:rPr>
                  </w:pPr>
                  <w:r>
                    <w:rPr>
                      <w:rFonts w:hint="eastAsia"/>
                      <w:color w:val="auto"/>
                      <w:highlight w:val="none"/>
                      <w:lang w:val="en-US" w:eastAsia="zh-CN"/>
                    </w:rPr>
                    <w:t>67</w:t>
                  </w:r>
                </w:p>
              </w:tc>
              <w:tc>
                <w:tcPr>
                  <w:tcW w:w="365" w:type="pct"/>
                  <w:vMerge w:val="continue"/>
                  <w:vAlign w:val="center"/>
                </w:tcPr>
                <w:p>
                  <w:pPr>
                    <w:pStyle w:val="60"/>
                    <w:bidi w:val="0"/>
                    <w:ind w:firstLine="0" w:firstLineChars="0"/>
                    <w:jc w:val="center"/>
                    <w:rPr>
                      <w:color w:val="auto"/>
                      <w:highlight w:val="none"/>
                    </w:rPr>
                  </w:pP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（1）预测模式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由于噪声源距厂界的距离远大于声源本身尺寸，噪声预测点选用点源，项目噪声对周围环境的影响预测选用《环境影响评价技术导则 声环境》（HJ2.4-20</w:t>
            </w:r>
            <w:r>
              <w:rPr>
                <w:rFonts w:hint="eastAsia" w:ascii="Times New Roman" w:hAnsi="Times New Roman" w:eastAsia="宋体" w:cs="Times New Roman"/>
                <w:color w:val="auto"/>
                <w:kern w:val="0"/>
                <w:sz w:val="24"/>
                <w:szCs w:val="24"/>
                <w:highlight w:val="none"/>
                <w:lang w:val="en-US" w:eastAsia="zh-CN" w:bidi="ar"/>
              </w:rPr>
              <w:t>21</w:t>
            </w:r>
            <w:r>
              <w:rPr>
                <w:rFonts w:hint="default" w:ascii="Times New Roman" w:hAnsi="Times New Roman" w:eastAsia="宋体" w:cs="Times New Roman"/>
                <w:color w:val="auto"/>
                <w:kern w:val="0"/>
                <w:sz w:val="24"/>
                <w:szCs w:val="24"/>
                <w:highlight w:val="none"/>
                <w:lang w:val="en-US" w:eastAsia="zh-CN" w:bidi="ar"/>
              </w:rPr>
              <w:t>）中推荐的噪声户外传播声级衰减计算模式（室内设备按照导则推荐的公式计算其从室内向室外传播的声级差）。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①单一点源衰减模式：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pict>
                <v:shape id="Object 28" o:spid="_x0000_s1026" o:spt="75" type="#_x0000_t75" style="position:absolute;left:0pt;margin-left:88.25pt;margin-top:21.7pt;height:34pt;width:185pt;z-index:251659264;mso-width-relative:page;mso-height-relative:page;" o:ole="t" fillcolor="#FFFFFF" filled="t" o:preferrelative="t" stroked="t" coordsize="21600,21600">
                  <v:path/>
                  <v:fill on="t" color2="#FFFFFF" focussize="0,0"/>
                  <v:stroke color="#FFFFFF" joinstyle="miter"/>
                  <v:imagedata r:id="rId29" o:title=""/>
                  <o:lock v:ext="edit" aspectratio="t"/>
                </v:shape>
                <o:OLEObject Type="Embed" ProgID="" ShapeID="Object 28" DrawAspect="Content" ObjectID="_1468075725" r:id="rId28">
                  <o:LockedField>false</o:LockedField>
                </o:OLEObject>
              </w:pict>
            </w:r>
            <w:r>
              <w:rPr>
                <w:rFonts w:hint="default" w:ascii="Times New Roman" w:hAnsi="Times New Roman" w:eastAsia="宋体" w:cs="Times New Roman"/>
                <w:color w:val="auto"/>
                <w:kern w:val="0"/>
                <w:sz w:val="24"/>
                <w:szCs w:val="24"/>
                <w:highlight w:val="none"/>
                <w:lang w:val="en-US" w:eastAsia="zh-CN" w:bidi="ar"/>
              </w:rPr>
              <w:t>据此，室内声源传播衰减对室内声源，可按下式计算：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960" w:firstLineChars="4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式中：LA（r）—距离噪声源r m处的声压级，dB（A）；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960" w:firstLineChars="4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L</w:t>
            </w:r>
            <w:r>
              <w:rPr>
                <w:rFonts w:hint="default" w:ascii="Times New Roman" w:hAnsi="Times New Roman" w:eastAsia="宋体" w:cs="Times New Roman"/>
                <w:color w:val="auto"/>
                <w:kern w:val="0"/>
                <w:sz w:val="24"/>
                <w:szCs w:val="24"/>
                <w:highlight w:val="none"/>
                <w:vertAlign w:val="subscript"/>
                <w:lang w:val="en-US" w:eastAsia="zh-CN" w:bidi="ar"/>
              </w:rPr>
              <w:t>p0</w:t>
            </w:r>
            <w:r>
              <w:rPr>
                <w:rFonts w:hint="default" w:ascii="Times New Roman" w:hAnsi="Times New Roman" w:eastAsia="宋体" w:cs="Times New Roman"/>
                <w:color w:val="auto"/>
                <w:kern w:val="0"/>
                <w:sz w:val="24"/>
                <w:szCs w:val="24"/>
                <w:highlight w:val="none"/>
                <w:lang w:val="en-US" w:eastAsia="zh-CN" w:bidi="ar"/>
              </w:rPr>
              <w:t>—为距声源中心r</w:t>
            </w:r>
            <w:r>
              <w:rPr>
                <w:rFonts w:hint="default" w:ascii="Times New Roman" w:hAnsi="Times New Roman" w:eastAsia="宋体" w:cs="Times New Roman"/>
                <w:color w:val="auto"/>
                <w:kern w:val="0"/>
                <w:sz w:val="24"/>
                <w:szCs w:val="24"/>
                <w:highlight w:val="none"/>
                <w:vertAlign w:val="subscript"/>
                <w:lang w:val="en-US" w:eastAsia="zh-CN" w:bidi="ar"/>
              </w:rPr>
              <w:t>0</w:t>
            </w:r>
            <w:r>
              <w:rPr>
                <w:rFonts w:hint="default" w:ascii="Times New Roman" w:hAnsi="Times New Roman" w:eastAsia="宋体" w:cs="Times New Roman"/>
                <w:color w:val="auto"/>
                <w:kern w:val="0"/>
                <w:sz w:val="24"/>
                <w:szCs w:val="24"/>
                <w:highlight w:val="none"/>
                <w:lang w:val="en-US" w:eastAsia="zh-CN" w:bidi="ar"/>
              </w:rPr>
              <w:t>处测的声压级，dB（A）；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960" w:firstLineChars="4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TL—墙壁隔声量，dB（A）。TL取</w:t>
            </w:r>
            <w:r>
              <w:rPr>
                <w:rFonts w:hint="eastAsia" w:ascii="Times New Roman" w:hAnsi="Times New Roman" w:eastAsia="宋体" w:cs="Times New Roman"/>
                <w:color w:val="auto"/>
                <w:kern w:val="0"/>
                <w:sz w:val="24"/>
                <w:szCs w:val="24"/>
                <w:highlight w:val="none"/>
                <w:lang w:val="en-US" w:eastAsia="zh-CN" w:bidi="ar"/>
              </w:rPr>
              <w:t>25</w:t>
            </w:r>
            <w:r>
              <w:rPr>
                <w:rFonts w:hint="default" w:ascii="Times New Roman" w:hAnsi="Times New Roman" w:eastAsia="宋体" w:cs="Times New Roman"/>
                <w:color w:val="auto"/>
                <w:kern w:val="0"/>
                <w:sz w:val="24"/>
                <w:szCs w:val="24"/>
                <w:highlight w:val="none"/>
                <w:lang w:val="en-US" w:eastAsia="zh-CN" w:bidi="ar"/>
              </w:rPr>
              <w:t>dB（A）。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960" w:firstLineChars="4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a—平均吸声系数，本项目中取0.15；</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960" w:firstLineChars="4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r—墙外1m处至预测点的距离，参数距离为1m；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960" w:firstLineChars="4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r</w:t>
            </w:r>
            <w:r>
              <w:rPr>
                <w:rFonts w:hint="default" w:ascii="Times New Roman" w:hAnsi="Times New Roman" w:eastAsia="宋体" w:cs="Times New Roman"/>
                <w:color w:val="auto"/>
                <w:kern w:val="0"/>
                <w:sz w:val="24"/>
                <w:szCs w:val="24"/>
                <w:highlight w:val="none"/>
                <w:vertAlign w:val="subscript"/>
                <w:lang w:val="en-US" w:eastAsia="zh-CN" w:bidi="ar"/>
              </w:rPr>
              <w:t>0</w:t>
            </w:r>
            <w:r>
              <w:rPr>
                <w:rFonts w:hint="default" w:ascii="Times New Roman" w:hAnsi="Times New Roman" w:eastAsia="宋体" w:cs="Times New Roman"/>
                <w:color w:val="auto"/>
                <w:kern w:val="0"/>
                <w:sz w:val="24"/>
                <w:szCs w:val="24"/>
                <w:highlight w:val="none"/>
                <w:lang w:val="en-US" w:eastAsia="zh-CN" w:bidi="ar"/>
              </w:rPr>
              <w:t>—参考位置距噪声源的距离，m。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olor w:val="auto"/>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②</w:t>
            </w:r>
            <w:r>
              <w:rPr>
                <w:rFonts w:hint="eastAsia" w:ascii="Times New Roman" w:hAnsi="Times New Roman" w:eastAsia="宋体" w:cs="Times New Roman"/>
                <w:color w:val="auto"/>
                <w:kern w:val="0"/>
                <w:sz w:val="24"/>
                <w:szCs w:val="24"/>
                <w:highlight w:val="none"/>
                <w:lang w:val="en-US" w:eastAsia="zh-CN" w:bidi="ar"/>
              </w:rPr>
              <w:t>室外无指向性声源几何衰减公式为：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L</w:t>
            </w:r>
            <w:r>
              <w:rPr>
                <w:rFonts w:hint="eastAsia" w:ascii="Times New Roman" w:hAnsi="Times New Roman" w:eastAsia="宋体" w:cs="Times New Roman"/>
                <w:color w:val="auto"/>
                <w:kern w:val="0"/>
                <w:sz w:val="24"/>
                <w:szCs w:val="24"/>
                <w:highlight w:val="none"/>
                <w:vertAlign w:val="subscript"/>
                <w:lang w:val="en-US" w:eastAsia="zh-CN" w:bidi="ar"/>
              </w:rPr>
              <w:t>p</w:t>
            </w:r>
            <w:r>
              <w:rPr>
                <w:rFonts w:hint="default" w:ascii="Times New Roman" w:hAnsi="Times New Roman" w:eastAsia="宋体" w:cs="Times New Roman"/>
                <w:color w:val="auto"/>
                <w:kern w:val="0"/>
                <w:sz w:val="24"/>
                <w:szCs w:val="24"/>
                <w:highlight w:val="none"/>
                <w:lang w:val="en-US" w:eastAsia="zh-CN" w:bidi="ar"/>
              </w:rPr>
              <w:t>（r）=L</w:t>
            </w:r>
            <w:r>
              <w:rPr>
                <w:rFonts w:hint="default" w:ascii="Times New Roman" w:hAnsi="Times New Roman" w:eastAsia="宋体" w:cs="Times New Roman"/>
                <w:color w:val="auto"/>
                <w:kern w:val="0"/>
                <w:sz w:val="24"/>
                <w:szCs w:val="24"/>
                <w:highlight w:val="none"/>
                <w:vertAlign w:val="subscript"/>
                <w:lang w:val="en-US" w:eastAsia="zh-CN" w:bidi="ar"/>
              </w:rPr>
              <w:t>p</w:t>
            </w:r>
            <w:r>
              <w:rPr>
                <w:rFonts w:hint="eastAsia" w:ascii="Times New Roman" w:hAnsi="Times New Roman" w:eastAsia="宋体" w:cs="Times New Roman"/>
                <w:color w:val="auto"/>
                <w:kern w:val="0"/>
                <w:sz w:val="24"/>
                <w:szCs w:val="24"/>
                <w:highlight w:val="none"/>
                <w:vertAlign w:val="baseline"/>
                <w:lang w:val="en-US" w:eastAsia="zh-CN" w:bidi="ar"/>
              </w:rPr>
              <w:t>(</w:t>
            </w:r>
            <w:r>
              <w:rPr>
                <w:rFonts w:hint="default" w:ascii="Times New Roman" w:hAnsi="Times New Roman" w:eastAsia="宋体" w:cs="Times New Roman"/>
                <w:color w:val="auto"/>
                <w:kern w:val="0"/>
                <w:sz w:val="24"/>
                <w:szCs w:val="24"/>
                <w:highlight w:val="none"/>
                <w:vertAlign w:val="baseline"/>
                <w:lang w:val="en-US" w:eastAsia="zh-CN" w:bidi="ar"/>
              </w:rPr>
              <w:t>r</w:t>
            </w:r>
            <w:r>
              <w:rPr>
                <w:rFonts w:hint="default" w:ascii="Times New Roman" w:hAnsi="Times New Roman" w:eastAsia="宋体" w:cs="Times New Roman"/>
                <w:color w:val="auto"/>
                <w:kern w:val="0"/>
                <w:sz w:val="24"/>
                <w:szCs w:val="24"/>
                <w:highlight w:val="none"/>
                <w:vertAlign w:val="subscript"/>
                <w:lang w:val="en-US" w:eastAsia="zh-CN" w:bidi="ar"/>
              </w:rPr>
              <w:t>0</w:t>
            </w:r>
            <w:r>
              <w:rPr>
                <w:rFonts w:hint="eastAsia" w:ascii="Times New Roman" w:hAnsi="Times New Roman" w:eastAsia="宋体" w:cs="Times New Roman"/>
                <w:color w:val="auto"/>
                <w:kern w:val="0"/>
                <w:sz w:val="24"/>
                <w:szCs w:val="24"/>
                <w:highlight w:val="none"/>
                <w:vertAlign w:val="baseline"/>
                <w:lang w:val="en-US" w:eastAsia="zh-CN" w:bidi="ar"/>
              </w:rPr>
              <w:t>)</w:t>
            </w:r>
            <w:r>
              <w:rPr>
                <w:rFonts w:hint="default" w:ascii="Times New Roman" w:hAnsi="Times New Roman" w:eastAsia="宋体" w:cs="Times New Roman"/>
                <w:color w:val="auto"/>
                <w:kern w:val="0"/>
                <w:sz w:val="24"/>
                <w:szCs w:val="24"/>
                <w:highlight w:val="none"/>
                <w:lang w:val="en-US" w:eastAsia="zh-CN" w:bidi="ar"/>
              </w:rPr>
              <w:t>-20lg</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r/r</w:t>
            </w:r>
            <w:r>
              <w:rPr>
                <w:rFonts w:hint="default" w:ascii="Times New Roman" w:hAnsi="Times New Roman" w:eastAsia="宋体" w:cs="Times New Roman"/>
                <w:color w:val="auto"/>
                <w:kern w:val="0"/>
                <w:sz w:val="24"/>
                <w:szCs w:val="24"/>
                <w:highlight w:val="none"/>
                <w:vertAlign w:val="subscript"/>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L</w:t>
            </w:r>
            <w:r>
              <w:rPr>
                <w:rFonts w:hint="eastAsia" w:ascii="Times New Roman" w:hAnsi="Times New Roman" w:eastAsia="宋体" w:cs="Times New Roman"/>
                <w:color w:val="auto"/>
                <w:kern w:val="0"/>
                <w:sz w:val="24"/>
                <w:szCs w:val="24"/>
                <w:highlight w:val="none"/>
                <w:vertAlign w:val="subscript"/>
                <w:lang w:val="en-US" w:eastAsia="zh-CN" w:bidi="ar"/>
              </w:rPr>
              <w:t>p</w:t>
            </w:r>
            <w:r>
              <w:rPr>
                <w:rFonts w:hint="default" w:ascii="Times New Roman" w:hAnsi="Times New Roman" w:eastAsia="宋体" w:cs="Times New Roman"/>
                <w:color w:val="auto"/>
                <w:kern w:val="0"/>
                <w:sz w:val="24"/>
                <w:szCs w:val="24"/>
                <w:highlight w:val="none"/>
                <w:lang w:val="en-US" w:eastAsia="zh-CN" w:bidi="ar"/>
              </w:rPr>
              <w:t>（r）——</w:t>
            </w:r>
            <w:r>
              <w:rPr>
                <w:rFonts w:hint="eastAsia" w:ascii="Times New Roman" w:hAnsi="Times New Roman" w:eastAsia="宋体" w:cs="Times New Roman"/>
                <w:color w:val="auto"/>
                <w:kern w:val="0"/>
                <w:sz w:val="24"/>
                <w:szCs w:val="24"/>
                <w:highlight w:val="none"/>
                <w:lang w:val="en-US" w:eastAsia="zh-CN" w:bidi="ar"/>
              </w:rPr>
              <w:t>预测点</w:t>
            </w:r>
            <w:r>
              <w:rPr>
                <w:rFonts w:hint="default" w:ascii="Times New Roman" w:hAnsi="Times New Roman" w:eastAsia="宋体" w:cs="Times New Roman"/>
                <w:color w:val="auto"/>
                <w:kern w:val="0"/>
                <w:sz w:val="24"/>
                <w:szCs w:val="24"/>
                <w:highlight w:val="none"/>
                <w:lang w:val="en-US" w:eastAsia="zh-CN" w:bidi="ar"/>
              </w:rPr>
              <w:t>处的声压级，dB（A）；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L</w:t>
            </w:r>
            <w:r>
              <w:rPr>
                <w:rFonts w:hint="default" w:ascii="Times New Roman" w:hAnsi="Times New Roman" w:eastAsia="宋体" w:cs="Times New Roman"/>
                <w:color w:val="auto"/>
                <w:kern w:val="0"/>
                <w:sz w:val="24"/>
                <w:szCs w:val="24"/>
                <w:highlight w:val="none"/>
                <w:vertAlign w:val="subscript"/>
                <w:lang w:val="en-US" w:eastAsia="zh-CN" w:bidi="ar"/>
              </w:rPr>
              <w:t>p</w:t>
            </w:r>
            <w:r>
              <w:rPr>
                <w:rFonts w:hint="eastAsia" w:ascii="Times New Roman" w:hAnsi="Times New Roman" w:eastAsia="宋体" w:cs="Times New Roman"/>
                <w:color w:val="auto"/>
                <w:kern w:val="0"/>
                <w:sz w:val="24"/>
                <w:szCs w:val="24"/>
                <w:highlight w:val="none"/>
                <w:vertAlign w:val="baseline"/>
                <w:lang w:val="en-US" w:eastAsia="zh-CN" w:bidi="ar"/>
              </w:rPr>
              <w:t>(</w:t>
            </w:r>
            <w:r>
              <w:rPr>
                <w:rFonts w:hint="default" w:ascii="Times New Roman" w:hAnsi="Times New Roman" w:eastAsia="宋体" w:cs="Times New Roman"/>
                <w:color w:val="auto"/>
                <w:kern w:val="0"/>
                <w:sz w:val="24"/>
                <w:szCs w:val="24"/>
                <w:highlight w:val="none"/>
                <w:vertAlign w:val="baseline"/>
                <w:lang w:val="en-US" w:eastAsia="zh-CN" w:bidi="ar"/>
              </w:rPr>
              <w:t>r</w:t>
            </w:r>
            <w:r>
              <w:rPr>
                <w:rFonts w:hint="default" w:ascii="Times New Roman" w:hAnsi="Times New Roman" w:eastAsia="宋体" w:cs="Times New Roman"/>
                <w:color w:val="auto"/>
                <w:kern w:val="0"/>
                <w:sz w:val="24"/>
                <w:szCs w:val="24"/>
                <w:highlight w:val="none"/>
                <w:vertAlign w:val="subscript"/>
                <w:lang w:val="en-US" w:eastAsia="zh-CN" w:bidi="ar"/>
              </w:rPr>
              <w:t>0</w:t>
            </w:r>
            <w:r>
              <w:rPr>
                <w:rFonts w:hint="eastAsia" w:ascii="Times New Roman" w:hAnsi="Times New Roman" w:eastAsia="宋体" w:cs="Times New Roman"/>
                <w:color w:val="auto"/>
                <w:kern w:val="0"/>
                <w:sz w:val="24"/>
                <w:szCs w:val="24"/>
                <w:highlight w:val="none"/>
                <w:vertAlign w:val="baseli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参考位置</w:t>
            </w:r>
            <w:r>
              <w:rPr>
                <w:rFonts w:hint="default" w:ascii="Times New Roman" w:hAnsi="Times New Roman" w:eastAsia="宋体" w:cs="Times New Roman"/>
                <w:color w:val="auto"/>
                <w:kern w:val="0"/>
                <w:sz w:val="24"/>
                <w:szCs w:val="24"/>
                <w:highlight w:val="none"/>
                <w:lang w:val="en-US" w:eastAsia="zh-CN" w:bidi="ar"/>
              </w:rPr>
              <w:t>r</w:t>
            </w:r>
            <w:r>
              <w:rPr>
                <w:rFonts w:hint="default" w:ascii="Times New Roman" w:hAnsi="Times New Roman" w:eastAsia="宋体" w:cs="Times New Roman"/>
                <w:color w:val="auto"/>
                <w:kern w:val="0"/>
                <w:sz w:val="24"/>
                <w:szCs w:val="24"/>
                <w:highlight w:val="none"/>
                <w:vertAlign w:val="subscript"/>
                <w:lang w:val="en-US" w:eastAsia="zh-CN" w:bidi="ar"/>
              </w:rPr>
              <w:t>0</w:t>
            </w:r>
            <w:r>
              <w:rPr>
                <w:rFonts w:hint="default" w:ascii="Times New Roman" w:hAnsi="Times New Roman" w:eastAsia="宋体" w:cs="Times New Roman"/>
                <w:color w:val="auto"/>
                <w:kern w:val="0"/>
                <w:sz w:val="24"/>
                <w:szCs w:val="24"/>
                <w:highlight w:val="none"/>
                <w:lang w:val="en-US" w:eastAsia="zh-CN" w:bidi="ar"/>
              </w:rPr>
              <w:t>处的声压级，dB（A）；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r——</w:t>
            </w:r>
            <w:r>
              <w:rPr>
                <w:rFonts w:hint="eastAsia" w:ascii="Times New Roman" w:hAnsi="Times New Roman" w:eastAsia="宋体" w:cs="Times New Roman"/>
                <w:color w:val="auto"/>
                <w:kern w:val="0"/>
                <w:sz w:val="24"/>
                <w:szCs w:val="24"/>
                <w:highlight w:val="none"/>
                <w:lang w:val="en-US" w:eastAsia="zh-CN" w:bidi="ar"/>
              </w:rPr>
              <w:t>预测点距声源的距离</w:t>
            </w:r>
            <w:r>
              <w:rPr>
                <w:rFonts w:hint="default" w:ascii="Times New Roman" w:hAnsi="Times New Roman" w:eastAsia="宋体" w:cs="Times New Roman"/>
                <w:color w:val="auto"/>
                <w:kern w:val="0"/>
                <w:sz w:val="24"/>
                <w:szCs w:val="24"/>
                <w:highlight w:val="none"/>
                <w:lang w:val="en-US" w:eastAsia="zh-CN" w:bidi="ar"/>
              </w:rPr>
              <w:t>，m；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r</w:t>
            </w:r>
            <w:r>
              <w:rPr>
                <w:rFonts w:hint="default" w:ascii="Times New Roman" w:hAnsi="Times New Roman" w:eastAsia="宋体" w:cs="Times New Roman"/>
                <w:color w:val="auto"/>
                <w:kern w:val="0"/>
                <w:sz w:val="24"/>
                <w:szCs w:val="24"/>
                <w:highlight w:val="none"/>
                <w:vertAlign w:val="subscript"/>
                <w:lang w:val="en-US" w:eastAsia="zh-CN" w:bidi="ar"/>
              </w:rPr>
              <w:t>0</w:t>
            </w:r>
            <w:r>
              <w:rPr>
                <w:rFonts w:hint="default" w:ascii="Times New Roman" w:hAnsi="Times New Roman" w:eastAsia="宋体" w:cs="Times New Roman"/>
                <w:color w:val="auto"/>
                <w:kern w:val="0"/>
                <w:sz w:val="24"/>
                <w:szCs w:val="24"/>
                <w:highlight w:val="none"/>
                <w:lang w:val="en-US" w:eastAsia="zh-CN" w:bidi="ar"/>
              </w:rPr>
              <w:t>——参考位置距噪声源的距离，m。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3 \* GB3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t>③</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多个点源共同作用预测点的叠加声级：</w:t>
            </w:r>
          </w:p>
          <w:p>
            <w:pPr>
              <w:keepNext w:val="0"/>
              <w:keepLines w:val="0"/>
              <w:widowControl/>
              <w:suppressLineNumbers w:val="0"/>
              <w:jc w:val="center"/>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eastAsia="zh-CN"/>
              </w:rPr>
              <w:t>L</w:t>
            </w:r>
            <w:r>
              <w:rPr>
                <w:rFonts w:hint="eastAsia" w:ascii="Times New Roman" w:hAnsi="Times New Roman" w:eastAsia="宋体" w:cs="Times New Roman"/>
                <w:color w:val="auto"/>
                <w:sz w:val="24"/>
                <w:szCs w:val="24"/>
                <w:highlight w:val="none"/>
                <w:vertAlign w:val="subscript"/>
                <w:lang w:val="en-US" w:eastAsia="zh-CN"/>
              </w:rPr>
              <w:t>eq（A）总</w:t>
            </w:r>
            <w:r>
              <w:rPr>
                <w:rFonts w:hint="eastAsia" w:ascii="Times New Roman" w:hAnsi="Times New Roman" w:eastAsia="宋体" w:cs="Times New Roman"/>
                <w:color w:val="auto"/>
                <w:sz w:val="24"/>
                <w:szCs w:val="24"/>
                <w:highlight w:val="none"/>
                <w:vertAlign w:val="baseline"/>
                <w:lang w:val="en-US" w:eastAsia="zh-CN"/>
              </w:rPr>
              <w:t>=</w:t>
            </w:r>
            <w:r>
              <w:rPr>
                <w:rFonts w:hint="eastAsia" w:ascii="Times New Roman" w:hAnsi="Times New Roman" w:eastAsia="宋体" w:cs="Times New Roman"/>
                <w:color w:val="auto"/>
                <w:position w:val="-30"/>
                <w:sz w:val="24"/>
                <w:szCs w:val="24"/>
                <w:highlight w:val="none"/>
                <w:vertAlign w:val="baseline"/>
                <w:lang w:val="en-US" w:eastAsia="zh-CN"/>
              </w:rPr>
              <w:object>
                <v:shape id="_x0000_i1025" o:spt="75" type="#_x0000_t75" style="height:30.95pt;width:88.5pt;" o:ole="t" filled="f" o:preferrelative="t" stroked="f" coordsize="21600,21600">
                  <v:path/>
                  <v:fill on="f" focussize="0,0"/>
                  <v:stroke on="f"/>
                  <v:imagedata r:id="rId31" o:title=""/>
                  <o:lock v:ext="edit" aspectratio="t"/>
                  <w10:wrap type="none"/>
                  <w10:anchorlock/>
                </v:shape>
                <o:OLEObject Type="Embed" ProgID="Equation.KSEE3" ShapeID="_x0000_i1025" DrawAspect="Content" ObjectID="_1468075726" r:id="rId30">
                  <o:LockedField>false</o:LockedField>
                </o:OLEObject>
              </w:objec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式中：L</w:t>
            </w:r>
            <w:r>
              <w:rPr>
                <w:rFonts w:hint="default" w:ascii="Times New Roman" w:hAnsi="Times New Roman" w:eastAsia="宋体" w:cs="Times New Roman"/>
                <w:color w:val="auto"/>
                <w:kern w:val="0"/>
                <w:sz w:val="24"/>
                <w:szCs w:val="24"/>
                <w:highlight w:val="none"/>
                <w:vertAlign w:val="subscript"/>
                <w:lang w:val="en-US" w:eastAsia="zh-CN" w:bidi="ar"/>
              </w:rPr>
              <w:t>eq(A)总</w:t>
            </w:r>
            <w:r>
              <w:rPr>
                <w:rFonts w:hint="default" w:ascii="Times New Roman" w:hAnsi="Times New Roman" w:eastAsia="宋体" w:cs="Times New Roman"/>
                <w:color w:val="auto"/>
                <w:kern w:val="0"/>
                <w:sz w:val="24"/>
                <w:szCs w:val="24"/>
                <w:highlight w:val="none"/>
                <w:lang w:val="en-US" w:eastAsia="zh-CN" w:bidi="ar"/>
              </w:rPr>
              <w:t>——多个点源的噪声叠加值，dB(A)；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L</w:t>
            </w:r>
            <w:r>
              <w:rPr>
                <w:rFonts w:hint="default" w:ascii="Times New Roman" w:hAnsi="Times New Roman" w:eastAsia="宋体" w:cs="Times New Roman"/>
                <w:color w:val="auto"/>
                <w:kern w:val="0"/>
                <w:sz w:val="24"/>
                <w:szCs w:val="24"/>
                <w:highlight w:val="none"/>
                <w:vertAlign w:val="subscript"/>
                <w:lang w:val="en-US" w:eastAsia="zh-CN" w:bidi="ar"/>
              </w:rPr>
              <w:t>eq(A)i</w:t>
            </w:r>
            <w:r>
              <w:rPr>
                <w:rFonts w:hint="default" w:ascii="Times New Roman" w:hAnsi="Times New Roman" w:eastAsia="宋体" w:cs="Times New Roman"/>
                <w:color w:val="auto"/>
                <w:kern w:val="0"/>
                <w:sz w:val="24"/>
                <w:szCs w:val="24"/>
                <w:highlight w:val="none"/>
                <w:lang w:val="en-US" w:eastAsia="zh-CN" w:bidi="ar"/>
              </w:rPr>
              <w:t>——某个单一点源的声压级，dB(A)</w:t>
            </w:r>
          </w:p>
          <w:p>
            <w:pPr>
              <w:pStyle w:val="36"/>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参考《环境影响评价技术导则 声环境》（HJ2.4-2021）中推荐的预测模式，</w:t>
            </w:r>
            <w:r>
              <w:rPr>
                <w:rFonts w:hint="eastAsia" w:ascii="Times New Roman" w:hAnsi="Times New Roman" w:cs="Times New Roman"/>
                <w:color w:val="auto"/>
                <w:kern w:val="0"/>
                <w:sz w:val="24"/>
                <w:szCs w:val="20"/>
                <w:highlight w:val="none"/>
                <w:lang w:val="en-US" w:eastAsia="zh-CN" w:bidi="ar-SA"/>
              </w:rPr>
              <w:t>由于本项目夜间不生产，因此只预测昼间噪声。</w:t>
            </w:r>
            <w:r>
              <w:rPr>
                <w:rFonts w:hint="eastAsia" w:ascii="Times New Roman" w:hAnsi="Times New Roman" w:eastAsia="宋体" w:cs="Times New Roman"/>
                <w:color w:val="auto"/>
                <w:kern w:val="0"/>
                <w:sz w:val="24"/>
                <w:szCs w:val="20"/>
                <w:highlight w:val="none"/>
                <w:lang w:val="en-US" w:eastAsia="zh-CN" w:bidi="ar-SA"/>
              </w:rPr>
              <w:t>本项目噪声</w:t>
            </w:r>
            <w:r>
              <w:rPr>
                <w:rFonts w:hint="eastAsia" w:ascii="Times New Roman" w:hAnsi="Times New Roman" w:cs="Times New Roman"/>
                <w:color w:val="auto"/>
                <w:kern w:val="0"/>
                <w:sz w:val="24"/>
                <w:szCs w:val="20"/>
                <w:highlight w:val="none"/>
                <w:lang w:val="en-US" w:eastAsia="zh-CN" w:bidi="ar-SA"/>
              </w:rPr>
              <w:t>预测结果</w:t>
            </w:r>
            <w:r>
              <w:rPr>
                <w:rFonts w:hint="eastAsia" w:ascii="Times New Roman" w:hAnsi="Times New Roman" w:eastAsia="宋体" w:cs="Times New Roman"/>
                <w:color w:val="auto"/>
                <w:kern w:val="0"/>
                <w:sz w:val="24"/>
                <w:szCs w:val="20"/>
                <w:highlight w:val="none"/>
                <w:lang w:val="en-US" w:eastAsia="zh-CN" w:bidi="ar-SA"/>
              </w:rPr>
              <w:t>见表 4-</w:t>
            </w:r>
            <w:r>
              <w:rPr>
                <w:rFonts w:hint="eastAsia" w:ascii="Times New Roman" w:hAnsi="Times New Roman" w:cs="Times New Roman"/>
                <w:color w:val="auto"/>
                <w:kern w:val="0"/>
                <w:sz w:val="24"/>
                <w:szCs w:val="20"/>
                <w:highlight w:val="none"/>
                <w:lang w:val="en-US" w:eastAsia="zh-CN" w:bidi="ar-SA"/>
              </w:rPr>
              <w:t>10</w:t>
            </w:r>
            <w:r>
              <w:rPr>
                <w:rFonts w:hint="eastAsia" w:ascii="Times New Roman" w:hAnsi="Times New Roman" w:eastAsia="宋体" w:cs="Times New Roman"/>
                <w:color w:val="auto"/>
                <w:kern w:val="0"/>
                <w:sz w:val="24"/>
                <w:szCs w:val="20"/>
                <w:highlight w:val="none"/>
                <w:lang w:val="en-US" w:eastAsia="zh-CN" w:bidi="ar-SA"/>
              </w:rPr>
              <w:t>。</w:t>
            </w:r>
          </w:p>
          <w:p>
            <w:pPr>
              <w:spacing w:line="360" w:lineRule="auto"/>
              <w:ind w:firstLine="422" w:firstLineChars="200"/>
              <w:jc w:val="center"/>
              <w:rPr>
                <w:rFonts w:hAnsi="宋体"/>
                <w:b/>
                <w:color w:val="auto"/>
                <w:szCs w:val="21"/>
                <w:highlight w:val="none"/>
              </w:rPr>
            </w:pPr>
            <w:r>
              <w:rPr>
                <w:rFonts w:hAnsi="宋体"/>
                <w:b/>
                <w:color w:val="auto"/>
                <w:szCs w:val="21"/>
                <w:highlight w:val="none"/>
              </w:rPr>
              <w:t>表 4-</w:t>
            </w:r>
            <w:r>
              <w:rPr>
                <w:rFonts w:hint="eastAsia" w:hAnsi="宋体"/>
                <w:b/>
                <w:color w:val="auto"/>
                <w:szCs w:val="21"/>
                <w:highlight w:val="none"/>
                <w:lang w:val="en-US" w:eastAsia="zh-CN"/>
              </w:rPr>
              <w:t>10</w:t>
            </w:r>
            <w:r>
              <w:rPr>
                <w:rFonts w:hAnsi="宋体"/>
                <w:b/>
                <w:color w:val="auto"/>
                <w:szCs w:val="21"/>
                <w:highlight w:val="none"/>
              </w:rPr>
              <w:t xml:space="preserve"> </w:t>
            </w:r>
            <w:r>
              <w:rPr>
                <w:rFonts w:hint="eastAsia" w:hAnsi="宋体"/>
                <w:b/>
                <w:color w:val="auto"/>
                <w:szCs w:val="21"/>
                <w:highlight w:val="none"/>
                <w:lang w:val="en-US" w:eastAsia="zh-CN"/>
              </w:rPr>
              <w:t>噪声预测结果</w:t>
            </w:r>
            <w:r>
              <w:rPr>
                <w:rFonts w:hAnsi="宋体"/>
                <w:b/>
                <w:color w:val="auto"/>
                <w:szCs w:val="21"/>
                <w:highlight w:val="none"/>
              </w:rPr>
              <w:t>一览表</w:t>
            </w:r>
          </w:p>
          <w:tbl>
            <w:tblPr>
              <w:tblStyle w:val="30"/>
              <w:tblW w:w="99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994"/>
              <w:gridCol w:w="1414"/>
              <w:gridCol w:w="1414"/>
              <w:gridCol w:w="1414"/>
              <w:gridCol w:w="1414"/>
              <w:gridCol w:w="1420"/>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2" w:type="pct"/>
                  <w:gridSpan w:val="2"/>
                  <w:vAlign w:val="center"/>
                </w:tcPr>
                <w:p>
                  <w:pPr>
                    <w:pStyle w:val="3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分类</w:t>
                  </w:r>
                </w:p>
              </w:tc>
              <w:tc>
                <w:tcPr>
                  <w:tcW w:w="714" w:type="pct"/>
                  <w:vAlign w:val="center"/>
                </w:tcPr>
                <w:p>
                  <w:pPr>
                    <w:pStyle w:val="3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时间</w:t>
                  </w:r>
                </w:p>
              </w:tc>
              <w:tc>
                <w:tcPr>
                  <w:tcW w:w="714" w:type="pct"/>
                  <w:vAlign w:val="center"/>
                </w:tcPr>
                <w:p>
                  <w:pPr>
                    <w:pStyle w:val="35"/>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背景值</w:t>
                  </w:r>
                </w:p>
              </w:tc>
              <w:tc>
                <w:tcPr>
                  <w:tcW w:w="714" w:type="pct"/>
                  <w:vAlign w:val="center"/>
                </w:tcPr>
                <w:p>
                  <w:pPr>
                    <w:pStyle w:val="3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贡献值</w:t>
                  </w:r>
                </w:p>
              </w:tc>
              <w:tc>
                <w:tcPr>
                  <w:tcW w:w="714" w:type="pct"/>
                  <w:vAlign w:val="center"/>
                </w:tcPr>
                <w:p>
                  <w:pPr>
                    <w:pStyle w:val="35"/>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预测值</w:t>
                  </w:r>
                </w:p>
              </w:tc>
              <w:tc>
                <w:tcPr>
                  <w:tcW w:w="717" w:type="pct"/>
                  <w:vAlign w:val="center"/>
                </w:tcPr>
                <w:p>
                  <w:pPr>
                    <w:pStyle w:val="3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标准值</w:t>
                  </w:r>
                </w:p>
              </w:tc>
              <w:tc>
                <w:tcPr>
                  <w:tcW w:w="714" w:type="pct"/>
                  <w:vAlign w:val="center"/>
                </w:tcPr>
                <w:p>
                  <w:pPr>
                    <w:pStyle w:val="3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b/>
                      <w:bCs/>
                      <w:color w:val="auto"/>
                      <w:sz w:val="21"/>
                      <w:szCs w:val="21"/>
                      <w:highlight w:val="none"/>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3" w:hRule="atLeast"/>
              </w:trPr>
              <w:tc>
                <w:tcPr>
                  <w:tcW w:w="210" w:type="pct"/>
                  <w:vMerge w:val="restart"/>
                  <w:vAlign w:val="center"/>
                </w:tcPr>
                <w:p>
                  <w:pPr>
                    <w:pStyle w:val="35"/>
                    <w:numPr>
                      <w:ilvl w:val="0"/>
                      <w:numId w:val="0"/>
                    </w:numPr>
                    <w:spacing w:line="240" w:lineRule="auto"/>
                    <w:ind w:left="0" w:leftChars="0" w:firstLine="0" w:firstLineChars="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厂界</w:t>
                  </w:r>
                </w:p>
              </w:tc>
              <w:tc>
                <w:tcPr>
                  <w:tcW w:w="501" w:type="pct"/>
                  <w:vAlign w:val="center"/>
                </w:tcPr>
                <w:p>
                  <w:pPr>
                    <w:pStyle w:val="3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东</w:t>
                  </w:r>
                </w:p>
              </w:tc>
              <w:tc>
                <w:tcPr>
                  <w:tcW w:w="714" w:type="pct"/>
                  <w:vMerge w:val="restar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昼间</w:t>
                  </w:r>
                </w:p>
              </w:tc>
              <w:tc>
                <w:tcPr>
                  <w:tcW w:w="714" w:type="pct"/>
                  <w:shd w:val="clear" w:color="auto" w:fill="auto"/>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58</w:t>
                  </w:r>
                </w:p>
              </w:tc>
              <w:tc>
                <w:tcPr>
                  <w:tcW w:w="714"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39.95</w:t>
                  </w:r>
                </w:p>
              </w:tc>
              <w:tc>
                <w:tcPr>
                  <w:tcW w:w="714"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58.07</w:t>
                  </w:r>
                </w:p>
              </w:tc>
              <w:tc>
                <w:tcPr>
                  <w:tcW w:w="717"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60</w:t>
                  </w:r>
                </w:p>
              </w:tc>
              <w:tc>
                <w:tcPr>
                  <w:tcW w:w="714" w:type="pct"/>
                  <w:vMerge w:val="restar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210" w:type="pct"/>
                  <w:vMerge w:val="continue"/>
                  <w:vAlign w:val="center"/>
                </w:tcPr>
                <w:p>
                  <w:pPr>
                    <w:pStyle w:val="3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p>
              </w:tc>
              <w:tc>
                <w:tcPr>
                  <w:tcW w:w="501" w:type="pct"/>
                  <w:vAlign w:val="center"/>
                </w:tcPr>
                <w:p>
                  <w:pPr>
                    <w:pStyle w:val="3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南</w:t>
                  </w:r>
                </w:p>
              </w:tc>
              <w:tc>
                <w:tcPr>
                  <w:tcW w:w="714" w:type="pct"/>
                  <w:vMerge w:val="continue"/>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p>
              </w:tc>
              <w:tc>
                <w:tcPr>
                  <w:tcW w:w="714" w:type="pct"/>
                  <w:shd w:val="clear" w:color="auto" w:fill="auto"/>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63</w:t>
                  </w:r>
                </w:p>
              </w:tc>
              <w:tc>
                <w:tcPr>
                  <w:tcW w:w="714"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45.2</w:t>
                  </w:r>
                </w:p>
              </w:tc>
              <w:tc>
                <w:tcPr>
                  <w:tcW w:w="714"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63.07</w:t>
                  </w:r>
                </w:p>
              </w:tc>
              <w:tc>
                <w:tcPr>
                  <w:tcW w:w="717"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70</w:t>
                  </w:r>
                </w:p>
              </w:tc>
              <w:tc>
                <w:tcPr>
                  <w:tcW w:w="714" w:type="pct"/>
                  <w:vMerge w:val="continue"/>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0" w:type="pct"/>
                  <w:vMerge w:val="continue"/>
                  <w:vAlign w:val="center"/>
                </w:tcPr>
                <w:p>
                  <w:pPr>
                    <w:pStyle w:val="3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p>
              </w:tc>
              <w:tc>
                <w:tcPr>
                  <w:tcW w:w="501" w:type="pct"/>
                  <w:vAlign w:val="center"/>
                </w:tcPr>
                <w:p>
                  <w:pPr>
                    <w:pStyle w:val="3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西</w:t>
                  </w:r>
                </w:p>
              </w:tc>
              <w:tc>
                <w:tcPr>
                  <w:tcW w:w="714" w:type="pct"/>
                  <w:vMerge w:val="continue"/>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p>
              </w:tc>
              <w:tc>
                <w:tcPr>
                  <w:tcW w:w="714" w:type="pct"/>
                  <w:shd w:val="clear" w:color="auto" w:fill="auto"/>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59</w:t>
                  </w:r>
                </w:p>
              </w:tc>
              <w:tc>
                <w:tcPr>
                  <w:tcW w:w="714"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46.36</w:t>
                  </w:r>
                </w:p>
              </w:tc>
              <w:tc>
                <w:tcPr>
                  <w:tcW w:w="714"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59.23</w:t>
                  </w:r>
                </w:p>
              </w:tc>
              <w:tc>
                <w:tcPr>
                  <w:tcW w:w="717"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60</w:t>
                  </w:r>
                </w:p>
              </w:tc>
              <w:tc>
                <w:tcPr>
                  <w:tcW w:w="714" w:type="pct"/>
                  <w:vMerge w:val="continue"/>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0" w:type="pct"/>
                  <w:vMerge w:val="continue"/>
                  <w:vAlign w:val="center"/>
                </w:tcPr>
                <w:p>
                  <w:pPr>
                    <w:pStyle w:val="3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p>
              </w:tc>
              <w:tc>
                <w:tcPr>
                  <w:tcW w:w="501" w:type="pct"/>
                  <w:vAlign w:val="center"/>
                </w:tcPr>
                <w:p>
                  <w:pPr>
                    <w:pStyle w:val="35"/>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北</w:t>
                  </w:r>
                </w:p>
              </w:tc>
              <w:tc>
                <w:tcPr>
                  <w:tcW w:w="714" w:type="pct"/>
                  <w:vMerge w:val="continue"/>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p>
              </w:tc>
              <w:tc>
                <w:tcPr>
                  <w:tcW w:w="714"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58</w:t>
                  </w:r>
                </w:p>
              </w:tc>
              <w:tc>
                <w:tcPr>
                  <w:tcW w:w="714"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38.34</w:t>
                  </w:r>
                </w:p>
              </w:tc>
              <w:tc>
                <w:tcPr>
                  <w:tcW w:w="714"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58.05</w:t>
                  </w:r>
                </w:p>
              </w:tc>
              <w:tc>
                <w:tcPr>
                  <w:tcW w:w="717"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60</w:t>
                  </w:r>
                </w:p>
              </w:tc>
              <w:tc>
                <w:tcPr>
                  <w:tcW w:w="714" w:type="pct"/>
                  <w:vMerge w:val="continue"/>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210" w:type="pct"/>
                  <w:vAlign w:val="center"/>
                </w:tcPr>
                <w:p>
                  <w:pPr>
                    <w:pStyle w:val="35"/>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敏感点</w:t>
                  </w:r>
                </w:p>
              </w:tc>
              <w:tc>
                <w:tcPr>
                  <w:tcW w:w="501" w:type="pct"/>
                  <w:vAlign w:val="center"/>
                </w:tcPr>
                <w:p>
                  <w:pPr>
                    <w:pStyle w:val="35"/>
                    <w:numPr>
                      <w:ilvl w:val="0"/>
                      <w:numId w:val="0"/>
                    </w:numPr>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石桥村</w:t>
                  </w:r>
                </w:p>
              </w:tc>
              <w:tc>
                <w:tcPr>
                  <w:tcW w:w="714"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昼间</w:t>
                  </w:r>
                </w:p>
              </w:tc>
              <w:tc>
                <w:tcPr>
                  <w:tcW w:w="714"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58</w:t>
                  </w:r>
                </w:p>
              </w:tc>
              <w:tc>
                <w:tcPr>
                  <w:tcW w:w="714"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41.46</w:t>
                  </w:r>
                </w:p>
              </w:tc>
              <w:tc>
                <w:tcPr>
                  <w:tcW w:w="714"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58.10</w:t>
                  </w:r>
                </w:p>
              </w:tc>
              <w:tc>
                <w:tcPr>
                  <w:tcW w:w="717"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60</w:t>
                  </w:r>
                </w:p>
              </w:tc>
              <w:tc>
                <w:tcPr>
                  <w:tcW w:w="714" w:type="pct"/>
                  <w:vMerge w:val="continue"/>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85" w:type="pct"/>
                  <w:gridSpan w:val="7"/>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备注：由于渭阳佳苑与项目东侧厂界紧邻，其敏感点背景噪声采用东侧厂界噪声监测值。</w:t>
                  </w:r>
                </w:p>
              </w:tc>
              <w:tc>
                <w:tcPr>
                  <w:tcW w:w="714"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vertAlign w:val="baseline"/>
                <w:lang w:val="en-US" w:eastAsia="zh-CN" w:bidi="ar-SA"/>
              </w:rPr>
            </w:pPr>
            <w:r>
              <w:rPr>
                <w:rFonts w:hint="eastAsia" w:ascii="Times New Roman" w:hAnsi="Times New Roman" w:eastAsia="宋体" w:cs="Times New Roman"/>
                <w:color w:val="auto"/>
                <w:kern w:val="0"/>
                <w:sz w:val="24"/>
                <w:szCs w:val="24"/>
                <w:highlight w:val="none"/>
                <w:vertAlign w:val="baseline"/>
                <w:lang w:val="en-US" w:eastAsia="zh-CN" w:bidi="ar-SA"/>
              </w:rPr>
              <w:t>由</w:t>
            </w:r>
            <w:r>
              <w:rPr>
                <w:rFonts w:hint="eastAsia" w:ascii="Times New Roman" w:hAnsi="Times New Roman" w:cs="Times New Roman"/>
                <w:color w:val="auto"/>
                <w:kern w:val="0"/>
                <w:sz w:val="24"/>
                <w:szCs w:val="24"/>
                <w:highlight w:val="none"/>
                <w:vertAlign w:val="baseline"/>
                <w:lang w:val="en-US" w:eastAsia="zh-CN" w:bidi="ar-SA"/>
              </w:rPr>
              <w:t>上表</w:t>
            </w:r>
            <w:r>
              <w:rPr>
                <w:rFonts w:hint="eastAsia" w:ascii="Times New Roman" w:hAnsi="Times New Roman" w:eastAsia="宋体" w:cs="Times New Roman"/>
                <w:color w:val="auto"/>
                <w:kern w:val="0"/>
                <w:sz w:val="24"/>
                <w:szCs w:val="24"/>
                <w:highlight w:val="none"/>
                <w:vertAlign w:val="baseline"/>
                <w:lang w:val="en-US" w:eastAsia="zh-CN" w:bidi="ar-SA"/>
              </w:rPr>
              <w:t>数据可知，</w:t>
            </w:r>
            <w:r>
              <w:rPr>
                <w:rFonts w:hint="eastAsia" w:ascii="Times New Roman" w:hAnsi="Times New Roman" w:cs="Times New Roman"/>
                <w:color w:val="auto"/>
                <w:kern w:val="0"/>
                <w:sz w:val="24"/>
                <w:szCs w:val="24"/>
                <w:highlight w:val="none"/>
                <w:vertAlign w:val="baseline"/>
                <w:lang w:val="en-US" w:eastAsia="zh-CN" w:bidi="ar-SA"/>
              </w:rPr>
              <w:t>项目</w:t>
            </w:r>
            <w:r>
              <w:rPr>
                <w:rFonts w:hint="eastAsia" w:ascii="Times New Roman" w:hAnsi="Times New Roman" w:eastAsia="宋体" w:cs="Times New Roman"/>
                <w:color w:val="auto"/>
                <w:kern w:val="0"/>
                <w:sz w:val="24"/>
                <w:szCs w:val="24"/>
                <w:highlight w:val="none"/>
                <w:vertAlign w:val="baseline"/>
                <w:lang w:val="en-US" w:eastAsia="zh-CN" w:bidi="ar-SA"/>
              </w:rPr>
              <w:t>北</w:t>
            </w:r>
            <w:r>
              <w:rPr>
                <w:rFonts w:hint="eastAsia" w:ascii="Times New Roman" w:hAnsi="Times New Roman" w:cs="Times New Roman"/>
                <w:color w:val="auto"/>
                <w:kern w:val="0"/>
                <w:sz w:val="24"/>
                <w:szCs w:val="24"/>
                <w:highlight w:val="none"/>
                <w:vertAlign w:val="baseline"/>
                <w:lang w:val="en-US" w:eastAsia="zh-CN" w:bidi="ar-SA"/>
              </w:rPr>
              <w:t>、</w:t>
            </w:r>
            <w:r>
              <w:rPr>
                <w:rFonts w:hint="eastAsia" w:ascii="Times New Roman" w:hAnsi="Times New Roman" w:eastAsia="宋体" w:cs="Times New Roman"/>
                <w:color w:val="auto"/>
                <w:kern w:val="0"/>
                <w:sz w:val="24"/>
                <w:szCs w:val="24"/>
                <w:highlight w:val="none"/>
                <w:vertAlign w:val="baseline"/>
                <w:lang w:val="en-US" w:eastAsia="zh-CN" w:bidi="ar-SA"/>
              </w:rPr>
              <w:t>东、西厂界昼间噪声符合</w:t>
            </w:r>
            <w:r>
              <w:rPr>
                <w:rFonts w:hint="default" w:ascii="Times New Roman" w:hAnsi="Times New Roman" w:eastAsia="宋体" w:cs="Times New Roman"/>
                <w:color w:val="auto"/>
                <w:kern w:val="0"/>
                <w:sz w:val="24"/>
                <w:szCs w:val="24"/>
                <w:highlight w:val="none"/>
                <w:vertAlign w:val="baseline"/>
                <w:lang w:val="en-US" w:eastAsia="zh-CN" w:bidi="ar-SA"/>
              </w:rPr>
              <w:t>《工业企业厂界噪声排放标准》（</w:t>
            </w:r>
            <w:r>
              <w:rPr>
                <w:rFonts w:hint="eastAsia" w:ascii="Times New Roman" w:hAnsi="Times New Roman" w:eastAsia="宋体" w:cs="Times New Roman"/>
                <w:color w:val="auto"/>
                <w:kern w:val="0"/>
                <w:sz w:val="24"/>
                <w:szCs w:val="24"/>
                <w:highlight w:val="none"/>
                <w:vertAlign w:val="baseline"/>
                <w:lang w:val="en-US" w:eastAsia="zh-CN" w:bidi="ar-SA"/>
              </w:rPr>
              <w:t>G</w:t>
            </w:r>
            <w:r>
              <w:rPr>
                <w:rFonts w:hint="default" w:ascii="Times New Roman" w:hAnsi="Times New Roman" w:eastAsia="宋体" w:cs="Times New Roman"/>
                <w:color w:val="auto"/>
                <w:kern w:val="0"/>
                <w:sz w:val="24"/>
                <w:szCs w:val="24"/>
                <w:highlight w:val="none"/>
                <w:vertAlign w:val="baseline"/>
                <w:lang w:val="en-US" w:eastAsia="zh-CN" w:bidi="ar-SA"/>
              </w:rPr>
              <w:t>B12348-2008）</w:t>
            </w:r>
            <w:r>
              <w:rPr>
                <w:rFonts w:hint="eastAsia" w:ascii="Times New Roman" w:hAnsi="Times New Roman" w:eastAsia="宋体" w:cs="Times New Roman"/>
                <w:color w:val="auto"/>
                <w:kern w:val="0"/>
                <w:sz w:val="24"/>
                <w:szCs w:val="24"/>
                <w:highlight w:val="none"/>
                <w:vertAlign w:val="baseline"/>
                <w:lang w:val="en-US" w:eastAsia="zh-CN" w:bidi="ar-SA"/>
              </w:rPr>
              <w:t>中的</w:t>
            </w:r>
            <w:r>
              <w:rPr>
                <w:rFonts w:hint="default" w:ascii="Times New Roman" w:hAnsi="Times New Roman" w:eastAsia="宋体" w:cs="Times New Roman"/>
                <w:color w:val="auto"/>
                <w:kern w:val="0"/>
                <w:sz w:val="24"/>
                <w:szCs w:val="24"/>
                <w:highlight w:val="none"/>
                <w:vertAlign w:val="baseline"/>
                <w:lang w:val="en-US" w:eastAsia="zh-CN" w:bidi="ar-SA"/>
              </w:rPr>
              <w:t>2类标准限值</w:t>
            </w:r>
            <w:r>
              <w:rPr>
                <w:rFonts w:hint="eastAsia" w:ascii="Times New Roman" w:hAnsi="Times New Roman" w:eastAsia="宋体" w:cs="Times New Roman"/>
                <w:color w:val="auto"/>
                <w:kern w:val="0"/>
                <w:sz w:val="24"/>
                <w:szCs w:val="24"/>
                <w:highlight w:val="none"/>
                <w:vertAlign w:val="baseline"/>
                <w:lang w:val="en-US" w:eastAsia="zh-CN" w:bidi="ar-SA"/>
              </w:rPr>
              <w:t>；南厂界</w:t>
            </w:r>
            <w:r>
              <w:rPr>
                <w:rFonts w:hint="eastAsia" w:cs="Times New Roman"/>
                <w:color w:val="auto"/>
                <w:kern w:val="0"/>
                <w:sz w:val="24"/>
                <w:szCs w:val="24"/>
                <w:highlight w:val="none"/>
                <w:vertAlign w:val="baseline"/>
                <w:lang w:val="en-US" w:eastAsia="zh-CN" w:bidi="ar-SA"/>
              </w:rPr>
              <w:t>紧邻咸铜铁路，</w:t>
            </w:r>
            <w:r>
              <w:rPr>
                <w:rFonts w:hint="eastAsia" w:ascii="Times New Roman" w:hAnsi="Times New Roman" w:eastAsia="宋体" w:cs="Times New Roman"/>
                <w:color w:val="auto"/>
                <w:kern w:val="0"/>
                <w:sz w:val="24"/>
                <w:szCs w:val="24"/>
                <w:highlight w:val="none"/>
                <w:vertAlign w:val="baseline"/>
                <w:lang w:val="en-US" w:eastAsia="zh-CN" w:bidi="ar-SA"/>
              </w:rPr>
              <w:t>昼间噪声符合</w:t>
            </w:r>
            <w:r>
              <w:rPr>
                <w:rFonts w:hint="default" w:ascii="Times New Roman" w:hAnsi="Times New Roman" w:eastAsia="宋体" w:cs="Times New Roman"/>
                <w:color w:val="auto"/>
                <w:kern w:val="0"/>
                <w:sz w:val="24"/>
                <w:szCs w:val="24"/>
                <w:highlight w:val="none"/>
                <w:vertAlign w:val="baseline"/>
                <w:lang w:val="en-US" w:eastAsia="zh-CN" w:bidi="ar-SA"/>
              </w:rPr>
              <w:t>《工业企业厂界噪声排放标准》（</w:t>
            </w:r>
            <w:r>
              <w:rPr>
                <w:rFonts w:hint="eastAsia" w:ascii="Times New Roman" w:hAnsi="Times New Roman" w:eastAsia="宋体" w:cs="Times New Roman"/>
                <w:color w:val="auto"/>
                <w:kern w:val="0"/>
                <w:sz w:val="24"/>
                <w:szCs w:val="24"/>
                <w:highlight w:val="none"/>
                <w:vertAlign w:val="baseline"/>
                <w:lang w:val="en-US" w:eastAsia="zh-CN" w:bidi="ar-SA"/>
              </w:rPr>
              <w:t>G</w:t>
            </w:r>
            <w:r>
              <w:rPr>
                <w:rFonts w:hint="default" w:ascii="Times New Roman" w:hAnsi="Times New Roman" w:eastAsia="宋体" w:cs="Times New Roman"/>
                <w:color w:val="auto"/>
                <w:kern w:val="0"/>
                <w:sz w:val="24"/>
                <w:szCs w:val="24"/>
                <w:highlight w:val="none"/>
                <w:vertAlign w:val="baseline"/>
                <w:lang w:val="en-US" w:eastAsia="zh-CN" w:bidi="ar-SA"/>
              </w:rPr>
              <w:t>B12348-2008）</w:t>
            </w:r>
            <w:r>
              <w:rPr>
                <w:rFonts w:hint="eastAsia" w:ascii="Times New Roman" w:hAnsi="Times New Roman" w:eastAsia="宋体" w:cs="Times New Roman"/>
                <w:color w:val="auto"/>
                <w:kern w:val="0"/>
                <w:sz w:val="24"/>
                <w:szCs w:val="24"/>
                <w:highlight w:val="none"/>
                <w:vertAlign w:val="baseline"/>
                <w:lang w:val="en-US" w:eastAsia="zh-CN" w:bidi="ar-SA"/>
              </w:rPr>
              <w:t>中的4</w:t>
            </w:r>
            <w:r>
              <w:rPr>
                <w:rFonts w:hint="default" w:ascii="Times New Roman" w:hAnsi="Times New Roman" w:eastAsia="宋体" w:cs="Times New Roman"/>
                <w:color w:val="auto"/>
                <w:kern w:val="0"/>
                <w:sz w:val="24"/>
                <w:szCs w:val="24"/>
                <w:highlight w:val="none"/>
                <w:vertAlign w:val="baseline"/>
                <w:lang w:val="en-US" w:eastAsia="zh-CN" w:bidi="ar-SA"/>
              </w:rPr>
              <w:t>类标准限值</w:t>
            </w:r>
            <w:r>
              <w:rPr>
                <w:rFonts w:hint="eastAsia" w:cs="Times New Roman"/>
                <w:color w:val="auto"/>
                <w:kern w:val="0"/>
                <w:sz w:val="24"/>
                <w:szCs w:val="24"/>
                <w:highlight w:val="none"/>
                <w:vertAlign w:val="baseline"/>
                <w:lang w:val="en-US" w:eastAsia="zh-CN" w:bidi="ar-SA"/>
              </w:rPr>
              <w:t>；</w:t>
            </w:r>
            <w:r>
              <w:rPr>
                <w:color w:val="auto"/>
                <w:sz w:val="24"/>
                <w:highlight w:val="none"/>
              </w:rPr>
              <w:t>敏感点噪声值能够满足《声环境质量标准》（</w:t>
            </w:r>
            <w:r>
              <w:rPr>
                <w:rFonts w:ascii="Times New Roman" w:eastAsia="Times New Roman"/>
                <w:color w:val="auto"/>
                <w:sz w:val="24"/>
                <w:highlight w:val="none"/>
              </w:rPr>
              <w:t>GB3096-2008</w:t>
            </w:r>
            <w:r>
              <w:rPr>
                <w:color w:val="auto"/>
                <w:sz w:val="24"/>
                <w:highlight w:val="none"/>
              </w:rPr>
              <w:t>）</w:t>
            </w:r>
            <w:r>
              <w:rPr>
                <w:rFonts w:ascii="Times New Roman" w:eastAsia="Times New Roman"/>
                <w:color w:val="auto"/>
                <w:sz w:val="24"/>
                <w:highlight w:val="none"/>
              </w:rPr>
              <w:t>2</w:t>
            </w:r>
            <w:r>
              <w:rPr>
                <w:color w:val="auto"/>
                <w:sz w:val="24"/>
                <w:highlight w:val="none"/>
              </w:rPr>
              <w:t>类标准要求</w:t>
            </w:r>
            <w:r>
              <w:rPr>
                <w:rFonts w:hint="eastAsia" w:ascii="Times New Roman" w:hAnsi="Times New Roman" w:eastAsia="宋体" w:cs="Times New Roman"/>
                <w:color w:val="auto"/>
                <w:kern w:val="0"/>
                <w:sz w:val="24"/>
                <w:szCs w:val="24"/>
                <w:highlight w:val="none"/>
                <w:vertAlign w:val="baseli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（4）</w:t>
            </w:r>
            <w:r>
              <w:rPr>
                <w:rFonts w:hint="eastAsia" w:ascii="Times New Roman" w:hAnsi="Times New Roman" w:eastAsia="宋体" w:cs="Times New Roman"/>
                <w:color w:val="auto"/>
                <w:kern w:val="0"/>
                <w:sz w:val="24"/>
                <w:szCs w:val="24"/>
                <w:highlight w:val="none"/>
                <w:vertAlign w:val="baseline"/>
                <w:lang w:val="en-US" w:eastAsia="zh-CN" w:bidi="ar-SA"/>
              </w:rPr>
              <w:t>噪声</w:t>
            </w:r>
            <w:r>
              <w:rPr>
                <w:rFonts w:hint="eastAsia" w:cs="Times New Roman"/>
                <w:color w:val="auto"/>
                <w:kern w:val="0"/>
                <w:sz w:val="24"/>
                <w:szCs w:val="24"/>
                <w:highlight w:val="none"/>
                <w:vertAlign w:val="baseline"/>
                <w:lang w:val="en-US" w:eastAsia="zh-CN" w:bidi="ar-SA"/>
              </w:rPr>
              <w:t>达标可达性分析</w:t>
            </w:r>
          </w:p>
          <w:p>
            <w:pPr>
              <w:pStyle w:val="2"/>
              <w:spacing w:after="0"/>
              <w:ind w:left="0" w:leftChars="0"/>
              <w:rPr>
                <w:rFonts w:hint="eastAsia" w:eastAsia="宋体"/>
                <w:color w:val="auto"/>
                <w:kern w:val="0"/>
                <w:sz w:val="24"/>
                <w:highlight w:val="none"/>
                <w:lang w:val="en-US" w:eastAsia="zh-CN" w:bidi="ar"/>
              </w:rPr>
            </w:pPr>
            <w:r>
              <w:rPr>
                <w:rFonts w:hint="default" w:eastAsia="宋体"/>
                <w:color w:val="auto"/>
                <w:kern w:val="0"/>
                <w:sz w:val="24"/>
                <w:highlight w:val="none"/>
                <w:lang w:val="en-US" w:eastAsia="zh-CN" w:bidi="ar"/>
              </w:rPr>
              <w:t>渭阳佳苑小区</w:t>
            </w:r>
            <w:r>
              <w:rPr>
                <w:rFonts w:hint="eastAsia" w:eastAsia="宋体"/>
                <w:color w:val="auto"/>
                <w:kern w:val="0"/>
                <w:sz w:val="24"/>
                <w:highlight w:val="none"/>
                <w:lang w:val="en-US" w:eastAsia="zh-CN" w:bidi="ar"/>
              </w:rPr>
              <w:t>位于项目厂界东侧，目前正在施工。项目噪声源包括生产设备及车辆运输产生的噪声，项目生产设备均分布在厂区西北侧，距离东侧厂界较远，且项目选用了低噪声设备，对生产区进行全密封，噪声经厂房隔声及距离衰减，噪声可达标排放，且项目工时为8小时，夜间不生产；同时对车辆运输进行限制车速、禁止鸣笛等措施进行降噪。综上所述，项目对渭阳佳苑小区的影响较小。根据本项目噪声监测计划，对于渭阳佳苑小区后期入住后，会定期进行例行监测，若若出现噪声不达标的情况，项目可通过以下方式进行降噪：对噪声产生设备加厚隔声层，增加生产区的密闭性，或增加绿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w:t>
            </w:r>
            <w:r>
              <w:rPr>
                <w:rFonts w:hint="eastAsia" w:cs="Times New Roman"/>
                <w:color w:val="auto"/>
                <w:kern w:val="0"/>
                <w:sz w:val="24"/>
                <w:szCs w:val="24"/>
                <w:highlight w:val="none"/>
                <w:vertAlign w:val="baseline"/>
                <w:lang w:val="en-US" w:eastAsia="zh-CN" w:bidi="ar-SA"/>
              </w:rPr>
              <w:t>5</w:t>
            </w:r>
            <w:r>
              <w:rPr>
                <w:rFonts w:hint="eastAsia" w:ascii="Times New Roman" w:hAnsi="Times New Roman" w:cs="Times New Roman"/>
                <w:color w:val="auto"/>
                <w:kern w:val="0"/>
                <w:sz w:val="24"/>
                <w:szCs w:val="24"/>
                <w:highlight w:val="none"/>
                <w:vertAlign w:val="baseline"/>
                <w:lang w:val="en-US" w:eastAsia="zh-CN" w:bidi="ar-SA"/>
              </w:rPr>
              <w:t>）</w:t>
            </w:r>
            <w:r>
              <w:rPr>
                <w:rFonts w:hint="eastAsia" w:ascii="Times New Roman" w:hAnsi="Times New Roman" w:eastAsia="宋体" w:cs="Times New Roman"/>
                <w:color w:val="auto"/>
                <w:kern w:val="0"/>
                <w:sz w:val="24"/>
                <w:szCs w:val="24"/>
                <w:highlight w:val="none"/>
                <w:vertAlign w:val="baseline"/>
                <w:lang w:val="en-US" w:eastAsia="zh-CN" w:bidi="ar-SA"/>
              </w:rPr>
              <w:t>噪声监测方案</w:t>
            </w:r>
          </w:p>
          <w:p>
            <w:pPr>
              <w:spacing w:line="360" w:lineRule="auto"/>
              <w:jc w:val="center"/>
              <w:rPr>
                <w:b/>
                <w:bCs/>
                <w:color w:val="auto"/>
                <w:szCs w:val="21"/>
                <w:highlight w:val="none"/>
              </w:rPr>
            </w:pPr>
            <w:r>
              <w:rPr>
                <w:b/>
                <w:bCs/>
                <w:color w:val="auto"/>
                <w:szCs w:val="21"/>
                <w:highlight w:val="none"/>
              </w:rPr>
              <w:t>表4-1</w:t>
            </w:r>
            <w:r>
              <w:rPr>
                <w:rFonts w:hint="eastAsia"/>
                <w:b/>
                <w:bCs/>
                <w:color w:val="auto"/>
                <w:szCs w:val="21"/>
                <w:highlight w:val="none"/>
                <w:lang w:val="en-US" w:eastAsia="zh-CN"/>
              </w:rPr>
              <w:t>1</w:t>
            </w:r>
            <w:r>
              <w:rPr>
                <w:b/>
                <w:bCs/>
                <w:color w:val="auto"/>
                <w:szCs w:val="21"/>
                <w:highlight w:val="none"/>
              </w:rPr>
              <w:t xml:space="preserve"> 运行期</w:t>
            </w:r>
            <w:r>
              <w:rPr>
                <w:rFonts w:hint="eastAsia"/>
                <w:b/>
                <w:bCs/>
                <w:color w:val="auto"/>
                <w:szCs w:val="21"/>
                <w:highlight w:val="none"/>
              </w:rPr>
              <w:t>噪声</w:t>
            </w:r>
            <w:r>
              <w:rPr>
                <w:b/>
                <w:bCs/>
                <w:color w:val="auto"/>
                <w:szCs w:val="21"/>
                <w:highlight w:val="none"/>
              </w:rPr>
              <w:t>监测计划表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733"/>
              <w:gridCol w:w="1252"/>
              <w:gridCol w:w="1590"/>
              <w:gridCol w:w="837"/>
              <w:gridCol w:w="3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tcMar>
                    <w:top w:w="0" w:type="dxa"/>
                    <w:left w:w="0" w:type="dxa"/>
                    <w:bottom w:w="0" w:type="dxa"/>
                    <w:right w:w="0" w:type="dxa"/>
                  </w:tcMar>
                  <w:vAlign w:val="center"/>
                </w:tcPr>
                <w:p>
                  <w:pPr>
                    <w:adjustRightInd w:val="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类型</w:t>
                  </w:r>
                </w:p>
              </w:tc>
              <w:tc>
                <w:tcPr>
                  <w:tcW w:w="431" w:type="pct"/>
                  <w:shd w:val="clear" w:color="auto" w:fill="auto"/>
                  <w:tcMar>
                    <w:top w:w="0" w:type="dxa"/>
                    <w:left w:w="0" w:type="dxa"/>
                    <w:bottom w:w="0" w:type="dxa"/>
                    <w:right w:w="0" w:type="dxa"/>
                  </w:tcMar>
                  <w:vAlign w:val="center"/>
                </w:tcPr>
                <w:p>
                  <w:pPr>
                    <w:adjustRightInd w:val="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排放源</w:t>
                  </w:r>
                </w:p>
              </w:tc>
              <w:tc>
                <w:tcPr>
                  <w:tcW w:w="737" w:type="pct"/>
                  <w:shd w:val="clear" w:color="auto" w:fill="auto"/>
                  <w:vAlign w:val="center"/>
                </w:tcPr>
                <w:p>
                  <w:pPr>
                    <w:adjustRightInd w:val="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监测点位或断面</w:t>
                  </w:r>
                </w:p>
              </w:tc>
              <w:tc>
                <w:tcPr>
                  <w:tcW w:w="936" w:type="pct"/>
                  <w:shd w:val="clear" w:color="auto" w:fill="auto"/>
                  <w:tcMar>
                    <w:top w:w="0" w:type="dxa"/>
                    <w:left w:w="0" w:type="dxa"/>
                    <w:bottom w:w="0" w:type="dxa"/>
                    <w:right w:w="0" w:type="dxa"/>
                  </w:tcMar>
                  <w:vAlign w:val="center"/>
                </w:tcPr>
                <w:p>
                  <w:pPr>
                    <w:adjustRightInd w:val="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监测项目</w:t>
                  </w:r>
                </w:p>
              </w:tc>
              <w:tc>
                <w:tcPr>
                  <w:tcW w:w="492" w:type="pct"/>
                  <w:shd w:val="clear" w:color="auto" w:fill="auto"/>
                  <w:tcMar>
                    <w:top w:w="0" w:type="dxa"/>
                    <w:left w:w="0" w:type="dxa"/>
                    <w:bottom w:w="0" w:type="dxa"/>
                    <w:right w:w="0" w:type="dxa"/>
                  </w:tcMar>
                  <w:vAlign w:val="center"/>
                </w:tcPr>
                <w:p>
                  <w:pPr>
                    <w:adjustRightInd w:val="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频率</w:t>
                  </w:r>
                </w:p>
              </w:tc>
              <w:tc>
                <w:tcPr>
                  <w:tcW w:w="2021" w:type="pct"/>
                  <w:shd w:val="clear" w:color="auto" w:fill="auto"/>
                  <w:tcMar>
                    <w:top w:w="0" w:type="dxa"/>
                    <w:left w:w="0" w:type="dxa"/>
                    <w:bottom w:w="0" w:type="dxa"/>
                    <w:right w:w="0" w:type="dxa"/>
                  </w:tcMar>
                  <w:vAlign w:val="center"/>
                </w:tcPr>
                <w:p>
                  <w:pPr>
                    <w:adjustRightInd w:val="0"/>
                    <w:jc w:val="center"/>
                    <w:textAlignment w:val="center"/>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vMerge w:val="restart"/>
                  <w:tcMar>
                    <w:top w:w="0" w:type="dxa"/>
                    <w:left w:w="0" w:type="dxa"/>
                    <w:bottom w:w="0" w:type="dxa"/>
                    <w:right w:w="0" w:type="dxa"/>
                  </w:tcMar>
                  <w:vAlign w:val="center"/>
                </w:tcPr>
                <w:p>
                  <w:pPr>
                    <w:adjustRightIn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431" w:type="pct"/>
                  <w:vMerge w:val="restart"/>
                  <w:tcMar>
                    <w:top w:w="0" w:type="dxa"/>
                    <w:left w:w="0" w:type="dxa"/>
                    <w:bottom w:w="0" w:type="dxa"/>
                    <w:right w:w="0" w:type="dxa"/>
                  </w:tcMar>
                  <w:vAlign w:val="center"/>
                </w:tcPr>
                <w:p>
                  <w:pPr>
                    <w:adjustRightInd w:val="0"/>
                    <w:spacing w:line="360" w:lineRule="exact"/>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生产设备</w:t>
                  </w:r>
                </w:p>
              </w:tc>
              <w:tc>
                <w:tcPr>
                  <w:tcW w:w="737" w:type="pct"/>
                  <w:vAlign w:val="center"/>
                </w:tcPr>
                <w:p>
                  <w:pPr>
                    <w:adjustRightIn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厂界四周</w:t>
                  </w:r>
                </w:p>
              </w:tc>
              <w:tc>
                <w:tcPr>
                  <w:tcW w:w="936" w:type="pct"/>
                  <w:tcMar>
                    <w:top w:w="0" w:type="dxa"/>
                    <w:left w:w="0" w:type="dxa"/>
                    <w:bottom w:w="0" w:type="dxa"/>
                    <w:right w:w="0" w:type="dxa"/>
                  </w:tcMar>
                  <w:vAlign w:val="center"/>
                </w:tcPr>
                <w:p>
                  <w:pPr>
                    <w:adjustRightInd w:val="0"/>
                    <w:spacing w:line="36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492" w:type="pct"/>
                  <w:tcMar>
                    <w:top w:w="0" w:type="dxa"/>
                    <w:left w:w="0" w:type="dxa"/>
                    <w:bottom w:w="0" w:type="dxa"/>
                    <w:right w:w="0" w:type="dxa"/>
                  </w:tcMar>
                  <w:vAlign w:val="center"/>
                </w:tcPr>
                <w:p>
                  <w:pPr>
                    <w:adjustRightIn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1次/季</w:t>
                  </w:r>
                </w:p>
              </w:tc>
              <w:tc>
                <w:tcPr>
                  <w:tcW w:w="2021" w:type="pct"/>
                  <w:tcMar>
                    <w:top w:w="0" w:type="dxa"/>
                    <w:left w:w="0" w:type="dxa"/>
                    <w:bottom w:w="0" w:type="dxa"/>
                    <w:right w:w="0" w:type="dxa"/>
                  </w:tcMar>
                  <w:vAlign w:val="center"/>
                </w:tcPr>
                <w:p>
                  <w:pPr>
                    <w:adjustRightInd w:val="0"/>
                    <w:jc w:val="center"/>
                    <w:textAlignment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《工业企业厂界环境噪声排放标准》(GB 12348-2008)中2类和4类标准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vMerge w:val="continue"/>
                  <w:tcMar>
                    <w:top w:w="0" w:type="dxa"/>
                    <w:left w:w="0" w:type="dxa"/>
                    <w:bottom w:w="0" w:type="dxa"/>
                    <w:right w:w="0" w:type="dxa"/>
                  </w:tcMar>
                  <w:vAlign w:val="center"/>
                </w:tcPr>
                <w:p>
                  <w:pPr>
                    <w:adjustRightInd w:val="0"/>
                    <w:jc w:val="center"/>
                    <w:textAlignment w:val="center"/>
                    <w:rPr>
                      <w:rFonts w:hint="default" w:ascii="Times New Roman" w:hAnsi="Times New Roman" w:eastAsia="宋体" w:cs="Times New Roman"/>
                      <w:color w:val="auto"/>
                      <w:sz w:val="21"/>
                      <w:szCs w:val="21"/>
                      <w:highlight w:val="none"/>
                    </w:rPr>
                  </w:pPr>
                </w:p>
              </w:tc>
              <w:tc>
                <w:tcPr>
                  <w:tcW w:w="431" w:type="pct"/>
                  <w:vMerge w:val="continue"/>
                  <w:tcMar>
                    <w:top w:w="0" w:type="dxa"/>
                    <w:left w:w="0" w:type="dxa"/>
                    <w:bottom w:w="0" w:type="dxa"/>
                    <w:right w:w="0" w:type="dxa"/>
                  </w:tcMar>
                  <w:vAlign w:val="center"/>
                </w:tcPr>
                <w:p>
                  <w:pPr>
                    <w:adjustRightInd w:val="0"/>
                    <w:spacing w:line="360" w:lineRule="exact"/>
                    <w:jc w:val="center"/>
                    <w:textAlignment w:val="center"/>
                    <w:rPr>
                      <w:rFonts w:hint="default" w:ascii="Times New Roman" w:hAnsi="Times New Roman" w:eastAsia="宋体" w:cs="Times New Roman"/>
                      <w:color w:val="auto"/>
                      <w:sz w:val="21"/>
                      <w:szCs w:val="21"/>
                      <w:highlight w:val="none"/>
                    </w:rPr>
                  </w:pPr>
                </w:p>
              </w:tc>
              <w:tc>
                <w:tcPr>
                  <w:tcW w:w="737" w:type="pct"/>
                  <w:vAlign w:val="center"/>
                </w:tcPr>
                <w:p>
                  <w:pPr>
                    <w:adjustRightInd w:val="0"/>
                    <w:jc w:val="center"/>
                    <w:textAlignment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石桥村</w:t>
                  </w:r>
                </w:p>
              </w:tc>
              <w:tc>
                <w:tcPr>
                  <w:tcW w:w="936" w:type="pct"/>
                  <w:tcMar>
                    <w:top w:w="0" w:type="dxa"/>
                    <w:left w:w="0" w:type="dxa"/>
                    <w:bottom w:w="0" w:type="dxa"/>
                    <w:right w:w="0" w:type="dxa"/>
                  </w:tcMar>
                  <w:vAlign w:val="center"/>
                </w:tcPr>
                <w:p>
                  <w:pPr>
                    <w:adjustRightInd w:val="0"/>
                    <w:spacing w:line="36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492" w:type="pct"/>
                  <w:tcMar>
                    <w:top w:w="0" w:type="dxa"/>
                    <w:left w:w="0" w:type="dxa"/>
                    <w:bottom w:w="0" w:type="dxa"/>
                    <w:right w:w="0" w:type="dxa"/>
                  </w:tcMar>
                  <w:vAlign w:val="center"/>
                </w:tcPr>
                <w:p>
                  <w:pPr>
                    <w:adjustRightIn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1次/季</w:t>
                  </w:r>
                </w:p>
              </w:tc>
              <w:tc>
                <w:tcPr>
                  <w:tcW w:w="2021" w:type="pct"/>
                  <w:tcMar>
                    <w:top w:w="0" w:type="dxa"/>
                    <w:left w:w="0" w:type="dxa"/>
                    <w:bottom w:w="0" w:type="dxa"/>
                    <w:right w:w="0" w:type="dxa"/>
                  </w:tcMar>
                  <w:vAlign w:val="center"/>
                </w:tcPr>
                <w:p>
                  <w:pPr>
                    <w:adjustRightIn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《声环境质量标准》（GB3096-2008）2类标准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vMerge w:val="continue"/>
                  <w:tcMar>
                    <w:top w:w="0" w:type="dxa"/>
                    <w:left w:w="0" w:type="dxa"/>
                    <w:bottom w:w="0" w:type="dxa"/>
                    <w:right w:w="0" w:type="dxa"/>
                  </w:tcMar>
                  <w:vAlign w:val="center"/>
                </w:tcPr>
                <w:p>
                  <w:pPr>
                    <w:adjustRightInd w:val="0"/>
                    <w:jc w:val="center"/>
                    <w:textAlignment w:val="center"/>
                    <w:rPr>
                      <w:rFonts w:hint="default" w:ascii="Times New Roman" w:hAnsi="Times New Roman" w:eastAsia="宋体" w:cs="Times New Roman"/>
                      <w:color w:val="auto"/>
                      <w:sz w:val="21"/>
                      <w:szCs w:val="21"/>
                      <w:highlight w:val="none"/>
                    </w:rPr>
                  </w:pPr>
                </w:p>
              </w:tc>
              <w:tc>
                <w:tcPr>
                  <w:tcW w:w="431" w:type="pct"/>
                  <w:vMerge w:val="continue"/>
                  <w:tcMar>
                    <w:top w:w="0" w:type="dxa"/>
                    <w:left w:w="0" w:type="dxa"/>
                    <w:bottom w:w="0" w:type="dxa"/>
                    <w:right w:w="0" w:type="dxa"/>
                  </w:tcMar>
                  <w:vAlign w:val="center"/>
                </w:tcPr>
                <w:p>
                  <w:pPr>
                    <w:adjustRightInd w:val="0"/>
                    <w:spacing w:line="360" w:lineRule="exact"/>
                    <w:jc w:val="center"/>
                    <w:textAlignment w:val="center"/>
                    <w:rPr>
                      <w:rFonts w:hint="default" w:ascii="Times New Roman" w:hAnsi="Times New Roman" w:eastAsia="宋体" w:cs="Times New Roman"/>
                      <w:color w:val="auto"/>
                      <w:sz w:val="21"/>
                      <w:szCs w:val="21"/>
                      <w:highlight w:val="none"/>
                    </w:rPr>
                  </w:pPr>
                </w:p>
              </w:tc>
              <w:tc>
                <w:tcPr>
                  <w:tcW w:w="737" w:type="pct"/>
                  <w:vAlign w:val="center"/>
                </w:tcPr>
                <w:p>
                  <w:pPr>
                    <w:adjustRightInd w:val="0"/>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渭阳佳苑小区</w:t>
                  </w:r>
                </w:p>
              </w:tc>
              <w:tc>
                <w:tcPr>
                  <w:tcW w:w="1590" w:type="dxa"/>
                  <w:tcMar>
                    <w:top w:w="0" w:type="dxa"/>
                    <w:left w:w="0" w:type="dxa"/>
                    <w:bottom w:w="0" w:type="dxa"/>
                    <w:right w:w="0" w:type="dxa"/>
                  </w:tcMar>
                  <w:vAlign w:val="center"/>
                </w:tcPr>
                <w:p>
                  <w:pPr>
                    <w:adjustRightInd w:val="0"/>
                    <w:spacing w:line="36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837" w:type="dxa"/>
                  <w:tcMar>
                    <w:top w:w="0" w:type="dxa"/>
                    <w:left w:w="0" w:type="dxa"/>
                    <w:bottom w:w="0" w:type="dxa"/>
                    <w:right w:w="0" w:type="dxa"/>
                  </w:tcMar>
                  <w:vAlign w:val="center"/>
                </w:tcPr>
                <w:p>
                  <w:pPr>
                    <w:adjustRightIn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1次/季</w:t>
                  </w:r>
                </w:p>
              </w:tc>
              <w:tc>
                <w:tcPr>
                  <w:tcW w:w="2021" w:type="pct"/>
                  <w:tcMar>
                    <w:top w:w="0" w:type="dxa"/>
                    <w:left w:w="0" w:type="dxa"/>
                    <w:bottom w:w="0" w:type="dxa"/>
                    <w:right w:w="0" w:type="dxa"/>
                  </w:tcMar>
                  <w:vAlign w:val="center"/>
                </w:tcPr>
                <w:p>
                  <w:pPr>
                    <w:adjustRightIn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《声环境质量标准》（GB3096-2008）2类标准</w:t>
                  </w:r>
                </w:p>
              </w:tc>
            </w:tr>
          </w:tbl>
          <w:p>
            <w:pPr>
              <w:spacing w:line="360" w:lineRule="auto"/>
              <w:rPr>
                <w:b/>
                <w:bCs/>
                <w:color w:val="auto"/>
                <w:sz w:val="24"/>
                <w:szCs w:val="24"/>
                <w:highlight w:val="none"/>
              </w:rPr>
            </w:pPr>
            <w:r>
              <w:rPr>
                <w:rFonts w:hint="eastAsia" w:cs="宋体"/>
                <w:b/>
                <w:color w:val="auto"/>
                <w:sz w:val="24"/>
                <w:szCs w:val="24"/>
                <w:highlight w:val="none"/>
              </w:rPr>
              <w:t>4、固体废物影响分析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项目运营过程中，</w:t>
            </w:r>
            <w:r>
              <w:rPr>
                <w:rFonts w:hint="eastAsia" w:ascii="Times New Roman" w:hAnsi="Times New Roman" w:eastAsia="宋体" w:cs="Times New Roman"/>
                <w:color w:val="auto"/>
                <w:kern w:val="0"/>
                <w:sz w:val="24"/>
                <w:szCs w:val="24"/>
                <w:highlight w:val="none"/>
                <w:lang w:val="en-US" w:eastAsia="zh-CN" w:bidi="ar"/>
              </w:rPr>
              <w:t>主要是除尘器收集的</w:t>
            </w:r>
            <w:r>
              <w:rPr>
                <w:rFonts w:hint="eastAsia" w:cs="Times New Roman"/>
                <w:color w:val="auto"/>
                <w:kern w:val="0"/>
                <w:sz w:val="24"/>
                <w:szCs w:val="24"/>
                <w:highlight w:val="none"/>
                <w:lang w:val="en-US" w:eastAsia="zh-CN" w:bidi="ar"/>
              </w:rPr>
              <w:t>沉淀池沉砂、除尘器收集粉尘、</w:t>
            </w:r>
            <w:r>
              <w:rPr>
                <w:rFonts w:hint="eastAsia" w:ascii="Times New Roman" w:hAnsi="Times New Roman" w:eastAsia="宋体" w:cs="Times New Roman"/>
                <w:color w:val="auto"/>
                <w:kern w:val="0"/>
                <w:sz w:val="24"/>
                <w:szCs w:val="24"/>
                <w:highlight w:val="none"/>
                <w:lang w:val="en-US" w:eastAsia="zh-CN" w:bidi="ar"/>
              </w:rPr>
              <w:t>员工生活垃圾等</w:t>
            </w:r>
            <w:r>
              <w:rPr>
                <w:rFonts w:hint="eastAsia" w:cs="Times New Roman"/>
                <w:color w:val="auto"/>
                <w:kern w:val="0"/>
                <w:sz w:val="24"/>
                <w:szCs w:val="24"/>
                <w:highlight w:val="none"/>
                <w:lang w:val="en-US" w:eastAsia="zh-CN" w:bidi="ar"/>
              </w:rPr>
              <w:t>一般固体</w:t>
            </w:r>
            <w:r>
              <w:rPr>
                <w:rFonts w:hint="eastAsia" w:ascii="Times New Roman" w:hAnsi="Times New Roman" w:eastAsia="宋体" w:cs="Times New Roman"/>
                <w:color w:val="auto"/>
                <w:kern w:val="0"/>
                <w:sz w:val="24"/>
                <w:szCs w:val="24"/>
                <w:highlight w:val="none"/>
                <w:lang w:val="en-US" w:eastAsia="zh-CN" w:bidi="ar"/>
              </w:rPr>
              <w:t>废物。</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w:instrText>
            </w:r>
            <w:r>
              <w:rPr>
                <w:rFonts w:hint="eastAsia" w:ascii="Times New Roman" w:hAnsi="Times New Roman" w:eastAsia="宋体" w:cs="Times New Roman"/>
                <w:color w:val="auto"/>
                <w:kern w:val="0"/>
                <w:sz w:val="24"/>
                <w:szCs w:val="24"/>
                <w:highlight w:val="none"/>
                <w:lang w:val="en-US" w:eastAsia="zh-CN" w:bidi="ar"/>
              </w:rPr>
              <w:instrText xml:space="preserve">= 1 \* GB3</w:instrText>
            </w:r>
            <w:r>
              <w:rPr>
                <w:rFonts w:hint="default" w:ascii="Times New Roman" w:hAnsi="Times New Roman" w:eastAsia="宋体" w:cs="Times New Roman"/>
                <w:color w:val="auto"/>
                <w:kern w:val="0"/>
                <w:sz w:val="24"/>
                <w:szCs w:val="24"/>
                <w:highlight w:val="none"/>
                <w:lang w:val="en-US" w:eastAsia="zh-CN" w:bidi="ar"/>
              </w:rPr>
              <w:instrText xml:space="preserve">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eastAsia" w:ascii="Times New Roman" w:hAnsi="Times New Roman" w:eastAsia="宋体" w:cs="Times New Roman"/>
                <w:color w:val="auto"/>
                <w:kern w:val="0"/>
                <w:sz w:val="24"/>
                <w:szCs w:val="24"/>
                <w:highlight w:val="none"/>
                <w:lang w:val="en-US" w:eastAsia="zh-CN" w:bidi="ar"/>
              </w:rPr>
              <w:t>①</w:t>
            </w:r>
            <w:r>
              <w:rPr>
                <w:rFonts w:hint="default" w:ascii="Times New Roman" w:hAnsi="Times New Roman" w:eastAsia="宋体" w:cs="Times New Roman"/>
                <w:color w:val="auto"/>
                <w:kern w:val="0"/>
                <w:sz w:val="24"/>
                <w:szCs w:val="24"/>
                <w:highlight w:val="none"/>
                <w:lang w:val="en-US" w:eastAsia="zh-CN" w:bidi="ar"/>
              </w:rPr>
              <w:fldChar w:fldCharType="end"/>
            </w:r>
            <w:r>
              <w:rPr>
                <w:rFonts w:hint="eastAsia" w:cs="Times New Roman"/>
                <w:color w:val="auto"/>
                <w:kern w:val="0"/>
                <w:sz w:val="24"/>
                <w:szCs w:val="24"/>
                <w:highlight w:val="none"/>
                <w:lang w:val="en-US" w:eastAsia="zh-CN" w:bidi="ar"/>
              </w:rPr>
              <w:t>沉淀池沉砂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车辆冲洗台沉淀池和粗浆池、细浆池经沉淀后会产生一定量的沉淀池泥渣，根据建设单位提供资料，泥渣产生量约</w:t>
            </w:r>
            <w:r>
              <w:rPr>
                <w:rFonts w:hint="eastAsia" w:cs="Times New Roman"/>
                <w:color w:val="auto"/>
                <w:kern w:val="0"/>
                <w:sz w:val="24"/>
                <w:szCs w:val="24"/>
                <w:highlight w:val="none"/>
                <w:lang w:val="en-US" w:eastAsia="zh-CN" w:bidi="ar"/>
              </w:rPr>
              <w:t>43.93</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，泥渣定期清理后回用于混凝土生产。</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w:instrText>
            </w:r>
            <w:r>
              <w:rPr>
                <w:rFonts w:hint="eastAsia" w:ascii="Times New Roman" w:hAnsi="Times New Roman" w:eastAsia="宋体" w:cs="Times New Roman"/>
                <w:color w:val="auto"/>
                <w:kern w:val="0"/>
                <w:sz w:val="24"/>
                <w:szCs w:val="24"/>
                <w:highlight w:val="none"/>
                <w:lang w:val="en-US" w:eastAsia="zh-CN" w:bidi="ar"/>
              </w:rPr>
              <w:instrText xml:space="preserve">= 2 \* GB3</w:instrText>
            </w:r>
            <w:r>
              <w:rPr>
                <w:rFonts w:hint="default" w:ascii="Times New Roman" w:hAnsi="Times New Roman" w:eastAsia="宋体" w:cs="Times New Roman"/>
                <w:color w:val="auto"/>
                <w:kern w:val="0"/>
                <w:sz w:val="24"/>
                <w:szCs w:val="24"/>
                <w:highlight w:val="none"/>
                <w:lang w:val="en-US" w:eastAsia="zh-CN" w:bidi="ar"/>
              </w:rPr>
              <w:instrText xml:space="preserve">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eastAsia" w:ascii="Times New Roman" w:hAnsi="Times New Roman" w:eastAsia="宋体" w:cs="Times New Roman"/>
                <w:color w:val="auto"/>
                <w:kern w:val="0"/>
                <w:sz w:val="24"/>
                <w:szCs w:val="24"/>
                <w:highlight w:val="none"/>
                <w:lang w:val="en-US" w:eastAsia="zh-CN" w:bidi="ar"/>
              </w:rPr>
              <w:t>②</w:t>
            </w:r>
            <w:r>
              <w:rPr>
                <w:rFonts w:hint="default" w:ascii="Times New Roman" w:hAnsi="Times New Roman" w:eastAsia="宋体" w:cs="Times New Roman"/>
                <w:color w:val="auto"/>
                <w:kern w:val="0"/>
                <w:sz w:val="24"/>
                <w:szCs w:val="24"/>
                <w:highlight w:val="none"/>
                <w:lang w:val="en-US" w:eastAsia="zh-CN" w:bidi="ar"/>
              </w:rPr>
              <w:fldChar w:fldCharType="end"/>
            </w:r>
            <w:r>
              <w:rPr>
                <w:rFonts w:hint="eastAsia" w:cs="Times New Roman"/>
                <w:color w:val="auto"/>
                <w:kern w:val="0"/>
                <w:sz w:val="24"/>
                <w:szCs w:val="24"/>
                <w:highlight w:val="none"/>
                <w:lang w:val="en-US" w:eastAsia="zh-CN" w:bidi="ar"/>
              </w:rPr>
              <w:t>生活垃圾</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本项目不新增员工，因此不新增生活垃圾。</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w:instrText>
            </w:r>
            <w:r>
              <w:rPr>
                <w:rFonts w:hint="eastAsia" w:ascii="Times New Roman" w:hAnsi="Times New Roman" w:eastAsia="宋体" w:cs="Times New Roman"/>
                <w:color w:val="auto"/>
                <w:kern w:val="0"/>
                <w:sz w:val="24"/>
                <w:szCs w:val="24"/>
                <w:highlight w:val="none"/>
                <w:lang w:val="en-US" w:eastAsia="zh-CN" w:bidi="ar"/>
              </w:rPr>
              <w:instrText xml:space="preserve">= 3 \* GB3</w:instrText>
            </w:r>
            <w:r>
              <w:rPr>
                <w:rFonts w:hint="default" w:ascii="Times New Roman" w:hAnsi="Times New Roman" w:eastAsia="宋体" w:cs="Times New Roman"/>
                <w:color w:val="auto"/>
                <w:kern w:val="0"/>
                <w:sz w:val="24"/>
                <w:szCs w:val="24"/>
                <w:highlight w:val="none"/>
                <w:lang w:val="en-US" w:eastAsia="zh-CN" w:bidi="ar"/>
              </w:rPr>
              <w:instrText xml:space="preserve">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eastAsia" w:ascii="Times New Roman" w:hAnsi="Times New Roman" w:eastAsia="宋体" w:cs="Times New Roman"/>
                <w:color w:val="auto"/>
                <w:kern w:val="0"/>
                <w:sz w:val="24"/>
                <w:szCs w:val="24"/>
                <w:highlight w:val="none"/>
                <w:lang w:val="en-US" w:eastAsia="zh-CN" w:bidi="ar"/>
              </w:rPr>
              <w:t>③</w:t>
            </w:r>
            <w:r>
              <w:rPr>
                <w:rFonts w:hint="default" w:ascii="Times New Roman" w:hAnsi="Times New Roman" w:eastAsia="宋体" w:cs="Times New Roman"/>
                <w:color w:val="auto"/>
                <w:kern w:val="0"/>
                <w:sz w:val="24"/>
                <w:szCs w:val="24"/>
                <w:highlight w:val="none"/>
                <w:lang w:val="en-US" w:eastAsia="zh-CN" w:bidi="ar"/>
              </w:rPr>
              <w:fldChar w:fldCharType="end"/>
            </w:r>
            <w:r>
              <w:rPr>
                <w:rFonts w:hint="eastAsia" w:cs="Times New Roman"/>
                <w:color w:val="auto"/>
                <w:kern w:val="0"/>
                <w:sz w:val="24"/>
                <w:szCs w:val="24"/>
                <w:highlight w:val="none"/>
                <w:lang w:val="en-US" w:eastAsia="zh-CN" w:bidi="ar"/>
              </w:rPr>
              <w:t>除尘器收集粉尘</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b/>
                <w:bCs/>
                <w:color w:val="auto"/>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t>除尘器收尘主要是粉料筒仓除尘器和搅拌机除尘器，依据粉尘产生量及除尘效率，收集粉尘总量为</w:t>
            </w:r>
            <w:r>
              <w:rPr>
                <w:rFonts w:hint="eastAsia" w:cs="Times New Roman"/>
                <w:color w:val="auto"/>
                <w:kern w:val="0"/>
                <w:sz w:val="24"/>
                <w:szCs w:val="24"/>
                <w:highlight w:val="none"/>
                <w:lang w:val="en-US" w:eastAsia="zh-CN" w:bidi="ar"/>
              </w:rPr>
              <w:t>149.5</w:t>
            </w:r>
            <w:r>
              <w:rPr>
                <w:rFonts w:hint="default"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，收集的粉尘落入料斗内，定期清理后作为原料回用于生产。</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本建设项目固体废物产生情况汇总见表</w:t>
            </w:r>
            <w:r>
              <w:rPr>
                <w:rFonts w:hint="default" w:ascii="Times New Roman" w:hAnsi="Times New Roman" w:eastAsia="宋体" w:cs="Times New Roman"/>
                <w:color w:val="auto"/>
                <w:kern w:val="0"/>
                <w:sz w:val="24"/>
                <w:szCs w:val="24"/>
                <w:highlight w:val="none"/>
                <w:lang w:val="en-US" w:eastAsia="zh-CN" w:bidi="ar"/>
              </w:rPr>
              <w:t>4-1</w:t>
            </w:r>
            <w:r>
              <w:rPr>
                <w:rFonts w:hint="eastAsia" w:cs="Times New Roman"/>
                <w:color w:val="auto"/>
                <w:kern w:val="0"/>
                <w:sz w:val="24"/>
                <w:szCs w:val="24"/>
                <w:highlight w:val="none"/>
                <w:lang w:val="en-US" w:eastAsia="zh-CN" w:bidi="ar"/>
              </w:rPr>
              <w:t>2</w:t>
            </w:r>
            <w:r>
              <w:rPr>
                <w:rFonts w:hint="eastAsia" w:ascii="Times New Roman" w:hAnsi="Times New Roman" w:eastAsia="宋体" w:cs="Times New Roman"/>
                <w:color w:val="auto"/>
                <w:kern w:val="0"/>
                <w:sz w:val="24"/>
                <w:szCs w:val="24"/>
                <w:highlight w:val="none"/>
                <w:lang w:val="en-US" w:eastAsia="zh-CN" w:bidi="ar"/>
              </w:rPr>
              <w:t>。</w:t>
            </w:r>
          </w:p>
          <w:p>
            <w:pPr>
              <w:pStyle w:val="2"/>
              <w:spacing w:after="0"/>
              <w:ind w:left="0" w:leftChars="0"/>
              <w:rPr>
                <w:rFonts w:hint="eastAsia"/>
              </w:rPr>
            </w:pPr>
            <w:r>
              <w:rPr>
                <w:rFonts w:hint="eastAsia" w:eastAsia="宋体" w:cs="Times New Roman"/>
                <w:color w:val="auto"/>
                <w:kern w:val="0"/>
                <w:sz w:val="24"/>
                <w:szCs w:val="24"/>
                <w:highlight w:val="none"/>
                <w:lang w:val="en-US" w:eastAsia="zh-CN" w:bidi="ar"/>
              </w:rPr>
              <w:t>本项目车辆维修保养均外包，不在厂区内进行；设备保养均使用固态润滑油，在设备磨损过程中自然损耗，不会发生跑冒滴漏的情况。因此，本项目不产生危险废物。</w:t>
            </w:r>
          </w:p>
          <w:p>
            <w:pPr>
              <w:spacing w:line="360" w:lineRule="auto"/>
              <w:jc w:val="center"/>
              <w:rPr>
                <w:b/>
                <w:bCs/>
                <w:color w:val="auto"/>
                <w:szCs w:val="21"/>
                <w:highlight w:val="none"/>
              </w:rPr>
            </w:pPr>
            <w:r>
              <w:rPr>
                <w:rFonts w:hint="eastAsia"/>
                <w:b/>
                <w:bCs/>
                <w:color w:val="auto"/>
                <w:szCs w:val="21"/>
                <w:highlight w:val="none"/>
              </w:rPr>
              <w:t>表</w:t>
            </w:r>
            <w:r>
              <w:rPr>
                <w:b/>
                <w:bCs/>
                <w:color w:val="auto"/>
                <w:szCs w:val="21"/>
                <w:highlight w:val="none"/>
              </w:rPr>
              <w:t>4-</w:t>
            </w:r>
            <w:r>
              <w:rPr>
                <w:rFonts w:hint="eastAsia"/>
                <w:b/>
                <w:bCs/>
                <w:color w:val="auto"/>
                <w:szCs w:val="21"/>
                <w:highlight w:val="none"/>
                <w:lang w:val="en-US" w:eastAsia="zh-CN"/>
              </w:rPr>
              <w:t>12</w:t>
            </w:r>
            <w:r>
              <w:rPr>
                <w:b/>
                <w:bCs/>
                <w:color w:val="auto"/>
                <w:szCs w:val="21"/>
                <w:highlight w:val="none"/>
              </w:rPr>
              <w:t xml:space="preserve"> </w:t>
            </w:r>
            <w:r>
              <w:rPr>
                <w:rFonts w:hint="eastAsia"/>
                <w:b/>
                <w:bCs/>
                <w:color w:val="auto"/>
                <w:szCs w:val="21"/>
                <w:highlight w:val="none"/>
              </w:rPr>
              <w:t>建设项目固体废物产生情况表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182"/>
              <w:gridCol w:w="1754"/>
              <w:gridCol w:w="1189"/>
              <w:gridCol w:w="1231"/>
              <w:gridCol w:w="103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vMerge w:val="restart"/>
                  <w:shd w:val="clear" w:color="auto" w:fill="auto"/>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工序</w:t>
                  </w:r>
                </w:p>
              </w:tc>
              <w:tc>
                <w:tcPr>
                  <w:tcW w:w="696" w:type="pct"/>
                  <w:vMerge w:val="restart"/>
                  <w:shd w:val="clear" w:color="auto" w:fill="auto"/>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装置</w:t>
                  </w:r>
                </w:p>
              </w:tc>
              <w:tc>
                <w:tcPr>
                  <w:tcW w:w="1033" w:type="pct"/>
                  <w:vMerge w:val="restart"/>
                  <w:shd w:val="clear" w:color="auto" w:fill="auto"/>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固体废物名称</w:t>
                  </w:r>
                </w:p>
              </w:tc>
              <w:tc>
                <w:tcPr>
                  <w:tcW w:w="700" w:type="pct"/>
                  <w:vMerge w:val="restart"/>
                  <w:shd w:val="clear" w:color="auto" w:fill="auto"/>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固废属性</w:t>
                  </w:r>
                </w:p>
              </w:tc>
              <w:tc>
                <w:tcPr>
                  <w:tcW w:w="725" w:type="pct"/>
                  <w:shd w:val="clear" w:color="auto" w:fill="auto"/>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产生情况</w:t>
                  </w:r>
                </w:p>
              </w:tc>
              <w:tc>
                <w:tcPr>
                  <w:tcW w:w="607" w:type="pct"/>
                  <w:vMerge w:val="restart"/>
                  <w:shd w:val="clear" w:color="auto" w:fill="auto"/>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处置量</w:t>
                  </w:r>
                </w:p>
              </w:tc>
              <w:tc>
                <w:tcPr>
                  <w:tcW w:w="807" w:type="pct"/>
                  <w:vMerge w:val="restart"/>
                  <w:shd w:val="clear" w:color="auto" w:fill="auto"/>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vMerge w:val="continue"/>
                  <w:vAlign w:val="center"/>
                </w:tcPr>
                <w:p>
                  <w:pPr>
                    <w:jc w:val="center"/>
                    <w:rPr>
                      <w:rFonts w:hint="default" w:ascii="Times New Roman" w:hAnsi="Times New Roman" w:eastAsia="宋体" w:cs="Times New Roman"/>
                      <w:b/>
                      <w:color w:val="auto"/>
                      <w:sz w:val="21"/>
                      <w:szCs w:val="21"/>
                      <w:highlight w:val="none"/>
                    </w:rPr>
                  </w:pPr>
                </w:p>
              </w:tc>
              <w:tc>
                <w:tcPr>
                  <w:tcW w:w="696" w:type="pct"/>
                  <w:vMerge w:val="continue"/>
                  <w:vAlign w:val="center"/>
                </w:tcPr>
                <w:p>
                  <w:pPr>
                    <w:jc w:val="center"/>
                    <w:rPr>
                      <w:rFonts w:hint="default" w:ascii="Times New Roman" w:hAnsi="Times New Roman" w:eastAsia="宋体" w:cs="Times New Roman"/>
                      <w:b/>
                      <w:color w:val="auto"/>
                      <w:sz w:val="21"/>
                      <w:szCs w:val="21"/>
                      <w:highlight w:val="none"/>
                    </w:rPr>
                  </w:pPr>
                </w:p>
              </w:tc>
              <w:tc>
                <w:tcPr>
                  <w:tcW w:w="1033" w:type="pct"/>
                  <w:vMerge w:val="continue"/>
                  <w:vAlign w:val="center"/>
                </w:tcPr>
                <w:p>
                  <w:pPr>
                    <w:jc w:val="center"/>
                    <w:rPr>
                      <w:rFonts w:hint="default" w:ascii="Times New Roman" w:hAnsi="Times New Roman" w:eastAsia="宋体" w:cs="Times New Roman"/>
                      <w:b/>
                      <w:color w:val="auto"/>
                      <w:sz w:val="21"/>
                      <w:szCs w:val="21"/>
                      <w:highlight w:val="none"/>
                    </w:rPr>
                  </w:pPr>
                </w:p>
              </w:tc>
              <w:tc>
                <w:tcPr>
                  <w:tcW w:w="700" w:type="pct"/>
                  <w:vMerge w:val="continue"/>
                  <w:shd w:val="clear" w:color="auto" w:fill="auto"/>
                  <w:vAlign w:val="center"/>
                </w:tcPr>
                <w:p>
                  <w:pPr>
                    <w:jc w:val="center"/>
                    <w:rPr>
                      <w:rFonts w:hint="default" w:ascii="Times New Roman" w:hAnsi="Times New Roman" w:eastAsia="宋体" w:cs="Times New Roman"/>
                      <w:b/>
                      <w:color w:val="auto"/>
                      <w:sz w:val="21"/>
                      <w:szCs w:val="21"/>
                      <w:highlight w:val="none"/>
                    </w:rPr>
                  </w:pPr>
                </w:p>
              </w:tc>
              <w:tc>
                <w:tcPr>
                  <w:tcW w:w="725" w:type="pct"/>
                  <w:shd w:val="clear" w:color="auto" w:fill="auto"/>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p>
              </w:tc>
              <w:tc>
                <w:tcPr>
                  <w:tcW w:w="607" w:type="pct"/>
                  <w:vMerge w:val="continue"/>
                  <w:shd w:val="clear" w:color="auto" w:fill="D8D8D8" w:themeFill="background1" w:themeFillShade="D9"/>
                  <w:vAlign w:val="center"/>
                </w:tcPr>
                <w:p>
                  <w:pPr>
                    <w:jc w:val="center"/>
                    <w:rPr>
                      <w:rFonts w:hint="default" w:ascii="Times New Roman" w:hAnsi="Times New Roman" w:eastAsia="宋体" w:cs="Times New Roman"/>
                      <w:b/>
                      <w:bCs/>
                      <w:color w:val="auto"/>
                      <w:sz w:val="21"/>
                      <w:szCs w:val="21"/>
                      <w:highlight w:val="none"/>
                    </w:rPr>
                  </w:pPr>
                </w:p>
              </w:tc>
              <w:tc>
                <w:tcPr>
                  <w:tcW w:w="807" w:type="pct"/>
                  <w:vMerge w:val="continue"/>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w:t>
                  </w:r>
                </w:p>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w:t>
                  </w:r>
                </w:p>
              </w:tc>
              <w:tc>
                <w:tcPr>
                  <w:tcW w:w="69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办公生活</w:t>
                  </w:r>
                </w:p>
              </w:tc>
              <w:tc>
                <w:tcPr>
                  <w:tcW w:w="1033"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700" w:type="pct"/>
                  <w:vMerge w:val="restar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725" w:type="pct"/>
                  <w:vAlign w:val="center"/>
                </w:tcPr>
                <w:p>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t/a</w:t>
                  </w:r>
                </w:p>
              </w:tc>
              <w:tc>
                <w:tcPr>
                  <w:tcW w:w="607" w:type="pct"/>
                  <w:vAlign w:val="center"/>
                </w:tcPr>
                <w:p>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t/a</w:t>
                  </w:r>
                </w:p>
              </w:tc>
              <w:tc>
                <w:tcPr>
                  <w:tcW w:w="807"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当地环卫部门处置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vMerge w:val="restar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w:t>
                  </w:r>
                </w:p>
              </w:tc>
              <w:tc>
                <w:tcPr>
                  <w:tcW w:w="696" w:type="pct"/>
                  <w:vAlign w:val="center"/>
                </w:tcPr>
                <w:p>
                  <w:pPr>
                    <w:jc w:val="center"/>
                    <w:rPr>
                      <w:rFonts w:hint="default" w:ascii="Times New Roman" w:hAnsi="Times New Roman" w:eastAsia="宋体" w:cs="Times New Roman"/>
                      <w:color w:val="auto"/>
                      <w:sz w:val="21"/>
                      <w:szCs w:val="21"/>
                      <w:highlight w:val="none"/>
                    </w:rPr>
                  </w:pPr>
                  <w:r>
                    <w:rPr>
                      <w:rFonts w:hint="eastAsia" w:cs="Times New Roman"/>
                      <w:color w:val="auto"/>
                      <w:szCs w:val="21"/>
                      <w:highlight w:val="none"/>
                      <w:lang w:val="en-US" w:eastAsia="zh-CN"/>
                    </w:rPr>
                    <w:t>沉淀池</w:t>
                  </w:r>
                </w:p>
              </w:tc>
              <w:tc>
                <w:tcPr>
                  <w:tcW w:w="1033" w:type="pct"/>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Cs w:val="21"/>
                      <w:highlight w:val="none"/>
                      <w:lang w:val="en-US" w:eastAsia="zh-CN"/>
                    </w:rPr>
                    <w:t>沉淀池沉砂</w:t>
                  </w:r>
                </w:p>
              </w:tc>
              <w:tc>
                <w:tcPr>
                  <w:tcW w:w="700" w:type="pct"/>
                  <w:vMerge w:val="continue"/>
                  <w:vAlign w:val="center"/>
                </w:tcPr>
                <w:p>
                  <w:pPr>
                    <w:jc w:val="center"/>
                    <w:rPr>
                      <w:rFonts w:hint="default" w:ascii="Times New Roman" w:hAnsi="Times New Roman" w:eastAsia="宋体" w:cs="Times New Roman"/>
                      <w:color w:val="auto"/>
                      <w:sz w:val="21"/>
                      <w:szCs w:val="21"/>
                      <w:highlight w:val="none"/>
                    </w:rPr>
                  </w:pPr>
                </w:p>
              </w:tc>
              <w:tc>
                <w:tcPr>
                  <w:tcW w:w="725"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lang w:val="en-US" w:eastAsia="zh-CN"/>
                    </w:rPr>
                    <w:t>43.93t/a</w:t>
                  </w:r>
                </w:p>
              </w:tc>
              <w:tc>
                <w:tcPr>
                  <w:tcW w:w="607"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07" w:type="pct"/>
                  <w:vMerge w:val="restart"/>
                  <w:vAlign w:val="center"/>
                </w:tcPr>
                <w:p>
                  <w:pPr>
                    <w:jc w:val="both"/>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vMerge w:val="continue"/>
                  <w:vAlign w:val="center"/>
                </w:tcPr>
                <w:p>
                  <w:pPr>
                    <w:jc w:val="center"/>
                    <w:rPr>
                      <w:rFonts w:hint="default" w:ascii="Times New Roman" w:hAnsi="Times New Roman" w:eastAsia="宋体" w:cs="Times New Roman"/>
                      <w:color w:val="auto"/>
                      <w:sz w:val="21"/>
                      <w:szCs w:val="21"/>
                      <w:highlight w:val="none"/>
                    </w:rPr>
                  </w:pPr>
                </w:p>
              </w:tc>
              <w:tc>
                <w:tcPr>
                  <w:tcW w:w="696"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布袋除尘器</w:t>
                  </w:r>
                </w:p>
              </w:tc>
              <w:tc>
                <w:tcPr>
                  <w:tcW w:w="1033" w:type="pct"/>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Cs w:val="21"/>
                      <w:highlight w:val="none"/>
                      <w:lang w:val="en-US" w:eastAsia="zh-CN"/>
                    </w:rPr>
                    <w:t>除尘器收集粉尘</w:t>
                  </w:r>
                </w:p>
              </w:tc>
              <w:tc>
                <w:tcPr>
                  <w:tcW w:w="700" w:type="pct"/>
                  <w:vMerge w:val="continue"/>
                  <w:vAlign w:val="center"/>
                </w:tcPr>
                <w:p>
                  <w:pPr>
                    <w:jc w:val="center"/>
                    <w:rPr>
                      <w:rFonts w:hint="default" w:ascii="Times New Roman" w:hAnsi="Times New Roman" w:eastAsia="宋体" w:cs="Times New Roman"/>
                      <w:color w:val="auto"/>
                      <w:sz w:val="21"/>
                      <w:szCs w:val="21"/>
                      <w:highlight w:val="none"/>
                    </w:rPr>
                  </w:pPr>
                </w:p>
              </w:tc>
              <w:tc>
                <w:tcPr>
                  <w:tcW w:w="725"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149.5t/a</w:t>
                  </w:r>
                </w:p>
              </w:tc>
              <w:tc>
                <w:tcPr>
                  <w:tcW w:w="607"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07" w:type="pct"/>
                  <w:vMerge w:val="continue"/>
                  <w:vAlign w:val="center"/>
                </w:tcPr>
                <w:p>
                  <w:pPr>
                    <w:jc w:val="center"/>
                    <w:rPr>
                      <w:rFonts w:hint="default" w:ascii="Times New Roman" w:hAnsi="Times New Roman" w:eastAsia="宋体" w:cs="Times New Roman"/>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kern w:val="0"/>
                <w:sz w:val="24"/>
                <w:szCs w:val="24"/>
                <w:highlight w:val="none"/>
                <w:vertAlign w:val="baseline"/>
                <w:lang w:val="en-US" w:eastAsia="zh-CN" w:bidi="ar-SA"/>
              </w:rPr>
            </w:pPr>
            <w:r>
              <w:rPr>
                <w:rFonts w:hint="eastAsia" w:ascii="Times New Roman" w:hAnsi="Times New Roman" w:eastAsia="宋体" w:cs="Times New Roman"/>
                <w:b/>
                <w:bCs/>
                <w:color w:val="auto"/>
                <w:kern w:val="0"/>
                <w:sz w:val="24"/>
                <w:szCs w:val="24"/>
                <w:highlight w:val="none"/>
                <w:vertAlign w:val="baseline"/>
                <w:lang w:val="en-US" w:eastAsia="zh-CN" w:bidi="ar-SA"/>
              </w:rPr>
              <w:t>5、</w:t>
            </w:r>
            <w:r>
              <w:rPr>
                <w:rFonts w:hint="default" w:ascii="Times New Roman" w:hAnsi="Times New Roman" w:eastAsia="宋体" w:cs="Times New Roman"/>
                <w:b/>
                <w:bCs/>
                <w:color w:val="auto"/>
                <w:kern w:val="0"/>
                <w:sz w:val="24"/>
                <w:szCs w:val="24"/>
                <w:highlight w:val="none"/>
                <w:vertAlign w:val="baseline"/>
                <w:lang w:val="en-US" w:eastAsia="zh-CN" w:bidi="ar-SA"/>
              </w:rPr>
              <w:t>地下水环境影响分析</w:t>
            </w:r>
            <w:r>
              <w:rPr>
                <w:rFonts w:hint="default" w:ascii="Times New Roman" w:hAnsi="Times New Roman" w:eastAsia="宋体" w:cs="Times New Roman"/>
                <w:color w:val="auto"/>
                <w:kern w:val="0"/>
                <w:sz w:val="24"/>
                <w:szCs w:val="24"/>
                <w:highlight w:val="none"/>
                <w:vertAlign w:val="baseline"/>
                <w:lang w:val="en-US" w:eastAsia="zh-CN" w:bidi="ar-SA"/>
              </w:rPr>
              <w:t xml:space="preserve">                                                                                                                                                                                                                                                                                                                                                                                                                                                                                                                                                                                                                                                                                                                                                                                                                                                                                                                                                                                                                                                                                                                                                                                                                                                                                                                                                                                                                                                                                                                                                                                                                                                                                                                                                                                                                                                                                                                                                                                                                                                                                                                                                                                                                                                                                                                                                                                                                                                                                                                                                                                                                                                                                                                                                                                                                                                                                                                                                                                                                                                                                                                                                                                                                                                                                                                                                                                                                                                                                                                                                                                                                                                                                                                                                                                                                                                                                                                                                                                                                                                                                                                                                                                                                </w:t>
            </w:r>
            <w:r>
              <w:rPr>
                <w:rFonts w:hint="default" w:ascii="Times New Roman" w:hAnsi="Times New Roman" w:eastAsia="宋体" w:cs="Times New Roman"/>
                <w:color w:val="auto"/>
                <w:kern w:val="0"/>
                <w:sz w:val="24"/>
                <w:szCs w:val="24"/>
                <w:highlight w:val="none"/>
                <w:vertAlign w:val="baseline"/>
                <w:lang w:val="en-US" w:eastAsia="zh-CN" w:bidi="ar-SA"/>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根据《环境影响评价技术导则·地下水环境》（HJ610-2016）附录 A 地下水环境影响评价行业分类表，该项目属于“J 非金属矿采选及制品制造”中的“60 砼结构构件制造、商品混凝土加工”，根据项目特点，参照其中的“报告表”类别，确定地下水环境影响评价属Ⅳ类项目，Ⅳ类建设项目不开展地下水环境影响评价。</w:t>
            </w:r>
            <w:r>
              <w:rPr>
                <w:color w:val="auto"/>
                <w:sz w:val="24"/>
                <w:highlight w:val="none"/>
              </w:rPr>
              <w:t>以下简单对地下水环境的影响进行分析。</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项目厂区内部打一地下水井，已于2021年8月23日取得“取水许可证”（见附件），有限期至2026年8月22日。厂区地面</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沉淀池、化粪池均做防渗处理，取水井井口处设置围堰，全厂作硬化处置，阻止地面污水进入地下水，井口处采用盖板，阻止粉尘等污染物进入水井从而污染地下水。并于水井井口四周设置围栏，张贴警示标识，未经许可禁止靠近水井。</w:t>
            </w:r>
            <w:r>
              <w:rPr>
                <w:rFonts w:hint="default" w:ascii="Times New Roman" w:hAnsi="Times New Roman" w:eastAsia="宋体" w:cs="Times New Roman"/>
                <w:color w:val="auto"/>
                <w:kern w:val="0"/>
                <w:sz w:val="24"/>
                <w:szCs w:val="24"/>
                <w:highlight w:val="none"/>
                <w:lang w:val="en-US" w:eastAsia="zh-CN" w:bidi="ar"/>
              </w:rPr>
              <w:t>综上，</w:t>
            </w:r>
            <w:r>
              <w:rPr>
                <w:rFonts w:hint="eastAsia" w:cs="Times New Roman"/>
                <w:color w:val="auto"/>
                <w:kern w:val="0"/>
                <w:sz w:val="24"/>
                <w:szCs w:val="24"/>
                <w:highlight w:val="none"/>
                <w:lang w:val="en-US" w:eastAsia="zh-CN" w:bidi="ar"/>
              </w:rPr>
              <w:t>本项目采取了合理的</w:t>
            </w:r>
            <w:r>
              <w:rPr>
                <w:rFonts w:hint="default" w:ascii="Times New Roman" w:hAnsi="Times New Roman" w:eastAsia="宋体" w:cs="Times New Roman"/>
                <w:color w:val="auto"/>
                <w:kern w:val="0"/>
                <w:sz w:val="24"/>
                <w:szCs w:val="24"/>
                <w:highlight w:val="none"/>
                <w:lang w:val="en-US" w:eastAsia="zh-CN" w:bidi="ar"/>
              </w:rPr>
              <w:t>防渗措施后，可保证在非正常工况和事故状态下废水排放不会对地下水质造成污染</w:t>
            </w:r>
            <w:r>
              <w:rPr>
                <w:rFonts w:hint="eastAsia" w:ascii="Times New Roman" w:hAnsi="Times New Roman" w:eastAsia="宋体" w:cs="Times New Roman"/>
                <w:color w:val="auto"/>
                <w:kern w:val="0"/>
                <w:sz w:val="24"/>
                <w:szCs w:val="24"/>
                <w:highlight w:val="none"/>
                <w:lang w:val="en-US" w:eastAsia="zh-CN" w:bidi="ar"/>
              </w:rPr>
              <w:t>影响，可有效避免地下水污染事故的发生。</w:t>
            </w:r>
            <w:r>
              <w:rPr>
                <w:rFonts w:hint="eastAsia" w:cs="Times New Roman"/>
                <w:color w:val="auto"/>
                <w:kern w:val="0"/>
                <w:sz w:val="24"/>
                <w:szCs w:val="24"/>
                <w:highlight w:val="none"/>
                <w:lang w:val="en-US" w:eastAsia="zh-CN" w:bidi="ar"/>
              </w:rPr>
              <w:t>外加剂筒仓储存处做地面硬化，设置围堰，若外加剂泄露，不会溢流至地下水井，也不会下渗至地下水。</w:t>
            </w:r>
          </w:p>
          <w:p>
            <w:pPr>
              <w:pStyle w:val="2"/>
              <w:keepNext w:val="0"/>
              <w:keepLines w:val="0"/>
              <w:pageBreakBefore w:val="0"/>
              <w:kinsoku/>
              <w:wordWrap/>
              <w:overflowPunct/>
              <w:topLinePunct w:val="0"/>
              <w:autoSpaceDE/>
              <w:autoSpaceDN/>
              <w:bidi w:val="0"/>
              <w:adjustRightInd w:val="0"/>
              <w:snapToGrid w:val="0"/>
              <w:spacing w:after="0"/>
              <w:ind w:left="0" w:leftChars="0"/>
              <w:textAlignment w:val="auto"/>
              <w:rPr>
                <w:rFonts w:hint="eastAsia" w:eastAsia="宋体" w:cs="Times New Roman"/>
                <w:color w:val="auto"/>
                <w:kern w:val="0"/>
                <w:sz w:val="24"/>
                <w:szCs w:val="24"/>
                <w:highlight w:val="none"/>
                <w:lang w:val="en-US" w:eastAsia="zh-CN" w:bidi="ar"/>
              </w:rPr>
            </w:pPr>
            <w:r>
              <w:rPr>
                <w:rFonts w:hint="eastAsia" w:eastAsia="宋体" w:cs="Times New Roman"/>
                <w:color w:val="auto"/>
                <w:kern w:val="0"/>
                <w:sz w:val="24"/>
                <w:szCs w:val="24"/>
                <w:highlight w:val="none"/>
                <w:lang w:val="en-US" w:eastAsia="zh-CN" w:bidi="ar"/>
              </w:rPr>
              <w:t>因此，本项目对地下水的影响较小。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cs="Times New Roman"/>
                <w:b/>
                <w:bCs/>
                <w:color w:val="auto"/>
                <w:kern w:val="0"/>
                <w:sz w:val="24"/>
                <w:szCs w:val="24"/>
                <w:highlight w:val="none"/>
                <w:vertAlign w:val="baseline"/>
                <w:lang w:val="en-US" w:eastAsia="zh-CN" w:bidi="ar-SA"/>
              </w:rPr>
            </w:pPr>
            <w:r>
              <w:rPr>
                <w:rFonts w:hint="eastAsia" w:cs="Times New Roman"/>
                <w:b/>
                <w:bCs/>
                <w:color w:val="auto"/>
                <w:kern w:val="0"/>
                <w:sz w:val="24"/>
                <w:szCs w:val="24"/>
                <w:highlight w:val="none"/>
                <w:vertAlign w:val="baseline"/>
                <w:lang w:val="en-US" w:eastAsia="zh-CN" w:bidi="ar-SA"/>
              </w:rPr>
              <w:t>6、土壤环境影响分析</w:t>
            </w:r>
          </w:p>
          <w:p>
            <w:pPr>
              <w:adjustRightInd w:val="0"/>
              <w:snapToGrid w:val="0"/>
              <w:spacing w:line="360" w:lineRule="auto"/>
              <w:ind w:firstLine="480" w:firstLineChars="200"/>
              <w:jc w:val="both"/>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highlight w:val="none"/>
                <w:lang w:val="en-US" w:eastAsia="zh-CN"/>
              </w:rPr>
              <w:t>根据《建设项目环境影响报告表编制技术指南》（污染影响类）（试行）中“原则上不开展环境质量现状调查。建设项目存在土壤、地下水环境污染途径的，应结合污染源、保护目标分布情况开展现状调查以留作背景值”要求，本项目</w:t>
            </w:r>
            <w:r>
              <w:rPr>
                <w:rFonts w:hint="eastAsia" w:cs="Times New Roman"/>
                <w:color w:val="auto"/>
                <w:sz w:val="24"/>
                <w:highlight w:val="none"/>
                <w:lang w:val="en-US" w:eastAsia="zh-CN"/>
              </w:rPr>
              <w:t>在原有</w:t>
            </w:r>
            <w:r>
              <w:rPr>
                <w:rFonts w:hint="default" w:ascii="Times New Roman" w:hAnsi="Times New Roman" w:eastAsia="宋体" w:cs="Times New Roman"/>
                <w:color w:val="auto"/>
                <w:sz w:val="24"/>
                <w:highlight w:val="none"/>
                <w:lang w:val="en-US" w:eastAsia="zh-CN"/>
              </w:rPr>
              <w:t>厂房进行建设，地面进行硬化，从源头减少了项目对土壤的污染，本次评价不进行土壤环境质量进行调查。</w:t>
            </w:r>
            <w:r>
              <w:rPr>
                <w:color w:val="auto"/>
                <w:sz w:val="24"/>
                <w:highlight w:val="none"/>
              </w:rPr>
              <w:t>以下简单对地下水环境的影响进行分析。</w:t>
            </w:r>
            <w:r>
              <w:rPr>
                <w:rFonts w:hint="default" w:ascii="Times New Roman" w:hAnsi="Times New Roman" w:eastAsia="宋体" w:cs="Times New Roman"/>
                <w:color w:val="auto"/>
                <w:sz w:val="24"/>
                <w:szCs w:val="20"/>
                <w:highlight w:val="none"/>
              </w:rPr>
              <w:t>本项目</w:t>
            </w:r>
            <w:r>
              <w:rPr>
                <w:rFonts w:hint="eastAsia" w:eastAsia="宋体" w:cs="Times New Roman"/>
                <w:color w:val="auto"/>
                <w:kern w:val="2"/>
                <w:sz w:val="24"/>
                <w:szCs w:val="24"/>
                <w:highlight w:val="none"/>
                <w:lang w:val="en-US" w:eastAsia="zh-CN" w:bidi="ar-SA"/>
              </w:rPr>
              <w:t>运输车辆的维修保养等由陕西鑫达恒泰运输有限公司与咸阳安泰汽车维修服务公司签订定点维修合同</w:t>
            </w:r>
            <w:r>
              <w:rPr>
                <w:rFonts w:hint="eastAsia" w:cs="Times New Roman"/>
                <w:color w:val="auto"/>
                <w:kern w:val="2"/>
                <w:sz w:val="24"/>
                <w:szCs w:val="24"/>
                <w:highlight w:val="none"/>
                <w:lang w:val="en-US" w:eastAsia="zh-CN" w:bidi="ar-SA"/>
              </w:rPr>
              <w:t>，不在项目区范围内进行，因此，本项目</w:t>
            </w:r>
            <w:r>
              <w:rPr>
                <w:rFonts w:hint="eastAsia" w:ascii="Times New Roman" w:hAnsi="Times New Roman" w:eastAsia="宋体" w:cs="Times New Roman"/>
                <w:color w:val="auto"/>
                <w:sz w:val="24"/>
                <w:szCs w:val="20"/>
                <w:highlight w:val="none"/>
                <w:lang w:eastAsia="zh-CN"/>
              </w:rPr>
              <w:t>不产生</w:t>
            </w:r>
            <w:r>
              <w:rPr>
                <w:rFonts w:hint="default" w:ascii="Times New Roman" w:hAnsi="Times New Roman" w:eastAsia="宋体" w:cs="Times New Roman"/>
                <w:color w:val="auto"/>
                <w:sz w:val="24"/>
                <w:szCs w:val="20"/>
                <w:highlight w:val="none"/>
              </w:rPr>
              <w:t>危险废物，</w:t>
            </w:r>
            <w:r>
              <w:rPr>
                <w:rFonts w:hint="eastAsia" w:ascii="Times New Roman" w:hAnsi="Times New Roman" w:eastAsia="宋体" w:cs="Times New Roman"/>
                <w:color w:val="auto"/>
                <w:sz w:val="24"/>
                <w:szCs w:val="20"/>
                <w:highlight w:val="none"/>
                <w:lang w:eastAsia="zh-CN"/>
              </w:rPr>
              <w:t>不</w:t>
            </w:r>
            <w:r>
              <w:rPr>
                <w:rFonts w:hint="default" w:ascii="Times New Roman" w:hAnsi="Times New Roman" w:eastAsia="宋体" w:cs="Times New Roman"/>
                <w:color w:val="auto"/>
                <w:sz w:val="24"/>
                <w:szCs w:val="20"/>
                <w:highlight w:val="none"/>
              </w:rPr>
              <w:t>会导致危废污染土壤；本项目厂区运输车辆较多，运输车辆出现故障时，可能出现跑、冒、滴、漏的情况，经过雨水的冲刷，流入厂区在周边，</w:t>
            </w:r>
            <w:r>
              <w:rPr>
                <w:rFonts w:hint="default" w:ascii="Times New Roman" w:hAnsi="Times New Roman" w:eastAsia="宋体" w:cs="Times New Roman"/>
                <w:color w:val="auto"/>
                <w:sz w:val="24"/>
                <w:szCs w:val="22"/>
                <w:highlight w:val="none"/>
              </w:rPr>
              <w:t>废水中含有少量石油类，进入土壤后将对土壤造成影响</w:t>
            </w:r>
            <w:r>
              <w:rPr>
                <w:rFonts w:hint="default" w:ascii="Times New Roman" w:hAnsi="Times New Roman" w:eastAsia="宋体" w:cs="Times New Roman"/>
                <w:color w:val="auto"/>
                <w:sz w:val="24"/>
                <w:szCs w:val="20"/>
                <w:highlight w:val="none"/>
              </w:rPr>
              <w:t>。</w:t>
            </w:r>
          </w:p>
          <w:p>
            <w:pPr>
              <w:adjustRightInd w:val="0"/>
              <w:snapToGrid w:val="0"/>
              <w:spacing w:line="360" w:lineRule="auto"/>
              <w:ind w:firstLine="480" w:firstLineChars="200"/>
              <w:jc w:val="both"/>
              <w:rPr>
                <w:color w:val="auto"/>
                <w:sz w:val="24"/>
                <w:highlight w:val="none"/>
              </w:rPr>
            </w:pPr>
            <w:r>
              <w:rPr>
                <w:rFonts w:hint="default" w:ascii="Times New Roman" w:hAnsi="Times New Roman" w:eastAsia="宋体" w:cs="Times New Roman"/>
                <w:color w:val="auto"/>
                <w:sz w:val="24"/>
                <w:highlight w:val="none"/>
              </w:rPr>
              <w:t>本项目所在厂区全部硬化</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val="zh-TW"/>
              </w:rPr>
              <w:t>沉淀池，洗车废水沉淀池均采用钢筋混凝土水泥结构，并采取防渗措施，</w:t>
            </w:r>
            <w:r>
              <w:rPr>
                <w:rFonts w:hint="default" w:ascii="Times New Roman" w:hAnsi="Times New Roman" w:eastAsia="宋体" w:cs="Times New Roman"/>
                <w:color w:val="auto"/>
                <w:sz w:val="24"/>
                <w:highlight w:val="none"/>
              </w:rPr>
              <w:t>切断污染源与土壤的联系通道，不会对土壤环境造成污染影响。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vertAlign w:val="baseline"/>
                <w:lang w:val="en-US" w:eastAsia="zh-CN" w:bidi="ar-SA"/>
              </w:rPr>
            </w:pPr>
            <w:bookmarkStart w:id="7" w:name="_Toc53476208"/>
            <w:bookmarkEnd w:id="7"/>
            <w:bookmarkStart w:id="8" w:name="_Toc51625207"/>
            <w:bookmarkEnd w:id="8"/>
            <w:r>
              <w:rPr>
                <w:rFonts w:hint="eastAsia" w:cs="Times New Roman"/>
                <w:b/>
                <w:bCs/>
                <w:color w:val="auto"/>
                <w:kern w:val="0"/>
                <w:sz w:val="24"/>
                <w:szCs w:val="24"/>
                <w:highlight w:val="none"/>
                <w:vertAlign w:val="baseline"/>
                <w:lang w:val="en-US" w:eastAsia="zh-CN" w:bidi="ar-SA"/>
              </w:rPr>
              <w:t>7、</w:t>
            </w:r>
            <w:r>
              <w:rPr>
                <w:rFonts w:hint="default" w:ascii="Times New Roman" w:hAnsi="Times New Roman" w:eastAsia="宋体" w:cs="Times New Roman"/>
                <w:b/>
                <w:bCs/>
                <w:color w:val="auto"/>
                <w:kern w:val="0"/>
                <w:sz w:val="24"/>
                <w:szCs w:val="24"/>
                <w:highlight w:val="none"/>
                <w:vertAlign w:val="baseline"/>
                <w:lang w:val="en-US" w:eastAsia="zh-CN" w:bidi="ar-SA"/>
              </w:rPr>
              <w:t>环境风险评价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color w:val="auto"/>
                <w:kern w:val="0"/>
                <w:sz w:val="24"/>
                <w:szCs w:val="24"/>
                <w:highlight w:val="none"/>
                <w:lang w:val="en-US" w:eastAsia="zh-CN"/>
              </w:rPr>
            </w:pPr>
            <w:r>
              <w:rPr>
                <w:rFonts w:hint="eastAsia" w:eastAsia="宋体" w:cs="宋体"/>
                <w:color w:val="auto"/>
                <w:kern w:val="0"/>
                <w:sz w:val="24"/>
                <w:szCs w:val="24"/>
                <w:highlight w:val="none"/>
                <w:lang w:val="en-US" w:eastAsia="zh-CN"/>
              </w:rPr>
              <w:t>根据《建设项目环境风险评价技术导则》（HJ169-2018）附录A.1和《危险化学品重大危险源辩识》（GB18218-2018），</w:t>
            </w:r>
            <w:r>
              <w:rPr>
                <w:rFonts w:hint="eastAsia" w:ascii="Times New Roman" w:hAnsi="Times New Roman" w:eastAsia="宋体" w:cs="Times New Roman"/>
                <w:color w:val="auto"/>
                <w:kern w:val="2"/>
                <w:sz w:val="24"/>
                <w:szCs w:val="24"/>
                <w:highlight w:val="none"/>
                <w:lang w:val="en-US" w:eastAsia="zh-CN" w:bidi="ar-SA"/>
              </w:rPr>
              <w:t>项目</w:t>
            </w:r>
            <w:r>
              <w:rPr>
                <w:rFonts w:hint="eastAsia" w:eastAsia="宋体" w:cs="Times New Roman"/>
                <w:color w:val="auto"/>
                <w:kern w:val="2"/>
                <w:sz w:val="24"/>
                <w:szCs w:val="24"/>
                <w:highlight w:val="none"/>
                <w:lang w:val="en-US" w:eastAsia="zh-CN" w:bidi="ar-SA"/>
              </w:rPr>
              <w:t>运输车辆的维修保养等由陕西鑫达恒泰运输有限公司与咸阳安泰汽车维修服务公司签订定点维修合同</w:t>
            </w:r>
            <w:r>
              <w:rPr>
                <w:rFonts w:hint="eastAsia" w:cs="Times New Roman"/>
                <w:color w:val="auto"/>
                <w:kern w:val="2"/>
                <w:sz w:val="24"/>
                <w:szCs w:val="24"/>
                <w:highlight w:val="none"/>
                <w:lang w:val="en-US" w:eastAsia="zh-CN" w:bidi="ar-SA"/>
              </w:rPr>
              <w:t>，不在本项目</w:t>
            </w:r>
            <w:r>
              <w:rPr>
                <w:rFonts w:hint="eastAsia" w:ascii="Times New Roman" w:hAnsi="Times New Roman" w:eastAsia="宋体" w:cs="Times New Roman"/>
                <w:color w:val="auto"/>
                <w:kern w:val="0"/>
                <w:sz w:val="24"/>
                <w:szCs w:val="24"/>
                <w:highlight w:val="none"/>
                <w:lang w:val="en-US" w:eastAsia="zh-CN" w:bidi="ar"/>
              </w:rPr>
              <w:t>厂</w:t>
            </w:r>
            <w:r>
              <w:rPr>
                <w:rFonts w:hint="eastAsia" w:cs="Times New Roman"/>
                <w:color w:val="auto"/>
                <w:kern w:val="2"/>
                <w:sz w:val="24"/>
                <w:szCs w:val="24"/>
                <w:highlight w:val="none"/>
                <w:lang w:val="en-US" w:eastAsia="zh-CN" w:bidi="ar-SA"/>
              </w:rPr>
              <w:t>区内进行，因此</w:t>
            </w:r>
            <w:r>
              <w:rPr>
                <w:rFonts w:hint="eastAsia" w:ascii="Times New Roman" w:hAnsi="Times New Roman" w:eastAsia="宋体" w:cs="Times New Roman"/>
                <w:color w:val="auto"/>
                <w:kern w:val="0"/>
                <w:sz w:val="24"/>
                <w:szCs w:val="24"/>
                <w:highlight w:val="none"/>
                <w:lang w:val="en-US" w:eastAsia="zh-CN" w:bidi="ar"/>
              </w:rPr>
              <w:t>本项目厂区内不产生危险废物</w:t>
            </w:r>
            <w:r>
              <w:rPr>
                <w:rFonts w:hint="eastAsia" w:cs="Times New Roman"/>
                <w:color w:val="auto"/>
                <w:kern w:val="0"/>
                <w:sz w:val="24"/>
                <w:szCs w:val="24"/>
                <w:highlight w:val="none"/>
                <w:lang w:val="en-US" w:eastAsia="zh-CN" w:bidi="ar"/>
              </w:rPr>
              <w:t>。</w:t>
            </w:r>
            <w:r>
              <w:rPr>
                <w:rFonts w:hint="eastAsia" w:eastAsia="宋体" w:cs="宋体"/>
                <w:color w:val="auto"/>
                <w:kern w:val="0"/>
                <w:sz w:val="24"/>
                <w:szCs w:val="24"/>
                <w:highlight w:val="none"/>
                <w:lang w:val="en-US" w:eastAsia="zh-CN"/>
              </w:rPr>
              <w:t>本项目</w:t>
            </w:r>
            <w:r>
              <w:rPr>
                <w:rFonts w:hint="eastAsia" w:cs="宋体"/>
                <w:color w:val="auto"/>
                <w:kern w:val="0"/>
                <w:sz w:val="24"/>
                <w:szCs w:val="24"/>
                <w:highlight w:val="none"/>
                <w:lang w:val="en-US" w:eastAsia="zh-CN"/>
              </w:rPr>
              <w:t>无</w:t>
            </w:r>
            <w:r>
              <w:rPr>
                <w:rFonts w:hint="eastAsia" w:eastAsia="宋体" w:cs="宋体"/>
                <w:color w:val="auto"/>
                <w:kern w:val="0"/>
                <w:sz w:val="24"/>
                <w:szCs w:val="24"/>
                <w:highlight w:val="none"/>
                <w:lang w:val="en-US" w:eastAsia="zh-CN"/>
              </w:rPr>
              <w:t>涉及的危险物质</w:t>
            </w:r>
            <w:r>
              <w:rPr>
                <w:rFonts w:hint="eastAsia" w:cs="宋体"/>
                <w:color w:val="auto"/>
                <w:kern w:val="0"/>
                <w:sz w:val="24"/>
                <w:szCs w:val="24"/>
                <w:highlight w:val="none"/>
                <w:lang w:val="en-US" w:eastAsia="zh-CN"/>
              </w:rPr>
              <w:t>，不存在环境风险。</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vertAlign w:val="baseline"/>
                <w:lang w:val="en-US" w:eastAsia="zh-CN" w:bidi="ar-SA"/>
              </w:rPr>
            </w:pPr>
            <w:r>
              <w:rPr>
                <w:rFonts w:hint="eastAsia" w:ascii="Times New Roman" w:hAnsi="Times New Roman" w:eastAsia="宋体" w:cs="Times New Roman"/>
                <w:b/>
                <w:bCs/>
                <w:color w:val="auto"/>
                <w:kern w:val="0"/>
                <w:sz w:val="24"/>
                <w:szCs w:val="24"/>
                <w:highlight w:val="none"/>
                <w:vertAlign w:val="baseline"/>
                <w:lang w:val="en-US" w:eastAsia="zh-CN" w:bidi="ar-SA"/>
              </w:rPr>
              <w:t>8、“三本账”分析</w:t>
            </w:r>
          </w:p>
          <w:p>
            <w:pPr>
              <w:widowControl/>
              <w:spacing w:line="360" w:lineRule="auto"/>
              <w:ind w:firstLine="480"/>
              <w:jc w:val="left"/>
              <w:rPr>
                <w:rFonts w:ascii="Times New Roman" w:hAnsi="Times New Roman"/>
                <w:b/>
                <w:bCs/>
                <w:color w:val="auto"/>
                <w:sz w:val="24"/>
                <w:highlight w:val="none"/>
              </w:rPr>
            </w:pPr>
            <w:r>
              <w:rPr>
                <w:rFonts w:ascii="Times New Roman" w:hAnsi="Times New Roman"/>
                <w:color w:val="auto"/>
                <w:sz w:val="24"/>
                <w:highlight w:val="none"/>
              </w:rPr>
              <w:t>本项目</w:t>
            </w:r>
            <w:r>
              <w:rPr>
                <w:rFonts w:hint="eastAsia" w:ascii="Times New Roman" w:hAnsi="Times New Roman"/>
                <w:color w:val="auto"/>
                <w:sz w:val="24"/>
                <w:highlight w:val="none"/>
                <w:lang w:val="en-US" w:eastAsia="zh-CN"/>
              </w:rPr>
              <w:t>扩建前后，</w:t>
            </w:r>
            <w:r>
              <w:rPr>
                <w:rFonts w:ascii="Times New Roman" w:hAnsi="Times New Roman"/>
                <w:color w:val="auto"/>
                <w:sz w:val="24"/>
                <w:highlight w:val="none"/>
              </w:rPr>
              <w:t>污染物排放</w:t>
            </w:r>
            <w:r>
              <w:rPr>
                <w:rFonts w:hint="eastAsia" w:ascii="Times New Roman" w:hAnsi="Times New Roman"/>
                <w:color w:val="auto"/>
                <w:sz w:val="24"/>
                <w:highlight w:val="none"/>
                <w:lang w:eastAsia="zh-CN"/>
              </w:rPr>
              <w:t>“</w:t>
            </w:r>
            <w:r>
              <w:rPr>
                <w:rFonts w:ascii="Times New Roman" w:hAnsi="Times New Roman"/>
                <w:color w:val="auto"/>
                <w:sz w:val="24"/>
                <w:highlight w:val="none"/>
              </w:rPr>
              <w:t>三本帐</w:t>
            </w:r>
            <w:r>
              <w:rPr>
                <w:rFonts w:hint="eastAsia" w:ascii="Times New Roman" w:hAnsi="Times New Roman"/>
                <w:color w:val="auto"/>
                <w:sz w:val="24"/>
                <w:highlight w:val="none"/>
                <w:lang w:eastAsia="zh-CN"/>
              </w:rPr>
              <w:t>”</w:t>
            </w:r>
            <w:r>
              <w:rPr>
                <w:rFonts w:ascii="Times New Roman" w:hAnsi="Times New Roman"/>
                <w:color w:val="auto"/>
                <w:sz w:val="24"/>
                <w:highlight w:val="none"/>
              </w:rPr>
              <w:t>具体详见</w:t>
            </w:r>
            <w:r>
              <w:rPr>
                <w:rFonts w:hint="eastAsia" w:ascii="Times New Roman" w:hAnsi="Times New Roman"/>
                <w:color w:val="auto"/>
                <w:sz w:val="24"/>
                <w:highlight w:val="none"/>
                <w:lang w:val="en-US" w:eastAsia="zh-CN"/>
              </w:rPr>
              <w:t>下表</w:t>
            </w:r>
            <w:r>
              <w:rPr>
                <w:rFonts w:ascii="Times New Roman" w:hAnsi="Times New Roman"/>
                <w:color w:val="auto"/>
                <w:sz w:val="24"/>
                <w:highlight w:val="none"/>
              </w:rPr>
              <w:t>。</w:t>
            </w:r>
          </w:p>
          <w:p>
            <w:pPr>
              <w:spacing w:line="360" w:lineRule="auto"/>
              <w:jc w:val="center"/>
              <w:rPr>
                <w:rFonts w:hint="eastAsia"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表</w:t>
            </w:r>
            <w:r>
              <w:rPr>
                <w:rFonts w:hint="eastAsia" w:ascii="Times New Roman" w:hAnsi="Times New Roman" w:eastAsia="宋体" w:cs="Times New Roman"/>
                <w:b/>
                <w:bCs/>
                <w:color w:val="auto"/>
                <w:szCs w:val="21"/>
                <w:highlight w:val="none"/>
                <w:lang w:val="en-US" w:eastAsia="zh-CN"/>
              </w:rPr>
              <w:t>4-1</w:t>
            </w:r>
            <w:r>
              <w:rPr>
                <w:rFonts w:hint="eastAsia" w:cs="Times New Roman"/>
                <w:b/>
                <w:bCs/>
                <w:color w:val="auto"/>
                <w:szCs w:val="21"/>
                <w:highlight w:val="none"/>
                <w:lang w:val="en-US" w:eastAsia="zh-CN"/>
              </w:rPr>
              <w:t>3</w:t>
            </w:r>
            <w:r>
              <w:rPr>
                <w:rFonts w:hint="eastAsia" w:ascii="Times New Roman" w:hAnsi="Times New Roman" w:eastAsia="宋体" w:cs="Times New Roman"/>
                <w:b/>
                <w:bCs/>
                <w:color w:val="auto"/>
                <w:szCs w:val="21"/>
                <w:highlight w:val="none"/>
              </w:rPr>
              <w:t xml:space="preserve"> </w:t>
            </w:r>
            <w:r>
              <w:rPr>
                <w:rFonts w:hint="eastAsia" w:ascii="Times New Roman" w:hAnsi="Times New Roman" w:eastAsia="宋体" w:cs="Times New Roman"/>
                <w:b/>
                <w:bCs/>
                <w:color w:val="auto"/>
                <w:szCs w:val="21"/>
                <w:highlight w:val="none"/>
                <w:lang w:val="en-US" w:eastAsia="zh-CN"/>
              </w:rPr>
              <w:t>扩</w:t>
            </w:r>
            <w:r>
              <w:rPr>
                <w:rFonts w:hint="eastAsia" w:ascii="Times New Roman" w:hAnsi="Times New Roman" w:eastAsia="宋体" w:cs="Times New Roman"/>
                <w:b/>
                <w:bCs/>
                <w:color w:val="auto"/>
                <w:szCs w:val="21"/>
                <w:highlight w:val="none"/>
              </w:rPr>
              <w:t>建</w:t>
            </w:r>
            <w:r>
              <w:rPr>
                <w:rFonts w:hint="eastAsia" w:ascii="Times New Roman" w:hAnsi="Times New Roman" w:eastAsia="宋体" w:cs="Times New Roman"/>
                <w:b/>
                <w:bCs/>
                <w:color w:val="auto"/>
                <w:szCs w:val="21"/>
                <w:highlight w:val="none"/>
                <w:lang w:val="en-US" w:eastAsia="zh-CN"/>
              </w:rPr>
              <w:t>前</w:t>
            </w:r>
            <w:r>
              <w:rPr>
                <w:rFonts w:hint="eastAsia" w:ascii="Times New Roman" w:hAnsi="Times New Roman" w:eastAsia="宋体" w:cs="Times New Roman"/>
                <w:b/>
                <w:bCs/>
                <w:color w:val="auto"/>
                <w:szCs w:val="21"/>
                <w:highlight w:val="none"/>
              </w:rPr>
              <w:t>后项目污染物排放量</w:t>
            </w:r>
            <w:r>
              <w:rPr>
                <w:rFonts w:hint="eastAsia" w:ascii="Times New Roman" w:hAnsi="Times New Roman" w:eastAsia="宋体" w:cs="Times New Roman"/>
                <w:b/>
                <w:bCs/>
                <w:color w:val="auto"/>
                <w:szCs w:val="21"/>
                <w:highlight w:val="none"/>
                <w:lang w:eastAsia="zh-CN"/>
              </w:rPr>
              <w:t>“</w:t>
            </w:r>
            <w:r>
              <w:rPr>
                <w:rFonts w:hint="eastAsia" w:ascii="Times New Roman" w:hAnsi="Times New Roman" w:eastAsia="宋体" w:cs="Times New Roman"/>
                <w:b/>
                <w:bCs/>
                <w:color w:val="auto"/>
                <w:szCs w:val="21"/>
                <w:highlight w:val="none"/>
              </w:rPr>
              <w:t>三本帐</w:t>
            </w:r>
            <w:r>
              <w:rPr>
                <w:rFonts w:hint="eastAsia" w:ascii="Times New Roman" w:hAnsi="Times New Roman" w:eastAsia="宋体" w:cs="Times New Roman"/>
                <w:b/>
                <w:bCs/>
                <w:color w:val="auto"/>
                <w:szCs w:val="21"/>
                <w:highlight w:val="none"/>
                <w:lang w:eastAsia="zh-CN"/>
              </w:rPr>
              <w:t>”</w:t>
            </w:r>
            <w:r>
              <w:rPr>
                <w:rFonts w:hint="eastAsia" w:ascii="Times New Roman" w:hAnsi="Times New Roman" w:eastAsia="宋体" w:cs="Times New Roman"/>
                <w:b/>
                <w:bCs/>
                <w:color w:val="auto"/>
                <w:szCs w:val="21"/>
                <w:highlight w:val="none"/>
              </w:rPr>
              <w:t xml:space="preserve">    单位：t/a</w:t>
            </w:r>
          </w:p>
          <w:tbl>
            <w:tblPr>
              <w:tblStyle w:val="29"/>
              <w:tblW w:w="498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64"/>
              <w:gridCol w:w="2128"/>
              <w:gridCol w:w="1204"/>
              <w:gridCol w:w="1076"/>
              <w:gridCol w:w="1251"/>
              <w:gridCol w:w="1064"/>
              <w:gridCol w:w="118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21" w:hRule="atLeast"/>
                <w:tblHeader/>
                <w:jc w:val="center"/>
              </w:trPr>
              <w:tc>
                <w:tcPr>
                  <w:tcW w:w="332" w:type="pct"/>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种类</w:t>
                  </w:r>
                </w:p>
              </w:tc>
              <w:tc>
                <w:tcPr>
                  <w:tcW w:w="1256" w:type="pct"/>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污染物名称</w:t>
                  </w:r>
                </w:p>
              </w:tc>
              <w:tc>
                <w:tcPr>
                  <w:tcW w:w="710" w:type="pct"/>
                  <w:tcBorders>
                    <w:left w:val="single" w:color="auto" w:sz="4" w:space="0"/>
                  </w:tcBorders>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现有工程排放量</w:t>
                  </w:r>
                </w:p>
              </w:tc>
              <w:tc>
                <w:tcPr>
                  <w:tcW w:w="635" w:type="pct"/>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本工程排放量</w:t>
                  </w:r>
                </w:p>
              </w:tc>
              <w:tc>
                <w:tcPr>
                  <w:tcW w:w="738" w:type="pct"/>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扩建</w:t>
                  </w:r>
                  <w:r>
                    <w:rPr>
                      <w:rFonts w:hint="default" w:ascii="Times New Roman" w:hAnsi="Times New Roman" w:eastAsia="宋体" w:cs="Times New Roman"/>
                      <w:color w:val="auto"/>
                      <w:sz w:val="21"/>
                      <w:szCs w:val="21"/>
                      <w:highlight w:val="none"/>
                    </w:rPr>
                    <w:t>后排放量</w:t>
                  </w:r>
                </w:p>
              </w:tc>
              <w:tc>
                <w:tcPr>
                  <w:tcW w:w="628" w:type="pct"/>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“以新带老”削减量</w:t>
                  </w:r>
                </w:p>
              </w:tc>
              <w:tc>
                <w:tcPr>
                  <w:tcW w:w="697" w:type="pct"/>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扩建</w:t>
                  </w:r>
                  <w:r>
                    <w:rPr>
                      <w:rFonts w:hint="default" w:ascii="Times New Roman" w:hAnsi="Times New Roman" w:eastAsia="宋体" w:cs="Times New Roman"/>
                      <w:color w:val="auto"/>
                      <w:sz w:val="21"/>
                      <w:szCs w:val="21"/>
                      <w:highlight w:val="none"/>
                    </w:rPr>
                    <w:t>前后排放增减量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8" w:hRule="atLeast"/>
                <w:jc w:val="center"/>
              </w:trPr>
              <w:tc>
                <w:tcPr>
                  <w:tcW w:w="332" w:type="pct"/>
                  <w:vMerge w:val="restart"/>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256"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10" w:type="pct"/>
                  <w:tcBorders>
                    <w:left w:val="single" w:color="auto"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lang w:val="en-US" w:eastAsia="zh-CN"/>
                    </w:rPr>
                    <w:t>3.9432</w:t>
                  </w:r>
                </w:p>
              </w:tc>
              <w:tc>
                <w:tcPr>
                  <w:tcW w:w="635"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snapToGrid w:val="0"/>
                      <w:color w:val="auto"/>
                      <w:kern w:val="0"/>
                      <w:sz w:val="21"/>
                      <w:szCs w:val="21"/>
                      <w:highlight w:val="none"/>
                      <w:lang w:val="en-US" w:eastAsia="zh-CN"/>
                    </w:rPr>
                    <w:t>6.572</w:t>
                  </w:r>
                </w:p>
              </w:tc>
              <w:tc>
                <w:tcPr>
                  <w:tcW w:w="738" w:type="pct"/>
                  <w:noWrap w:val="0"/>
                  <w:vAlign w:val="center"/>
                </w:tcPr>
                <w:p>
                  <w:pPr>
                    <w:widowControl/>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10.5152</w:t>
                  </w:r>
                </w:p>
              </w:tc>
              <w:tc>
                <w:tcPr>
                  <w:tcW w:w="628"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182"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snapToGrid w:val="0"/>
                      <w:color w:val="auto"/>
                      <w:kern w:val="0"/>
                      <w:sz w:val="21"/>
                      <w:szCs w:val="21"/>
                      <w:highlight w:val="none"/>
                      <w:lang w:val="en-US" w:eastAsia="zh-CN"/>
                    </w:rPr>
                    <w:t>+6.572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8" w:hRule="atLeast"/>
                <w:jc w:val="center"/>
              </w:trPr>
              <w:tc>
                <w:tcPr>
                  <w:tcW w:w="332" w:type="pct"/>
                  <w:vMerge w:val="continue"/>
                  <w:tcBorders>
                    <w:bottom w:val="single" w:color="auto" w:sz="4" w:space="0"/>
                  </w:tcBorders>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p>
              </w:tc>
              <w:tc>
                <w:tcPr>
                  <w:tcW w:w="1256"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w:t>
                  </w:r>
                </w:p>
              </w:tc>
              <w:tc>
                <w:tcPr>
                  <w:tcW w:w="710" w:type="pct"/>
                  <w:tcBorders>
                    <w:left w:val="single" w:color="auto" w:sz="4" w:space="0"/>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0.0027</w:t>
                  </w:r>
                </w:p>
              </w:tc>
              <w:tc>
                <w:tcPr>
                  <w:tcW w:w="635"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w:t>
                  </w:r>
                </w:p>
              </w:tc>
              <w:tc>
                <w:tcPr>
                  <w:tcW w:w="738" w:type="pct"/>
                  <w:noWrap w:val="0"/>
                  <w:vAlign w:val="center"/>
                </w:tcPr>
                <w:p>
                  <w:pPr>
                    <w:widowControl/>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0.0027</w:t>
                  </w:r>
                </w:p>
              </w:tc>
              <w:tc>
                <w:tcPr>
                  <w:tcW w:w="628"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182"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1" w:hRule="atLeast"/>
                <w:jc w:val="center"/>
              </w:trPr>
              <w:tc>
                <w:tcPr>
                  <w:tcW w:w="332" w:type="pct"/>
                  <w:vMerge w:val="restart"/>
                  <w:tcBorders>
                    <w:top w:val="single" w:color="auto" w:sz="4" w:space="0"/>
                  </w:tcBorders>
                  <w:noWrap w:val="0"/>
                  <w:vAlign w:val="center"/>
                </w:tcPr>
                <w:p>
                  <w:pPr>
                    <w:widowControl/>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废水</w:t>
                  </w:r>
                </w:p>
              </w:tc>
              <w:tc>
                <w:tcPr>
                  <w:tcW w:w="1256"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生活污水</w:t>
                  </w:r>
                </w:p>
              </w:tc>
              <w:tc>
                <w:tcPr>
                  <w:tcW w:w="710" w:type="pct"/>
                  <w:tcBorders>
                    <w:lef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635"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738" w:type="pct"/>
                  <w:noWrap w:val="0"/>
                  <w:vAlign w:val="center"/>
                </w:tcPr>
                <w:p>
                  <w:pPr>
                    <w:widowControl/>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628"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182"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1" w:hRule="atLeast"/>
                <w:jc w:val="center"/>
              </w:trPr>
              <w:tc>
                <w:tcPr>
                  <w:tcW w:w="332" w:type="pct"/>
                  <w:vMerge w:val="continue"/>
                  <w:noWrap w:val="0"/>
                  <w:vAlign w:val="center"/>
                </w:tcPr>
                <w:p>
                  <w:pPr>
                    <w:widowControl/>
                    <w:spacing w:line="240" w:lineRule="auto"/>
                    <w:jc w:val="center"/>
                    <w:rPr>
                      <w:rFonts w:hint="default" w:ascii="Times New Roman" w:hAnsi="Times New Roman" w:eastAsia="宋体" w:cs="Times New Roman"/>
                      <w:color w:val="auto"/>
                      <w:sz w:val="21"/>
                      <w:szCs w:val="21"/>
                      <w:highlight w:val="none"/>
                      <w:lang w:eastAsia="zh-CN"/>
                    </w:rPr>
                  </w:pPr>
                </w:p>
              </w:tc>
              <w:tc>
                <w:tcPr>
                  <w:tcW w:w="1256"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生产废水</w:t>
                  </w:r>
                </w:p>
              </w:tc>
              <w:tc>
                <w:tcPr>
                  <w:tcW w:w="710" w:type="pct"/>
                  <w:tcBorders>
                    <w:lef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p>
              </w:tc>
              <w:tc>
                <w:tcPr>
                  <w:tcW w:w="635"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738" w:type="pct"/>
                  <w:noWrap w:val="0"/>
                  <w:vAlign w:val="center"/>
                </w:tcPr>
                <w:p>
                  <w:pPr>
                    <w:widowControl/>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628"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182"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4" w:hRule="atLeast"/>
                <w:jc w:val="center"/>
              </w:trPr>
              <w:tc>
                <w:tcPr>
                  <w:tcW w:w="332" w:type="pct"/>
                  <w:vMerge w:val="restart"/>
                  <w:tcBorders>
                    <w:top w:val="single" w:color="auto" w:sz="4" w:space="0"/>
                  </w:tcBorders>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256" w:type="pct"/>
                  <w:tcBorders>
                    <w:top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710" w:type="pct"/>
                  <w:tcBorders>
                    <w:lef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highlight w:val="none"/>
                      <w:lang w:val="en-US" w:eastAsia="zh-CN"/>
                    </w:rPr>
                    <w:t>0.153</w:t>
                  </w:r>
                </w:p>
              </w:tc>
              <w:tc>
                <w:tcPr>
                  <w:tcW w:w="635"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738" w:type="pct"/>
                  <w:noWrap w:val="0"/>
                  <w:vAlign w:val="center"/>
                </w:tcPr>
                <w:p>
                  <w:pPr>
                    <w:widowControl/>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highlight w:val="none"/>
                      <w:lang w:val="en-US" w:eastAsia="zh-CN"/>
                    </w:rPr>
                    <w:t>0.153</w:t>
                  </w:r>
                </w:p>
              </w:tc>
              <w:tc>
                <w:tcPr>
                  <w:tcW w:w="628"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1182" w:type="dxa"/>
                  <w:noWrap w:val="0"/>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8" w:hRule="atLeast"/>
                <w:jc w:val="center"/>
              </w:trPr>
              <w:tc>
                <w:tcPr>
                  <w:tcW w:w="332" w:type="pct"/>
                  <w:vMerge w:val="continue"/>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p>
              </w:tc>
              <w:tc>
                <w:tcPr>
                  <w:tcW w:w="125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沉淀池沉砂</w:t>
                  </w:r>
                </w:p>
              </w:tc>
              <w:tc>
                <w:tcPr>
                  <w:tcW w:w="710" w:type="pct"/>
                  <w:tcBorders>
                    <w:lef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26.358</w:t>
                  </w:r>
                </w:p>
              </w:tc>
              <w:tc>
                <w:tcPr>
                  <w:tcW w:w="635"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lang w:val="en-US" w:eastAsia="zh-CN"/>
                    </w:rPr>
                    <w:t>43.93</w:t>
                  </w:r>
                </w:p>
              </w:tc>
              <w:tc>
                <w:tcPr>
                  <w:tcW w:w="1251" w:type="dxa"/>
                  <w:noWrap w:val="0"/>
                  <w:vAlign w:val="center"/>
                </w:tcPr>
                <w:p>
                  <w:pPr>
                    <w:widowControl/>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70.288</w:t>
                  </w:r>
                </w:p>
              </w:tc>
              <w:tc>
                <w:tcPr>
                  <w:tcW w:w="628"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182"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shd w:val="clear"/>
                      <w:lang w:val="en-US" w:eastAsia="zh-CN"/>
                    </w:rPr>
                    <w:t>+</w:t>
                  </w:r>
                  <w:r>
                    <w:rPr>
                      <w:rFonts w:hint="default" w:ascii="Times New Roman" w:hAnsi="Times New Roman" w:eastAsia="宋体" w:cs="Times New Roman"/>
                      <w:color w:val="auto"/>
                      <w:sz w:val="21"/>
                      <w:szCs w:val="21"/>
                      <w:highlight w:val="none"/>
                      <w:shd w:val="clear"/>
                      <w:lang w:val="en-US" w:eastAsia="zh-CN"/>
                    </w:rPr>
                    <w:t>43.93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32" w:type="pct"/>
                  <w:vMerge w:val="continue"/>
                  <w:tcBorders>
                    <w:bottom w:val="single" w:color="auto" w:sz="4" w:space="0"/>
                  </w:tcBorders>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p>
              </w:tc>
              <w:tc>
                <w:tcPr>
                  <w:tcW w:w="1256"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除尘器收集粉尘</w:t>
                  </w:r>
                </w:p>
              </w:tc>
              <w:tc>
                <w:tcPr>
                  <w:tcW w:w="710" w:type="pct"/>
                  <w:tcBorders>
                    <w:lef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89.7</w:t>
                  </w:r>
                </w:p>
              </w:tc>
              <w:tc>
                <w:tcPr>
                  <w:tcW w:w="635"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149.5</w:t>
                  </w:r>
                </w:p>
              </w:tc>
              <w:tc>
                <w:tcPr>
                  <w:tcW w:w="1251" w:type="dxa"/>
                  <w:noWrap w:val="0"/>
                  <w:vAlign w:val="center"/>
                </w:tcPr>
                <w:p>
                  <w:pPr>
                    <w:widowControl/>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239.2</w:t>
                  </w:r>
                </w:p>
              </w:tc>
              <w:tc>
                <w:tcPr>
                  <w:tcW w:w="628"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182"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+149.5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highlight w:val="none"/>
                <w:vertAlign w:val="baseline"/>
                <w:lang w:val="en-US" w:eastAsia="zh-CN"/>
              </w:rPr>
            </w:pPr>
          </w:p>
        </w:tc>
      </w:tr>
    </w:tbl>
    <w:p>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9" w:name="_Hlk54167917"/>
      <w:r>
        <w:rPr>
          <w:rFonts w:hint="default" w:ascii="Times New Roman" w:hAnsi="Times New Roman" w:eastAsia="黑体" w:cs="Times New Roman"/>
          <w:snapToGrid w:val="0"/>
          <w:color w:val="auto"/>
          <w:sz w:val="30"/>
          <w:szCs w:val="30"/>
          <w:highlight w:val="none"/>
        </w:rPr>
        <w:t>环境保护措施监督检查清单</w:t>
      </w:r>
      <w:bookmarkEnd w:id="9"/>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939"/>
        <w:gridCol w:w="940"/>
        <w:gridCol w:w="1705"/>
        <w:gridCol w:w="1530"/>
        <w:gridCol w:w="19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adjustRightInd w:val="0"/>
              <w:snapToGrid w:val="0"/>
              <w:ind w:firstLine="8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内容</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要素</w:t>
            </w:r>
          </w:p>
        </w:tc>
        <w:tc>
          <w:tcPr>
            <w:tcW w:w="1879" w:type="dxa"/>
            <w:gridSpan w:val="2"/>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排放口</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编号、</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/污染源</w:t>
            </w:r>
          </w:p>
        </w:tc>
        <w:tc>
          <w:tcPr>
            <w:tcW w:w="1705"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污染物项目</w:t>
            </w:r>
          </w:p>
        </w:tc>
        <w:tc>
          <w:tcPr>
            <w:tcW w:w="153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环境保护措施</w:t>
            </w:r>
          </w:p>
        </w:tc>
        <w:tc>
          <w:tcPr>
            <w:tcW w:w="1908"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大气环境</w:t>
            </w:r>
          </w:p>
        </w:tc>
        <w:tc>
          <w:tcPr>
            <w:tcW w:w="1879" w:type="dxa"/>
            <w:gridSpan w:val="2"/>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粉料筒仓粉尘</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砂、石料</w:t>
            </w:r>
            <w:r>
              <w:rPr>
                <w:rFonts w:hint="eastAsia" w:cs="Times New Roman"/>
                <w:color w:val="auto"/>
                <w:sz w:val="21"/>
                <w:szCs w:val="21"/>
                <w:highlight w:val="none"/>
                <w:lang w:eastAsia="zh-CN"/>
              </w:rPr>
              <w:t>堆场、搅拌站、运输车辆</w:t>
            </w:r>
          </w:p>
        </w:tc>
        <w:tc>
          <w:tcPr>
            <w:tcW w:w="1705"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粉尘</w:t>
            </w:r>
          </w:p>
        </w:tc>
        <w:tc>
          <w:tcPr>
            <w:tcW w:w="153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袋式除尘器+喷淋+密闭管道</w:t>
            </w:r>
          </w:p>
        </w:tc>
        <w:tc>
          <w:tcPr>
            <w:tcW w:w="1908"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rPr>
              <w:t>《水泥工业大气污染物排放标准》（G</w:t>
            </w:r>
            <w:r>
              <w:rPr>
                <w:color w:val="auto"/>
                <w:highlight w:val="none"/>
              </w:rPr>
              <w:t>B4915-2013</w:t>
            </w:r>
            <w:r>
              <w:rPr>
                <w:rFonts w:hint="eastAsia"/>
                <w:color w:val="auto"/>
                <w:highlight w:val="none"/>
              </w:rPr>
              <w:t>）表3标准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水环境</w:t>
            </w:r>
          </w:p>
        </w:tc>
        <w:tc>
          <w:tcPr>
            <w:tcW w:w="1879" w:type="dxa"/>
            <w:gridSpan w:val="2"/>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Cs w:val="21"/>
                <w:highlight w:val="none"/>
                <w:lang w:val="en-US" w:eastAsia="zh-CN"/>
              </w:rPr>
              <w:t>生活污水</w:t>
            </w:r>
          </w:p>
        </w:tc>
        <w:tc>
          <w:tcPr>
            <w:tcW w:w="1705"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Cs w:val="21"/>
                <w:highlight w:val="none"/>
                <w:lang w:val="en-US" w:eastAsia="zh-CN"/>
              </w:rPr>
              <w:t>COD、BOD</w:t>
            </w:r>
            <w:r>
              <w:rPr>
                <w:rFonts w:hint="eastAsia" w:eastAsia="宋体" w:cs="Times New Roman"/>
                <w:color w:val="auto"/>
                <w:szCs w:val="21"/>
                <w:highlight w:val="none"/>
                <w:vertAlign w:val="subscript"/>
                <w:lang w:val="en-US" w:eastAsia="zh-CN"/>
              </w:rPr>
              <w:t>5</w:t>
            </w:r>
            <w:r>
              <w:rPr>
                <w:rFonts w:hint="eastAsia" w:eastAsia="宋体" w:cs="Times New Roman"/>
                <w:color w:val="auto"/>
                <w:szCs w:val="21"/>
                <w:highlight w:val="none"/>
                <w:lang w:val="en-US" w:eastAsia="zh-CN"/>
              </w:rPr>
              <w:t>、氨氮、SS等</w:t>
            </w:r>
          </w:p>
        </w:tc>
        <w:tc>
          <w:tcPr>
            <w:tcW w:w="153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油水分离器+化粪池，定期清掏外运</w:t>
            </w:r>
          </w:p>
        </w:tc>
        <w:tc>
          <w:tcPr>
            <w:tcW w:w="1908"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Cs w:val="21"/>
                <w:highlight w:val="none"/>
                <w:lang w:val="en-US"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78"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939" w:type="dxa"/>
            <w:vMerge w:val="restart"/>
            <w:noWrap w:val="0"/>
            <w:vAlign w:val="center"/>
          </w:tcPr>
          <w:p>
            <w:pPr>
              <w:adjustRightInd w:val="0"/>
              <w:snapToGrid w:val="0"/>
              <w:jc w:val="center"/>
              <w:rPr>
                <w:rFonts w:hint="eastAsia" w:eastAsia="宋体" w:cs="Times New Roman"/>
                <w:color w:val="auto"/>
                <w:szCs w:val="21"/>
                <w:highlight w:val="none"/>
                <w:lang w:val="en-US" w:eastAsia="zh-CN"/>
              </w:rPr>
            </w:pPr>
            <w:r>
              <w:rPr>
                <w:rFonts w:hint="eastAsia" w:cs="Times New Roman"/>
                <w:color w:val="auto"/>
                <w:szCs w:val="21"/>
                <w:highlight w:val="none"/>
                <w:lang w:val="en-US" w:eastAsia="zh-CN"/>
              </w:rPr>
              <w:t>生产废水</w:t>
            </w:r>
          </w:p>
        </w:tc>
        <w:tc>
          <w:tcPr>
            <w:tcW w:w="940" w:type="dxa"/>
            <w:noWrap w:val="0"/>
            <w:vAlign w:val="center"/>
          </w:tcPr>
          <w:p>
            <w:pPr>
              <w:adjustRightInd w:val="0"/>
              <w:snapToGrid w:val="0"/>
              <w:jc w:val="center"/>
              <w:rPr>
                <w:rFonts w:hint="eastAsia" w:eastAsia="宋体" w:cs="Times New Roman"/>
                <w:color w:val="auto"/>
                <w:szCs w:val="21"/>
                <w:highlight w:val="none"/>
                <w:lang w:val="en-US" w:eastAsia="zh-CN"/>
              </w:rPr>
            </w:pPr>
            <w:r>
              <w:rPr>
                <w:rFonts w:hint="default" w:eastAsia="宋体" w:cs="Times New Roman"/>
                <w:color w:val="auto"/>
                <w:szCs w:val="21"/>
                <w:highlight w:val="none"/>
                <w:lang w:val="en-US" w:eastAsia="zh-CN"/>
              </w:rPr>
              <w:t>搅拌机及混凝土搅拌运输车辆清洗用水</w:t>
            </w:r>
          </w:p>
        </w:tc>
        <w:tc>
          <w:tcPr>
            <w:tcW w:w="1705" w:type="dxa"/>
            <w:noWrap w:val="0"/>
            <w:vAlign w:val="center"/>
          </w:tcPr>
          <w:p>
            <w:pPr>
              <w:adjustRightInd w:val="0"/>
              <w:snapToGrid w:val="0"/>
              <w:jc w:val="center"/>
              <w:rPr>
                <w:rFonts w:hint="default" w:eastAsia="宋体" w:cs="Times New Roman"/>
                <w:color w:val="auto"/>
                <w:szCs w:val="21"/>
                <w:highlight w:val="none"/>
                <w:lang w:val="en-US" w:eastAsia="zh-CN"/>
              </w:rPr>
            </w:pPr>
            <w:r>
              <w:rPr>
                <w:rFonts w:hint="eastAsia" w:eastAsia="宋体" w:cs="Times New Roman"/>
                <w:color w:val="auto"/>
                <w:szCs w:val="21"/>
                <w:highlight w:val="none"/>
                <w:lang w:val="en-US" w:eastAsia="zh-CN"/>
              </w:rPr>
              <w:t>SS</w:t>
            </w:r>
          </w:p>
        </w:tc>
        <w:tc>
          <w:tcPr>
            <w:tcW w:w="1530" w:type="dxa"/>
            <w:noWrap w:val="0"/>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“压滤机+砂石分离机+三级沉淀池”处理后回用</w:t>
            </w:r>
          </w:p>
        </w:tc>
        <w:tc>
          <w:tcPr>
            <w:tcW w:w="1908" w:type="dxa"/>
            <w:vMerge w:val="restart"/>
            <w:noWrap w:val="0"/>
            <w:vAlign w:val="center"/>
          </w:tcPr>
          <w:p>
            <w:pPr>
              <w:adjustRightInd w:val="0"/>
              <w:snapToGrid w:val="0"/>
              <w:jc w:val="center"/>
              <w:rPr>
                <w:rFonts w:hint="eastAsia" w:eastAsia="宋体" w:cs="Times New Roman"/>
                <w:color w:val="auto"/>
                <w:szCs w:val="21"/>
                <w:highlight w:val="none"/>
                <w:lang w:val="en-US" w:eastAsia="zh-CN"/>
              </w:rPr>
            </w:pPr>
            <w:r>
              <w:rPr>
                <w:rFonts w:hint="eastAsia" w:eastAsia="宋体" w:cs="Times New Roman"/>
                <w:color w:val="auto"/>
                <w:szCs w:val="21"/>
                <w:highlight w:val="none"/>
                <w:lang w:val="en-US"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78" w:type="dxa"/>
            <w:vMerge w:val="continue"/>
            <w:noWrap w:val="0"/>
            <w:vAlign w:val="center"/>
          </w:tcPr>
          <w:p>
            <w:pPr>
              <w:adjustRightInd w:val="0"/>
              <w:snapToGrid w:val="0"/>
              <w:jc w:val="center"/>
            </w:pPr>
          </w:p>
        </w:tc>
        <w:tc>
          <w:tcPr>
            <w:tcW w:w="939" w:type="dxa"/>
            <w:vMerge w:val="continue"/>
            <w:noWrap w:val="0"/>
            <w:vAlign w:val="center"/>
          </w:tcPr>
          <w:p>
            <w:pPr>
              <w:adjustRightInd w:val="0"/>
              <w:snapToGrid w:val="0"/>
              <w:jc w:val="center"/>
            </w:pPr>
          </w:p>
        </w:tc>
        <w:tc>
          <w:tcPr>
            <w:tcW w:w="940" w:type="dxa"/>
            <w:noWrap w:val="0"/>
            <w:vAlign w:val="center"/>
          </w:tcPr>
          <w:p>
            <w:pPr>
              <w:adjustRightInd w:val="0"/>
              <w:snapToGrid w:val="0"/>
              <w:jc w:val="center"/>
              <w:rPr>
                <w:rFonts w:hint="eastAsia" w:eastAsia="宋体" w:cs="Times New Roman"/>
                <w:color w:val="auto"/>
                <w:szCs w:val="21"/>
                <w:highlight w:val="none"/>
                <w:lang w:val="en-US" w:eastAsia="zh-CN"/>
              </w:rPr>
            </w:pPr>
            <w:r>
              <w:rPr>
                <w:rFonts w:hint="default" w:eastAsia="宋体" w:cs="Times New Roman"/>
                <w:color w:val="auto"/>
                <w:szCs w:val="21"/>
                <w:highlight w:val="none"/>
                <w:lang w:val="en-US" w:eastAsia="zh-CN"/>
              </w:rPr>
              <w:t>运输车辆进出门口清洗用水</w:t>
            </w:r>
          </w:p>
        </w:tc>
        <w:tc>
          <w:tcPr>
            <w:tcW w:w="1705" w:type="dxa"/>
            <w:noWrap w:val="0"/>
            <w:vAlign w:val="center"/>
          </w:tcPr>
          <w:p>
            <w:pPr>
              <w:adjustRightInd w:val="0"/>
              <w:snapToGrid w:val="0"/>
              <w:jc w:val="center"/>
              <w:rPr>
                <w:rFonts w:hint="eastAsia" w:cs="Times New Roman"/>
                <w:color w:val="auto"/>
                <w:szCs w:val="21"/>
                <w:highlight w:val="none"/>
                <w:lang w:val="en-US" w:eastAsia="zh-CN"/>
              </w:rPr>
            </w:pPr>
            <w:r>
              <w:rPr>
                <w:rFonts w:hint="eastAsia" w:eastAsia="宋体" w:cs="Times New Roman"/>
                <w:color w:val="auto"/>
                <w:szCs w:val="21"/>
                <w:highlight w:val="none"/>
                <w:lang w:val="en-US" w:eastAsia="zh-CN"/>
              </w:rPr>
              <w:t>SS</w:t>
            </w:r>
          </w:p>
        </w:tc>
        <w:tc>
          <w:tcPr>
            <w:tcW w:w="1530" w:type="dxa"/>
            <w:noWrap w:val="0"/>
            <w:vAlign w:val="center"/>
          </w:tcPr>
          <w:p>
            <w:pPr>
              <w:kinsoku w:val="0"/>
              <w:overflowPunct w:val="0"/>
              <w:autoSpaceDE w:val="0"/>
              <w:autoSpaceDN w:val="0"/>
              <w:jc w:val="center"/>
              <w:rPr>
                <w:rFonts w:hint="eastAsia" w:cs="Times New Roman"/>
                <w:color w:val="auto"/>
                <w:szCs w:val="21"/>
                <w:highlight w:val="none"/>
                <w:lang w:val="en-US" w:eastAsia="zh-CN"/>
              </w:rPr>
            </w:pPr>
            <w:r>
              <w:rPr>
                <w:rFonts w:hint="eastAsia" w:ascii="Times New Roman" w:hAnsi="Times New Roman" w:eastAsia="宋体" w:cs="Times New Roman"/>
                <w:sz w:val="21"/>
                <w:szCs w:val="21"/>
                <w:lang w:eastAsia="zh-CN"/>
              </w:rPr>
              <w:t>经沉淀池沉淀后回用</w:t>
            </w:r>
          </w:p>
        </w:tc>
        <w:tc>
          <w:tcPr>
            <w:tcW w:w="1908" w:type="dxa"/>
            <w:vMerge w:val="continue"/>
            <w:noWrap w:val="0"/>
            <w:vAlign w:val="center"/>
          </w:tcPr>
          <w:p>
            <w:pPr>
              <w:adjustRightInd w:val="0"/>
              <w:snapToGrid w:val="0"/>
              <w:jc w:val="center"/>
              <w:rPr>
                <w:rFonts w:hint="eastAsia" w:cs="Times New Roman"/>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78" w:type="dxa"/>
            <w:vMerge w:val="continue"/>
            <w:noWrap w:val="0"/>
            <w:vAlign w:val="center"/>
          </w:tcPr>
          <w:p>
            <w:pPr>
              <w:adjustRightInd w:val="0"/>
              <w:snapToGrid w:val="0"/>
              <w:jc w:val="center"/>
              <w:rPr>
                <w:rFonts w:hint="eastAsia" w:cs="Times New Roman"/>
                <w:color w:val="auto"/>
                <w:szCs w:val="21"/>
                <w:highlight w:val="none"/>
                <w:lang w:val="en-US" w:eastAsia="zh-CN"/>
              </w:rPr>
            </w:pPr>
          </w:p>
        </w:tc>
        <w:tc>
          <w:tcPr>
            <w:tcW w:w="939" w:type="dxa"/>
            <w:vMerge w:val="continue"/>
            <w:noWrap w:val="0"/>
            <w:vAlign w:val="center"/>
          </w:tcPr>
          <w:p>
            <w:pPr>
              <w:adjustRightInd w:val="0"/>
              <w:snapToGrid w:val="0"/>
              <w:jc w:val="center"/>
              <w:rPr>
                <w:rFonts w:hint="eastAsia" w:cs="Times New Roman"/>
                <w:color w:val="auto"/>
                <w:szCs w:val="21"/>
                <w:highlight w:val="none"/>
                <w:lang w:val="en-US" w:eastAsia="zh-CN"/>
              </w:rPr>
            </w:pPr>
          </w:p>
        </w:tc>
        <w:tc>
          <w:tcPr>
            <w:tcW w:w="940" w:type="dxa"/>
            <w:noWrap w:val="0"/>
            <w:vAlign w:val="center"/>
          </w:tcPr>
          <w:p>
            <w:pPr>
              <w:adjustRightInd w:val="0"/>
              <w:snapToGrid w:val="0"/>
              <w:jc w:val="center"/>
              <w:rPr>
                <w:rFonts w:hint="eastAsia" w:eastAsia="宋体" w:cs="Times New Roman"/>
                <w:color w:val="auto"/>
                <w:szCs w:val="21"/>
                <w:highlight w:val="none"/>
                <w:lang w:val="en-US" w:eastAsia="zh-CN"/>
              </w:rPr>
            </w:pPr>
            <w:r>
              <w:rPr>
                <w:rFonts w:hint="default" w:eastAsia="宋体" w:cs="Times New Roman"/>
                <w:color w:val="auto"/>
                <w:szCs w:val="21"/>
                <w:highlight w:val="none"/>
                <w:lang w:val="en-US" w:eastAsia="zh-CN"/>
              </w:rPr>
              <w:t>抑尘喷淋用</w:t>
            </w:r>
            <w:r>
              <w:rPr>
                <w:rFonts w:hint="default" w:eastAsia="宋体" w:cs="Times New Roman"/>
                <w:color w:val="auto"/>
                <w:szCs w:val="21"/>
                <w:highlight w:val="none"/>
                <w:lang w:val="zh-CN" w:eastAsia="zh-CN"/>
              </w:rPr>
              <w:t>水</w:t>
            </w:r>
          </w:p>
        </w:tc>
        <w:tc>
          <w:tcPr>
            <w:tcW w:w="1705" w:type="dxa"/>
            <w:noWrap w:val="0"/>
            <w:vAlign w:val="center"/>
          </w:tcPr>
          <w:p>
            <w:pPr>
              <w:adjustRightInd w:val="0"/>
              <w:snapToGrid w:val="0"/>
              <w:jc w:val="center"/>
              <w:rPr>
                <w:rFonts w:hint="eastAsia" w:cs="Times New Roman"/>
                <w:color w:val="auto"/>
                <w:szCs w:val="21"/>
                <w:highlight w:val="none"/>
                <w:lang w:val="en-US" w:eastAsia="zh-CN"/>
              </w:rPr>
            </w:pPr>
            <w:r>
              <w:rPr>
                <w:rFonts w:hint="eastAsia" w:eastAsia="宋体" w:cs="Times New Roman"/>
                <w:color w:val="auto"/>
                <w:szCs w:val="21"/>
                <w:highlight w:val="none"/>
                <w:lang w:val="en-US" w:eastAsia="zh-CN"/>
              </w:rPr>
              <w:t>SS</w:t>
            </w:r>
          </w:p>
        </w:tc>
        <w:tc>
          <w:tcPr>
            <w:tcW w:w="1530" w:type="dxa"/>
            <w:noWrap w:val="0"/>
            <w:vAlign w:val="center"/>
          </w:tcPr>
          <w:p>
            <w:pPr>
              <w:kinsoku w:val="0"/>
              <w:overflowPunct w:val="0"/>
              <w:autoSpaceDE w:val="0"/>
              <w:autoSpaceDN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1908" w:type="dxa"/>
            <w:vMerge w:val="continue"/>
            <w:noWrap w:val="0"/>
            <w:vAlign w:val="center"/>
          </w:tcPr>
          <w:p>
            <w:pPr>
              <w:adjustRightInd w:val="0"/>
              <w:snapToGrid w:val="0"/>
              <w:jc w:val="center"/>
              <w:rPr>
                <w:rFonts w:hint="eastAsia" w:cs="Times New Roman"/>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w:t>
            </w:r>
          </w:p>
        </w:tc>
        <w:tc>
          <w:tcPr>
            <w:tcW w:w="1879" w:type="dxa"/>
            <w:gridSpan w:val="2"/>
            <w:noWrap w:val="0"/>
            <w:vAlign w:val="center"/>
          </w:tcPr>
          <w:p>
            <w:pPr>
              <w:adjustRightInd w:val="0"/>
              <w:snapToGrid w:val="0"/>
              <w:jc w:val="center"/>
              <w:rPr>
                <w:rFonts w:hint="default" w:cs="Times New Roman"/>
                <w:color w:val="auto"/>
                <w:szCs w:val="21"/>
                <w:highlight w:val="none"/>
                <w:lang w:val="en-US" w:eastAsia="zh-CN"/>
              </w:rPr>
            </w:pPr>
            <w:r>
              <w:rPr>
                <w:rFonts w:hint="default" w:cs="Times New Roman"/>
                <w:color w:val="auto"/>
                <w:szCs w:val="21"/>
                <w:highlight w:val="none"/>
                <w:lang w:val="en-US" w:eastAsia="zh-CN"/>
              </w:rPr>
              <w:t>厂区设备</w:t>
            </w:r>
          </w:p>
        </w:tc>
        <w:tc>
          <w:tcPr>
            <w:tcW w:w="1705" w:type="dxa"/>
            <w:noWrap w:val="0"/>
            <w:vAlign w:val="center"/>
          </w:tcPr>
          <w:p>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噪声</w:t>
            </w:r>
          </w:p>
        </w:tc>
        <w:tc>
          <w:tcPr>
            <w:tcW w:w="1530" w:type="dxa"/>
            <w:noWrap w:val="0"/>
            <w:vAlign w:val="center"/>
          </w:tcPr>
          <w:p>
            <w:pPr>
              <w:adjustRightInd w:val="0"/>
              <w:snapToGrid w:val="0"/>
              <w:jc w:val="center"/>
              <w:rPr>
                <w:rFonts w:hint="default" w:cs="Times New Roman"/>
                <w:color w:val="auto"/>
                <w:szCs w:val="21"/>
                <w:highlight w:val="none"/>
                <w:lang w:val="en-US" w:eastAsia="zh-CN"/>
              </w:rPr>
            </w:pPr>
            <w:r>
              <w:rPr>
                <w:rFonts w:hint="default" w:cs="Times New Roman"/>
                <w:color w:val="auto"/>
                <w:szCs w:val="21"/>
                <w:highlight w:val="none"/>
                <w:lang w:val="en-US" w:eastAsia="zh-CN"/>
              </w:rPr>
              <w:t>选用低噪声设备、基础减振</w:t>
            </w:r>
            <w:r>
              <w:rPr>
                <w:rFonts w:hint="eastAsia" w:cs="Times New Roman"/>
                <w:color w:val="auto"/>
                <w:szCs w:val="21"/>
                <w:highlight w:val="none"/>
                <w:lang w:val="en-US" w:eastAsia="zh-CN"/>
              </w:rPr>
              <w:t>、隔声</w:t>
            </w:r>
          </w:p>
        </w:tc>
        <w:tc>
          <w:tcPr>
            <w:tcW w:w="1908" w:type="dxa"/>
            <w:noWrap w:val="0"/>
            <w:vAlign w:val="center"/>
          </w:tcPr>
          <w:p>
            <w:pPr>
              <w:adjustRightInd w:val="0"/>
              <w:snapToGrid w:val="0"/>
              <w:jc w:val="center"/>
              <w:rPr>
                <w:rFonts w:hint="default" w:cs="Times New Roman"/>
                <w:color w:val="auto"/>
                <w:szCs w:val="21"/>
                <w:highlight w:val="none"/>
                <w:lang w:val="en-US" w:eastAsia="zh-CN"/>
              </w:rPr>
            </w:pPr>
            <w:r>
              <w:rPr>
                <w:rFonts w:hint="default" w:cs="Times New Roman"/>
                <w:color w:val="auto"/>
                <w:szCs w:val="21"/>
                <w:highlight w:val="none"/>
                <w:lang w:val="en-US" w:eastAsia="zh-CN"/>
              </w:rPr>
              <w:t>《工业企业厂界环境噪声排放标准》</w:t>
            </w:r>
          </w:p>
          <w:p>
            <w:pPr>
              <w:adjustRightInd w:val="0"/>
              <w:snapToGrid w:val="0"/>
              <w:jc w:val="center"/>
              <w:rPr>
                <w:rFonts w:hint="default" w:cs="Times New Roman"/>
                <w:color w:val="auto"/>
                <w:szCs w:val="21"/>
                <w:highlight w:val="none"/>
                <w:lang w:val="en-US" w:eastAsia="zh-CN"/>
              </w:rPr>
            </w:pPr>
            <w:r>
              <w:rPr>
                <w:rFonts w:hint="default" w:cs="Times New Roman"/>
                <w:color w:val="auto"/>
                <w:szCs w:val="21"/>
                <w:highlight w:val="none"/>
                <w:lang w:val="en-US" w:eastAsia="zh-CN"/>
              </w:rPr>
              <w:t>（GB12348-2008）2类</w:t>
            </w:r>
            <w:r>
              <w:rPr>
                <w:rFonts w:hint="eastAsia" w:cs="Times New Roman"/>
                <w:color w:val="auto"/>
                <w:szCs w:val="21"/>
                <w:highlight w:val="none"/>
                <w:lang w:val="en-US" w:eastAsia="zh-CN"/>
              </w:rPr>
              <w:t>和4类</w:t>
            </w:r>
            <w:r>
              <w:rPr>
                <w:rFonts w:hint="default" w:cs="Times New Roman"/>
                <w:color w:val="auto"/>
                <w:szCs w:val="21"/>
                <w:highlight w:val="none"/>
                <w:lang w:val="en-US" w:eastAsia="zh-CN"/>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1778" w:type="dxa"/>
            <w:vMerge w:val="restart"/>
            <w:noWrap w:val="0"/>
            <w:vAlign w:val="center"/>
          </w:tcPr>
          <w:p>
            <w:pPr>
              <w:adjustRightInd w:val="0"/>
              <w:snapToGrid w:val="0"/>
              <w:jc w:val="center"/>
              <w:rPr>
                <w:rFonts w:hint="default" w:cs="Times New Roman"/>
                <w:color w:val="auto"/>
                <w:szCs w:val="21"/>
                <w:highlight w:val="none"/>
                <w:lang w:val="en-US" w:eastAsia="zh-CN"/>
              </w:rPr>
            </w:pPr>
            <w:r>
              <w:rPr>
                <w:rFonts w:hint="default" w:cs="Times New Roman"/>
                <w:color w:val="auto"/>
                <w:szCs w:val="21"/>
                <w:highlight w:val="none"/>
                <w:lang w:val="en-US" w:eastAsia="zh-CN"/>
              </w:rPr>
              <w:t>固体废物</w:t>
            </w:r>
          </w:p>
        </w:tc>
        <w:tc>
          <w:tcPr>
            <w:tcW w:w="1879" w:type="dxa"/>
            <w:gridSpan w:val="2"/>
            <w:noWrap w:val="0"/>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沉淀池</w:t>
            </w:r>
          </w:p>
        </w:tc>
        <w:tc>
          <w:tcPr>
            <w:tcW w:w="1705" w:type="dxa"/>
            <w:noWrap w:val="0"/>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沉淀池沉砂</w:t>
            </w:r>
          </w:p>
        </w:tc>
        <w:tc>
          <w:tcPr>
            <w:tcW w:w="1530" w:type="dxa"/>
            <w:vMerge w:val="restart"/>
            <w:noWrap w:val="0"/>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回用于生产</w:t>
            </w:r>
          </w:p>
        </w:tc>
        <w:tc>
          <w:tcPr>
            <w:tcW w:w="1908" w:type="dxa"/>
            <w:vMerge w:val="restart"/>
            <w:noWrap w:val="0"/>
            <w:vAlign w:val="center"/>
          </w:tcPr>
          <w:p>
            <w:pPr>
              <w:adjustRightInd w:val="0"/>
              <w:snapToGrid w:val="0"/>
              <w:jc w:val="center"/>
              <w:rPr>
                <w:rFonts w:hint="default" w:cs="Times New Roman"/>
                <w:color w:val="auto"/>
                <w:szCs w:val="21"/>
                <w:highlight w:val="none"/>
                <w:lang w:val="en-US" w:eastAsia="zh-CN"/>
              </w:rPr>
            </w:pPr>
            <w:r>
              <w:rPr>
                <w:rFonts w:hint="default" w:cs="Times New Roman"/>
                <w:color w:val="auto"/>
                <w:szCs w:val="21"/>
                <w:highlight w:val="none"/>
                <w:lang w:val="en-US" w:eastAsia="zh-CN"/>
              </w:rPr>
              <w:t>《一般工业固体废物贮存和填埋污染控制标准》（GB18599-2020）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Merge w:val="continue"/>
            <w:noWrap w:val="0"/>
            <w:vAlign w:val="center"/>
          </w:tcPr>
          <w:p>
            <w:pPr>
              <w:adjustRightInd w:val="0"/>
              <w:snapToGrid w:val="0"/>
              <w:jc w:val="center"/>
              <w:rPr>
                <w:rFonts w:hint="default" w:cs="Times New Roman"/>
                <w:color w:val="auto"/>
                <w:szCs w:val="21"/>
                <w:highlight w:val="none"/>
                <w:lang w:val="en-US" w:eastAsia="zh-CN"/>
              </w:rPr>
            </w:pPr>
          </w:p>
        </w:tc>
        <w:tc>
          <w:tcPr>
            <w:tcW w:w="1879" w:type="dxa"/>
            <w:gridSpan w:val="2"/>
            <w:noWrap w:val="0"/>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布袋除尘器</w:t>
            </w:r>
          </w:p>
        </w:tc>
        <w:tc>
          <w:tcPr>
            <w:tcW w:w="1705" w:type="dxa"/>
            <w:noWrap w:val="0"/>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除尘器收集粉尘</w:t>
            </w:r>
          </w:p>
        </w:tc>
        <w:tc>
          <w:tcPr>
            <w:tcW w:w="1530" w:type="dxa"/>
            <w:vMerge w:val="continue"/>
            <w:noWrap w:val="0"/>
            <w:vAlign w:val="center"/>
          </w:tcPr>
          <w:p>
            <w:pPr>
              <w:adjustRightInd w:val="0"/>
              <w:snapToGrid w:val="0"/>
              <w:jc w:val="center"/>
              <w:rPr>
                <w:rFonts w:hint="default" w:cs="Times New Roman"/>
                <w:color w:val="auto"/>
                <w:szCs w:val="21"/>
                <w:highlight w:val="none"/>
                <w:lang w:val="en-US" w:eastAsia="zh-CN"/>
              </w:rPr>
            </w:pPr>
          </w:p>
        </w:tc>
        <w:tc>
          <w:tcPr>
            <w:tcW w:w="190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1778" w:type="dxa"/>
            <w:vMerge w:val="continue"/>
            <w:noWrap w:val="0"/>
            <w:vAlign w:val="center"/>
          </w:tcPr>
          <w:p>
            <w:pPr>
              <w:adjustRightInd w:val="0"/>
              <w:snapToGrid w:val="0"/>
              <w:jc w:val="center"/>
              <w:rPr>
                <w:rFonts w:hint="default" w:cs="Times New Roman"/>
                <w:color w:val="auto"/>
                <w:szCs w:val="21"/>
                <w:highlight w:val="none"/>
                <w:lang w:val="en-US" w:eastAsia="zh-CN"/>
              </w:rPr>
            </w:pPr>
          </w:p>
        </w:tc>
        <w:tc>
          <w:tcPr>
            <w:tcW w:w="1879" w:type="dxa"/>
            <w:gridSpan w:val="2"/>
            <w:noWrap w:val="0"/>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员工生活</w:t>
            </w:r>
          </w:p>
        </w:tc>
        <w:tc>
          <w:tcPr>
            <w:tcW w:w="1705" w:type="dxa"/>
            <w:noWrap w:val="0"/>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生活垃圾</w:t>
            </w:r>
          </w:p>
        </w:tc>
        <w:tc>
          <w:tcPr>
            <w:tcW w:w="1530" w:type="dxa"/>
            <w:noWrap w:val="0"/>
            <w:vAlign w:val="center"/>
          </w:tcPr>
          <w:p>
            <w:pPr>
              <w:adjustRightInd w:val="0"/>
              <w:snapToGrid w:val="0"/>
              <w:jc w:val="center"/>
              <w:rPr>
                <w:rFonts w:hint="default" w:cs="Times New Roman"/>
                <w:color w:val="auto"/>
                <w:szCs w:val="21"/>
                <w:highlight w:val="none"/>
                <w:lang w:val="en-US" w:eastAsia="zh-CN"/>
              </w:rPr>
            </w:pPr>
            <w:r>
              <w:rPr>
                <w:rFonts w:hint="default" w:cs="Times New Roman"/>
                <w:color w:val="auto"/>
                <w:szCs w:val="21"/>
                <w:highlight w:val="none"/>
                <w:lang w:val="en-US" w:eastAsia="zh-CN"/>
              </w:rPr>
              <w:t>统一收集后由环卫部门处理</w:t>
            </w:r>
          </w:p>
        </w:tc>
        <w:tc>
          <w:tcPr>
            <w:tcW w:w="190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default" w:cs="Times New Roman"/>
                <w:color w:val="auto"/>
                <w:szCs w:val="21"/>
                <w:highlight w:val="none"/>
                <w:lang w:val="en-US" w:eastAsia="zh-CN"/>
              </w:rPr>
            </w:pPr>
            <w:r>
              <w:rPr>
                <w:rFonts w:hint="default" w:cs="Times New Roman"/>
                <w:color w:val="auto"/>
                <w:szCs w:val="21"/>
                <w:highlight w:val="none"/>
                <w:lang w:val="en-US" w:eastAsia="zh-CN"/>
              </w:rPr>
              <w:t>土壤及地下水</w:t>
            </w:r>
          </w:p>
          <w:p>
            <w:pPr>
              <w:adjustRightInd w:val="0"/>
              <w:snapToGrid w:val="0"/>
              <w:jc w:val="center"/>
              <w:rPr>
                <w:rFonts w:hint="default" w:cs="Times New Roman"/>
                <w:color w:val="auto"/>
                <w:szCs w:val="21"/>
                <w:highlight w:val="none"/>
                <w:lang w:val="en-US" w:eastAsia="zh-CN"/>
              </w:rPr>
            </w:pPr>
            <w:r>
              <w:rPr>
                <w:rFonts w:hint="default" w:cs="Times New Roman"/>
                <w:color w:val="auto"/>
                <w:szCs w:val="21"/>
                <w:highlight w:val="none"/>
                <w:lang w:val="en-US" w:eastAsia="zh-CN"/>
              </w:rPr>
              <w:t>污染防治措施</w:t>
            </w:r>
          </w:p>
        </w:tc>
        <w:tc>
          <w:tcPr>
            <w:tcW w:w="702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根据工程特点和当地的实际情况，取水井井口处设置围堰，全厂作硬化处置，阻止地面污水进入地下水，井口处采用盖板，阻止粉尘等污染物进入水井从而污染地下水。并于水井井口四周设置围栏，张贴警示标识，未经许可禁止靠近水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778" w:type="dxa"/>
            <w:noWrap w:val="0"/>
            <w:vAlign w:val="center"/>
          </w:tcPr>
          <w:p>
            <w:pPr>
              <w:adjustRightInd w:val="0"/>
              <w:snapToGrid w:val="0"/>
              <w:jc w:val="center"/>
              <w:rPr>
                <w:rFonts w:hint="default" w:cs="Times New Roman"/>
                <w:color w:val="auto"/>
                <w:szCs w:val="21"/>
                <w:highlight w:val="none"/>
                <w:lang w:val="en-US" w:eastAsia="zh-CN"/>
              </w:rPr>
            </w:pPr>
            <w:r>
              <w:rPr>
                <w:rFonts w:hint="default" w:cs="Times New Roman"/>
                <w:color w:val="auto"/>
                <w:szCs w:val="21"/>
                <w:highlight w:val="none"/>
                <w:lang w:val="en-US" w:eastAsia="zh-CN"/>
              </w:rPr>
              <w:t>环境风险</w:t>
            </w:r>
          </w:p>
          <w:p>
            <w:pPr>
              <w:adjustRightInd w:val="0"/>
              <w:snapToGrid w:val="0"/>
              <w:jc w:val="center"/>
              <w:rPr>
                <w:rFonts w:hint="default" w:cs="Times New Roman"/>
                <w:color w:val="auto"/>
                <w:szCs w:val="21"/>
                <w:highlight w:val="none"/>
                <w:lang w:val="en-US" w:eastAsia="zh-CN"/>
              </w:rPr>
            </w:pPr>
            <w:r>
              <w:rPr>
                <w:rFonts w:hint="default" w:cs="Times New Roman"/>
                <w:color w:val="auto"/>
                <w:szCs w:val="21"/>
                <w:highlight w:val="none"/>
                <w:lang w:val="en-US" w:eastAsia="zh-CN"/>
              </w:rPr>
              <w:t>防范措施</w:t>
            </w:r>
          </w:p>
        </w:tc>
        <w:tc>
          <w:tcPr>
            <w:tcW w:w="7022" w:type="dxa"/>
            <w:gridSpan w:val="5"/>
            <w:noWrap w:val="0"/>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其他环境</w:t>
            </w:r>
          </w:p>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管理要求</w:t>
            </w:r>
          </w:p>
        </w:tc>
        <w:tc>
          <w:tcPr>
            <w:tcW w:w="7022" w:type="dxa"/>
            <w:gridSpan w:val="5"/>
            <w:noWrap w:val="0"/>
            <w:vAlign w:val="center"/>
          </w:tcPr>
          <w:p>
            <w:pPr>
              <w:adjustRightInd w:val="0"/>
              <w:snapToGrid w:val="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①严格执行国家环境保护有关政策和法规，项目建成后及时进行建设项目竣工环境保护验收工作；</w:t>
            </w:r>
          </w:p>
          <w:p>
            <w:pPr>
              <w:adjustRightInd w:val="0"/>
              <w:snapToGrid w:val="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②严格执行建设项目“三同时”制度，监督项目环保“三同时”落实情况；</w:t>
            </w:r>
          </w:p>
          <w:p>
            <w:pPr>
              <w:adjustRightInd w:val="0"/>
              <w:snapToGrid w:val="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③建立健全环境管理制度、环保档案，设置专职或兼职环保人员，负责日常环保安全，定期检查环保管理和环境监测工作；</w:t>
            </w:r>
          </w:p>
          <w:p>
            <w:pPr>
              <w:adjustRightInd w:val="0"/>
              <w:snapToGrid w:val="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④进行环保教育宣传，预防或减少可能的环境影响。</w:t>
            </w:r>
          </w:p>
          <w:p>
            <w:pPr>
              <w:adjustRightInd w:val="0"/>
              <w:snapToGrid w:val="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⑤维护环保措施的正常运行和安全生产，对各种环保设施进行定期检查和维修，确保污染物达标排放，同时要推广及应用先进的环保技术和经验，最大限度降低污染物的排放量。</w:t>
            </w:r>
          </w:p>
          <w:p>
            <w:pPr>
              <w:adjustRightInd w:val="0"/>
              <w:snapToGrid w:val="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⑥组织和协调环境监测工作，制定本项目监测计划，定期监测污染物排放浓度和排放量是否符合国家、省、市和行业规定的排放标准，确保污染物排放总量控制在允许的控制范围内。</w:t>
            </w:r>
          </w:p>
          <w:p>
            <w:pPr>
              <w:adjustRightInd w:val="0"/>
              <w:snapToGrid w:val="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fldChar w:fldCharType="begin"/>
            </w:r>
            <w:r>
              <w:rPr>
                <w:rFonts w:hint="default" w:ascii="Times New Roman" w:hAnsi="Times New Roman" w:eastAsia="宋体" w:cs="Times New Roman"/>
                <w:color w:val="auto"/>
                <w:szCs w:val="21"/>
                <w:highlight w:val="none"/>
                <w:lang w:val="en-US" w:eastAsia="zh-CN"/>
              </w:rPr>
              <w:instrText xml:space="preserve"> = 7 \* GB3 \* MERGEFORMAT </w:instrText>
            </w:r>
            <w:r>
              <w:rPr>
                <w:rFonts w:hint="default" w:ascii="Times New Roman" w:hAnsi="Times New Roman" w:eastAsia="宋体" w:cs="Times New Roman"/>
                <w:color w:val="auto"/>
                <w:szCs w:val="21"/>
                <w:highlight w:val="none"/>
                <w:lang w:val="en-US" w:eastAsia="zh-CN"/>
              </w:rPr>
              <w:fldChar w:fldCharType="separate"/>
            </w:r>
            <w:r>
              <w:t>⑦</w:t>
            </w:r>
            <w:r>
              <w:rPr>
                <w:rFonts w:hint="default" w:ascii="Times New Roman" w:hAnsi="Times New Roman" w:eastAsia="宋体" w:cs="Times New Roman"/>
                <w:color w:val="auto"/>
                <w:szCs w:val="21"/>
                <w:highlight w:val="none"/>
                <w:lang w:val="en-US" w:eastAsia="zh-CN"/>
              </w:rPr>
              <w:fldChar w:fldCharType="end"/>
            </w:r>
            <w:r>
              <w:rPr>
                <w:rFonts w:hint="default" w:ascii="Times New Roman" w:hAnsi="Times New Roman" w:eastAsia="宋体" w:cs="Times New Roman"/>
                <w:color w:val="auto"/>
                <w:szCs w:val="21"/>
                <w:highlight w:val="none"/>
                <w:lang w:val="en-US" w:eastAsia="zh-CN"/>
              </w:rPr>
              <w:t>对照《固定污染源排污许可分类管理名录（2019年版）》（环保部令第45号），本扩建项目属于登记管理范畴，应当在全国排污许可证管理信息平台变更排污登记。</w:t>
            </w:r>
          </w:p>
          <w:p>
            <w:pPr>
              <w:pStyle w:val="2"/>
              <w:spacing w:after="0"/>
              <w:ind w:left="0" w:leftChars="0" w:firstLine="0" w:firstLineChars="0"/>
              <w:rPr>
                <w:rFonts w:hint="default"/>
                <w:lang w:val="en-US" w:eastAsia="zh-CN"/>
              </w:rPr>
            </w:pPr>
            <w:r>
              <w:rPr>
                <w:rFonts w:hint="default"/>
                <w:lang w:val="en-US" w:eastAsia="zh-CN"/>
              </w:rPr>
              <w:fldChar w:fldCharType="begin"/>
            </w:r>
            <w:r>
              <w:rPr>
                <w:rFonts w:hint="default"/>
                <w:lang w:val="en-US" w:eastAsia="zh-CN"/>
              </w:rPr>
              <w:instrText xml:space="preserve"> = 8 \* GB3 \* MERGEFORMAT </w:instrText>
            </w:r>
            <w:r>
              <w:rPr>
                <w:rFonts w:hint="default"/>
                <w:lang w:val="en-US" w:eastAsia="zh-CN"/>
              </w:rPr>
              <w:fldChar w:fldCharType="separate"/>
            </w:r>
            <w:r>
              <w:t>⑧</w:t>
            </w:r>
            <w:r>
              <w:rPr>
                <w:rFonts w:hint="default"/>
                <w:lang w:val="en-US" w:eastAsia="zh-CN"/>
              </w:rPr>
              <w:fldChar w:fldCharType="end"/>
            </w:r>
            <w:r>
              <w:rPr>
                <w:rFonts w:hint="default" w:eastAsia="宋体"/>
                <w:color w:val="auto"/>
                <w:szCs w:val="21"/>
                <w:highlight w:val="none"/>
                <w:lang w:val="en-US" w:eastAsia="zh-CN"/>
              </w:rPr>
              <w:t>对</w:t>
            </w:r>
            <w:r>
              <w:rPr>
                <w:rFonts w:hint="default" w:ascii="Times New Roman" w:hAnsi="Times New Roman" w:eastAsia="宋体" w:cs="Times New Roman"/>
                <w:color w:val="auto"/>
                <w:kern w:val="2"/>
                <w:sz w:val="21"/>
                <w:szCs w:val="21"/>
                <w:highlight w:val="none"/>
                <w:lang w:val="en-US" w:eastAsia="zh-CN" w:bidi="ar-SA"/>
              </w:rPr>
              <w:t>非移动道路车辆</w:t>
            </w:r>
            <w:r>
              <w:rPr>
                <w:rFonts w:hint="eastAsia" w:eastAsia="宋体" w:cs="Times New Roman"/>
                <w:color w:val="auto"/>
                <w:kern w:val="2"/>
                <w:sz w:val="21"/>
                <w:szCs w:val="21"/>
                <w:highlight w:val="none"/>
                <w:lang w:val="en-US" w:eastAsia="zh-CN" w:bidi="ar-SA"/>
              </w:rPr>
              <w:t>要有“非道路移动机械排放检测合格标识”，并及时更新。</w:t>
            </w:r>
          </w:p>
          <w:p>
            <w:pPr>
              <w:adjustRightInd w:val="0"/>
              <w:snapToGrid w:val="0"/>
              <w:jc w:val="left"/>
              <w:rPr>
                <w:rFonts w:hint="default" w:ascii="Times New Roman" w:hAnsi="Times New Roman" w:eastAsia="宋体" w:cs="Times New Roman"/>
                <w:color w:val="auto"/>
                <w:szCs w:val="21"/>
                <w:highlight w:val="none"/>
                <w:lang w:val="en-US" w:eastAsia="zh-CN"/>
              </w:rPr>
            </w:pPr>
          </w:p>
        </w:tc>
      </w:tr>
    </w:tbl>
    <w:p>
      <w:pPr>
        <w:pStyle w:val="25"/>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cs="Times New Roman"/>
          <w:snapToGrid w:val="0"/>
          <w:color w:val="auto"/>
          <w:highlight w:val="none"/>
        </w:rPr>
        <w:br w:type="page"/>
      </w:r>
      <w:r>
        <w:rPr>
          <w:rFonts w:hint="default" w:ascii="Times New Roman" w:hAnsi="Times New Roman" w:eastAsia="黑体" w:cs="Times New Roman"/>
          <w:snapToGrid w:val="0"/>
          <w:color w:val="auto"/>
          <w:sz w:val="30"/>
          <w:szCs w:val="30"/>
          <w:highlight w:val="none"/>
        </w:rPr>
        <w:t>六、结论</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本项目符合产业政策要求，选址合理，在评价建议措施的基础上，项目实施后不会对地表水、环境空气、声环境和生态环境产生明显影响。项目制定有完善有效的环保措施可实现“三废”和噪声达标排放；项目对各环境要素的影响小，不改变区域的环境功能。从</w:t>
            </w:r>
            <w:r>
              <w:rPr>
                <w:rFonts w:hint="eastAsia" w:cs="Times New Roman"/>
                <w:color w:val="auto"/>
                <w:sz w:val="24"/>
                <w:highlight w:val="none"/>
                <w:lang w:val="en-US" w:eastAsia="zh-CN"/>
              </w:rPr>
              <w:t>环境保护</w:t>
            </w:r>
            <w:r>
              <w:rPr>
                <w:rFonts w:hint="default" w:ascii="Times New Roman" w:hAnsi="Times New Roman" w:eastAsia="宋体" w:cs="Times New Roman"/>
                <w:color w:val="auto"/>
                <w:sz w:val="24"/>
                <w:highlight w:val="none"/>
                <w:lang w:val="en-US" w:eastAsia="zh-CN"/>
              </w:rPr>
              <w:t>角度分析</w:t>
            </w:r>
            <w:r>
              <w:rPr>
                <w:rFonts w:hint="default" w:ascii="Times New Roman" w:hAnsi="Times New Roman" w:eastAsia="宋体" w:cs="Times New Roman"/>
                <w:color w:val="auto"/>
                <w:sz w:val="24"/>
                <w:highlight w:val="none"/>
              </w:rPr>
              <w:t>，本项目</w:t>
            </w:r>
            <w:r>
              <w:rPr>
                <w:rFonts w:hint="eastAsia" w:cs="Times New Roman"/>
                <w:color w:val="auto"/>
                <w:sz w:val="24"/>
                <w:highlight w:val="none"/>
                <w:lang w:val="en-US" w:eastAsia="zh-CN"/>
              </w:rPr>
              <w:t>环境影响</w:t>
            </w:r>
            <w:r>
              <w:rPr>
                <w:rFonts w:hint="default" w:ascii="Times New Roman" w:hAnsi="Times New Roman" w:eastAsia="宋体" w:cs="Times New Roman"/>
                <w:color w:val="auto"/>
                <w:sz w:val="24"/>
                <w:highlight w:val="none"/>
              </w:rPr>
              <w:t>可行</w:t>
            </w:r>
            <w:r>
              <w:rPr>
                <w:rFonts w:hint="default" w:ascii="Times New Roman" w:hAnsi="Times New Roman" w:cs="Times New Roman"/>
                <w:color w:val="auto"/>
                <w:sz w:val="24"/>
                <w:highlight w:val="none"/>
              </w:rPr>
              <w:t>。</w:t>
            </w:r>
          </w:p>
        </w:tc>
      </w:tr>
    </w:tbl>
    <w:p>
      <w:pPr>
        <w:rPr>
          <w:rFonts w:hint="default" w:ascii="Times New Roman" w:hAnsi="Times New Roman"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附表</w:t>
      </w: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方正小标宋_GBK" w:cs="Times New Roman"/>
          <w:snapToGrid w:val="0"/>
          <w:color w:val="auto"/>
          <w:sz w:val="38"/>
          <w:szCs w:val="38"/>
          <w:highlight w:val="none"/>
        </w:rPr>
      </w:pPr>
      <w:r>
        <w:rPr>
          <w:rFonts w:hint="default" w:ascii="Times New Roman" w:hAnsi="Times New Roman" w:eastAsia="方正小标宋_GBK" w:cs="Times New Roman"/>
          <w:snapToGrid w:val="0"/>
          <w:color w:val="auto"/>
          <w:sz w:val="38"/>
          <w:szCs w:val="38"/>
          <w:highlight w:val="none"/>
        </w:rPr>
        <w:t>建设项目污染物排放量汇总表</w:t>
      </w:r>
    </w:p>
    <w:tbl>
      <w:tblPr>
        <w:tblStyle w:val="2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349"/>
        <w:gridCol w:w="14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53"/>
              <w:spacing w:beforeLines="0" w:afterLines="0" w:line="240" w:lineRule="auto"/>
              <w:jc w:val="center"/>
              <w:rPr>
                <w:rFonts w:hint="default" w:ascii="Times New Roman" w:hAnsi="Times New Roman" w:eastAsia="黑体" w:cs="Times New Roman"/>
                <w:snapToGrid w:val="0"/>
                <w:color w:val="auto"/>
                <w:spacing w:val="-6"/>
                <w:kern w:val="21"/>
                <w:sz w:val="21"/>
                <w:szCs w:val="21"/>
                <w:highlight w:val="none"/>
              </w:rPr>
            </w:pPr>
            <w:r>
              <w:rPr>
                <w:rFonts w:hint="eastAsia" w:ascii="Times New Roman" w:eastAsia="黑体" w:cs="Times New Roman"/>
                <w:snapToGrid w:val="0"/>
                <w:color w:val="auto"/>
                <w:spacing w:val="-6"/>
                <w:kern w:val="21"/>
                <w:sz w:val="21"/>
                <w:szCs w:val="21"/>
                <w:highlight w:val="none"/>
                <w:lang w:val="en-US" w:eastAsia="zh-CN"/>
              </w:rPr>
              <w:t xml:space="preserve">       </w:t>
            </w:r>
            <w:r>
              <w:rPr>
                <w:rFonts w:hint="default" w:ascii="Times New Roman" w:hAnsi="Times New Roman" w:eastAsia="黑体" w:cs="Times New Roman"/>
                <w:snapToGrid w:val="0"/>
                <w:color w:val="auto"/>
                <w:spacing w:val="-6"/>
                <w:kern w:val="21"/>
                <w:sz w:val="21"/>
                <w:szCs w:val="21"/>
                <w:highlight w:val="none"/>
              </w:rPr>
              <w:t>项目</w:t>
            </w:r>
          </w:p>
          <w:p>
            <w:pPr>
              <w:pStyle w:val="53"/>
              <w:spacing w:beforeLines="0" w:afterLines="0" w:line="240" w:lineRule="auto"/>
              <w:jc w:val="both"/>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t>分类</w:t>
            </w:r>
          </w:p>
        </w:tc>
        <w:tc>
          <w:tcPr>
            <w:tcW w:w="1417" w:type="dxa"/>
            <w:noWrap w:val="0"/>
            <w:tcMar>
              <w:left w:w="28" w:type="dxa"/>
              <w:right w:w="28" w:type="dxa"/>
            </w:tcMar>
            <w:vAlign w:val="center"/>
          </w:tcPr>
          <w:p>
            <w:pPr>
              <w:pStyle w:val="53"/>
              <w:spacing w:beforeLines="0" w:afterLines="0" w:line="240" w:lineRule="auto"/>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t>污染物名称</w:t>
            </w:r>
          </w:p>
        </w:tc>
        <w:tc>
          <w:tcPr>
            <w:tcW w:w="1701" w:type="dxa"/>
            <w:noWrap w:val="0"/>
            <w:tcMar>
              <w:left w:w="28" w:type="dxa"/>
              <w:right w:w="28" w:type="dxa"/>
            </w:tcMar>
            <w:vAlign w:val="center"/>
          </w:tcPr>
          <w:p>
            <w:pPr>
              <w:pStyle w:val="53"/>
              <w:spacing w:beforeLines="0" w:afterLines="0" w:line="240" w:lineRule="auto"/>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t>现有工程</w:t>
            </w:r>
          </w:p>
          <w:p>
            <w:pPr>
              <w:pStyle w:val="53"/>
              <w:spacing w:beforeLines="0" w:afterLines="0" w:line="240" w:lineRule="auto"/>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t>排放量（固体废物产生量）</w:t>
            </w:r>
            <w:r>
              <w:rPr>
                <w:rFonts w:hint="default" w:ascii="Times New Roman" w:hAnsi="Times New Roman" w:eastAsia="黑体" w:cs="Times New Roman"/>
                <w:snapToGrid w:val="0"/>
                <w:color w:val="auto"/>
                <w:spacing w:val="-6"/>
                <w:kern w:val="21"/>
                <w:sz w:val="21"/>
                <w:szCs w:val="21"/>
                <w:highlight w:val="none"/>
              </w:rPr>
              <w:fldChar w:fldCharType="begin"/>
            </w:r>
            <w:r>
              <w:rPr>
                <w:rFonts w:hint="default" w:ascii="Times New Roman" w:hAnsi="Times New Roman" w:eastAsia="黑体" w:cs="Times New Roman"/>
                <w:snapToGrid w:val="0"/>
                <w:color w:val="auto"/>
                <w:spacing w:val="-6"/>
                <w:kern w:val="21"/>
                <w:sz w:val="21"/>
                <w:szCs w:val="21"/>
                <w:highlight w:val="none"/>
              </w:rPr>
              <w:instrText xml:space="preserve"> = 1 \* GB3 \* MERGEFORMAT </w:instrText>
            </w:r>
            <w:r>
              <w:rPr>
                <w:rFonts w:hint="default" w:ascii="Times New Roman" w:hAnsi="Times New Roman" w:eastAsia="黑体" w:cs="Times New Roman"/>
                <w:snapToGrid w:val="0"/>
                <w:color w:val="auto"/>
                <w:spacing w:val="-6"/>
                <w:kern w:val="21"/>
                <w:sz w:val="21"/>
                <w:szCs w:val="21"/>
                <w:highlight w:val="none"/>
              </w:rPr>
              <w:fldChar w:fldCharType="separate"/>
            </w:r>
            <w:r>
              <w:rPr>
                <w:rFonts w:hint="default" w:ascii="Times New Roman" w:hAnsi="Times New Roman" w:eastAsia="黑体" w:cs="Times New Roman"/>
                <w:color w:val="auto"/>
                <w:kern w:val="2"/>
                <w:sz w:val="21"/>
                <w:szCs w:val="21"/>
                <w:highlight w:val="none"/>
              </w:rPr>
              <w:t>①</w:t>
            </w:r>
            <w:r>
              <w:rPr>
                <w:rFonts w:hint="default" w:ascii="Times New Roman" w:hAnsi="Times New Roman" w:eastAsia="黑体" w:cs="Times New Roman"/>
                <w:snapToGrid w:val="0"/>
                <w:color w:val="auto"/>
                <w:spacing w:val="-6"/>
                <w:kern w:val="21"/>
                <w:sz w:val="21"/>
                <w:szCs w:val="21"/>
                <w:highlight w:val="none"/>
              </w:rPr>
              <w:fldChar w:fldCharType="end"/>
            </w:r>
          </w:p>
        </w:tc>
        <w:tc>
          <w:tcPr>
            <w:tcW w:w="1276" w:type="dxa"/>
            <w:noWrap w:val="0"/>
            <w:tcMar>
              <w:left w:w="28" w:type="dxa"/>
              <w:right w:w="28" w:type="dxa"/>
            </w:tcMar>
            <w:vAlign w:val="center"/>
          </w:tcPr>
          <w:p>
            <w:pPr>
              <w:pStyle w:val="53"/>
              <w:spacing w:beforeLines="0" w:afterLines="0" w:line="240" w:lineRule="auto"/>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t>现有工程</w:t>
            </w:r>
          </w:p>
          <w:p>
            <w:pPr>
              <w:pStyle w:val="53"/>
              <w:spacing w:beforeLines="0" w:afterLines="0" w:line="240" w:lineRule="auto"/>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t>许可排放量</w:t>
            </w:r>
          </w:p>
          <w:p>
            <w:pPr>
              <w:pStyle w:val="53"/>
              <w:spacing w:beforeLines="0" w:afterLines="0"/>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fldChar w:fldCharType="begin"/>
            </w:r>
            <w:r>
              <w:rPr>
                <w:rFonts w:hint="default" w:ascii="Times New Roman" w:hAnsi="Times New Roman" w:eastAsia="黑体" w:cs="Times New Roman"/>
                <w:snapToGrid w:val="0"/>
                <w:color w:val="auto"/>
                <w:spacing w:val="-6"/>
                <w:kern w:val="21"/>
                <w:sz w:val="21"/>
                <w:szCs w:val="21"/>
                <w:highlight w:val="none"/>
              </w:rPr>
              <w:instrText xml:space="preserve"> = 2 \* GB3 \* MERGEFORMAT </w:instrText>
            </w:r>
            <w:r>
              <w:rPr>
                <w:rFonts w:hint="default" w:ascii="Times New Roman" w:hAnsi="Times New Roman" w:eastAsia="黑体" w:cs="Times New Roman"/>
                <w:snapToGrid w:val="0"/>
                <w:color w:val="auto"/>
                <w:spacing w:val="-6"/>
                <w:kern w:val="21"/>
                <w:sz w:val="21"/>
                <w:szCs w:val="21"/>
                <w:highlight w:val="none"/>
              </w:rPr>
              <w:fldChar w:fldCharType="separate"/>
            </w:r>
            <w:r>
              <w:rPr>
                <w:rFonts w:hint="default" w:ascii="Times New Roman" w:hAnsi="Times New Roman" w:eastAsia="黑体" w:cs="Times New Roman"/>
                <w:snapToGrid w:val="0"/>
                <w:color w:val="auto"/>
                <w:spacing w:val="-6"/>
                <w:kern w:val="21"/>
                <w:sz w:val="21"/>
                <w:szCs w:val="21"/>
                <w:highlight w:val="none"/>
              </w:rPr>
              <w:t>②</w:t>
            </w:r>
            <w:r>
              <w:rPr>
                <w:rFonts w:hint="default" w:ascii="Times New Roman" w:hAnsi="Times New Roman" w:eastAsia="黑体" w:cs="Times New Roman"/>
                <w:snapToGrid w:val="0"/>
                <w:color w:val="auto"/>
                <w:spacing w:val="-6"/>
                <w:kern w:val="21"/>
                <w:sz w:val="21"/>
                <w:szCs w:val="21"/>
                <w:highlight w:val="none"/>
              </w:rPr>
              <w:fldChar w:fldCharType="end"/>
            </w:r>
          </w:p>
        </w:tc>
        <w:tc>
          <w:tcPr>
            <w:tcW w:w="1701" w:type="dxa"/>
            <w:noWrap w:val="0"/>
            <w:tcMar>
              <w:left w:w="28" w:type="dxa"/>
              <w:right w:w="28" w:type="dxa"/>
            </w:tcMar>
            <w:vAlign w:val="center"/>
          </w:tcPr>
          <w:p>
            <w:pPr>
              <w:pStyle w:val="53"/>
              <w:spacing w:beforeLines="0" w:afterLines="0" w:line="240" w:lineRule="auto"/>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t>在建工程</w:t>
            </w:r>
          </w:p>
          <w:p>
            <w:pPr>
              <w:pStyle w:val="53"/>
              <w:spacing w:beforeLines="0" w:afterLines="0" w:line="240" w:lineRule="auto"/>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t>排放量（固体废物产生量）</w:t>
            </w:r>
            <w:r>
              <w:rPr>
                <w:rFonts w:hint="default" w:ascii="Times New Roman" w:hAnsi="Times New Roman" w:eastAsia="黑体" w:cs="Times New Roman"/>
                <w:snapToGrid w:val="0"/>
                <w:color w:val="auto"/>
                <w:spacing w:val="-6"/>
                <w:kern w:val="21"/>
                <w:sz w:val="21"/>
                <w:szCs w:val="21"/>
                <w:highlight w:val="none"/>
              </w:rPr>
              <w:fldChar w:fldCharType="begin"/>
            </w:r>
            <w:r>
              <w:rPr>
                <w:rFonts w:hint="default" w:ascii="Times New Roman" w:hAnsi="Times New Roman" w:eastAsia="黑体" w:cs="Times New Roman"/>
                <w:snapToGrid w:val="0"/>
                <w:color w:val="auto"/>
                <w:spacing w:val="-6"/>
                <w:kern w:val="21"/>
                <w:sz w:val="21"/>
                <w:szCs w:val="21"/>
                <w:highlight w:val="none"/>
              </w:rPr>
              <w:instrText xml:space="preserve"> = 3 \* GB3 \* MERGEFORMAT </w:instrText>
            </w:r>
            <w:r>
              <w:rPr>
                <w:rFonts w:hint="default" w:ascii="Times New Roman" w:hAnsi="Times New Roman" w:eastAsia="黑体" w:cs="Times New Roman"/>
                <w:snapToGrid w:val="0"/>
                <w:color w:val="auto"/>
                <w:spacing w:val="-6"/>
                <w:kern w:val="21"/>
                <w:sz w:val="21"/>
                <w:szCs w:val="21"/>
                <w:highlight w:val="none"/>
              </w:rPr>
              <w:fldChar w:fldCharType="separate"/>
            </w:r>
            <w:r>
              <w:rPr>
                <w:rFonts w:hint="default" w:ascii="Times New Roman" w:hAnsi="Times New Roman" w:eastAsia="黑体" w:cs="Times New Roman"/>
                <w:color w:val="auto"/>
                <w:kern w:val="2"/>
                <w:sz w:val="21"/>
                <w:szCs w:val="21"/>
                <w:highlight w:val="none"/>
              </w:rPr>
              <w:t>③</w:t>
            </w:r>
            <w:r>
              <w:rPr>
                <w:rFonts w:hint="default" w:ascii="Times New Roman" w:hAnsi="Times New Roman" w:eastAsia="黑体" w:cs="Times New Roman"/>
                <w:snapToGrid w:val="0"/>
                <w:color w:val="auto"/>
                <w:spacing w:val="-6"/>
                <w:kern w:val="21"/>
                <w:sz w:val="21"/>
                <w:szCs w:val="21"/>
                <w:highlight w:val="none"/>
              </w:rPr>
              <w:fldChar w:fldCharType="end"/>
            </w:r>
          </w:p>
        </w:tc>
        <w:tc>
          <w:tcPr>
            <w:tcW w:w="1559" w:type="dxa"/>
            <w:noWrap w:val="0"/>
            <w:tcMar>
              <w:left w:w="28" w:type="dxa"/>
              <w:right w:w="28" w:type="dxa"/>
            </w:tcMar>
            <w:vAlign w:val="center"/>
          </w:tcPr>
          <w:p>
            <w:pPr>
              <w:pStyle w:val="53"/>
              <w:spacing w:beforeLines="0" w:afterLines="0" w:line="240" w:lineRule="auto"/>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t>本项目</w:t>
            </w:r>
          </w:p>
          <w:p>
            <w:pPr>
              <w:pStyle w:val="53"/>
              <w:spacing w:beforeLines="0" w:afterLines="0" w:line="240" w:lineRule="auto"/>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t>排放量（固体废物产生量）</w:t>
            </w:r>
            <w:r>
              <w:rPr>
                <w:rFonts w:hint="default" w:ascii="Times New Roman" w:hAnsi="Times New Roman" w:eastAsia="黑体" w:cs="Times New Roman"/>
                <w:snapToGrid w:val="0"/>
                <w:color w:val="auto"/>
                <w:spacing w:val="-6"/>
                <w:kern w:val="21"/>
                <w:sz w:val="21"/>
                <w:szCs w:val="21"/>
                <w:highlight w:val="none"/>
              </w:rPr>
              <w:fldChar w:fldCharType="begin"/>
            </w:r>
            <w:r>
              <w:rPr>
                <w:rFonts w:hint="default" w:ascii="Times New Roman" w:hAnsi="Times New Roman" w:eastAsia="黑体" w:cs="Times New Roman"/>
                <w:snapToGrid w:val="0"/>
                <w:color w:val="auto"/>
                <w:spacing w:val="-6"/>
                <w:kern w:val="21"/>
                <w:sz w:val="21"/>
                <w:szCs w:val="21"/>
                <w:highlight w:val="none"/>
              </w:rPr>
              <w:instrText xml:space="preserve"> = 4 \* GB3 \* MERGEFORMAT </w:instrText>
            </w:r>
            <w:r>
              <w:rPr>
                <w:rFonts w:hint="default" w:ascii="Times New Roman" w:hAnsi="Times New Roman" w:eastAsia="黑体" w:cs="Times New Roman"/>
                <w:snapToGrid w:val="0"/>
                <w:color w:val="auto"/>
                <w:spacing w:val="-6"/>
                <w:kern w:val="21"/>
                <w:sz w:val="21"/>
                <w:szCs w:val="21"/>
                <w:highlight w:val="none"/>
              </w:rPr>
              <w:fldChar w:fldCharType="separate"/>
            </w:r>
            <w:r>
              <w:rPr>
                <w:rFonts w:hint="default" w:ascii="Times New Roman" w:hAnsi="Times New Roman" w:eastAsia="黑体" w:cs="Times New Roman"/>
                <w:color w:val="auto"/>
                <w:kern w:val="2"/>
                <w:sz w:val="21"/>
                <w:szCs w:val="21"/>
                <w:highlight w:val="none"/>
              </w:rPr>
              <w:t>④</w:t>
            </w:r>
            <w:r>
              <w:rPr>
                <w:rFonts w:hint="default" w:ascii="Times New Roman" w:hAnsi="Times New Roman" w:eastAsia="黑体" w:cs="Times New Roman"/>
                <w:snapToGrid w:val="0"/>
                <w:color w:val="auto"/>
                <w:spacing w:val="-6"/>
                <w:kern w:val="21"/>
                <w:sz w:val="21"/>
                <w:szCs w:val="21"/>
                <w:highlight w:val="none"/>
              </w:rPr>
              <w:fldChar w:fldCharType="end"/>
            </w:r>
          </w:p>
        </w:tc>
        <w:tc>
          <w:tcPr>
            <w:tcW w:w="1761" w:type="dxa"/>
            <w:noWrap w:val="0"/>
            <w:tcMar>
              <w:left w:w="28" w:type="dxa"/>
              <w:right w:w="28" w:type="dxa"/>
            </w:tcMar>
            <w:vAlign w:val="center"/>
          </w:tcPr>
          <w:p>
            <w:pPr>
              <w:pStyle w:val="53"/>
              <w:spacing w:beforeLines="0" w:afterLines="0" w:line="240" w:lineRule="auto"/>
              <w:jc w:val="center"/>
              <w:rPr>
                <w:rFonts w:hint="default" w:ascii="Times New Roman" w:hAnsi="Times New Roman" w:eastAsia="黑体" w:cs="Times New Roman"/>
                <w:snapToGrid w:val="0"/>
                <w:color w:val="auto"/>
                <w:spacing w:val="-16"/>
                <w:kern w:val="21"/>
                <w:sz w:val="21"/>
                <w:szCs w:val="21"/>
                <w:highlight w:val="none"/>
              </w:rPr>
            </w:pPr>
            <w:r>
              <w:rPr>
                <w:rFonts w:hint="default" w:ascii="Times New Roman" w:hAnsi="Times New Roman" w:eastAsia="黑体" w:cs="Times New Roman"/>
                <w:snapToGrid w:val="0"/>
                <w:color w:val="auto"/>
                <w:spacing w:val="-16"/>
                <w:kern w:val="21"/>
                <w:sz w:val="21"/>
                <w:szCs w:val="21"/>
                <w:highlight w:val="none"/>
              </w:rPr>
              <w:t>以新带老削减量</w:t>
            </w:r>
          </w:p>
          <w:p>
            <w:pPr>
              <w:pStyle w:val="53"/>
              <w:spacing w:beforeLines="0" w:afterLines="0" w:line="240" w:lineRule="auto"/>
              <w:jc w:val="center"/>
              <w:rPr>
                <w:rFonts w:hint="default" w:ascii="Times New Roman" w:hAnsi="Times New Roman" w:eastAsia="黑体" w:cs="Times New Roman"/>
                <w:snapToGrid w:val="0"/>
                <w:color w:val="auto"/>
                <w:spacing w:val="-16"/>
                <w:kern w:val="21"/>
                <w:sz w:val="21"/>
                <w:szCs w:val="21"/>
                <w:highlight w:val="none"/>
              </w:rPr>
            </w:pPr>
            <w:r>
              <w:rPr>
                <w:rFonts w:hint="default" w:ascii="Times New Roman" w:hAnsi="Times New Roman" w:eastAsia="黑体" w:cs="Times New Roman"/>
                <w:snapToGrid w:val="0"/>
                <w:color w:val="auto"/>
                <w:spacing w:val="-16"/>
                <w:kern w:val="21"/>
                <w:sz w:val="21"/>
                <w:szCs w:val="21"/>
                <w:highlight w:val="none"/>
              </w:rPr>
              <w:t>（新建项目不填）</w:t>
            </w:r>
            <w:r>
              <w:rPr>
                <w:rFonts w:hint="default" w:ascii="Times New Roman" w:hAnsi="Times New Roman" w:eastAsia="黑体" w:cs="Times New Roman"/>
                <w:snapToGrid w:val="0"/>
                <w:color w:val="auto"/>
                <w:spacing w:val="-16"/>
                <w:kern w:val="21"/>
                <w:sz w:val="21"/>
                <w:szCs w:val="21"/>
                <w:highlight w:val="none"/>
              </w:rPr>
              <w:fldChar w:fldCharType="begin"/>
            </w:r>
            <w:r>
              <w:rPr>
                <w:rFonts w:hint="default" w:ascii="Times New Roman" w:hAnsi="Times New Roman" w:eastAsia="黑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黑体" w:cs="Times New Roman"/>
                <w:snapToGrid w:val="0"/>
                <w:color w:val="auto"/>
                <w:spacing w:val="-16"/>
                <w:kern w:val="21"/>
                <w:sz w:val="21"/>
                <w:szCs w:val="21"/>
                <w:highlight w:val="none"/>
              </w:rPr>
              <w:fldChar w:fldCharType="separate"/>
            </w:r>
            <w:r>
              <w:rPr>
                <w:rFonts w:hint="default" w:ascii="Times New Roman" w:hAnsi="Times New Roman" w:eastAsia="黑体" w:cs="Times New Roman"/>
                <w:color w:val="auto"/>
                <w:kern w:val="2"/>
                <w:sz w:val="21"/>
                <w:szCs w:val="21"/>
                <w:highlight w:val="none"/>
              </w:rPr>
              <w:t>⑤</w:t>
            </w:r>
            <w:r>
              <w:rPr>
                <w:rFonts w:hint="default" w:ascii="Times New Roman" w:hAnsi="Times New Roman" w:eastAsia="黑体" w:cs="Times New Roman"/>
                <w:snapToGrid w:val="0"/>
                <w:color w:val="auto"/>
                <w:spacing w:val="-16"/>
                <w:kern w:val="21"/>
                <w:sz w:val="21"/>
                <w:szCs w:val="21"/>
                <w:highlight w:val="none"/>
              </w:rPr>
              <w:fldChar w:fldCharType="end"/>
            </w:r>
          </w:p>
        </w:tc>
        <w:tc>
          <w:tcPr>
            <w:tcW w:w="1349" w:type="dxa"/>
            <w:noWrap w:val="0"/>
            <w:tcMar>
              <w:left w:w="28" w:type="dxa"/>
              <w:right w:w="28" w:type="dxa"/>
            </w:tcMar>
            <w:vAlign w:val="center"/>
          </w:tcPr>
          <w:p>
            <w:pPr>
              <w:pStyle w:val="53"/>
              <w:spacing w:beforeLines="0" w:afterLines="0" w:line="240" w:lineRule="auto"/>
              <w:jc w:val="center"/>
              <w:rPr>
                <w:rFonts w:hint="default" w:ascii="Times New Roman" w:hAnsi="Times New Roman" w:eastAsia="黑体" w:cs="Times New Roman"/>
                <w:snapToGrid w:val="0"/>
                <w:color w:val="auto"/>
                <w:spacing w:val="-16"/>
                <w:kern w:val="21"/>
                <w:sz w:val="21"/>
                <w:szCs w:val="21"/>
                <w:highlight w:val="none"/>
              </w:rPr>
            </w:pPr>
            <w:r>
              <w:rPr>
                <w:rFonts w:hint="default" w:ascii="Times New Roman" w:hAnsi="Times New Roman" w:eastAsia="黑体" w:cs="Times New Roman"/>
                <w:snapToGrid w:val="0"/>
                <w:color w:val="auto"/>
                <w:spacing w:val="-16"/>
                <w:kern w:val="21"/>
                <w:sz w:val="21"/>
                <w:szCs w:val="21"/>
                <w:highlight w:val="none"/>
              </w:rPr>
              <w:t>本项目建成后</w:t>
            </w:r>
          </w:p>
          <w:p>
            <w:pPr>
              <w:pStyle w:val="53"/>
              <w:spacing w:beforeLines="0" w:afterLines="0" w:line="240" w:lineRule="auto"/>
              <w:jc w:val="center"/>
              <w:rPr>
                <w:rFonts w:hint="default" w:ascii="Times New Roman" w:hAnsi="Times New Roman" w:eastAsia="黑体" w:cs="Times New Roman"/>
                <w:snapToGrid w:val="0"/>
                <w:color w:val="auto"/>
                <w:spacing w:val="-16"/>
                <w:kern w:val="21"/>
                <w:sz w:val="21"/>
                <w:szCs w:val="21"/>
                <w:highlight w:val="none"/>
              </w:rPr>
            </w:pPr>
            <w:r>
              <w:rPr>
                <w:rFonts w:hint="default" w:ascii="Times New Roman" w:hAnsi="Times New Roman" w:eastAsia="黑体" w:cs="Times New Roman"/>
                <w:snapToGrid w:val="0"/>
                <w:color w:val="auto"/>
                <w:spacing w:val="-16"/>
                <w:kern w:val="21"/>
                <w:sz w:val="21"/>
                <w:szCs w:val="21"/>
                <w:highlight w:val="none"/>
              </w:rPr>
              <w:t>全厂排放量（固体废物产生量）</w:t>
            </w:r>
            <w:r>
              <w:rPr>
                <w:rFonts w:hint="default" w:ascii="Times New Roman" w:hAnsi="Times New Roman" w:eastAsia="黑体" w:cs="Times New Roman"/>
                <w:snapToGrid w:val="0"/>
                <w:color w:val="auto"/>
                <w:spacing w:val="-16"/>
                <w:kern w:val="21"/>
                <w:sz w:val="21"/>
                <w:szCs w:val="21"/>
                <w:highlight w:val="none"/>
              </w:rPr>
              <w:fldChar w:fldCharType="begin"/>
            </w:r>
            <w:r>
              <w:rPr>
                <w:rFonts w:hint="default" w:ascii="Times New Roman" w:hAnsi="Times New Roman" w:eastAsia="黑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黑体" w:cs="Times New Roman"/>
                <w:snapToGrid w:val="0"/>
                <w:color w:val="auto"/>
                <w:spacing w:val="-16"/>
                <w:kern w:val="21"/>
                <w:sz w:val="21"/>
                <w:szCs w:val="21"/>
                <w:highlight w:val="none"/>
              </w:rPr>
              <w:fldChar w:fldCharType="separate"/>
            </w:r>
            <w:r>
              <w:rPr>
                <w:rFonts w:hint="default" w:ascii="Times New Roman" w:hAnsi="Times New Roman" w:eastAsia="黑体" w:cs="Times New Roman"/>
                <w:color w:val="auto"/>
                <w:kern w:val="2"/>
                <w:sz w:val="21"/>
                <w:szCs w:val="21"/>
                <w:highlight w:val="none"/>
              </w:rPr>
              <w:t>⑥</w:t>
            </w:r>
            <w:r>
              <w:rPr>
                <w:rFonts w:hint="default" w:ascii="Times New Roman" w:hAnsi="Times New Roman" w:eastAsia="黑体" w:cs="Times New Roman"/>
                <w:snapToGrid w:val="0"/>
                <w:color w:val="auto"/>
                <w:spacing w:val="-16"/>
                <w:kern w:val="21"/>
                <w:sz w:val="21"/>
                <w:szCs w:val="21"/>
                <w:highlight w:val="none"/>
              </w:rPr>
              <w:fldChar w:fldCharType="end"/>
            </w:r>
          </w:p>
        </w:tc>
        <w:tc>
          <w:tcPr>
            <w:tcW w:w="1436" w:type="dxa"/>
            <w:noWrap w:val="0"/>
            <w:tcMar>
              <w:left w:w="28" w:type="dxa"/>
              <w:right w:w="28" w:type="dxa"/>
            </w:tcMar>
            <w:vAlign w:val="center"/>
          </w:tcPr>
          <w:p>
            <w:pPr>
              <w:pStyle w:val="53"/>
              <w:spacing w:beforeLines="0" w:afterLines="0" w:line="240" w:lineRule="auto"/>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t>变化量</w:t>
            </w:r>
          </w:p>
          <w:p>
            <w:pPr>
              <w:pStyle w:val="53"/>
              <w:spacing w:beforeLines="0" w:afterLines="0" w:line="240" w:lineRule="auto"/>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fldChar w:fldCharType="begin"/>
            </w:r>
            <w:r>
              <w:rPr>
                <w:rFonts w:hint="default" w:ascii="Times New Roman" w:hAnsi="Times New Roman" w:eastAsia="黑体" w:cs="Times New Roman"/>
                <w:snapToGrid w:val="0"/>
                <w:color w:val="auto"/>
                <w:spacing w:val="-6"/>
                <w:kern w:val="21"/>
                <w:sz w:val="21"/>
                <w:szCs w:val="21"/>
                <w:highlight w:val="none"/>
              </w:rPr>
              <w:instrText xml:space="preserve"> = 7 \* GB3 \* MERGEFORMAT </w:instrText>
            </w:r>
            <w:r>
              <w:rPr>
                <w:rFonts w:hint="default" w:ascii="Times New Roman" w:hAnsi="Times New Roman" w:eastAsia="黑体" w:cs="Times New Roman"/>
                <w:snapToGrid w:val="0"/>
                <w:color w:val="auto"/>
                <w:spacing w:val="-6"/>
                <w:kern w:val="21"/>
                <w:sz w:val="21"/>
                <w:szCs w:val="21"/>
                <w:highlight w:val="none"/>
              </w:rPr>
              <w:fldChar w:fldCharType="separate"/>
            </w:r>
            <w:r>
              <w:rPr>
                <w:rFonts w:hint="default" w:ascii="Times New Roman" w:hAnsi="Times New Roman" w:eastAsia="黑体" w:cs="Times New Roman"/>
                <w:color w:val="auto"/>
                <w:kern w:val="2"/>
                <w:sz w:val="21"/>
                <w:szCs w:val="21"/>
                <w:highlight w:val="none"/>
              </w:rPr>
              <w:t>⑦</w:t>
            </w:r>
            <w:r>
              <w:rPr>
                <w:rFonts w:hint="default" w:ascii="Times New Roman" w:hAnsi="Times New Roman" w:eastAsia="黑体" w:cs="Times New Roman"/>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53"/>
              <w:spacing w:beforeLines="0" w:afterLines="0" w:line="240" w:lineRule="auto"/>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废气</w:t>
            </w:r>
          </w:p>
        </w:tc>
        <w:tc>
          <w:tcPr>
            <w:tcW w:w="1417" w:type="dxa"/>
            <w:noWrap w:val="0"/>
            <w:vAlign w:val="center"/>
          </w:tcPr>
          <w:p>
            <w:pPr>
              <w:pStyle w:val="53"/>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颗粒物</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3.9432</w:t>
            </w:r>
            <w:r>
              <w:rPr>
                <w:rFonts w:hint="default" w:ascii="Times New Roman" w:hAnsi="Times New Roman" w:eastAsia="宋体" w:cs="Times New Roman"/>
                <w:color w:val="auto"/>
                <w:sz w:val="21"/>
                <w:szCs w:val="21"/>
                <w:highlight w:val="none"/>
                <w:shd w:val="clear"/>
              </w:rPr>
              <w:t>t/a</w:t>
            </w:r>
          </w:p>
        </w:tc>
        <w:tc>
          <w:tcPr>
            <w:tcW w:w="1276"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bidi="ar-SA"/>
              </w:rPr>
              <w:t>/</w:t>
            </w:r>
          </w:p>
        </w:tc>
        <w:tc>
          <w:tcPr>
            <w:tcW w:w="1701" w:type="dxa"/>
            <w:noWrap w:val="0"/>
            <w:vAlign w:val="center"/>
          </w:tcPr>
          <w:p>
            <w:pPr>
              <w:pStyle w:val="53"/>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1559" w:type="dxa"/>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0"/>
                <w:sz w:val="21"/>
                <w:szCs w:val="21"/>
                <w:highlight w:val="none"/>
                <w:lang w:val="en-US" w:eastAsia="zh-CN"/>
              </w:rPr>
              <w:t>6.572</w:t>
            </w:r>
            <w:r>
              <w:rPr>
                <w:rFonts w:hint="default" w:ascii="Times New Roman" w:hAnsi="Times New Roman" w:eastAsia="宋体" w:cs="Times New Roman"/>
                <w:color w:val="auto"/>
                <w:sz w:val="21"/>
                <w:szCs w:val="21"/>
                <w:highlight w:val="none"/>
                <w:shd w:val="clear"/>
              </w:rPr>
              <w:t>t/a</w:t>
            </w:r>
          </w:p>
        </w:tc>
        <w:tc>
          <w:tcPr>
            <w:tcW w:w="1761" w:type="dxa"/>
            <w:noWrap w:val="0"/>
            <w:vAlign w:val="center"/>
          </w:tcPr>
          <w:p>
            <w:pPr>
              <w:widowControl/>
              <w:snapToGrid w:val="0"/>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w:t>
            </w:r>
          </w:p>
        </w:tc>
        <w:tc>
          <w:tcPr>
            <w:tcW w:w="1349" w:type="dxa"/>
            <w:noWrap w:val="0"/>
            <w:vAlign w:val="center"/>
          </w:tcPr>
          <w:p>
            <w:pPr>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10.5152</w:t>
            </w:r>
            <w:r>
              <w:rPr>
                <w:rFonts w:hint="default" w:ascii="Times New Roman" w:hAnsi="Times New Roman" w:eastAsia="宋体" w:cs="Times New Roman"/>
                <w:color w:val="auto"/>
                <w:sz w:val="21"/>
                <w:szCs w:val="21"/>
                <w:highlight w:val="none"/>
              </w:rPr>
              <w:t>t/a</w:t>
            </w:r>
          </w:p>
        </w:tc>
        <w:tc>
          <w:tcPr>
            <w:tcW w:w="1436" w:type="dxa"/>
            <w:noWrap w:val="0"/>
            <w:vAlign w:val="center"/>
          </w:tcPr>
          <w:p>
            <w:pPr>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0"/>
                <w:sz w:val="21"/>
                <w:szCs w:val="21"/>
                <w:highlight w:val="none"/>
                <w:lang w:val="en-US" w:eastAsia="zh-CN"/>
              </w:rPr>
              <w:t>+6.572</w:t>
            </w:r>
            <w:r>
              <w:rPr>
                <w:rFonts w:hint="default"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3"/>
              <w:spacing w:beforeLines="0" w:afterLines="0" w:line="240" w:lineRule="auto"/>
              <w:jc w:val="center"/>
              <w:rPr>
                <w:rFonts w:hint="default" w:ascii="Times New Roman" w:hAnsi="Times New Roman" w:cs="Times New Roman"/>
                <w:snapToGrid w:val="0"/>
                <w:color w:val="auto"/>
                <w:kern w:val="21"/>
                <w:sz w:val="21"/>
                <w:szCs w:val="21"/>
                <w:highlight w:val="none"/>
              </w:rPr>
            </w:pPr>
          </w:p>
        </w:tc>
        <w:tc>
          <w:tcPr>
            <w:tcW w:w="1417" w:type="dxa"/>
            <w:noWrap w:val="0"/>
            <w:vAlign w:val="center"/>
          </w:tcPr>
          <w:p>
            <w:pPr>
              <w:pStyle w:val="53"/>
              <w:spacing w:beforeLines="0" w:afterLines="0" w:line="240" w:lineRule="auto"/>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油烟</w:t>
            </w:r>
          </w:p>
        </w:tc>
        <w:tc>
          <w:tcPr>
            <w:tcW w:w="1701" w:type="dxa"/>
            <w:noWrap w:val="0"/>
            <w:vAlign w:val="center"/>
          </w:tcPr>
          <w:p>
            <w:pPr>
              <w:numPr>
                <w:ilvl w:val="0"/>
                <w:numId w:val="0"/>
              </w:numPr>
              <w:spacing w:line="240" w:lineRule="auto"/>
              <w:ind w:left="0" w:leftChars="0" w:firstLine="0" w:firstLineChars="0"/>
              <w:jc w:val="center"/>
              <w:rPr>
                <w:rFonts w:hint="eastAsia" w:ascii="Times New Roman" w:cs="Times New Roman"/>
                <w:snapToGrid w:val="0"/>
                <w:color w:val="auto"/>
                <w:kern w:val="21"/>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0.0027</w:t>
            </w:r>
            <w:r>
              <w:rPr>
                <w:rFonts w:hint="default" w:ascii="Times New Roman" w:hAnsi="Times New Roman" w:eastAsia="宋体" w:cs="Times New Roman"/>
                <w:color w:val="auto"/>
                <w:sz w:val="21"/>
                <w:szCs w:val="21"/>
                <w:highlight w:val="none"/>
                <w:shd w:val="clear"/>
              </w:rPr>
              <w:t>t/a</w:t>
            </w:r>
          </w:p>
        </w:tc>
        <w:tc>
          <w:tcPr>
            <w:tcW w:w="1276" w:type="dxa"/>
            <w:noWrap w:val="0"/>
            <w:vAlign w:val="center"/>
          </w:tcPr>
          <w:p>
            <w:pPr>
              <w:spacing w:beforeLines="0" w:afterLines="0" w:line="240" w:lineRule="auto"/>
              <w:jc w:val="center"/>
              <w:rPr>
                <w:rFonts w:hint="default" w:asci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bidi="ar-SA"/>
              </w:rPr>
              <w:t>/</w:t>
            </w:r>
          </w:p>
        </w:tc>
        <w:tc>
          <w:tcPr>
            <w:tcW w:w="1701" w:type="dxa"/>
            <w:noWrap w:val="0"/>
            <w:vAlign w:val="center"/>
          </w:tcPr>
          <w:p>
            <w:pPr>
              <w:pStyle w:val="53"/>
              <w:spacing w:beforeLines="0" w:afterLines="0" w:line="240" w:lineRule="auto"/>
              <w:jc w:val="center"/>
              <w:rPr>
                <w:rFonts w:hint="eastAsia" w:ascii="Times New Roman" w:cs="Times New Roman"/>
                <w:snapToGrid w:val="0"/>
                <w:color w:val="auto"/>
                <w:kern w:val="21"/>
                <w:sz w:val="21"/>
                <w:szCs w:val="21"/>
                <w:highlight w:val="none"/>
                <w:lang w:val="en-US" w:eastAsia="zh-CN"/>
              </w:rPr>
            </w:pPr>
          </w:p>
        </w:tc>
        <w:tc>
          <w:tcPr>
            <w:tcW w:w="1559" w:type="dxa"/>
            <w:noWrap w:val="0"/>
            <w:vAlign w:val="center"/>
          </w:tcPr>
          <w:p>
            <w:pPr>
              <w:jc w:val="center"/>
              <w:rPr>
                <w:rFonts w:hint="default" w:ascii="Times New Roman" w:cs="Times New Roman"/>
                <w:snapToGrid w:val="0"/>
                <w:color w:val="auto"/>
                <w:kern w:val="21"/>
                <w:sz w:val="21"/>
                <w:szCs w:val="21"/>
                <w:highlight w:val="none"/>
                <w:lang w:val="en-US" w:eastAsia="zh-CN"/>
              </w:rPr>
            </w:pPr>
            <w:r>
              <w:rPr>
                <w:rFonts w:hint="eastAsia" w:cs="Times New Roman"/>
                <w:color w:val="auto"/>
                <w:sz w:val="21"/>
                <w:szCs w:val="21"/>
                <w:highlight w:val="none"/>
                <w:shd w:val="clear"/>
                <w:lang w:val="en-US" w:eastAsia="zh-CN"/>
              </w:rPr>
              <w:t>0</w:t>
            </w:r>
            <w:r>
              <w:rPr>
                <w:rFonts w:hint="default" w:ascii="Times New Roman" w:hAnsi="Times New Roman" w:eastAsia="宋体" w:cs="Times New Roman"/>
                <w:color w:val="auto"/>
                <w:sz w:val="21"/>
                <w:szCs w:val="21"/>
                <w:highlight w:val="none"/>
                <w:shd w:val="clear"/>
              </w:rPr>
              <w:t>t/a</w:t>
            </w:r>
          </w:p>
        </w:tc>
        <w:tc>
          <w:tcPr>
            <w:tcW w:w="1761" w:type="dxa"/>
            <w:noWrap w:val="0"/>
            <w:vAlign w:val="center"/>
          </w:tcPr>
          <w:p>
            <w:pPr>
              <w:pStyle w:val="53"/>
              <w:spacing w:beforeLines="0" w:afterLines="0" w:line="240" w:lineRule="auto"/>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349" w:type="dxa"/>
            <w:noWrap w:val="0"/>
            <w:vAlign w:val="center"/>
          </w:tcPr>
          <w:p>
            <w:pPr>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0.0027</w:t>
            </w:r>
            <w:r>
              <w:rPr>
                <w:rFonts w:hint="default" w:ascii="Times New Roman" w:hAnsi="Times New Roman" w:eastAsia="宋体" w:cs="Times New Roman"/>
                <w:color w:val="auto"/>
                <w:sz w:val="21"/>
                <w:szCs w:val="21"/>
                <w:highlight w:val="none"/>
              </w:rPr>
              <w:t>t/a</w:t>
            </w:r>
          </w:p>
        </w:tc>
        <w:tc>
          <w:tcPr>
            <w:tcW w:w="1436" w:type="dxa"/>
            <w:noWrap w:val="0"/>
            <w:vAlign w:val="center"/>
          </w:tcPr>
          <w:p>
            <w:pPr>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588" w:type="dxa"/>
            <w:vMerge w:val="restart"/>
            <w:noWrap w:val="0"/>
            <w:vAlign w:val="center"/>
          </w:tcPr>
          <w:p>
            <w:pPr>
              <w:pStyle w:val="53"/>
              <w:spacing w:beforeLines="0" w:afterLines="0" w:line="240" w:lineRule="auto"/>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废水</w:t>
            </w:r>
          </w:p>
        </w:tc>
        <w:tc>
          <w:tcPr>
            <w:tcW w:w="1417" w:type="dxa"/>
            <w:noWrap w:val="0"/>
            <w:vAlign w:val="center"/>
          </w:tcPr>
          <w:p>
            <w:pPr>
              <w:pStyle w:val="53"/>
              <w:spacing w:beforeLines="0" w:afterLines="0" w:line="240" w:lineRule="auto"/>
              <w:ind w:left="200" w:leftChars="0" w:hanging="20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生活污水</w:t>
            </w:r>
          </w:p>
        </w:tc>
        <w:tc>
          <w:tcPr>
            <w:tcW w:w="1701" w:type="dxa"/>
            <w:noWrap w:val="0"/>
            <w:vAlign w:val="center"/>
          </w:tcPr>
          <w:p>
            <w:pPr>
              <w:pStyle w:val="53"/>
              <w:spacing w:beforeLines="0" w:afterLines="0" w:line="240" w:lineRule="auto"/>
              <w:ind w:left="200" w:leftChars="0" w:hanging="20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0</w:t>
            </w:r>
            <w:r>
              <w:rPr>
                <w:rFonts w:hint="default" w:ascii="Times New Roman" w:hAnsi="Times New Roman" w:eastAsia="宋体" w:cs="Times New Roman"/>
                <w:color w:val="auto"/>
                <w:kern w:val="0"/>
                <w:sz w:val="21"/>
                <w:szCs w:val="21"/>
                <w:highlight w:val="none"/>
                <w:lang w:val="en-US" w:eastAsia="zh-CN" w:bidi="ar-SA"/>
              </w:rPr>
              <w:t>t/a</w:t>
            </w:r>
          </w:p>
        </w:tc>
        <w:tc>
          <w:tcPr>
            <w:tcW w:w="1276" w:type="dxa"/>
            <w:noWrap w:val="0"/>
            <w:vAlign w:val="center"/>
          </w:tcPr>
          <w:p>
            <w:pPr>
              <w:spacing w:beforeLines="0" w:afterLines="0" w:line="240" w:lineRule="auto"/>
              <w:ind w:left="200" w:leftChars="0" w:hanging="20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1701" w:type="dxa"/>
            <w:noWrap w:val="0"/>
            <w:vAlign w:val="center"/>
          </w:tcPr>
          <w:p>
            <w:pPr>
              <w:pStyle w:val="53"/>
              <w:spacing w:beforeLines="0" w:afterLines="0" w:line="240" w:lineRule="auto"/>
              <w:ind w:left="200" w:leftChars="0" w:hanging="20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1559" w:type="dxa"/>
            <w:noWrap w:val="0"/>
            <w:vAlign w:val="center"/>
          </w:tcPr>
          <w:p>
            <w:pPr>
              <w:pStyle w:val="53"/>
              <w:spacing w:beforeLines="0" w:afterLines="0" w:line="240" w:lineRule="auto"/>
              <w:ind w:left="200" w:leftChars="0" w:hanging="20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w:t>
            </w:r>
            <w:r>
              <w:rPr>
                <w:rFonts w:hint="default" w:ascii="Times New Roman" w:hAnsi="Times New Roman" w:eastAsia="宋体" w:cs="Times New Roman"/>
                <w:color w:val="auto"/>
                <w:kern w:val="0"/>
                <w:sz w:val="21"/>
                <w:szCs w:val="21"/>
                <w:highlight w:val="none"/>
                <w:lang w:val="en-US" w:eastAsia="zh-CN" w:bidi="ar-SA"/>
              </w:rPr>
              <w:t>t/a</w:t>
            </w:r>
          </w:p>
        </w:tc>
        <w:tc>
          <w:tcPr>
            <w:tcW w:w="1761" w:type="dxa"/>
            <w:noWrap w:val="0"/>
            <w:vAlign w:val="center"/>
          </w:tcPr>
          <w:p>
            <w:pPr>
              <w:pStyle w:val="53"/>
              <w:spacing w:beforeLines="0" w:afterLines="0" w:line="240" w:lineRule="auto"/>
              <w:ind w:left="200" w:leftChars="0" w:hanging="20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w:t>
            </w:r>
          </w:p>
        </w:tc>
        <w:tc>
          <w:tcPr>
            <w:tcW w:w="1349" w:type="dxa"/>
            <w:noWrap w:val="0"/>
            <w:vAlign w:val="center"/>
          </w:tcPr>
          <w:p>
            <w:pPr>
              <w:spacing w:beforeLines="0" w:afterLines="0" w:line="240" w:lineRule="auto"/>
              <w:ind w:left="200" w:leftChars="0" w:hanging="200" w:firstLineChars="0"/>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color w:val="auto"/>
                <w:sz w:val="21"/>
                <w:szCs w:val="21"/>
                <w:highlight w:val="none"/>
                <w:shd w:val="clear"/>
                <w:lang w:val="en-US" w:eastAsia="zh-CN"/>
              </w:rPr>
              <w:t>0</w:t>
            </w:r>
            <w:r>
              <w:rPr>
                <w:rFonts w:hint="default" w:ascii="Times New Roman" w:hAnsi="Times New Roman" w:eastAsia="宋体" w:cs="Times New Roman"/>
                <w:color w:val="auto"/>
                <w:sz w:val="21"/>
                <w:szCs w:val="21"/>
                <w:highlight w:val="none"/>
                <w:shd w:val="clear"/>
              </w:rPr>
              <w:t>t/a</w:t>
            </w:r>
          </w:p>
        </w:tc>
        <w:tc>
          <w:tcPr>
            <w:tcW w:w="1436" w:type="dxa"/>
            <w:noWrap w:val="0"/>
            <w:vAlign w:val="center"/>
          </w:tcPr>
          <w:p>
            <w:pPr>
              <w:spacing w:beforeLines="0" w:afterLines="0" w:line="240" w:lineRule="auto"/>
              <w:ind w:left="200" w:leftChars="0" w:hanging="200" w:firstLineChars="0"/>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color w:val="auto"/>
                <w:sz w:val="21"/>
                <w:szCs w:val="21"/>
                <w:highlight w:val="none"/>
                <w:shd w:val="clear"/>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3"/>
              <w:spacing w:beforeLines="0" w:afterLines="0" w:line="240" w:lineRule="auto"/>
              <w:jc w:val="center"/>
              <w:rPr>
                <w:rFonts w:hint="default" w:ascii="Times New Roman" w:hAnsi="Times New Roman" w:cs="Times New Roman"/>
                <w:snapToGrid w:val="0"/>
                <w:color w:val="auto"/>
                <w:kern w:val="21"/>
                <w:sz w:val="21"/>
                <w:szCs w:val="21"/>
                <w:highlight w:val="none"/>
              </w:rPr>
            </w:pPr>
          </w:p>
        </w:tc>
        <w:tc>
          <w:tcPr>
            <w:tcW w:w="1417" w:type="dxa"/>
            <w:noWrap w:val="0"/>
            <w:vAlign w:val="center"/>
          </w:tcPr>
          <w:p>
            <w:pPr>
              <w:pStyle w:val="53"/>
              <w:spacing w:beforeLines="0" w:afterLines="0" w:line="240" w:lineRule="auto"/>
              <w:ind w:left="200" w:leftChars="0" w:hanging="20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生产废水</w:t>
            </w:r>
          </w:p>
        </w:tc>
        <w:tc>
          <w:tcPr>
            <w:tcW w:w="1701" w:type="dxa"/>
            <w:noWrap w:val="0"/>
            <w:vAlign w:val="center"/>
          </w:tcPr>
          <w:p>
            <w:pPr>
              <w:pStyle w:val="53"/>
              <w:spacing w:beforeLines="0" w:afterLines="0" w:line="240" w:lineRule="auto"/>
              <w:ind w:left="200" w:leftChars="0" w:hanging="200" w:firstLineChars="0"/>
              <w:jc w:val="center"/>
              <w:rPr>
                <w:rFonts w:hint="eastAsia" w:cs="Times New Roman"/>
                <w:color w:val="auto"/>
                <w:sz w:val="21"/>
                <w:szCs w:val="21"/>
                <w:highlight w:val="none"/>
                <w:shd w:val="clear"/>
                <w:lang w:val="en-US" w:eastAsia="zh-CN"/>
              </w:rPr>
            </w:pPr>
            <w:r>
              <w:rPr>
                <w:rFonts w:hint="eastAsia" w:ascii="Times New Roman" w:hAnsi="Times New Roman" w:eastAsia="宋体" w:cs="Times New Roman"/>
                <w:color w:val="auto"/>
                <w:kern w:val="0"/>
                <w:sz w:val="21"/>
                <w:szCs w:val="21"/>
                <w:highlight w:val="none"/>
                <w:lang w:val="en-US" w:eastAsia="zh-CN" w:bidi="ar-SA"/>
              </w:rPr>
              <w:t>0</w:t>
            </w:r>
            <w:r>
              <w:rPr>
                <w:rFonts w:hint="default" w:ascii="Times New Roman" w:hAnsi="Times New Roman" w:eastAsia="宋体" w:cs="Times New Roman"/>
                <w:color w:val="auto"/>
                <w:kern w:val="0"/>
                <w:sz w:val="21"/>
                <w:szCs w:val="21"/>
                <w:highlight w:val="none"/>
                <w:lang w:val="en-US" w:eastAsia="zh-CN" w:bidi="ar-SA"/>
              </w:rPr>
              <w:t>t/a</w:t>
            </w:r>
          </w:p>
        </w:tc>
        <w:tc>
          <w:tcPr>
            <w:tcW w:w="1276" w:type="dxa"/>
            <w:noWrap w:val="0"/>
            <w:vAlign w:val="center"/>
          </w:tcPr>
          <w:p>
            <w:pPr>
              <w:spacing w:beforeLines="0" w:afterLines="0" w:line="240" w:lineRule="auto"/>
              <w:ind w:left="200" w:leftChars="0" w:hanging="200" w:firstLineChars="0"/>
              <w:jc w:val="center"/>
              <w:rPr>
                <w:rFonts w:hint="eastAsia" w:ascii="Times New Roman" w:hAnsi="Times New Roman" w:cs="Times New Roman"/>
                <w:snapToGrid w:val="0"/>
                <w:color w:val="auto"/>
                <w:kern w:val="21"/>
                <w:sz w:val="21"/>
                <w:szCs w:val="21"/>
                <w:highlight w:val="none"/>
                <w:lang w:val="en-US" w:eastAsia="zh-CN" w:bidi="ar-SA"/>
              </w:rPr>
            </w:pPr>
          </w:p>
        </w:tc>
        <w:tc>
          <w:tcPr>
            <w:tcW w:w="1701" w:type="dxa"/>
            <w:noWrap w:val="0"/>
            <w:vAlign w:val="center"/>
          </w:tcPr>
          <w:p>
            <w:pPr>
              <w:pStyle w:val="53"/>
              <w:spacing w:beforeLines="0" w:afterLines="0" w:line="240" w:lineRule="auto"/>
              <w:ind w:left="200" w:leftChars="0" w:hanging="200" w:firstLineChars="0"/>
              <w:jc w:val="center"/>
              <w:rPr>
                <w:rFonts w:hint="eastAsia"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pPr>
              <w:pStyle w:val="53"/>
              <w:spacing w:beforeLines="0" w:afterLines="0" w:line="240" w:lineRule="auto"/>
              <w:ind w:left="200" w:leftChars="0" w:hanging="200" w:firstLineChars="0"/>
              <w:jc w:val="center"/>
              <w:rPr>
                <w:rFonts w:hint="default" w:cs="Times New Roman"/>
                <w:color w:val="auto"/>
                <w:sz w:val="21"/>
                <w:szCs w:val="21"/>
                <w:highlight w:val="none"/>
                <w:shd w:val="clear"/>
                <w:lang w:val="en-US" w:eastAsia="zh-CN"/>
              </w:rPr>
            </w:pPr>
            <w:r>
              <w:rPr>
                <w:rFonts w:hint="eastAsia" w:ascii="Times New Roman" w:hAnsi="Times New Roman" w:eastAsia="宋体" w:cs="Times New Roman"/>
                <w:color w:val="auto"/>
                <w:kern w:val="0"/>
                <w:sz w:val="21"/>
                <w:szCs w:val="21"/>
                <w:highlight w:val="none"/>
                <w:lang w:val="en-US" w:eastAsia="zh-CN" w:bidi="ar-SA"/>
              </w:rPr>
              <w:t>0</w:t>
            </w:r>
          </w:p>
        </w:tc>
        <w:tc>
          <w:tcPr>
            <w:tcW w:w="1761" w:type="dxa"/>
            <w:noWrap w:val="0"/>
            <w:vAlign w:val="center"/>
          </w:tcPr>
          <w:p>
            <w:pPr>
              <w:spacing w:beforeLines="0" w:afterLines="0" w:line="240" w:lineRule="auto"/>
              <w:ind w:left="200" w:leftChars="0" w:hanging="200" w:firstLineChars="0"/>
              <w:jc w:val="center"/>
              <w:rPr>
                <w:rFonts w:hint="eastAsia" w:ascii="Times New Roman" w:cs="Times New Roman"/>
                <w:snapToGrid w:val="0"/>
                <w:color w:val="auto"/>
                <w:kern w:val="21"/>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w:t>
            </w:r>
          </w:p>
        </w:tc>
        <w:tc>
          <w:tcPr>
            <w:tcW w:w="1349" w:type="dxa"/>
            <w:noWrap w:val="0"/>
            <w:vAlign w:val="center"/>
          </w:tcPr>
          <w:p>
            <w:pPr>
              <w:spacing w:beforeLines="0" w:afterLines="0" w:line="240" w:lineRule="auto"/>
              <w:ind w:left="200" w:leftChars="0" w:hanging="200" w:firstLineChars="0"/>
              <w:jc w:val="center"/>
              <w:rPr>
                <w:rFonts w:hint="eastAsia" w:cs="Times New Roman"/>
                <w:color w:val="auto"/>
                <w:sz w:val="21"/>
                <w:szCs w:val="21"/>
                <w:highlight w:val="none"/>
                <w:shd w:val="clear"/>
                <w:lang w:val="en-US" w:eastAsia="zh-CN"/>
              </w:rPr>
            </w:pPr>
            <w:r>
              <w:rPr>
                <w:rFonts w:hint="eastAsia" w:ascii="Times New Roman" w:hAnsi="Times New Roman" w:eastAsia="宋体" w:cs="Times New Roman"/>
                <w:color w:val="auto"/>
                <w:kern w:val="0"/>
                <w:sz w:val="21"/>
                <w:szCs w:val="21"/>
                <w:highlight w:val="none"/>
                <w:lang w:val="en-US" w:eastAsia="zh-CN" w:bidi="ar-SA"/>
              </w:rPr>
              <w:t>0</w:t>
            </w:r>
          </w:p>
        </w:tc>
        <w:tc>
          <w:tcPr>
            <w:tcW w:w="1436" w:type="dxa"/>
            <w:noWrap w:val="0"/>
            <w:vAlign w:val="center"/>
          </w:tcPr>
          <w:p>
            <w:pPr>
              <w:spacing w:beforeLines="0" w:afterLines="0" w:line="240" w:lineRule="auto"/>
              <w:ind w:left="200" w:leftChars="0" w:hanging="200" w:firstLineChars="0"/>
              <w:jc w:val="center"/>
              <w:rPr>
                <w:rFonts w:hint="eastAsia" w:cs="Times New Roman"/>
                <w:color w:val="auto"/>
                <w:sz w:val="21"/>
                <w:szCs w:val="21"/>
                <w:highlight w:val="none"/>
                <w:shd w:val="clear"/>
                <w:lang w:val="en-US" w:eastAsia="zh-CN"/>
              </w:rPr>
            </w:pPr>
            <w:r>
              <w:rPr>
                <w:rFonts w:hint="eastAsia" w:ascii="Times New Roman" w:hAnsi="Times New Roman" w:eastAsia="宋体" w:cs="Times New Roman"/>
                <w:color w:val="auto"/>
                <w:kern w:val="0"/>
                <w:sz w:val="21"/>
                <w:szCs w:val="21"/>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588" w:type="dxa"/>
            <w:vMerge w:val="restart"/>
            <w:noWrap w:val="0"/>
            <w:vAlign w:val="center"/>
          </w:tcPr>
          <w:p>
            <w:pPr>
              <w:pStyle w:val="53"/>
              <w:spacing w:beforeLines="0" w:afterLines="0" w:line="240" w:lineRule="auto"/>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一般工业</w:t>
            </w:r>
          </w:p>
          <w:p>
            <w:pPr>
              <w:pStyle w:val="53"/>
              <w:spacing w:beforeLines="0" w:afterLines="0" w:line="240" w:lineRule="auto"/>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固体废物</w:t>
            </w:r>
          </w:p>
        </w:tc>
        <w:tc>
          <w:tcPr>
            <w:tcW w:w="1417" w:type="dxa"/>
            <w:noWrap w:val="0"/>
            <w:vAlign w:val="center"/>
          </w:tcPr>
          <w:p>
            <w:pPr>
              <w:pStyle w:val="53"/>
              <w:spacing w:beforeLines="0" w:afterLines="0" w:line="240" w:lineRule="auto"/>
              <w:jc w:val="center"/>
              <w:rPr>
                <w:rFonts w:hint="default" w:ascii="Times New Roman" w:cs="Times New Roman"/>
                <w:snapToGrid w:val="0"/>
                <w:color w:val="auto"/>
                <w:kern w:val="21"/>
                <w:sz w:val="21"/>
                <w:szCs w:val="21"/>
                <w:highlight w:val="none"/>
                <w:lang w:val="en-US" w:eastAsia="zh-CN"/>
              </w:rPr>
            </w:pPr>
            <w:r>
              <w:rPr>
                <w:rFonts w:hint="default" w:ascii="Times New Roman" w:cs="Times New Roman"/>
                <w:snapToGrid w:val="0"/>
                <w:color w:val="auto"/>
                <w:kern w:val="21"/>
                <w:sz w:val="21"/>
                <w:szCs w:val="21"/>
                <w:highlight w:val="none"/>
                <w:lang w:val="en-US" w:eastAsia="zh-CN"/>
              </w:rPr>
              <w:t>生活垃圾</w:t>
            </w:r>
          </w:p>
        </w:tc>
        <w:tc>
          <w:tcPr>
            <w:tcW w:w="1701" w:type="dxa"/>
            <w:noWrap w:val="0"/>
            <w:vAlign w:val="center"/>
          </w:tcPr>
          <w:p>
            <w:pPr>
              <w:spacing w:line="240" w:lineRule="auto"/>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0.153</w:t>
            </w:r>
            <w:r>
              <w:rPr>
                <w:rFonts w:hint="default" w:ascii="Times New Roman" w:hAnsi="Times New Roman" w:eastAsia="宋体" w:cs="Times New Roman"/>
                <w:color w:val="auto"/>
                <w:sz w:val="21"/>
                <w:szCs w:val="21"/>
                <w:highlight w:val="none"/>
                <w:shd w:val="clear"/>
              </w:rPr>
              <w:t>t/a</w:t>
            </w:r>
          </w:p>
        </w:tc>
        <w:tc>
          <w:tcPr>
            <w:tcW w:w="1276" w:type="dxa"/>
            <w:noWrap w:val="0"/>
            <w:vAlign w:val="center"/>
          </w:tcPr>
          <w:p>
            <w:pPr>
              <w:spacing w:line="240" w:lineRule="auto"/>
              <w:jc w:val="center"/>
              <w:rPr>
                <w:rFonts w:hint="eastAsia" w:ascii="Times New Roman" w:hAnsi="Times New Roman" w:eastAsia="宋体" w:cs="Times New Roman"/>
                <w:snapToGrid w:val="0"/>
                <w:color w:val="auto"/>
                <w:kern w:val="21"/>
                <w:sz w:val="21"/>
                <w:szCs w:val="21"/>
                <w:highlight w:val="none"/>
                <w:lang w:val="en-US" w:eastAsia="zh-CN" w:bidi="ar-SA"/>
              </w:rPr>
            </w:pPr>
          </w:p>
        </w:tc>
        <w:tc>
          <w:tcPr>
            <w:tcW w:w="1701" w:type="dxa"/>
            <w:noWrap w:val="0"/>
            <w:vAlign w:val="center"/>
          </w:tcPr>
          <w:p>
            <w:pPr>
              <w:pStyle w:val="53"/>
              <w:spacing w:beforeLines="0" w:afterLines="0" w:line="240" w:lineRule="auto"/>
              <w:ind w:left="200" w:leftChars="0" w:hanging="20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p>
        </w:tc>
        <w:tc>
          <w:tcPr>
            <w:tcW w:w="1559" w:type="dxa"/>
            <w:noWrap w:val="0"/>
            <w:vAlign w:val="center"/>
          </w:tcPr>
          <w:p>
            <w:pPr>
              <w:jc w:val="center"/>
              <w:rPr>
                <w:rFonts w:hint="default" w:ascii="Times New Roman" w:cs="Times New Roman"/>
                <w:snapToGrid w:val="0"/>
                <w:color w:val="auto"/>
                <w:kern w:val="2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t/a</w:t>
            </w:r>
          </w:p>
        </w:tc>
        <w:tc>
          <w:tcPr>
            <w:tcW w:w="1761" w:type="dxa"/>
            <w:noWrap w:val="0"/>
            <w:vAlign w:val="center"/>
          </w:tcPr>
          <w:p>
            <w:pPr>
              <w:pStyle w:val="53"/>
              <w:spacing w:beforeLines="0" w:afterLines="0" w:line="240" w:lineRule="auto"/>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0</w:t>
            </w:r>
          </w:p>
        </w:tc>
        <w:tc>
          <w:tcPr>
            <w:tcW w:w="1349" w:type="dxa"/>
            <w:noWrap w:val="0"/>
            <w:vAlign w:val="center"/>
          </w:tcPr>
          <w:p>
            <w:pPr>
              <w:widowControl/>
              <w:snapToGrid w:val="0"/>
              <w:spacing w:line="240" w:lineRule="auto"/>
              <w:jc w:val="center"/>
              <w:rPr>
                <w:rFonts w:hint="default" w:ascii="Times New Roman" w:cs="Times New Roman"/>
                <w:snapToGrid w:val="0"/>
                <w:color w:val="auto"/>
                <w:kern w:val="21"/>
                <w:sz w:val="21"/>
                <w:szCs w:val="21"/>
                <w:highlight w:val="none"/>
                <w:lang w:val="en-US" w:eastAsia="zh-CN"/>
              </w:rPr>
            </w:pPr>
            <w:r>
              <w:rPr>
                <w:rFonts w:hint="eastAsia" w:cs="Times New Roman"/>
                <w:color w:val="auto"/>
                <w:sz w:val="21"/>
                <w:szCs w:val="21"/>
                <w:highlight w:val="none"/>
                <w:lang w:val="en-US" w:eastAsia="zh-CN"/>
              </w:rPr>
              <w:t>0.153</w:t>
            </w:r>
            <w:r>
              <w:rPr>
                <w:rFonts w:hint="default" w:ascii="Times New Roman" w:hAnsi="Times New Roman" w:eastAsia="宋体" w:cs="Times New Roman"/>
                <w:color w:val="auto"/>
                <w:sz w:val="21"/>
                <w:szCs w:val="21"/>
                <w:highlight w:val="none"/>
              </w:rPr>
              <w:t>t/a</w:t>
            </w:r>
          </w:p>
        </w:tc>
        <w:tc>
          <w:tcPr>
            <w:tcW w:w="1436" w:type="dxa"/>
            <w:noWrap w:val="0"/>
            <w:vAlign w:val="center"/>
          </w:tcPr>
          <w:p>
            <w:pPr>
              <w:jc w:val="center"/>
              <w:rPr>
                <w:rFonts w:hint="eastAsia" w:ascii="Times New Roman" w:cs="Times New Roman"/>
                <w:snapToGrid w:val="0"/>
                <w:color w:val="auto"/>
                <w:kern w:val="21"/>
                <w:sz w:val="21"/>
                <w:szCs w:val="21"/>
                <w:highlight w:val="none"/>
                <w:lang w:val="en-US" w:eastAsia="zh-CN"/>
              </w:rPr>
            </w:pPr>
            <w:r>
              <w:rPr>
                <w:rFonts w:hint="eastAsia" w:cs="Times New Roman"/>
                <w:color w:val="auto"/>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88" w:type="dxa"/>
            <w:vMerge w:val="continue"/>
            <w:noWrap w:val="0"/>
            <w:vAlign w:val="center"/>
          </w:tcPr>
          <w:p>
            <w:pPr>
              <w:pStyle w:val="53"/>
              <w:spacing w:beforeLines="0" w:afterLines="0" w:line="240" w:lineRule="auto"/>
              <w:jc w:val="center"/>
              <w:rPr>
                <w:color w:val="auto"/>
                <w:sz w:val="21"/>
                <w:szCs w:val="21"/>
                <w:highlight w:val="none"/>
              </w:rPr>
            </w:pPr>
          </w:p>
        </w:tc>
        <w:tc>
          <w:tcPr>
            <w:tcW w:w="1417" w:type="dxa"/>
            <w:noWrap w:val="0"/>
            <w:vAlign w:val="center"/>
          </w:tcPr>
          <w:p>
            <w:pPr>
              <w:pStyle w:val="53"/>
              <w:spacing w:beforeLines="0" w:afterLines="0" w:line="240" w:lineRule="auto"/>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沉淀池沉砂</w:t>
            </w:r>
          </w:p>
        </w:tc>
        <w:tc>
          <w:tcPr>
            <w:tcW w:w="1701" w:type="dxa"/>
            <w:noWrap w:val="0"/>
            <w:vAlign w:val="center"/>
          </w:tcPr>
          <w:p>
            <w:pPr>
              <w:spacing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26.358</w:t>
            </w:r>
            <w:r>
              <w:rPr>
                <w:rFonts w:hint="default" w:ascii="Times New Roman" w:hAnsi="Times New Roman" w:eastAsia="宋体" w:cs="Times New Roman"/>
                <w:color w:val="auto"/>
                <w:sz w:val="21"/>
                <w:szCs w:val="21"/>
                <w:highlight w:val="none"/>
                <w:shd w:val="clear"/>
              </w:rPr>
              <w:t>t/a</w:t>
            </w:r>
          </w:p>
        </w:tc>
        <w:tc>
          <w:tcPr>
            <w:tcW w:w="1276" w:type="dxa"/>
            <w:noWrap w:val="0"/>
            <w:vAlign w:val="center"/>
          </w:tcPr>
          <w:p>
            <w:pPr>
              <w:jc w:val="center"/>
              <w:rPr>
                <w:rFonts w:hint="default" w:ascii="Times New Roman" w:hAnsi="Times New Roman" w:cs="Times New Roman"/>
                <w:snapToGrid w:val="0"/>
                <w:color w:val="auto"/>
                <w:kern w:val="21"/>
                <w:sz w:val="21"/>
                <w:szCs w:val="21"/>
                <w:highlight w:val="none"/>
                <w:lang w:val="en-US" w:eastAsia="zh-CN" w:bidi="ar-SA"/>
              </w:rPr>
            </w:pPr>
          </w:p>
        </w:tc>
        <w:tc>
          <w:tcPr>
            <w:tcW w:w="1701" w:type="dxa"/>
            <w:noWrap w:val="0"/>
            <w:vAlign w:val="center"/>
          </w:tcPr>
          <w:p>
            <w:pPr>
              <w:pStyle w:val="53"/>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pPr>
              <w:jc w:val="center"/>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shd w:val="clear"/>
                <w:lang w:val="en-US" w:eastAsia="zh-CN"/>
              </w:rPr>
              <w:t>43.93</w:t>
            </w:r>
            <w:r>
              <w:rPr>
                <w:rFonts w:hint="default" w:ascii="Times New Roman" w:hAnsi="Times New Roman" w:eastAsia="宋体" w:cs="Times New Roman"/>
                <w:color w:val="auto"/>
                <w:sz w:val="21"/>
                <w:szCs w:val="21"/>
                <w:highlight w:val="none"/>
                <w:lang w:val="en-US" w:eastAsia="zh-CN"/>
              </w:rPr>
              <w:t>t/a</w:t>
            </w:r>
          </w:p>
        </w:tc>
        <w:tc>
          <w:tcPr>
            <w:tcW w:w="1761" w:type="dxa"/>
            <w:noWrap w:val="0"/>
            <w:vAlign w:val="center"/>
          </w:tcPr>
          <w:p>
            <w:pPr>
              <w:pStyle w:val="53"/>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0</w:t>
            </w:r>
          </w:p>
        </w:tc>
        <w:tc>
          <w:tcPr>
            <w:tcW w:w="1349" w:type="dxa"/>
            <w:noWrap w:val="0"/>
            <w:vAlign w:val="center"/>
          </w:tcPr>
          <w:p>
            <w:pPr>
              <w:widowControl/>
              <w:snapToGrid w:val="0"/>
              <w:spacing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70.288</w:t>
            </w:r>
          </w:p>
        </w:tc>
        <w:tc>
          <w:tcPr>
            <w:tcW w:w="1436" w:type="dxa"/>
            <w:noWrap w:val="0"/>
            <w:vAlign w:val="center"/>
          </w:tcPr>
          <w:p>
            <w:pPr>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shd w:val="clear"/>
                <w:lang w:val="en-US" w:eastAsia="zh-CN"/>
              </w:rPr>
              <w:t>43.93</w:t>
            </w:r>
            <w:r>
              <w:rPr>
                <w:rFonts w:hint="default" w:ascii="Times New Roman" w:hAnsi="Times New Roman" w:eastAsia="宋体" w:cs="Times New Roman"/>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88" w:type="dxa"/>
            <w:vMerge w:val="continue"/>
            <w:noWrap w:val="0"/>
            <w:vAlign w:val="center"/>
          </w:tcPr>
          <w:p>
            <w:pPr>
              <w:pStyle w:val="53"/>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p>
        </w:tc>
        <w:tc>
          <w:tcPr>
            <w:tcW w:w="1417" w:type="dxa"/>
            <w:noWrap w:val="0"/>
            <w:vAlign w:val="center"/>
          </w:tcPr>
          <w:p>
            <w:pPr>
              <w:pStyle w:val="53"/>
              <w:spacing w:beforeLines="0" w:afterLines="0" w:line="240" w:lineRule="auto"/>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除尘器收集粉尘</w:t>
            </w:r>
          </w:p>
        </w:tc>
        <w:tc>
          <w:tcPr>
            <w:tcW w:w="1701" w:type="dxa"/>
            <w:noWrap w:val="0"/>
            <w:vAlign w:val="center"/>
          </w:tcPr>
          <w:p>
            <w:pPr>
              <w:spacing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89.7</w:t>
            </w:r>
            <w:r>
              <w:rPr>
                <w:rFonts w:hint="default" w:ascii="Times New Roman" w:hAnsi="Times New Roman" w:eastAsia="宋体" w:cs="Times New Roman"/>
                <w:color w:val="auto"/>
                <w:sz w:val="21"/>
                <w:szCs w:val="21"/>
                <w:highlight w:val="none"/>
                <w:shd w:val="clear"/>
              </w:rPr>
              <w:t>t/a</w:t>
            </w:r>
          </w:p>
        </w:tc>
        <w:tc>
          <w:tcPr>
            <w:tcW w:w="1276" w:type="dxa"/>
            <w:noWrap w:val="0"/>
            <w:vAlign w:val="center"/>
          </w:tcPr>
          <w:p>
            <w:pPr>
              <w:jc w:val="center"/>
              <w:rPr>
                <w:rFonts w:hint="default" w:ascii="Times New Roman" w:hAnsi="Times New Roman" w:cs="Times New Roman"/>
                <w:snapToGrid w:val="0"/>
                <w:color w:val="auto"/>
                <w:kern w:val="21"/>
                <w:sz w:val="21"/>
                <w:szCs w:val="21"/>
                <w:highlight w:val="none"/>
                <w:lang w:val="en-US" w:eastAsia="zh-CN" w:bidi="ar-SA"/>
              </w:rPr>
            </w:pPr>
          </w:p>
        </w:tc>
        <w:tc>
          <w:tcPr>
            <w:tcW w:w="1701" w:type="dxa"/>
            <w:noWrap w:val="0"/>
            <w:vAlign w:val="center"/>
          </w:tcPr>
          <w:p>
            <w:pPr>
              <w:pStyle w:val="53"/>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p>
        </w:tc>
        <w:tc>
          <w:tcPr>
            <w:tcW w:w="1559" w:type="dxa"/>
            <w:noWrap w:val="0"/>
            <w:vAlign w:val="center"/>
          </w:tcPr>
          <w:p>
            <w:pPr>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149.5</w:t>
            </w:r>
            <w:r>
              <w:rPr>
                <w:rFonts w:hint="default" w:ascii="Times New Roman" w:hAnsi="Times New Roman" w:eastAsia="宋体" w:cs="Times New Roman"/>
                <w:color w:val="auto"/>
                <w:sz w:val="21"/>
                <w:szCs w:val="21"/>
                <w:highlight w:val="none"/>
                <w:lang w:val="en-US" w:eastAsia="zh-CN"/>
              </w:rPr>
              <w:t>t/a</w:t>
            </w:r>
          </w:p>
        </w:tc>
        <w:tc>
          <w:tcPr>
            <w:tcW w:w="1761" w:type="dxa"/>
            <w:noWrap w:val="0"/>
            <w:vAlign w:val="center"/>
          </w:tcPr>
          <w:p>
            <w:pPr>
              <w:pStyle w:val="53"/>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0</w:t>
            </w:r>
          </w:p>
        </w:tc>
        <w:tc>
          <w:tcPr>
            <w:tcW w:w="1349" w:type="dxa"/>
            <w:noWrap w:val="0"/>
            <w:vAlign w:val="center"/>
          </w:tcPr>
          <w:p>
            <w:pPr>
              <w:widowControl/>
              <w:snapToGrid w:val="0"/>
              <w:spacing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239.2</w:t>
            </w:r>
          </w:p>
        </w:tc>
        <w:tc>
          <w:tcPr>
            <w:tcW w:w="1436" w:type="dxa"/>
            <w:noWrap w:val="0"/>
            <w:vAlign w:val="center"/>
          </w:tcPr>
          <w:p>
            <w:pPr>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149.5</w:t>
            </w:r>
            <w:r>
              <w:rPr>
                <w:rFonts w:hint="default" w:ascii="Times New Roman" w:hAnsi="Times New Roman" w:eastAsia="宋体" w:cs="Times New Roman"/>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53"/>
              <w:spacing w:beforeLines="0" w:afterLines="0" w:line="240" w:lineRule="auto"/>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危险废物</w:t>
            </w:r>
          </w:p>
        </w:tc>
        <w:tc>
          <w:tcPr>
            <w:tcW w:w="1417" w:type="dxa"/>
            <w:noWrap w:val="0"/>
            <w:vAlign w:val="center"/>
          </w:tcPr>
          <w:p>
            <w:pPr>
              <w:pStyle w:val="53"/>
              <w:spacing w:beforeLines="0" w:afterLines="0" w:line="240" w:lineRule="auto"/>
              <w:ind w:left="200" w:leftChars="0" w:hanging="200" w:firstLineChars="0"/>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p>
        </w:tc>
        <w:tc>
          <w:tcPr>
            <w:tcW w:w="1701" w:type="dxa"/>
            <w:noWrap w:val="0"/>
            <w:vAlign w:val="center"/>
          </w:tcPr>
          <w:p>
            <w:pPr>
              <w:pStyle w:val="53"/>
              <w:spacing w:beforeLines="0" w:afterLines="0" w:line="240" w:lineRule="auto"/>
              <w:ind w:left="200" w:leftChars="0" w:hanging="200" w:firstLineChars="0"/>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p>
        </w:tc>
        <w:tc>
          <w:tcPr>
            <w:tcW w:w="1276" w:type="dxa"/>
            <w:noWrap w:val="0"/>
            <w:vAlign w:val="center"/>
          </w:tcPr>
          <w:p>
            <w:pPr>
              <w:pStyle w:val="53"/>
              <w:spacing w:beforeLines="0" w:afterLines="0" w:line="240" w:lineRule="auto"/>
              <w:ind w:left="200" w:leftChars="0" w:hanging="200" w:firstLineChars="0"/>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p>
        </w:tc>
        <w:tc>
          <w:tcPr>
            <w:tcW w:w="1701" w:type="dxa"/>
            <w:noWrap w:val="0"/>
            <w:vAlign w:val="center"/>
          </w:tcPr>
          <w:p>
            <w:pPr>
              <w:pStyle w:val="53"/>
              <w:spacing w:beforeLines="0" w:afterLines="0" w:line="240" w:lineRule="auto"/>
              <w:ind w:left="200" w:leftChars="0" w:hanging="200" w:firstLineChars="0"/>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p>
        </w:tc>
        <w:tc>
          <w:tcPr>
            <w:tcW w:w="1559" w:type="dxa"/>
            <w:noWrap w:val="0"/>
            <w:vAlign w:val="center"/>
          </w:tcPr>
          <w:p>
            <w:pPr>
              <w:pStyle w:val="53"/>
              <w:spacing w:beforeLines="0" w:afterLines="0" w:line="240" w:lineRule="auto"/>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1761" w:type="dxa"/>
            <w:noWrap w:val="0"/>
            <w:vAlign w:val="center"/>
          </w:tcPr>
          <w:p>
            <w:pPr>
              <w:pStyle w:val="53"/>
              <w:spacing w:beforeLines="0" w:afterLines="0" w:line="240" w:lineRule="auto"/>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1349" w:type="dxa"/>
            <w:noWrap w:val="0"/>
            <w:vAlign w:val="center"/>
          </w:tcPr>
          <w:p>
            <w:pPr>
              <w:pStyle w:val="53"/>
              <w:spacing w:beforeLines="0" w:afterLines="0" w:line="240" w:lineRule="auto"/>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1436" w:type="dxa"/>
            <w:noWrap w:val="0"/>
            <w:vAlign w:val="center"/>
          </w:tcPr>
          <w:p>
            <w:pPr>
              <w:pStyle w:val="53"/>
              <w:spacing w:beforeLines="0" w:afterLines="0" w:line="240" w:lineRule="auto"/>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3"/>
              <w:spacing w:beforeLines="0" w:afterLines="0" w:line="240" w:lineRule="auto"/>
              <w:jc w:val="center"/>
              <w:rPr>
                <w:rFonts w:hint="eastAsia" w:ascii="Times New Roman" w:hAnsi="Times New Roman" w:eastAsia="宋体" w:cs="Times New Roman"/>
                <w:snapToGrid w:val="0"/>
                <w:color w:val="auto"/>
                <w:kern w:val="21"/>
                <w:sz w:val="21"/>
                <w:szCs w:val="21"/>
                <w:highlight w:val="none"/>
                <w:lang w:val="en-US" w:eastAsia="zh-CN"/>
              </w:rPr>
            </w:pPr>
          </w:p>
        </w:tc>
        <w:tc>
          <w:tcPr>
            <w:tcW w:w="1417" w:type="dxa"/>
            <w:vAlign w:val="center"/>
          </w:tcPr>
          <w:p>
            <w:pPr>
              <w:pStyle w:val="53"/>
              <w:spacing w:beforeLines="0" w:afterLines="0" w:line="240" w:lineRule="auto"/>
              <w:ind w:left="200" w:leftChars="0" w:hanging="200" w:firstLineChars="0"/>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p>
        </w:tc>
        <w:tc>
          <w:tcPr>
            <w:tcW w:w="0" w:type="auto"/>
            <w:vAlign w:val="center"/>
          </w:tcPr>
          <w:p>
            <w:pPr>
              <w:pStyle w:val="53"/>
              <w:spacing w:beforeLines="0" w:afterLines="0" w:line="240" w:lineRule="auto"/>
              <w:ind w:left="200" w:leftChars="0" w:hanging="200" w:firstLineChars="0"/>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p>
        </w:tc>
        <w:tc>
          <w:tcPr>
            <w:tcW w:w="0" w:type="auto"/>
            <w:vAlign w:val="center"/>
          </w:tcPr>
          <w:p>
            <w:pPr>
              <w:pStyle w:val="53"/>
              <w:spacing w:beforeLines="0" w:afterLines="0" w:line="240" w:lineRule="auto"/>
              <w:ind w:left="200" w:leftChars="0" w:hanging="200" w:firstLineChars="0"/>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p>
        </w:tc>
        <w:tc>
          <w:tcPr>
            <w:tcW w:w="0" w:type="auto"/>
            <w:vAlign w:val="center"/>
          </w:tcPr>
          <w:p>
            <w:pPr>
              <w:pStyle w:val="53"/>
              <w:spacing w:beforeLines="0" w:afterLines="0" w:line="240" w:lineRule="auto"/>
              <w:ind w:left="200" w:leftChars="0" w:hanging="200" w:firstLineChars="0"/>
              <w:jc w:val="center"/>
              <w:rPr>
                <w:rFonts w:hint="default" w:ascii="Times New Roman" w:hAnsi="Times New Roman"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p>
        </w:tc>
        <w:tc>
          <w:tcPr>
            <w:tcW w:w="0" w:type="auto"/>
            <w:vAlign w:val="center"/>
          </w:tcPr>
          <w:p>
            <w:pPr>
              <w:pStyle w:val="53"/>
              <w:spacing w:beforeLines="0" w:afterLines="0" w:line="240" w:lineRule="auto"/>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0" w:type="auto"/>
            <w:vAlign w:val="center"/>
          </w:tcPr>
          <w:p>
            <w:pPr>
              <w:pStyle w:val="53"/>
              <w:spacing w:beforeLines="0" w:afterLines="0" w:line="240" w:lineRule="auto"/>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1349" w:type="dxa"/>
            <w:vAlign w:val="center"/>
          </w:tcPr>
          <w:p>
            <w:pPr>
              <w:pStyle w:val="53"/>
              <w:spacing w:beforeLines="0" w:afterLines="0" w:line="240" w:lineRule="auto"/>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1436" w:type="dxa"/>
            <w:vAlign w:val="center"/>
          </w:tcPr>
          <w:p>
            <w:pPr>
              <w:pStyle w:val="53"/>
              <w:spacing w:beforeLines="0" w:afterLines="0" w:line="240" w:lineRule="auto"/>
              <w:jc w:val="center"/>
              <w:rPr>
                <w:rFonts w:hint="default" w:ascii="Times New Roman"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r>
    </w:tbl>
    <w:p>
      <w:pPr>
        <w:pStyle w:val="53"/>
        <w:spacing w:before="192" w:beforeLines="80" w:after="24"/>
        <w:jc w:val="left"/>
        <w:rPr>
          <w:rFonts w:hint="default" w:ascii="Times New Roman" w:hAnsi="Times New Roman" w:cs="Times New Roman"/>
          <w:snapToGrid w:val="0"/>
          <w:color w:val="auto"/>
          <w:spacing w:val="-6"/>
          <w:kern w:val="21"/>
          <w:szCs w:val="21"/>
          <w:highlight w:val="none"/>
        </w:rPr>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pPr>
        <w:rPr>
          <w:rFonts w:hint="default"/>
          <w:color w:val="auto"/>
          <w:highlight w:val="none"/>
        </w:rPr>
      </w:pPr>
    </w:p>
    <w:p/>
    <w:p/>
    <w:p/>
    <w:p/>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0"/>
    <w:family w:val="auto"/>
    <w:pitch w:val="default"/>
    <w:sig w:usb0="00000000" w:usb1="00000000" w:usb2="00000000" w:usb3="00000000" w:csb0="80000000" w:csb1="00000000"/>
  </w:font>
  <w:font w:name="新宋体">
    <w:panose1 w:val="02010609030101010101"/>
    <w:charset w:val="86"/>
    <w:family w:val="auto"/>
    <w:pitch w:val="default"/>
    <w:sig w:usb0="00000003" w:usb1="288F0000" w:usb2="00000006" w:usb3="00000000" w:csb0="00040001" w:csb1="0000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2"/>
      </w:rPr>
    </w:pPr>
    <w:r>
      <w:fldChar w:fldCharType="begin"/>
    </w:r>
    <w:r>
      <w:rPr>
        <w:rStyle w:val="32"/>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9</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0"/>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9</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11</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0"/>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11</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290523"/>
    <w:multiLevelType w:val="singleLevel"/>
    <w:tmpl w:val="95290523"/>
    <w:lvl w:ilvl="0" w:tentative="0">
      <w:start w:val="1"/>
      <w:numFmt w:val="decimal"/>
      <w:suff w:val="nothing"/>
      <w:lvlText w:val="%1、"/>
      <w:lvlJc w:val="left"/>
      <w:pPr>
        <w:ind w:left="630"/>
      </w:pPr>
    </w:lvl>
  </w:abstractNum>
  <w:abstractNum w:abstractNumId="1">
    <w:nsid w:val="A0C60CFC"/>
    <w:multiLevelType w:val="singleLevel"/>
    <w:tmpl w:val="A0C60CFC"/>
    <w:lvl w:ilvl="0" w:tentative="0">
      <w:start w:val="2"/>
      <w:numFmt w:val="decimal"/>
      <w:suff w:val="nothing"/>
      <w:lvlText w:val="%1、"/>
      <w:lvlJc w:val="left"/>
    </w:lvl>
  </w:abstractNum>
  <w:abstractNum w:abstractNumId="2">
    <w:nsid w:val="CD18CC17"/>
    <w:multiLevelType w:val="singleLevel"/>
    <w:tmpl w:val="CD18CC17"/>
    <w:lvl w:ilvl="0" w:tentative="0">
      <w:start w:val="8"/>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NGQ4OGY4OTcxYzE2NmEyYzBlZDZjZDI1Yzc5NTkifQ=="/>
  </w:docVars>
  <w:rsids>
    <w:rsidRoot w:val="00A14947"/>
    <w:rsid w:val="000060B3"/>
    <w:rsid w:val="0004364B"/>
    <w:rsid w:val="00051006"/>
    <w:rsid w:val="00052A18"/>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25237"/>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076A9"/>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269B"/>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9350D"/>
    <w:rsid w:val="003A4BF3"/>
    <w:rsid w:val="003B420D"/>
    <w:rsid w:val="003C1264"/>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D46FD"/>
    <w:rsid w:val="004E6946"/>
    <w:rsid w:val="004F1AD8"/>
    <w:rsid w:val="005039CB"/>
    <w:rsid w:val="0050558F"/>
    <w:rsid w:val="00506286"/>
    <w:rsid w:val="00510813"/>
    <w:rsid w:val="00511990"/>
    <w:rsid w:val="00511DE0"/>
    <w:rsid w:val="00514870"/>
    <w:rsid w:val="00514B9B"/>
    <w:rsid w:val="00517945"/>
    <w:rsid w:val="00517F02"/>
    <w:rsid w:val="00524303"/>
    <w:rsid w:val="005258A2"/>
    <w:rsid w:val="005347F0"/>
    <w:rsid w:val="005401AE"/>
    <w:rsid w:val="00542E07"/>
    <w:rsid w:val="00545424"/>
    <w:rsid w:val="00554A7B"/>
    <w:rsid w:val="0055572C"/>
    <w:rsid w:val="0056106A"/>
    <w:rsid w:val="005720AE"/>
    <w:rsid w:val="00594D77"/>
    <w:rsid w:val="005969E4"/>
    <w:rsid w:val="005A06B7"/>
    <w:rsid w:val="005A1759"/>
    <w:rsid w:val="005A68A7"/>
    <w:rsid w:val="005C75A3"/>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52A28"/>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3BBE"/>
    <w:rsid w:val="0091736D"/>
    <w:rsid w:val="0093037A"/>
    <w:rsid w:val="0094154D"/>
    <w:rsid w:val="0095155F"/>
    <w:rsid w:val="00954429"/>
    <w:rsid w:val="009563CE"/>
    <w:rsid w:val="00960C8B"/>
    <w:rsid w:val="00963570"/>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A6F"/>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0BD6"/>
    <w:rsid w:val="00B1295A"/>
    <w:rsid w:val="00B20A45"/>
    <w:rsid w:val="00B20DF2"/>
    <w:rsid w:val="00B22C5C"/>
    <w:rsid w:val="00B24F30"/>
    <w:rsid w:val="00B31ABF"/>
    <w:rsid w:val="00B33BE3"/>
    <w:rsid w:val="00B51F1F"/>
    <w:rsid w:val="00B53B5D"/>
    <w:rsid w:val="00B6055E"/>
    <w:rsid w:val="00B6317D"/>
    <w:rsid w:val="00B7723F"/>
    <w:rsid w:val="00B80534"/>
    <w:rsid w:val="00B8433C"/>
    <w:rsid w:val="00B87491"/>
    <w:rsid w:val="00BA29E9"/>
    <w:rsid w:val="00BA3803"/>
    <w:rsid w:val="00BA7142"/>
    <w:rsid w:val="00BB237C"/>
    <w:rsid w:val="00BB41A3"/>
    <w:rsid w:val="00BC32DC"/>
    <w:rsid w:val="00BC35B6"/>
    <w:rsid w:val="00BD1B51"/>
    <w:rsid w:val="00BD4596"/>
    <w:rsid w:val="00BD7CCE"/>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6663C"/>
    <w:rsid w:val="00C704E9"/>
    <w:rsid w:val="00C763C9"/>
    <w:rsid w:val="00C80057"/>
    <w:rsid w:val="00C82232"/>
    <w:rsid w:val="00C82913"/>
    <w:rsid w:val="00C972B1"/>
    <w:rsid w:val="00CA2CCE"/>
    <w:rsid w:val="00CA43FD"/>
    <w:rsid w:val="00CA7EF8"/>
    <w:rsid w:val="00CC489B"/>
    <w:rsid w:val="00CD121E"/>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62CC9"/>
    <w:rsid w:val="00D9012D"/>
    <w:rsid w:val="00D94A7C"/>
    <w:rsid w:val="00D95896"/>
    <w:rsid w:val="00DB2983"/>
    <w:rsid w:val="00DC1257"/>
    <w:rsid w:val="00DC3DC0"/>
    <w:rsid w:val="00DC5B2B"/>
    <w:rsid w:val="00DD2B6D"/>
    <w:rsid w:val="00DD318D"/>
    <w:rsid w:val="00DF2E12"/>
    <w:rsid w:val="00DF514A"/>
    <w:rsid w:val="00DF6690"/>
    <w:rsid w:val="00DF6804"/>
    <w:rsid w:val="00E0358D"/>
    <w:rsid w:val="00E04323"/>
    <w:rsid w:val="00E070A2"/>
    <w:rsid w:val="00E2656A"/>
    <w:rsid w:val="00E32D5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179F"/>
    <w:rsid w:val="00FB503A"/>
    <w:rsid w:val="00FB516C"/>
    <w:rsid w:val="00FD0236"/>
    <w:rsid w:val="00FD18F4"/>
    <w:rsid w:val="00FD54DB"/>
    <w:rsid w:val="00FD619F"/>
    <w:rsid w:val="00FD7788"/>
    <w:rsid w:val="011939D7"/>
    <w:rsid w:val="0125519A"/>
    <w:rsid w:val="01290F7E"/>
    <w:rsid w:val="012F6E79"/>
    <w:rsid w:val="013273F0"/>
    <w:rsid w:val="01390876"/>
    <w:rsid w:val="014A2188"/>
    <w:rsid w:val="01545A05"/>
    <w:rsid w:val="015D1E09"/>
    <w:rsid w:val="017243CE"/>
    <w:rsid w:val="017A53E0"/>
    <w:rsid w:val="01E925F2"/>
    <w:rsid w:val="01FC7DA6"/>
    <w:rsid w:val="02021298"/>
    <w:rsid w:val="020F283C"/>
    <w:rsid w:val="0222147D"/>
    <w:rsid w:val="022C78EE"/>
    <w:rsid w:val="024261A6"/>
    <w:rsid w:val="02526249"/>
    <w:rsid w:val="025D4D8E"/>
    <w:rsid w:val="02697903"/>
    <w:rsid w:val="026B1746"/>
    <w:rsid w:val="026D36D0"/>
    <w:rsid w:val="02864AA8"/>
    <w:rsid w:val="028C3EBB"/>
    <w:rsid w:val="029A38EC"/>
    <w:rsid w:val="02A75087"/>
    <w:rsid w:val="02B05971"/>
    <w:rsid w:val="02B81FC4"/>
    <w:rsid w:val="02BC3862"/>
    <w:rsid w:val="02C2228F"/>
    <w:rsid w:val="02C848FD"/>
    <w:rsid w:val="02D0730E"/>
    <w:rsid w:val="02D50DC8"/>
    <w:rsid w:val="02F96569"/>
    <w:rsid w:val="02F96864"/>
    <w:rsid w:val="031418F0"/>
    <w:rsid w:val="03206F12"/>
    <w:rsid w:val="03545C9A"/>
    <w:rsid w:val="035717DD"/>
    <w:rsid w:val="03655BEF"/>
    <w:rsid w:val="03C319A1"/>
    <w:rsid w:val="03C34A95"/>
    <w:rsid w:val="03C46E26"/>
    <w:rsid w:val="03D64DF8"/>
    <w:rsid w:val="03E2445B"/>
    <w:rsid w:val="03E43BE3"/>
    <w:rsid w:val="03E668D5"/>
    <w:rsid w:val="03EA7B21"/>
    <w:rsid w:val="03FC0407"/>
    <w:rsid w:val="03FD05D6"/>
    <w:rsid w:val="0402799B"/>
    <w:rsid w:val="04071455"/>
    <w:rsid w:val="04090D29"/>
    <w:rsid w:val="04134A25"/>
    <w:rsid w:val="04335F6A"/>
    <w:rsid w:val="043936EA"/>
    <w:rsid w:val="0439496B"/>
    <w:rsid w:val="043D74ED"/>
    <w:rsid w:val="043E7DDF"/>
    <w:rsid w:val="0448392F"/>
    <w:rsid w:val="04506123"/>
    <w:rsid w:val="045D12A3"/>
    <w:rsid w:val="045F4AD9"/>
    <w:rsid w:val="04605DFC"/>
    <w:rsid w:val="047A5783"/>
    <w:rsid w:val="049975B9"/>
    <w:rsid w:val="04A00EDE"/>
    <w:rsid w:val="04B1084F"/>
    <w:rsid w:val="04B22060"/>
    <w:rsid w:val="04B476F2"/>
    <w:rsid w:val="04D53301"/>
    <w:rsid w:val="04EE7E3F"/>
    <w:rsid w:val="04EF3743"/>
    <w:rsid w:val="051F1772"/>
    <w:rsid w:val="053A1E2A"/>
    <w:rsid w:val="053D42F2"/>
    <w:rsid w:val="053E0EA6"/>
    <w:rsid w:val="054C5671"/>
    <w:rsid w:val="05535FFF"/>
    <w:rsid w:val="05557E31"/>
    <w:rsid w:val="05592701"/>
    <w:rsid w:val="055E50A5"/>
    <w:rsid w:val="055F2221"/>
    <w:rsid w:val="056905C6"/>
    <w:rsid w:val="056A253B"/>
    <w:rsid w:val="056F1060"/>
    <w:rsid w:val="057E5747"/>
    <w:rsid w:val="05860AE5"/>
    <w:rsid w:val="058A0E53"/>
    <w:rsid w:val="05A019EC"/>
    <w:rsid w:val="05B4479C"/>
    <w:rsid w:val="05B71D94"/>
    <w:rsid w:val="05C20259"/>
    <w:rsid w:val="05CC64B2"/>
    <w:rsid w:val="05CE141F"/>
    <w:rsid w:val="05EC04A4"/>
    <w:rsid w:val="05EE5EAB"/>
    <w:rsid w:val="05F83EAE"/>
    <w:rsid w:val="05F9301F"/>
    <w:rsid w:val="060207FE"/>
    <w:rsid w:val="060A3E55"/>
    <w:rsid w:val="060E0879"/>
    <w:rsid w:val="061053EE"/>
    <w:rsid w:val="06123942"/>
    <w:rsid w:val="06173ED7"/>
    <w:rsid w:val="061E4834"/>
    <w:rsid w:val="062A31D9"/>
    <w:rsid w:val="06351E6A"/>
    <w:rsid w:val="06383B48"/>
    <w:rsid w:val="063E7D85"/>
    <w:rsid w:val="064C314F"/>
    <w:rsid w:val="06587E4E"/>
    <w:rsid w:val="065D4B8D"/>
    <w:rsid w:val="067B3A34"/>
    <w:rsid w:val="067D3DF4"/>
    <w:rsid w:val="06930D7E"/>
    <w:rsid w:val="069468A4"/>
    <w:rsid w:val="069A06D8"/>
    <w:rsid w:val="06A87050"/>
    <w:rsid w:val="06B62CBE"/>
    <w:rsid w:val="06C453DB"/>
    <w:rsid w:val="06D04F61"/>
    <w:rsid w:val="06D05B2E"/>
    <w:rsid w:val="06FC0D31"/>
    <w:rsid w:val="06FC502C"/>
    <w:rsid w:val="07026809"/>
    <w:rsid w:val="0708351A"/>
    <w:rsid w:val="0726391C"/>
    <w:rsid w:val="07267C17"/>
    <w:rsid w:val="07293586"/>
    <w:rsid w:val="07295285"/>
    <w:rsid w:val="073E518E"/>
    <w:rsid w:val="074327A4"/>
    <w:rsid w:val="074731F4"/>
    <w:rsid w:val="07504EC1"/>
    <w:rsid w:val="07545980"/>
    <w:rsid w:val="07636392"/>
    <w:rsid w:val="07651DD8"/>
    <w:rsid w:val="076A08E3"/>
    <w:rsid w:val="076D7821"/>
    <w:rsid w:val="07770C56"/>
    <w:rsid w:val="077A1F3E"/>
    <w:rsid w:val="078528B4"/>
    <w:rsid w:val="07897965"/>
    <w:rsid w:val="079A613C"/>
    <w:rsid w:val="07B40FAC"/>
    <w:rsid w:val="07B42921"/>
    <w:rsid w:val="07BB03B5"/>
    <w:rsid w:val="07BC5F66"/>
    <w:rsid w:val="07C21FD0"/>
    <w:rsid w:val="07C540F0"/>
    <w:rsid w:val="07CB4C0F"/>
    <w:rsid w:val="07CB50F3"/>
    <w:rsid w:val="07D1069B"/>
    <w:rsid w:val="07D1358A"/>
    <w:rsid w:val="07D41E77"/>
    <w:rsid w:val="07D93108"/>
    <w:rsid w:val="07F1395D"/>
    <w:rsid w:val="07FD79D6"/>
    <w:rsid w:val="08114650"/>
    <w:rsid w:val="08123F24"/>
    <w:rsid w:val="083B4E99"/>
    <w:rsid w:val="08553528"/>
    <w:rsid w:val="0859714B"/>
    <w:rsid w:val="085D1690"/>
    <w:rsid w:val="085F360E"/>
    <w:rsid w:val="087B41C0"/>
    <w:rsid w:val="087C3466"/>
    <w:rsid w:val="087D7893"/>
    <w:rsid w:val="087E0481"/>
    <w:rsid w:val="08810A62"/>
    <w:rsid w:val="08872A6F"/>
    <w:rsid w:val="089E38B6"/>
    <w:rsid w:val="089E5946"/>
    <w:rsid w:val="08B73E91"/>
    <w:rsid w:val="08BF40AC"/>
    <w:rsid w:val="08D33112"/>
    <w:rsid w:val="08D3624E"/>
    <w:rsid w:val="090812A4"/>
    <w:rsid w:val="090D0944"/>
    <w:rsid w:val="09104908"/>
    <w:rsid w:val="091268D2"/>
    <w:rsid w:val="092217DD"/>
    <w:rsid w:val="09225432"/>
    <w:rsid w:val="09262EEB"/>
    <w:rsid w:val="092B5DEE"/>
    <w:rsid w:val="092C1016"/>
    <w:rsid w:val="093A7294"/>
    <w:rsid w:val="09404AE5"/>
    <w:rsid w:val="09434992"/>
    <w:rsid w:val="094B1DE4"/>
    <w:rsid w:val="09526CCE"/>
    <w:rsid w:val="096A04BC"/>
    <w:rsid w:val="096E3588"/>
    <w:rsid w:val="09707B14"/>
    <w:rsid w:val="09732581"/>
    <w:rsid w:val="097875EB"/>
    <w:rsid w:val="098453C7"/>
    <w:rsid w:val="098A171A"/>
    <w:rsid w:val="098E1A6C"/>
    <w:rsid w:val="099E08CB"/>
    <w:rsid w:val="09B201BD"/>
    <w:rsid w:val="09BC423A"/>
    <w:rsid w:val="09BD1E08"/>
    <w:rsid w:val="09BD7309"/>
    <w:rsid w:val="09BF1C7D"/>
    <w:rsid w:val="09C6146A"/>
    <w:rsid w:val="09DC47EA"/>
    <w:rsid w:val="0A092ADA"/>
    <w:rsid w:val="0A19059B"/>
    <w:rsid w:val="0A263993"/>
    <w:rsid w:val="0A2D217F"/>
    <w:rsid w:val="0A2D3AC2"/>
    <w:rsid w:val="0A326B00"/>
    <w:rsid w:val="0A570314"/>
    <w:rsid w:val="0A6753E6"/>
    <w:rsid w:val="0A773058"/>
    <w:rsid w:val="0AA7129C"/>
    <w:rsid w:val="0AA755DF"/>
    <w:rsid w:val="0AAA19B7"/>
    <w:rsid w:val="0AB16F92"/>
    <w:rsid w:val="0AB539B9"/>
    <w:rsid w:val="0ADA657C"/>
    <w:rsid w:val="0AE24082"/>
    <w:rsid w:val="0B120D44"/>
    <w:rsid w:val="0B226B74"/>
    <w:rsid w:val="0B244921"/>
    <w:rsid w:val="0B2874A3"/>
    <w:rsid w:val="0B363111"/>
    <w:rsid w:val="0B462863"/>
    <w:rsid w:val="0B4B0BC0"/>
    <w:rsid w:val="0B690F28"/>
    <w:rsid w:val="0B69624C"/>
    <w:rsid w:val="0B785B6B"/>
    <w:rsid w:val="0B7D1FFD"/>
    <w:rsid w:val="0B9D5BF2"/>
    <w:rsid w:val="0BA448B4"/>
    <w:rsid w:val="0BA54B88"/>
    <w:rsid w:val="0BA90928"/>
    <w:rsid w:val="0BA96720"/>
    <w:rsid w:val="0BAA2EC4"/>
    <w:rsid w:val="0BBF2615"/>
    <w:rsid w:val="0BC11EE9"/>
    <w:rsid w:val="0BCB2100"/>
    <w:rsid w:val="0BCB2208"/>
    <w:rsid w:val="0BD27BF6"/>
    <w:rsid w:val="0BD60383"/>
    <w:rsid w:val="0BE300B2"/>
    <w:rsid w:val="0BED3F16"/>
    <w:rsid w:val="0BF40511"/>
    <w:rsid w:val="0C0452F3"/>
    <w:rsid w:val="0C0F39E3"/>
    <w:rsid w:val="0C0F509A"/>
    <w:rsid w:val="0C232985"/>
    <w:rsid w:val="0C281F69"/>
    <w:rsid w:val="0C2F779B"/>
    <w:rsid w:val="0C3B3C7D"/>
    <w:rsid w:val="0C3B7EEE"/>
    <w:rsid w:val="0C411451"/>
    <w:rsid w:val="0C421E03"/>
    <w:rsid w:val="0C6831D4"/>
    <w:rsid w:val="0C7843D8"/>
    <w:rsid w:val="0C9A3761"/>
    <w:rsid w:val="0CA877B7"/>
    <w:rsid w:val="0CAA002A"/>
    <w:rsid w:val="0CAA2E9C"/>
    <w:rsid w:val="0CAB2EAE"/>
    <w:rsid w:val="0CAD6B3C"/>
    <w:rsid w:val="0CBB7C19"/>
    <w:rsid w:val="0CBC3BE7"/>
    <w:rsid w:val="0CD1621F"/>
    <w:rsid w:val="0CD957A2"/>
    <w:rsid w:val="0CF54541"/>
    <w:rsid w:val="0CF57932"/>
    <w:rsid w:val="0D0D38A1"/>
    <w:rsid w:val="0D0E001F"/>
    <w:rsid w:val="0D0E0A6E"/>
    <w:rsid w:val="0D196656"/>
    <w:rsid w:val="0D1A5EA5"/>
    <w:rsid w:val="0D1D6B9E"/>
    <w:rsid w:val="0D274434"/>
    <w:rsid w:val="0D38142E"/>
    <w:rsid w:val="0D3B0F0F"/>
    <w:rsid w:val="0D467078"/>
    <w:rsid w:val="0D4C18DD"/>
    <w:rsid w:val="0D562B05"/>
    <w:rsid w:val="0D620272"/>
    <w:rsid w:val="0D621C7D"/>
    <w:rsid w:val="0D752300"/>
    <w:rsid w:val="0D8026E5"/>
    <w:rsid w:val="0D9A07CB"/>
    <w:rsid w:val="0D9B2377"/>
    <w:rsid w:val="0D9B2C64"/>
    <w:rsid w:val="0DC350E0"/>
    <w:rsid w:val="0DE77F12"/>
    <w:rsid w:val="0E192E1B"/>
    <w:rsid w:val="0E1C5AFD"/>
    <w:rsid w:val="0E286250"/>
    <w:rsid w:val="0E2B5D40"/>
    <w:rsid w:val="0E3B2429"/>
    <w:rsid w:val="0E3D74FE"/>
    <w:rsid w:val="0E3E5328"/>
    <w:rsid w:val="0E417312"/>
    <w:rsid w:val="0E4A08BC"/>
    <w:rsid w:val="0E603C3C"/>
    <w:rsid w:val="0E715598"/>
    <w:rsid w:val="0E73034D"/>
    <w:rsid w:val="0E7E6A9A"/>
    <w:rsid w:val="0E8033D3"/>
    <w:rsid w:val="0E8D2557"/>
    <w:rsid w:val="0E947D89"/>
    <w:rsid w:val="0E9D1C3F"/>
    <w:rsid w:val="0E9E00FE"/>
    <w:rsid w:val="0EA224A6"/>
    <w:rsid w:val="0EA27E4F"/>
    <w:rsid w:val="0EB75826"/>
    <w:rsid w:val="0ED70E7F"/>
    <w:rsid w:val="0ED95707"/>
    <w:rsid w:val="0EF645A0"/>
    <w:rsid w:val="0F13775A"/>
    <w:rsid w:val="0F140720"/>
    <w:rsid w:val="0F1443A3"/>
    <w:rsid w:val="0F29520D"/>
    <w:rsid w:val="0F2C6214"/>
    <w:rsid w:val="0F381328"/>
    <w:rsid w:val="0F4D22AC"/>
    <w:rsid w:val="0F59492D"/>
    <w:rsid w:val="0F5E2979"/>
    <w:rsid w:val="0F5F45FE"/>
    <w:rsid w:val="0F6B6D3C"/>
    <w:rsid w:val="0F711E78"/>
    <w:rsid w:val="0F8903ED"/>
    <w:rsid w:val="0F892B2F"/>
    <w:rsid w:val="0F8B4CE8"/>
    <w:rsid w:val="0F8C280E"/>
    <w:rsid w:val="0F9A112B"/>
    <w:rsid w:val="0F9E4F82"/>
    <w:rsid w:val="0FB12275"/>
    <w:rsid w:val="0FB32C44"/>
    <w:rsid w:val="0FCE4134"/>
    <w:rsid w:val="0FD32D40"/>
    <w:rsid w:val="0FDC15A8"/>
    <w:rsid w:val="0FF80406"/>
    <w:rsid w:val="100E76C7"/>
    <w:rsid w:val="10164837"/>
    <w:rsid w:val="10183015"/>
    <w:rsid w:val="101A2510"/>
    <w:rsid w:val="10345380"/>
    <w:rsid w:val="103D03A3"/>
    <w:rsid w:val="103E61FE"/>
    <w:rsid w:val="1041184B"/>
    <w:rsid w:val="104A551A"/>
    <w:rsid w:val="104B7AD4"/>
    <w:rsid w:val="104F1B1B"/>
    <w:rsid w:val="105B0F5A"/>
    <w:rsid w:val="106519DD"/>
    <w:rsid w:val="106D2F64"/>
    <w:rsid w:val="10857989"/>
    <w:rsid w:val="10981BCC"/>
    <w:rsid w:val="10997B3A"/>
    <w:rsid w:val="10A542F8"/>
    <w:rsid w:val="10B63710"/>
    <w:rsid w:val="10DD5834"/>
    <w:rsid w:val="10E91574"/>
    <w:rsid w:val="10F10820"/>
    <w:rsid w:val="10FB5123"/>
    <w:rsid w:val="110C00AB"/>
    <w:rsid w:val="111C2F7A"/>
    <w:rsid w:val="11396A34"/>
    <w:rsid w:val="11511F61"/>
    <w:rsid w:val="11556731"/>
    <w:rsid w:val="115B4B8E"/>
    <w:rsid w:val="116003F7"/>
    <w:rsid w:val="11665CA1"/>
    <w:rsid w:val="11673533"/>
    <w:rsid w:val="117908BE"/>
    <w:rsid w:val="11864441"/>
    <w:rsid w:val="119B31DD"/>
    <w:rsid w:val="119C570E"/>
    <w:rsid w:val="11B06C88"/>
    <w:rsid w:val="11B322D4"/>
    <w:rsid w:val="11C01773"/>
    <w:rsid w:val="11C04EF9"/>
    <w:rsid w:val="11E64458"/>
    <w:rsid w:val="11F306F3"/>
    <w:rsid w:val="11F954F0"/>
    <w:rsid w:val="120604F9"/>
    <w:rsid w:val="1206210D"/>
    <w:rsid w:val="12115FD1"/>
    <w:rsid w:val="12170A79"/>
    <w:rsid w:val="1230601B"/>
    <w:rsid w:val="12391D26"/>
    <w:rsid w:val="123F1DBA"/>
    <w:rsid w:val="12527D3F"/>
    <w:rsid w:val="12705F50"/>
    <w:rsid w:val="127933AC"/>
    <w:rsid w:val="127C6B6A"/>
    <w:rsid w:val="128B37C6"/>
    <w:rsid w:val="128E09D9"/>
    <w:rsid w:val="12A367ED"/>
    <w:rsid w:val="12B77A89"/>
    <w:rsid w:val="12C95196"/>
    <w:rsid w:val="12F8504A"/>
    <w:rsid w:val="1301536A"/>
    <w:rsid w:val="13070B2A"/>
    <w:rsid w:val="130D2041"/>
    <w:rsid w:val="13182D37"/>
    <w:rsid w:val="13287A7C"/>
    <w:rsid w:val="13451652"/>
    <w:rsid w:val="13596EAB"/>
    <w:rsid w:val="135B46A9"/>
    <w:rsid w:val="135F6956"/>
    <w:rsid w:val="136E2957"/>
    <w:rsid w:val="1371067C"/>
    <w:rsid w:val="137516D8"/>
    <w:rsid w:val="13814968"/>
    <w:rsid w:val="138D69F4"/>
    <w:rsid w:val="13951726"/>
    <w:rsid w:val="13A3144A"/>
    <w:rsid w:val="13C10C86"/>
    <w:rsid w:val="13C20EF5"/>
    <w:rsid w:val="13C74FF0"/>
    <w:rsid w:val="13D013B1"/>
    <w:rsid w:val="13D02BE1"/>
    <w:rsid w:val="13D334C9"/>
    <w:rsid w:val="13EA178A"/>
    <w:rsid w:val="13EA4E2A"/>
    <w:rsid w:val="13F55E6F"/>
    <w:rsid w:val="13FF371A"/>
    <w:rsid w:val="14007405"/>
    <w:rsid w:val="1409045C"/>
    <w:rsid w:val="140E2AA3"/>
    <w:rsid w:val="14396509"/>
    <w:rsid w:val="143B7739"/>
    <w:rsid w:val="14423DE3"/>
    <w:rsid w:val="144C2C07"/>
    <w:rsid w:val="14564341"/>
    <w:rsid w:val="14BF31CB"/>
    <w:rsid w:val="14DD2C3C"/>
    <w:rsid w:val="14EB6229"/>
    <w:rsid w:val="14EF5D19"/>
    <w:rsid w:val="14F23E72"/>
    <w:rsid w:val="14F64B10"/>
    <w:rsid w:val="15015BF9"/>
    <w:rsid w:val="15077422"/>
    <w:rsid w:val="150B2427"/>
    <w:rsid w:val="15155054"/>
    <w:rsid w:val="151E5625"/>
    <w:rsid w:val="152652C9"/>
    <w:rsid w:val="1529241D"/>
    <w:rsid w:val="15314652"/>
    <w:rsid w:val="15391A5F"/>
    <w:rsid w:val="15454E87"/>
    <w:rsid w:val="15561547"/>
    <w:rsid w:val="155B33AF"/>
    <w:rsid w:val="15835356"/>
    <w:rsid w:val="158622AB"/>
    <w:rsid w:val="158D5025"/>
    <w:rsid w:val="15A03BF7"/>
    <w:rsid w:val="15A3568B"/>
    <w:rsid w:val="15AE7982"/>
    <w:rsid w:val="15C251DC"/>
    <w:rsid w:val="15C5475E"/>
    <w:rsid w:val="15D31623"/>
    <w:rsid w:val="15D56295"/>
    <w:rsid w:val="15E4496D"/>
    <w:rsid w:val="16087E1D"/>
    <w:rsid w:val="1635189D"/>
    <w:rsid w:val="16450281"/>
    <w:rsid w:val="16500A3A"/>
    <w:rsid w:val="165840D5"/>
    <w:rsid w:val="16677B31"/>
    <w:rsid w:val="166A2EEE"/>
    <w:rsid w:val="167A1613"/>
    <w:rsid w:val="167F6721"/>
    <w:rsid w:val="168A56C6"/>
    <w:rsid w:val="16A60794"/>
    <w:rsid w:val="16CF7AC5"/>
    <w:rsid w:val="16DA6555"/>
    <w:rsid w:val="16E85404"/>
    <w:rsid w:val="17221588"/>
    <w:rsid w:val="173379A6"/>
    <w:rsid w:val="173B78EF"/>
    <w:rsid w:val="173F36A7"/>
    <w:rsid w:val="1740285C"/>
    <w:rsid w:val="17495A08"/>
    <w:rsid w:val="17516817"/>
    <w:rsid w:val="1762299E"/>
    <w:rsid w:val="17701D14"/>
    <w:rsid w:val="17735226"/>
    <w:rsid w:val="177C2B6D"/>
    <w:rsid w:val="1782031A"/>
    <w:rsid w:val="17A50911"/>
    <w:rsid w:val="17B80644"/>
    <w:rsid w:val="17B81C9F"/>
    <w:rsid w:val="17BE19D3"/>
    <w:rsid w:val="17CB3D68"/>
    <w:rsid w:val="17D47448"/>
    <w:rsid w:val="17DB07D7"/>
    <w:rsid w:val="17E827C7"/>
    <w:rsid w:val="17F17FC2"/>
    <w:rsid w:val="17F35B20"/>
    <w:rsid w:val="180C06D7"/>
    <w:rsid w:val="181635BD"/>
    <w:rsid w:val="183A7FBB"/>
    <w:rsid w:val="18552337"/>
    <w:rsid w:val="18574874"/>
    <w:rsid w:val="186079BC"/>
    <w:rsid w:val="18676672"/>
    <w:rsid w:val="187C78C4"/>
    <w:rsid w:val="187F1714"/>
    <w:rsid w:val="18975A5C"/>
    <w:rsid w:val="18985DE5"/>
    <w:rsid w:val="189F624C"/>
    <w:rsid w:val="18A00D84"/>
    <w:rsid w:val="18B46D98"/>
    <w:rsid w:val="18C4179E"/>
    <w:rsid w:val="18D314AE"/>
    <w:rsid w:val="18D70712"/>
    <w:rsid w:val="18DA45EA"/>
    <w:rsid w:val="18E5610C"/>
    <w:rsid w:val="18F4694E"/>
    <w:rsid w:val="18FC19C9"/>
    <w:rsid w:val="190A1635"/>
    <w:rsid w:val="190D0660"/>
    <w:rsid w:val="191018E5"/>
    <w:rsid w:val="19153875"/>
    <w:rsid w:val="191F5D7A"/>
    <w:rsid w:val="192F6848"/>
    <w:rsid w:val="19360CCA"/>
    <w:rsid w:val="1938738C"/>
    <w:rsid w:val="1940661B"/>
    <w:rsid w:val="1949397D"/>
    <w:rsid w:val="194B4765"/>
    <w:rsid w:val="19526F10"/>
    <w:rsid w:val="1965381D"/>
    <w:rsid w:val="196F567B"/>
    <w:rsid w:val="1976579B"/>
    <w:rsid w:val="198D7740"/>
    <w:rsid w:val="199B23CE"/>
    <w:rsid w:val="19A5109C"/>
    <w:rsid w:val="19A61EBB"/>
    <w:rsid w:val="19AA66B3"/>
    <w:rsid w:val="19CA28B1"/>
    <w:rsid w:val="19E05580"/>
    <w:rsid w:val="19E2098A"/>
    <w:rsid w:val="19E86730"/>
    <w:rsid w:val="19E94E65"/>
    <w:rsid w:val="19FC6318"/>
    <w:rsid w:val="1A071979"/>
    <w:rsid w:val="1A0A1015"/>
    <w:rsid w:val="1A147FD0"/>
    <w:rsid w:val="1A1C66C0"/>
    <w:rsid w:val="1A2F0966"/>
    <w:rsid w:val="1A400DC5"/>
    <w:rsid w:val="1A42393B"/>
    <w:rsid w:val="1A435C2A"/>
    <w:rsid w:val="1A491A28"/>
    <w:rsid w:val="1A4D6C47"/>
    <w:rsid w:val="1A5B6C04"/>
    <w:rsid w:val="1A670100"/>
    <w:rsid w:val="1A6D33A5"/>
    <w:rsid w:val="1A713629"/>
    <w:rsid w:val="1A750A6F"/>
    <w:rsid w:val="1A7839E3"/>
    <w:rsid w:val="1A7C004F"/>
    <w:rsid w:val="1A9178D6"/>
    <w:rsid w:val="1AAD45DE"/>
    <w:rsid w:val="1AB82A4F"/>
    <w:rsid w:val="1AC128DD"/>
    <w:rsid w:val="1ACB1AB6"/>
    <w:rsid w:val="1AF06D3B"/>
    <w:rsid w:val="1B046F80"/>
    <w:rsid w:val="1B0E1405"/>
    <w:rsid w:val="1B1464DA"/>
    <w:rsid w:val="1B2D785E"/>
    <w:rsid w:val="1B3267B5"/>
    <w:rsid w:val="1B334486"/>
    <w:rsid w:val="1B341A3A"/>
    <w:rsid w:val="1B40161D"/>
    <w:rsid w:val="1B441859"/>
    <w:rsid w:val="1B48218D"/>
    <w:rsid w:val="1B5F527B"/>
    <w:rsid w:val="1B6606B1"/>
    <w:rsid w:val="1B670F46"/>
    <w:rsid w:val="1B801268"/>
    <w:rsid w:val="1BAE5A03"/>
    <w:rsid w:val="1BB03C7D"/>
    <w:rsid w:val="1BB137D1"/>
    <w:rsid w:val="1BB71ADC"/>
    <w:rsid w:val="1BC576BA"/>
    <w:rsid w:val="1BD466ED"/>
    <w:rsid w:val="1BEF3A8F"/>
    <w:rsid w:val="1BF05492"/>
    <w:rsid w:val="1BF9747E"/>
    <w:rsid w:val="1C157783"/>
    <w:rsid w:val="1C200B6F"/>
    <w:rsid w:val="1C32160C"/>
    <w:rsid w:val="1C46750E"/>
    <w:rsid w:val="1C4B4348"/>
    <w:rsid w:val="1C5D3C4D"/>
    <w:rsid w:val="1C5E0A39"/>
    <w:rsid w:val="1C5E7925"/>
    <w:rsid w:val="1C6C5EA1"/>
    <w:rsid w:val="1C753892"/>
    <w:rsid w:val="1C84080D"/>
    <w:rsid w:val="1CB05D8E"/>
    <w:rsid w:val="1CB610B6"/>
    <w:rsid w:val="1CD35F20"/>
    <w:rsid w:val="1CDB6B83"/>
    <w:rsid w:val="1CDD0EAB"/>
    <w:rsid w:val="1CE343B6"/>
    <w:rsid w:val="1CFA34AD"/>
    <w:rsid w:val="1CFD070F"/>
    <w:rsid w:val="1CFD4D4B"/>
    <w:rsid w:val="1CFE11EF"/>
    <w:rsid w:val="1D06233D"/>
    <w:rsid w:val="1D1B6096"/>
    <w:rsid w:val="1D1D116C"/>
    <w:rsid w:val="1D2065FF"/>
    <w:rsid w:val="1D3544E5"/>
    <w:rsid w:val="1D412E8A"/>
    <w:rsid w:val="1D4467CC"/>
    <w:rsid w:val="1D5105C1"/>
    <w:rsid w:val="1D567413"/>
    <w:rsid w:val="1D574167"/>
    <w:rsid w:val="1D5F6196"/>
    <w:rsid w:val="1D6132A5"/>
    <w:rsid w:val="1D6713CD"/>
    <w:rsid w:val="1D6A0296"/>
    <w:rsid w:val="1D6E79F7"/>
    <w:rsid w:val="1D720E25"/>
    <w:rsid w:val="1D835251"/>
    <w:rsid w:val="1D8D2573"/>
    <w:rsid w:val="1D8E56D5"/>
    <w:rsid w:val="1D97029A"/>
    <w:rsid w:val="1D992CC6"/>
    <w:rsid w:val="1D9D15C8"/>
    <w:rsid w:val="1DB659D9"/>
    <w:rsid w:val="1DB765D0"/>
    <w:rsid w:val="1DC33AA2"/>
    <w:rsid w:val="1DCA21E4"/>
    <w:rsid w:val="1DD22755"/>
    <w:rsid w:val="1DEC54EC"/>
    <w:rsid w:val="1DF55A55"/>
    <w:rsid w:val="1DFA6742"/>
    <w:rsid w:val="1E0B06DC"/>
    <w:rsid w:val="1E1660F6"/>
    <w:rsid w:val="1E1C3FA1"/>
    <w:rsid w:val="1E296EDA"/>
    <w:rsid w:val="1E3D36C5"/>
    <w:rsid w:val="1E4D585F"/>
    <w:rsid w:val="1E5045F1"/>
    <w:rsid w:val="1E522559"/>
    <w:rsid w:val="1E5E2859"/>
    <w:rsid w:val="1E7A43DA"/>
    <w:rsid w:val="1E8472C7"/>
    <w:rsid w:val="1E847375"/>
    <w:rsid w:val="1E855AEA"/>
    <w:rsid w:val="1E9B78FE"/>
    <w:rsid w:val="1E9F430C"/>
    <w:rsid w:val="1EB77A11"/>
    <w:rsid w:val="1EBB1865"/>
    <w:rsid w:val="1EC1666A"/>
    <w:rsid w:val="1EC57AEB"/>
    <w:rsid w:val="1ED925FF"/>
    <w:rsid w:val="1EDC0404"/>
    <w:rsid w:val="1EDE6ADB"/>
    <w:rsid w:val="1EE2660B"/>
    <w:rsid w:val="1EE7180F"/>
    <w:rsid w:val="1EE77A61"/>
    <w:rsid w:val="1F196E7F"/>
    <w:rsid w:val="1F1D16D5"/>
    <w:rsid w:val="1F1D3483"/>
    <w:rsid w:val="1F3678CE"/>
    <w:rsid w:val="1F38377E"/>
    <w:rsid w:val="1F3D3B25"/>
    <w:rsid w:val="1F49071C"/>
    <w:rsid w:val="1F4A7E9D"/>
    <w:rsid w:val="1F5C3FAB"/>
    <w:rsid w:val="1F667DEB"/>
    <w:rsid w:val="1F6D440A"/>
    <w:rsid w:val="1F777F18"/>
    <w:rsid w:val="1F79582C"/>
    <w:rsid w:val="1F7C464D"/>
    <w:rsid w:val="1F821D37"/>
    <w:rsid w:val="1F8D1B58"/>
    <w:rsid w:val="1FB34BC4"/>
    <w:rsid w:val="1FBF2F34"/>
    <w:rsid w:val="1FC234F7"/>
    <w:rsid w:val="1FC859EA"/>
    <w:rsid w:val="1FD71884"/>
    <w:rsid w:val="1FE21EC2"/>
    <w:rsid w:val="1FE7539E"/>
    <w:rsid w:val="20126D60"/>
    <w:rsid w:val="201A5DDC"/>
    <w:rsid w:val="2037160E"/>
    <w:rsid w:val="204752C1"/>
    <w:rsid w:val="20495375"/>
    <w:rsid w:val="2050030E"/>
    <w:rsid w:val="20580872"/>
    <w:rsid w:val="20671BE0"/>
    <w:rsid w:val="20735A50"/>
    <w:rsid w:val="20963CB8"/>
    <w:rsid w:val="2099122F"/>
    <w:rsid w:val="20A81A1B"/>
    <w:rsid w:val="20B07FB6"/>
    <w:rsid w:val="20B1184C"/>
    <w:rsid w:val="20B646FB"/>
    <w:rsid w:val="20BB0BC7"/>
    <w:rsid w:val="20BC3637"/>
    <w:rsid w:val="20BE2A44"/>
    <w:rsid w:val="20D44015"/>
    <w:rsid w:val="20EA48E7"/>
    <w:rsid w:val="20EB6291"/>
    <w:rsid w:val="20FD17BE"/>
    <w:rsid w:val="211A5ECC"/>
    <w:rsid w:val="211E507D"/>
    <w:rsid w:val="213B74B1"/>
    <w:rsid w:val="21471BB1"/>
    <w:rsid w:val="214C7B4C"/>
    <w:rsid w:val="214D4265"/>
    <w:rsid w:val="215A2310"/>
    <w:rsid w:val="2161165A"/>
    <w:rsid w:val="216F2E69"/>
    <w:rsid w:val="217B0148"/>
    <w:rsid w:val="219010FA"/>
    <w:rsid w:val="21B2444E"/>
    <w:rsid w:val="21BD0BF3"/>
    <w:rsid w:val="21C05AA9"/>
    <w:rsid w:val="21C11732"/>
    <w:rsid w:val="21DB098E"/>
    <w:rsid w:val="21DB2F6A"/>
    <w:rsid w:val="21DE318A"/>
    <w:rsid w:val="21EB0A3D"/>
    <w:rsid w:val="21EB66EF"/>
    <w:rsid w:val="21EF5B80"/>
    <w:rsid w:val="21FA5CFD"/>
    <w:rsid w:val="21FD7450"/>
    <w:rsid w:val="22071D3D"/>
    <w:rsid w:val="220A24B9"/>
    <w:rsid w:val="22162B37"/>
    <w:rsid w:val="2219796F"/>
    <w:rsid w:val="22333947"/>
    <w:rsid w:val="2243266F"/>
    <w:rsid w:val="224F1BA5"/>
    <w:rsid w:val="22576990"/>
    <w:rsid w:val="225B320F"/>
    <w:rsid w:val="226C1BBE"/>
    <w:rsid w:val="2275256B"/>
    <w:rsid w:val="22853819"/>
    <w:rsid w:val="22AB7CC8"/>
    <w:rsid w:val="22B002C2"/>
    <w:rsid w:val="22C73B28"/>
    <w:rsid w:val="22F47480"/>
    <w:rsid w:val="22FA160E"/>
    <w:rsid w:val="23113601"/>
    <w:rsid w:val="23144B9D"/>
    <w:rsid w:val="232C6BBC"/>
    <w:rsid w:val="232F2DAA"/>
    <w:rsid w:val="234E08B2"/>
    <w:rsid w:val="235D1E32"/>
    <w:rsid w:val="23792E18"/>
    <w:rsid w:val="23860F70"/>
    <w:rsid w:val="238910E7"/>
    <w:rsid w:val="23A93A90"/>
    <w:rsid w:val="23BC64AB"/>
    <w:rsid w:val="23CE2811"/>
    <w:rsid w:val="23D700A4"/>
    <w:rsid w:val="23DE1C48"/>
    <w:rsid w:val="240210CD"/>
    <w:rsid w:val="24042E63"/>
    <w:rsid w:val="24057DD4"/>
    <w:rsid w:val="240928D8"/>
    <w:rsid w:val="24166017"/>
    <w:rsid w:val="241B061F"/>
    <w:rsid w:val="24352815"/>
    <w:rsid w:val="244061E6"/>
    <w:rsid w:val="244C69C1"/>
    <w:rsid w:val="245A2A83"/>
    <w:rsid w:val="245C4763"/>
    <w:rsid w:val="24681644"/>
    <w:rsid w:val="24684AB8"/>
    <w:rsid w:val="246F7DB0"/>
    <w:rsid w:val="2470668F"/>
    <w:rsid w:val="24712EC3"/>
    <w:rsid w:val="247507F8"/>
    <w:rsid w:val="247955FF"/>
    <w:rsid w:val="24885842"/>
    <w:rsid w:val="249B5576"/>
    <w:rsid w:val="24BF09F7"/>
    <w:rsid w:val="24C40CA6"/>
    <w:rsid w:val="24CB5F7C"/>
    <w:rsid w:val="24E211F1"/>
    <w:rsid w:val="24ED38F7"/>
    <w:rsid w:val="25004CD3"/>
    <w:rsid w:val="250B4D58"/>
    <w:rsid w:val="252D53FE"/>
    <w:rsid w:val="25590781"/>
    <w:rsid w:val="256C396E"/>
    <w:rsid w:val="25744AC4"/>
    <w:rsid w:val="257A093C"/>
    <w:rsid w:val="25944FFB"/>
    <w:rsid w:val="25A12DD9"/>
    <w:rsid w:val="25A46830"/>
    <w:rsid w:val="25BC1060"/>
    <w:rsid w:val="25EC2D81"/>
    <w:rsid w:val="25ED1E0D"/>
    <w:rsid w:val="25F20195"/>
    <w:rsid w:val="25F924A7"/>
    <w:rsid w:val="260211C0"/>
    <w:rsid w:val="263D6978"/>
    <w:rsid w:val="263F5D82"/>
    <w:rsid w:val="264B2F4F"/>
    <w:rsid w:val="264B6B28"/>
    <w:rsid w:val="266918E7"/>
    <w:rsid w:val="26695200"/>
    <w:rsid w:val="267437DB"/>
    <w:rsid w:val="26834424"/>
    <w:rsid w:val="2685028B"/>
    <w:rsid w:val="268551A3"/>
    <w:rsid w:val="268F110A"/>
    <w:rsid w:val="26AD1590"/>
    <w:rsid w:val="26C1158E"/>
    <w:rsid w:val="26E8081A"/>
    <w:rsid w:val="26E86B9F"/>
    <w:rsid w:val="26F110F1"/>
    <w:rsid w:val="26F23447"/>
    <w:rsid w:val="26F742F6"/>
    <w:rsid w:val="27073413"/>
    <w:rsid w:val="27094203"/>
    <w:rsid w:val="2716712B"/>
    <w:rsid w:val="27231852"/>
    <w:rsid w:val="2728659F"/>
    <w:rsid w:val="27313F6F"/>
    <w:rsid w:val="27623B80"/>
    <w:rsid w:val="277057A2"/>
    <w:rsid w:val="27731758"/>
    <w:rsid w:val="27731DE8"/>
    <w:rsid w:val="27936B4F"/>
    <w:rsid w:val="27BA105C"/>
    <w:rsid w:val="27C8513A"/>
    <w:rsid w:val="27D240D0"/>
    <w:rsid w:val="27D62123"/>
    <w:rsid w:val="27D731AA"/>
    <w:rsid w:val="27DA0163"/>
    <w:rsid w:val="27DE7C77"/>
    <w:rsid w:val="27E40FE2"/>
    <w:rsid w:val="27E532D7"/>
    <w:rsid w:val="27ED0BE4"/>
    <w:rsid w:val="27F81A60"/>
    <w:rsid w:val="27FC46CE"/>
    <w:rsid w:val="28005024"/>
    <w:rsid w:val="282619A6"/>
    <w:rsid w:val="282E28F9"/>
    <w:rsid w:val="283668A4"/>
    <w:rsid w:val="2838132E"/>
    <w:rsid w:val="283B66FA"/>
    <w:rsid w:val="284973C4"/>
    <w:rsid w:val="28506677"/>
    <w:rsid w:val="28575143"/>
    <w:rsid w:val="28710555"/>
    <w:rsid w:val="288523B7"/>
    <w:rsid w:val="288A7DDB"/>
    <w:rsid w:val="289C5B47"/>
    <w:rsid w:val="28A16ED3"/>
    <w:rsid w:val="28A73CC4"/>
    <w:rsid w:val="28B05D7C"/>
    <w:rsid w:val="28BB12F1"/>
    <w:rsid w:val="28C32B3D"/>
    <w:rsid w:val="28C653C1"/>
    <w:rsid w:val="28CF4FC9"/>
    <w:rsid w:val="28D44A62"/>
    <w:rsid w:val="28E619B2"/>
    <w:rsid w:val="28EA2628"/>
    <w:rsid w:val="28EB63A0"/>
    <w:rsid w:val="290D4568"/>
    <w:rsid w:val="29206EB8"/>
    <w:rsid w:val="29237601"/>
    <w:rsid w:val="29273D5D"/>
    <w:rsid w:val="29300F85"/>
    <w:rsid w:val="2936586D"/>
    <w:rsid w:val="293F64CE"/>
    <w:rsid w:val="29437F8A"/>
    <w:rsid w:val="294A0D31"/>
    <w:rsid w:val="294E66FD"/>
    <w:rsid w:val="29593F64"/>
    <w:rsid w:val="29595666"/>
    <w:rsid w:val="295E6440"/>
    <w:rsid w:val="296636EE"/>
    <w:rsid w:val="296F7AA4"/>
    <w:rsid w:val="298736A5"/>
    <w:rsid w:val="29874881"/>
    <w:rsid w:val="29901F0B"/>
    <w:rsid w:val="29961786"/>
    <w:rsid w:val="29982084"/>
    <w:rsid w:val="29B63249"/>
    <w:rsid w:val="29CB06AB"/>
    <w:rsid w:val="29CB2916"/>
    <w:rsid w:val="29CC7F7F"/>
    <w:rsid w:val="29D16525"/>
    <w:rsid w:val="29D30A87"/>
    <w:rsid w:val="29E325E0"/>
    <w:rsid w:val="2A021BF3"/>
    <w:rsid w:val="2A050933"/>
    <w:rsid w:val="2A193CE8"/>
    <w:rsid w:val="2A331DAD"/>
    <w:rsid w:val="2A420175"/>
    <w:rsid w:val="2A44045E"/>
    <w:rsid w:val="2A452503"/>
    <w:rsid w:val="2A461F39"/>
    <w:rsid w:val="2A612DBE"/>
    <w:rsid w:val="2A697EC4"/>
    <w:rsid w:val="2A75670A"/>
    <w:rsid w:val="2A7D74CC"/>
    <w:rsid w:val="2A7E3970"/>
    <w:rsid w:val="2A9144DF"/>
    <w:rsid w:val="2AA23EE1"/>
    <w:rsid w:val="2AB70C30"/>
    <w:rsid w:val="2AC5217D"/>
    <w:rsid w:val="2AC724D8"/>
    <w:rsid w:val="2ACC6BD5"/>
    <w:rsid w:val="2AD03A9F"/>
    <w:rsid w:val="2ADA171D"/>
    <w:rsid w:val="2AED1993"/>
    <w:rsid w:val="2B2C0A8C"/>
    <w:rsid w:val="2B2E6F84"/>
    <w:rsid w:val="2B4D14A4"/>
    <w:rsid w:val="2B4D3E13"/>
    <w:rsid w:val="2B595BD1"/>
    <w:rsid w:val="2B683CD8"/>
    <w:rsid w:val="2BA47684"/>
    <w:rsid w:val="2BA936A8"/>
    <w:rsid w:val="2BB313F7"/>
    <w:rsid w:val="2BC453FA"/>
    <w:rsid w:val="2BF22CB5"/>
    <w:rsid w:val="2BF95512"/>
    <w:rsid w:val="2C061E34"/>
    <w:rsid w:val="2C092D8B"/>
    <w:rsid w:val="2C0A3B4A"/>
    <w:rsid w:val="2C0B2FE1"/>
    <w:rsid w:val="2C16080C"/>
    <w:rsid w:val="2C1955F6"/>
    <w:rsid w:val="2C1B6F9C"/>
    <w:rsid w:val="2C1D0F66"/>
    <w:rsid w:val="2C1F7FDA"/>
    <w:rsid w:val="2C257442"/>
    <w:rsid w:val="2C286DB9"/>
    <w:rsid w:val="2C315A5A"/>
    <w:rsid w:val="2C341ABC"/>
    <w:rsid w:val="2C4B1C25"/>
    <w:rsid w:val="2C6869DB"/>
    <w:rsid w:val="2C6D00A2"/>
    <w:rsid w:val="2C83526D"/>
    <w:rsid w:val="2C962EA9"/>
    <w:rsid w:val="2CB0718C"/>
    <w:rsid w:val="2CB17563"/>
    <w:rsid w:val="2CEB49B0"/>
    <w:rsid w:val="2CEE05BC"/>
    <w:rsid w:val="2CF9108B"/>
    <w:rsid w:val="2D0B5263"/>
    <w:rsid w:val="2D106FCF"/>
    <w:rsid w:val="2D161E43"/>
    <w:rsid w:val="2D2350EE"/>
    <w:rsid w:val="2D355D39"/>
    <w:rsid w:val="2D486857"/>
    <w:rsid w:val="2D5E1836"/>
    <w:rsid w:val="2D611067"/>
    <w:rsid w:val="2D647402"/>
    <w:rsid w:val="2D6666FD"/>
    <w:rsid w:val="2D7F70CB"/>
    <w:rsid w:val="2D8079FF"/>
    <w:rsid w:val="2D88240F"/>
    <w:rsid w:val="2D900DFC"/>
    <w:rsid w:val="2D96333E"/>
    <w:rsid w:val="2D9E56F5"/>
    <w:rsid w:val="2DB87198"/>
    <w:rsid w:val="2DD45655"/>
    <w:rsid w:val="2DE54F66"/>
    <w:rsid w:val="2DE56725"/>
    <w:rsid w:val="2DE7182C"/>
    <w:rsid w:val="2E04418C"/>
    <w:rsid w:val="2E050E50"/>
    <w:rsid w:val="2E141EF5"/>
    <w:rsid w:val="2E25431B"/>
    <w:rsid w:val="2E25631E"/>
    <w:rsid w:val="2E374D8C"/>
    <w:rsid w:val="2E421E60"/>
    <w:rsid w:val="2E433D29"/>
    <w:rsid w:val="2E4E18AB"/>
    <w:rsid w:val="2E5D2DB4"/>
    <w:rsid w:val="2E611E5B"/>
    <w:rsid w:val="2E667F96"/>
    <w:rsid w:val="2E7678AE"/>
    <w:rsid w:val="2E8226AB"/>
    <w:rsid w:val="2E886E98"/>
    <w:rsid w:val="2E921932"/>
    <w:rsid w:val="2EA84BA8"/>
    <w:rsid w:val="2EAB56A1"/>
    <w:rsid w:val="2EC67E4A"/>
    <w:rsid w:val="2ED4433F"/>
    <w:rsid w:val="2EF83E48"/>
    <w:rsid w:val="2F1B07A4"/>
    <w:rsid w:val="2F370E1F"/>
    <w:rsid w:val="2F425474"/>
    <w:rsid w:val="2F5E5B1E"/>
    <w:rsid w:val="2F6A0F96"/>
    <w:rsid w:val="2F6D7B0F"/>
    <w:rsid w:val="2F715EA6"/>
    <w:rsid w:val="2F8446A2"/>
    <w:rsid w:val="2FA31782"/>
    <w:rsid w:val="2FB7522E"/>
    <w:rsid w:val="2FC5794B"/>
    <w:rsid w:val="2FD065E6"/>
    <w:rsid w:val="2FD858D0"/>
    <w:rsid w:val="2FD8767E"/>
    <w:rsid w:val="2FD96870"/>
    <w:rsid w:val="2FE853E7"/>
    <w:rsid w:val="2FF50272"/>
    <w:rsid w:val="30032584"/>
    <w:rsid w:val="300F55E6"/>
    <w:rsid w:val="303E6C42"/>
    <w:rsid w:val="304C506B"/>
    <w:rsid w:val="30530F4B"/>
    <w:rsid w:val="30580BC9"/>
    <w:rsid w:val="30850E88"/>
    <w:rsid w:val="308A24AF"/>
    <w:rsid w:val="3098299F"/>
    <w:rsid w:val="30AC4667"/>
    <w:rsid w:val="30AE2458"/>
    <w:rsid w:val="30B05F05"/>
    <w:rsid w:val="30B6433C"/>
    <w:rsid w:val="30E20088"/>
    <w:rsid w:val="30F16368"/>
    <w:rsid w:val="30F53E0E"/>
    <w:rsid w:val="30FC4936"/>
    <w:rsid w:val="310E0E7D"/>
    <w:rsid w:val="31132938"/>
    <w:rsid w:val="311E2ED7"/>
    <w:rsid w:val="31274283"/>
    <w:rsid w:val="312D42FE"/>
    <w:rsid w:val="31307046"/>
    <w:rsid w:val="31330A6A"/>
    <w:rsid w:val="31350B00"/>
    <w:rsid w:val="31384C99"/>
    <w:rsid w:val="313B511C"/>
    <w:rsid w:val="313E5C07"/>
    <w:rsid w:val="31404861"/>
    <w:rsid w:val="314174A5"/>
    <w:rsid w:val="314A42A6"/>
    <w:rsid w:val="315619EE"/>
    <w:rsid w:val="315C449C"/>
    <w:rsid w:val="316B4522"/>
    <w:rsid w:val="316D0A81"/>
    <w:rsid w:val="31793F79"/>
    <w:rsid w:val="31794069"/>
    <w:rsid w:val="317C5B45"/>
    <w:rsid w:val="318F04C9"/>
    <w:rsid w:val="319475D5"/>
    <w:rsid w:val="319E0453"/>
    <w:rsid w:val="31A00015"/>
    <w:rsid w:val="31A55C86"/>
    <w:rsid w:val="31B82709"/>
    <w:rsid w:val="31C0661C"/>
    <w:rsid w:val="31C54178"/>
    <w:rsid w:val="31CA749A"/>
    <w:rsid w:val="31D05482"/>
    <w:rsid w:val="31DC0F7C"/>
    <w:rsid w:val="31E10DF1"/>
    <w:rsid w:val="31E90F82"/>
    <w:rsid w:val="31F462C5"/>
    <w:rsid w:val="32103966"/>
    <w:rsid w:val="32174BBE"/>
    <w:rsid w:val="32180AC6"/>
    <w:rsid w:val="322941B2"/>
    <w:rsid w:val="32400B34"/>
    <w:rsid w:val="32430FFB"/>
    <w:rsid w:val="32452FC5"/>
    <w:rsid w:val="325A3C70"/>
    <w:rsid w:val="3262229F"/>
    <w:rsid w:val="32917B6C"/>
    <w:rsid w:val="329E6876"/>
    <w:rsid w:val="32A36D88"/>
    <w:rsid w:val="32A9124D"/>
    <w:rsid w:val="32A970B0"/>
    <w:rsid w:val="32B83797"/>
    <w:rsid w:val="32D3412D"/>
    <w:rsid w:val="32DC15E2"/>
    <w:rsid w:val="32F717C8"/>
    <w:rsid w:val="330C4CD4"/>
    <w:rsid w:val="331F5577"/>
    <w:rsid w:val="332733AB"/>
    <w:rsid w:val="333015F2"/>
    <w:rsid w:val="3333770A"/>
    <w:rsid w:val="333642E6"/>
    <w:rsid w:val="334B6320"/>
    <w:rsid w:val="337E22EA"/>
    <w:rsid w:val="3384499D"/>
    <w:rsid w:val="338673F1"/>
    <w:rsid w:val="33992D68"/>
    <w:rsid w:val="33AC7E48"/>
    <w:rsid w:val="33B31A16"/>
    <w:rsid w:val="33BA2514"/>
    <w:rsid w:val="33BC1065"/>
    <w:rsid w:val="33C7653D"/>
    <w:rsid w:val="33D309A5"/>
    <w:rsid w:val="33D934D4"/>
    <w:rsid w:val="33E91A1A"/>
    <w:rsid w:val="33FE2F6A"/>
    <w:rsid w:val="340E07E5"/>
    <w:rsid w:val="340F719C"/>
    <w:rsid w:val="34117602"/>
    <w:rsid w:val="341E2D11"/>
    <w:rsid w:val="34235BF7"/>
    <w:rsid w:val="342370B7"/>
    <w:rsid w:val="342B5D7A"/>
    <w:rsid w:val="34346E4D"/>
    <w:rsid w:val="343A368F"/>
    <w:rsid w:val="34420E37"/>
    <w:rsid w:val="344802BF"/>
    <w:rsid w:val="34525525"/>
    <w:rsid w:val="345662BE"/>
    <w:rsid w:val="34594B05"/>
    <w:rsid w:val="345C3137"/>
    <w:rsid w:val="346D0379"/>
    <w:rsid w:val="34817CEF"/>
    <w:rsid w:val="348E0634"/>
    <w:rsid w:val="34A46EAE"/>
    <w:rsid w:val="34A73291"/>
    <w:rsid w:val="34B130D4"/>
    <w:rsid w:val="34B561E0"/>
    <w:rsid w:val="34B56C57"/>
    <w:rsid w:val="34E2785E"/>
    <w:rsid w:val="34E74F31"/>
    <w:rsid w:val="34EC3EA5"/>
    <w:rsid w:val="34F55208"/>
    <w:rsid w:val="34F70F24"/>
    <w:rsid w:val="350601DC"/>
    <w:rsid w:val="351A4B0B"/>
    <w:rsid w:val="35237576"/>
    <w:rsid w:val="35256F8E"/>
    <w:rsid w:val="35351296"/>
    <w:rsid w:val="35414D4C"/>
    <w:rsid w:val="354A1E2E"/>
    <w:rsid w:val="354B444E"/>
    <w:rsid w:val="356579BA"/>
    <w:rsid w:val="358C5FA8"/>
    <w:rsid w:val="358E4F55"/>
    <w:rsid w:val="358F6ED2"/>
    <w:rsid w:val="35A74DDD"/>
    <w:rsid w:val="35C104AB"/>
    <w:rsid w:val="35C15DF1"/>
    <w:rsid w:val="35C3492C"/>
    <w:rsid w:val="35C714F1"/>
    <w:rsid w:val="35D34B35"/>
    <w:rsid w:val="35F9034E"/>
    <w:rsid w:val="35FD75B5"/>
    <w:rsid w:val="35FF348B"/>
    <w:rsid w:val="36074A7F"/>
    <w:rsid w:val="36146F36"/>
    <w:rsid w:val="363D5FAB"/>
    <w:rsid w:val="363F4826"/>
    <w:rsid w:val="365377F4"/>
    <w:rsid w:val="36660F0F"/>
    <w:rsid w:val="366B2CE5"/>
    <w:rsid w:val="368F7673"/>
    <w:rsid w:val="36923549"/>
    <w:rsid w:val="369469C6"/>
    <w:rsid w:val="369E1BB5"/>
    <w:rsid w:val="36B52864"/>
    <w:rsid w:val="36B75FBF"/>
    <w:rsid w:val="36BD0C45"/>
    <w:rsid w:val="36C7044C"/>
    <w:rsid w:val="36D611BF"/>
    <w:rsid w:val="36E0150D"/>
    <w:rsid w:val="36E55D52"/>
    <w:rsid w:val="36E96615"/>
    <w:rsid w:val="36EE605D"/>
    <w:rsid w:val="36FF1994"/>
    <w:rsid w:val="370E441D"/>
    <w:rsid w:val="37182F88"/>
    <w:rsid w:val="371D62BE"/>
    <w:rsid w:val="3736112E"/>
    <w:rsid w:val="373650F3"/>
    <w:rsid w:val="373E256E"/>
    <w:rsid w:val="374346BF"/>
    <w:rsid w:val="374A4272"/>
    <w:rsid w:val="37604F1C"/>
    <w:rsid w:val="377C6D46"/>
    <w:rsid w:val="377F0AA2"/>
    <w:rsid w:val="378665E9"/>
    <w:rsid w:val="378B76CC"/>
    <w:rsid w:val="379C7877"/>
    <w:rsid w:val="379F0A81"/>
    <w:rsid w:val="37B81947"/>
    <w:rsid w:val="37CA01F4"/>
    <w:rsid w:val="37D03331"/>
    <w:rsid w:val="37E00298"/>
    <w:rsid w:val="37E01DFB"/>
    <w:rsid w:val="37F62612"/>
    <w:rsid w:val="380B0AF8"/>
    <w:rsid w:val="380F20AB"/>
    <w:rsid w:val="381401D3"/>
    <w:rsid w:val="38195A9B"/>
    <w:rsid w:val="382715A3"/>
    <w:rsid w:val="382947EF"/>
    <w:rsid w:val="38455ACD"/>
    <w:rsid w:val="38490F2F"/>
    <w:rsid w:val="384977AD"/>
    <w:rsid w:val="385C59E4"/>
    <w:rsid w:val="38611B4B"/>
    <w:rsid w:val="38683D99"/>
    <w:rsid w:val="38946FDB"/>
    <w:rsid w:val="38A15122"/>
    <w:rsid w:val="38A970F4"/>
    <w:rsid w:val="38AA327E"/>
    <w:rsid w:val="38AC16A8"/>
    <w:rsid w:val="38B302F9"/>
    <w:rsid w:val="38DF5FF4"/>
    <w:rsid w:val="38E1777D"/>
    <w:rsid w:val="38F12CD3"/>
    <w:rsid w:val="38F33963"/>
    <w:rsid w:val="38F94775"/>
    <w:rsid w:val="390F7E89"/>
    <w:rsid w:val="39102474"/>
    <w:rsid w:val="391C2CC0"/>
    <w:rsid w:val="391D25A6"/>
    <w:rsid w:val="39243006"/>
    <w:rsid w:val="392971ED"/>
    <w:rsid w:val="392C4A73"/>
    <w:rsid w:val="392D1953"/>
    <w:rsid w:val="39325651"/>
    <w:rsid w:val="3933355D"/>
    <w:rsid w:val="39333B77"/>
    <w:rsid w:val="393F076E"/>
    <w:rsid w:val="39540670"/>
    <w:rsid w:val="395802BC"/>
    <w:rsid w:val="39651F7F"/>
    <w:rsid w:val="397273BD"/>
    <w:rsid w:val="39756896"/>
    <w:rsid w:val="39924D42"/>
    <w:rsid w:val="3994067A"/>
    <w:rsid w:val="3995213C"/>
    <w:rsid w:val="39A22AAB"/>
    <w:rsid w:val="39A979FC"/>
    <w:rsid w:val="39B8138C"/>
    <w:rsid w:val="39D80E75"/>
    <w:rsid w:val="39FB78A4"/>
    <w:rsid w:val="3A087E95"/>
    <w:rsid w:val="3A147C15"/>
    <w:rsid w:val="3A173499"/>
    <w:rsid w:val="3A184B1B"/>
    <w:rsid w:val="3A1951C5"/>
    <w:rsid w:val="3A3E1DBF"/>
    <w:rsid w:val="3A531ECD"/>
    <w:rsid w:val="3A561A17"/>
    <w:rsid w:val="3A5A36B6"/>
    <w:rsid w:val="3A6C7020"/>
    <w:rsid w:val="3A872856"/>
    <w:rsid w:val="3A886145"/>
    <w:rsid w:val="3AA765CB"/>
    <w:rsid w:val="3AAE3A31"/>
    <w:rsid w:val="3AB242A6"/>
    <w:rsid w:val="3AB6324D"/>
    <w:rsid w:val="3AD82FF0"/>
    <w:rsid w:val="3ADB4647"/>
    <w:rsid w:val="3ADE62FE"/>
    <w:rsid w:val="3AE00C0C"/>
    <w:rsid w:val="3AEF5E49"/>
    <w:rsid w:val="3AF213B1"/>
    <w:rsid w:val="3AF342C5"/>
    <w:rsid w:val="3AF92745"/>
    <w:rsid w:val="3B1A0DCD"/>
    <w:rsid w:val="3B245CD2"/>
    <w:rsid w:val="3B2C6AD0"/>
    <w:rsid w:val="3B344A3C"/>
    <w:rsid w:val="3B3763D1"/>
    <w:rsid w:val="3B627E64"/>
    <w:rsid w:val="3B7450C2"/>
    <w:rsid w:val="3B9A1EA4"/>
    <w:rsid w:val="3B9F3746"/>
    <w:rsid w:val="3BA33956"/>
    <w:rsid w:val="3BAF3466"/>
    <w:rsid w:val="3BC767F9"/>
    <w:rsid w:val="3BCC6D26"/>
    <w:rsid w:val="3BCD4F4C"/>
    <w:rsid w:val="3BD03348"/>
    <w:rsid w:val="3BD17677"/>
    <w:rsid w:val="3BD25D0B"/>
    <w:rsid w:val="3BD32973"/>
    <w:rsid w:val="3BD3519D"/>
    <w:rsid w:val="3BD67DCE"/>
    <w:rsid w:val="3BD845CF"/>
    <w:rsid w:val="3BD96EF4"/>
    <w:rsid w:val="3BE518F1"/>
    <w:rsid w:val="3BE6258E"/>
    <w:rsid w:val="3BE81D29"/>
    <w:rsid w:val="3C0A155E"/>
    <w:rsid w:val="3C0F7EFE"/>
    <w:rsid w:val="3C1F3E49"/>
    <w:rsid w:val="3C2F6E1E"/>
    <w:rsid w:val="3C357443"/>
    <w:rsid w:val="3C3C072D"/>
    <w:rsid w:val="3C432323"/>
    <w:rsid w:val="3C4B11D8"/>
    <w:rsid w:val="3C4F64BA"/>
    <w:rsid w:val="3C74072E"/>
    <w:rsid w:val="3C7A147A"/>
    <w:rsid w:val="3C861CFB"/>
    <w:rsid w:val="3C863237"/>
    <w:rsid w:val="3C935798"/>
    <w:rsid w:val="3C942B7F"/>
    <w:rsid w:val="3CAC61B9"/>
    <w:rsid w:val="3CAE221A"/>
    <w:rsid w:val="3CBC3E83"/>
    <w:rsid w:val="3CC50F8A"/>
    <w:rsid w:val="3CC52ED6"/>
    <w:rsid w:val="3CCD7A77"/>
    <w:rsid w:val="3CDA156D"/>
    <w:rsid w:val="3CDA245A"/>
    <w:rsid w:val="3CDE0AF1"/>
    <w:rsid w:val="3CDF6AB2"/>
    <w:rsid w:val="3CE968BC"/>
    <w:rsid w:val="3CF45A01"/>
    <w:rsid w:val="3D0E6FC7"/>
    <w:rsid w:val="3D1D0DC6"/>
    <w:rsid w:val="3D1E06B7"/>
    <w:rsid w:val="3D1F4D9A"/>
    <w:rsid w:val="3D2C1009"/>
    <w:rsid w:val="3D474095"/>
    <w:rsid w:val="3D4A6972"/>
    <w:rsid w:val="3D6D6A5B"/>
    <w:rsid w:val="3D705941"/>
    <w:rsid w:val="3D76196A"/>
    <w:rsid w:val="3D8E3295"/>
    <w:rsid w:val="3D9A41C5"/>
    <w:rsid w:val="3DAC5CA6"/>
    <w:rsid w:val="3DC3718A"/>
    <w:rsid w:val="3DDE1AFD"/>
    <w:rsid w:val="3DEC3F6B"/>
    <w:rsid w:val="3DF245B0"/>
    <w:rsid w:val="3DF8713D"/>
    <w:rsid w:val="3E047890"/>
    <w:rsid w:val="3E06143E"/>
    <w:rsid w:val="3E095FC4"/>
    <w:rsid w:val="3E0C6E24"/>
    <w:rsid w:val="3E1B5A56"/>
    <w:rsid w:val="3E246184"/>
    <w:rsid w:val="3E2C3534"/>
    <w:rsid w:val="3E322602"/>
    <w:rsid w:val="3E454B06"/>
    <w:rsid w:val="3E4E3201"/>
    <w:rsid w:val="3E5B473F"/>
    <w:rsid w:val="3E7D6F94"/>
    <w:rsid w:val="3E9E5E0A"/>
    <w:rsid w:val="3EAF2B6F"/>
    <w:rsid w:val="3EB72C41"/>
    <w:rsid w:val="3ECA283B"/>
    <w:rsid w:val="3EDA0523"/>
    <w:rsid w:val="3F051C53"/>
    <w:rsid w:val="3F16767C"/>
    <w:rsid w:val="3F2738F2"/>
    <w:rsid w:val="3F3441A5"/>
    <w:rsid w:val="3F3C6758"/>
    <w:rsid w:val="3F4343E8"/>
    <w:rsid w:val="3F4A1C1A"/>
    <w:rsid w:val="3F547C13"/>
    <w:rsid w:val="3F5D6E73"/>
    <w:rsid w:val="3F676329"/>
    <w:rsid w:val="3F6F342F"/>
    <w:rsid w:val="3F6F51DD"/>
    <w:rsid w:val="3F713CF6"/>
    <w:rsid w:val="3F7C1235"/>
    <w:rsid w:val="3F817BE4"/>
    <w:rsid w:val="3F8A7692"/>
    <w:rsid w:val="3F977E85"/>
    <w:rsid w:val="3FAB45B3"/>
    <w:rsid w:val="3FB45EFC"/>
    <w:rsid w:val="3FB52A5A"/>
    <w:rsid w:val="3FCA4B09"/>
    <w:rsid w:val="3FDD2A8F"/>
    <w:rsid w:val="3FE27130"/>
    <w:rsid w:val="3FEC0F24"/>
    <w:rsid w:val="401E76EE"/>
    <w:rsid w:val="403A57EB"/>
    <w:rsid w:val="405724C8"/>
    <w:rsid w:val="40586E6A"/>
    <w:rsid w:val="405F05E8"/>
    <w:rsid w:val="407006A0"/>
    <w:rsid w:val="407A6407"/>
    <w:rsid w:val="408250D6"/>
    <w:rsid w:val="409C11AB"/>
    <w:rsid w:val="40BB2268"/>
    <w:rsid w:val="40BB6362"/>
    <w:rsid w:val="40E73B81"/>
    <w:rsid w:val="40E92330"/>
    <w:rsid w:val="40F260C6"/>
    <w:rsid w:val="40FA2607"/>
    <w:rsid w:val="41004C87"/>
    <w:rsid w:val="41150C03"/>
    <w:rsid w:val="4140047A"/>
    <w:rsid w:val="414842A1"/>
    <w:rsid w:val="415E4495"/>
    <w:rsid w:val="415F3F89"/>
    <w:rsid w:val="416452CC"/>
    <w:rsid w:val="4169258E"/>
    <w:rsid w:val="41856063"/>
    <w:rsid w:val="41886A2A"/>
    <w:rsid w:val="418963C2"/>
    <w:rsid w:val="41BE2340"/>
    <w:rsid w:val="41BF13DE"/>
    <w:rsid w:val="41CC6917"/>
    <w:rsid w:val="41D00D84"/>
    <w:rsid w:val="41D9605E"/>
    <w:rsid w:val="41DD0066"/>
    <w:rsid w:val="41E225DE"/>
    <w:rsid w:val="41E871F6"/>
    <w:rsid w:val="41EF2605"/>
    <w:rsid w:val="41F36599"/>
    <w:rsid w:val="4200449D"/>
    <w:rsid w:val="4214336C"/>
    <w:rsid w:val="42341F06"/>
    <w:rsid w:val="4239456E"/>
    <w:rsid w:val="423A3BCC"/>
    <w:rsid w:val="42437045"/>
    <w:rsid w:val="424B5352"/>
    <w:rsid w:val="424E57D2"/>
    <w:rsid w:val="42523FFF"/>
    <w:rsid w:val="425B44EE"/>
    <w:rsid w:val="42611755"/>
    <w:rsid w:val="426479D7"/>
    <w:rsid w:val="42723962"/>
    <w:rsid w:val="42724A79"/>
    <w:rsid w:val="427E23AB"/>
    <w:rsid w:val="42870A90"/>
    <w:rsid w:val="42897FE0"/>
    <w:rsid w:val="4290203A"/>
    <w:rsid w:val="429E2606"/>
    <w:rsid w:val="42A81AFB"/>
    <w:rsid w:val="42B03B0C"/>
    <w:rsid w:val="42B23A97"/>
    <w:rsid w:val="42B26C49"/>
    <w:rsid w:val="42CB675B"/>
    <w:rsid w:val="42CC2D45"/>
    <w:rsid w:val="42D52A11"/>
    <w:rsid w:val="42E45961"/>
    <w:rsid w:val="42E45EE2"/>
    <w:rsid w:val="42EE6E5E"/>
    <w:rsid w:val="42F212B5"/>
    <w:rsid w:val="43042951"/>
    <w:rsid w:val="43065E58"/>
    <w:rsid w:val="433724B6"/>
    <w:rsid w:val="43384384"/>
    <w:rsid w:val="433A51B1"/>
    <w:rsid w:val="433A6FE6"/>
    <w:rsid w:val="433B4241"/>
    <w:rsid w:val="43454BBC"/>
    <w:rsid w:val="43470FC7"/>
    <w:rsid w:val="43476B9D"/>
    <w:rsid w:val="43480868"/>
    <w:rsid w:val="4350713C"/>
    <w:rsid w:val="435C1AAA"/>
    <w:rsid w:val="436112E1"/>
    <w:rsid w:val="43625473"/>
    <w:rsid w:val="436653E0"/>
    <w:rsid w:val="43670FED"/>
    <w:rsid w:val="436B6603"/>
    <w:rsid w:val="437445E4"/>
    <w:rsid w:val="437E67F9"/>
    <w:rsid w:val="43923B90"/>
    <w:rsid w:val="4392593E"/>
    <w:rsid w:val="439478BC"/>
    <w:rsid w:val="43AD2778"/>
    <w:rsid w:val="43B918E6"/>
    <w:rsid w:val="43BB30E7"/>
    <w:rsid w:val="43BB6C43"/>
    <w:rsid w:val="43C4431A"/>
    <w:rsid w:val="43C842C4"/>
    <w:rsid w:val="43CD4BC8"/>
    <w:rsid w:val="43CE0EDD"/>
    <w:rsid w:val="43D15849"/>
    <w:rsid w:val="43D45A60"/>
    <w:rsid w:val="43D917BF"/>
    <w:rsid w:val="43F7309A"/>
    <w:rsid w:val="43F87E97"/>
    <w:rsid w:val="43F955DA"/>
    <w:rsid w:val="44001D11"/>
    <w:rsid w:val="44013D6C"/>
    <w:rsid w:val="440215D8"/>
    <w:rsid w:val="4415489D"/>
    <w:rsid w:val="44370871"/>
    <w:rsid w:val="443D2DF0"/>
    <w:rsid w:val="443D3AFC"/>
    <w:rsid w:val="4447497A"/>
    <w:rsid w:val="444D269F"/>
    <w:rsid w:val="445F7F16"/>
    <w:rsid w:val="446A0634"/>
    <w:rsid w:val="446B68BB"/>
    <w:rsid w:val="446E63AB"/>
    <w:rsid w:val="44746C5F"/>
    <w:rsid w:val="44760DBC"/>
    <w:rsid w:val="448046DC"/>
    <w:rsid w:val="44A66CC7"/>
    <w:rsid w:val="44AE0E14"/>
    <w:rsid w:val="44B951CC"/>
    <w:rsid w:val="44C22253"/>
    <w:rsid w:val="44CD14E0"/>
    <w:rsid w:val="44E320CE"/>
    <w:rsid w:val="44E6598E"/>
    <w:rsid w:val="44EC4531"/>
    <w:rsid w:val="44F20B0B"/>
    <w:rsid w:val="44F7490B"/>
    <w:rsid w:val="4508410A"/>
    <w:rsid w:val="45142943"/>
    <w:rsid w:val="45192C6B"/>
    <w:rsid w:val="451C7BB5"/>
    <w:rsid w:val="452847AC"/>
    <w:rsid w:val="452E5F4C"/>
    <w:rsid w:val="454A5FD2"/>
    <w:rsid w:val="455F184E"/>
    <w:rsid w:val="45612018"/>
    <w:rsid w:val="45725A92"/>
    <w:rsid w:val="458946E9"/>
    <w:rsid w:val="459766D8"/>
    <w:rsid w:val="45A46B19"/>
    <w:rsid w:val="45A47C0E"/>
    <w:rsid w:val="45CC5E83"/>
    <w:rsid w:val="45DD6415"/>
    <w:rsid w:val="45DF1F1C"/>
    <w:rsid w:val="45F75F2C"/>
    <w:rsid w:val="461B34AE"/>
    <w:rsid w:val="463B13F8"/>
    <w:rsid w:val="46426D25"/>
    <w:rsid w:val="46577FD6"/>
    <w:rsid w:val="46731A57"/>
    <w:rsid w:val="46767D30"/>
    <w:rsid w:val="468477C0"/>
    <w:rsid w:val="4685178A"/>
    <w:rsid w:val="468546C6"/>
    <w:rsid w:val="46865B74"/>
    <w:rsid w:val="46872BD3"/>
    <w:rsid w:val="46885E2A"/>
    <w:rsid w:val="469519CD"/>
    <w:rsid w:val="46AF0FD5"/>
    <w:rsid w:val="46B57F9F"/>
    <w:rsid w:val="46BA0D32"/>
    <w:rsid w:val="46BA2397"/>
    <w:rsid w:val="46BE6E5E"/>
    <w:rsid w:val="46CC2CDA"/>
    <w:rsid w:val="46CF6BE8"/>
    <w:rsid w:val="46D955A7"/>
    <w:rsid w:val="46D96058"/>
    <w:rsid w:val="46DF0E9A"/>
    <w:rsid w:val="46E12E64"/>
    <w:rsid w:val="46E56A5F"/>
    <w:rsid w:val="46EC35B7"/>
    <w:rsid w:val="46F74436"/>
    <w:rsid w:val="46FA5AF3"/>
    <w:rsid w:val="46FC7C9E"/>
    <w:rsid w:val="46FE4D33"/>
    <w:rsid w:val="47133957"/>
    <w:rsid w:val="47182221"/>
    <w:rsid w:val="471D6915"/>
    <w:rsid w:val="471F2B30"/>
    <w:rsid w:val="47344B9C"/>
    <w:rsid w:val="47356B05"/>
    <w:rsid w:val="474C0E13"/>
    <w:rsid w:val="474D4056"/>
    <w:rsid w:val="47574ED5"/>
    <w:rsid w:val="47580DEE"/>
    <w:rsid w:val="47606608"/>
    <w:rsid w:val="476E0C2F"/>
    <w:rsid w:val="477E30E1"/>
    <w:rsid w:val="478C4C87"/>
    <w:rsid w:val="479A77CF"/>
    <w:rsid w:val="479F1F97"/>
    <w:rsid w:val="47A07E0C"/>
    <w:rsid w:val="47A41215"/>
    <w:rsid w:val="47A6272B"/>
    <w:rsid w:val="47C031D6"/>
    <w:rsid w:val="47C979DB"/>
    <w:rsid w:val="47CB141F"/>
    <w:rsid w:val="47D31AAF"/>
    <w:rsid w:val="47E250E6"/>
    <w:rsid w:val="47E92933"/>
    <w:rsid w:val="47EA4B5A"/>
    <w:rsid w:val="47F30F4B"/>
    <w:rsid w:val="47FA5235"/>
    <w:rsid w:val="47FE7A46"/>
    <w:rsid w:val="48020068"/>
    <w:rsid w:val="482079BC"/>
    <w:rsid w:val="48233009"/>
    <w:rsid w:val="482B01E3"/>
    <w:rsid w:val="482B78C7"/>
    <w:rsid w:val="482C010F"/>
    <w:rsid w:val="485020E9"/>
    <w:rsid w:val="48532586"/>
    <w:rsid w:val="485A7C08"/>
    <w:rsid w:val="4870272E"/>
    <w:rsid w:val="48850F68"/>
    <w:rsid w:val="489008FA"/>
    <w:rsid w:val="48D83DF3"/>
    <w:rsid w:val="48DA4F01"/>
    <w:rsid w:val="48DD2D35"/>
    <w:rsid w:val="48E7655B"/>
    <w:rsid w:val="48EB011E"/>
    <w:rsid w:val="49042E3F"/>
    <w:rsid w:val="49167019"/>
    <w:rsid w:val="491D1E84"/>
    <w:rsid w:val="49213ACE"/>
    <w:rsid w:val="492B486B"/>
    <w:rsid w:val="4931055C"/>
    <w:rsid w:val="493642ED"/>
    <w:rsid w:val="4940420A"/>
    <w:rsid w:val="494E5BED"/>
    <w:rsid w:val="49A43F95"/>
    <w:rsid w:val="49B04D70"/>
    <w:rsid w:val="49B85E9A"/>
    <w:rsid w:val="49BF1575"/>
    <w:rsid w:val="49D60664"/>
    <w:rsid w:val="49DC7715"/>
    <w:rsid w:val="49EA64D4"/>
    <w:rsid w:val="4A023139"/>
    <w:rsid w:val="4A0D5D1E"/>
    <w:rsid w:val="4A174DEF"/>
    <w:rsid w:val="4A280DAA"/>
    <w:rsid w:val="4A320448"/>
    <w:rsid w:val="4A325AB6"/>
    <w:rsid w:val="4A5A463A"/>
    <w:rsid w:val="4A6242BC"/>
    <w:rsid w:val="4A643210"/>
    <w:rsid w:val="4A66640C"/>
    <w:rsid w:val="4A6A1FF7"/>
    <w:rsid w:val="4A7B576F"/>
    <w:rsid w:val="4A7C52D1"/>
    <w:rsid w:val="4A9D70A2"/>
    <w:rsid w:val="4AC54EC0"/>
    <w:rsid w:val="4AD77089"/>
    <w:rsid w:val="4AE20F59"/>
    <w:rsid w:val="4AEA1BE7"/>
    <w:rsid w:val="4AF561A9"/>
    <w:rsid w:val="4AFA62A3"/>
    <w:rsid w:val="4B2772B4"/>
    <w:rsid w:val="4B287CAA"/>
    <w:rsid w:val="4B2E5AD2"/>
    <w:rsid w:val="4B397A7F"/>
    <w:rsid w:val="4B3F0E3A"/>
    <w:rsid w:val="4B581264"/>
    <w:rsid w:val="4B5A2EDB"/>
    <w:rsid w:val="4B623259"/>
    <w:rsid w:val="4B692C5A"/>
    <w:rsid w:val="4B726781"/>
    <w:rsid w:val="4B7A5635"/>
    <w:rsid w:val="4B876B40"/>
    <w:rsid w:val="4B8D5369"/>
    <w:rsid w:val="4B932FE8"/>
    <w:rsid w:val="4B9D30D2"/>
    <w:rsid w:val="4BBA3C84"/>
    <w:rsid w:val="4BD905AE"/>
    <w:rsid w:val="4BDA5A90"/>
    <w:rsid w:val="4BDF36EB"/>
    <w:rsid w:val="4BE11211"/>
    <w:rsid w:val="4BE210BD"/>
    <w:rsid w:val="4BE41274"/>
    <w:rsid w:val="4BF2341E"/>
    <w:rsid w:val="4BF247B7"/>
    <w:rsid w:val="4C033D8E"/>
    <w:rsid w:val="4C054A64"/>
    <w:rsid w:val="4C115F9A"/>
    <w:rsid w:val="4C1A2EC5"/>
    <w:rsid w:val="4C1C3C69"/>
    <w:rsid w:val="4C2D08FA"/>
    <w:rsid w:val="4C4A0649"/>
    <w:rsid w:val="4C4A3285"/>
    <w:rsid w:val="4C50431F"/>
    <w:rsid w:val="4C51091F"/>
    <w:rsid w:val="4C516396"/>
    <w:rsid w:val="4C5F3864"/>
    <w:rsid w:val="4C6F06C1"/>
    <w:rsid w:val="4C7E1155"/>
    <w:rsid w:val="4C7E4CB1"/>
    <w:rsid w:val="4C7E5ECA"/>
    <w:rsid w:val="4C7F5A9B"/>
    <w:rsid w:val="4C876AA5"/>
    <w:rsid w:val="4C893A3D"/>
    <w:rsid w:val="4CA716A7"/>
    <w:rsid w:val="4CB54229"/>
    <w:rsid w:val="4CBD46A4"/>
    <w:rsid w:val="4CC36A5F"/>
    <w:rsid w:val="4CE232EE"/>
    <w:rsid w:val="4CE27936"/>
    <w:rsid w:val="4CEB2D8A"/>
    <w:rsid w:val="4D003831"/>
    <w:rsid w:val="4D023B34"/>
    <w:rsid w:val="4D0E00FB"/>
    <w:rsid w:val="4D103667"/>
    <w:rsid w:val="4D176606"/>
    <w:rsid w:val="4D1A1305"/>
    <w:rsid w:val="4D252CB2"/>
    <w:rsid w:val="4D386F94"/>
    <w:rsid w:val="4D3B2BA3"/>
    <w:rsid w:val="4D45071D"/>
    <w:rsid w:val="4D453663"/>
    <w:rsid w:val="4D491763"/>
    <w:rsid w:val="4D5B4FF3"/>
    <w:rsid w:val="4D694E32"/>
    <w:rsid w:val="4D733A56"/>
    <w:rsid w:val="4D8E6C2B"/>
    <w:rsid w:val="4D8F6B17"/>
    <w:rsid w:val="4DA8707A"/>
    <w:rsid w:val="4DC40DEA"/>
    <w:rsid w:val="4DCE28EF"/>
    <w:rsid w:val="4DEC4FB0"/>
    <w:rsid w:val="4DF833DE"/>
    <w:rsid w:val="4E0749A2"/>
    <w:rsid w:val="4E075D8A"/>
    <w:rsid w:val="4E1750B0"/>
    <w:rsid w:val="4E2B0E69"/>
    <w:rsid w:val="4E2B29D7"/>
    <w:rsid w:val="4E2E5752"/>
    <w:rsid w:val="4E487F82"/>
    <w:rsid w:val="4E4E39DE"/>
    <w:rsid w:val="4E5019A9"/>
    <w:rsid w:val="4E5C5106"/>
    <w:rsid w:val="4E6600F3"/>
    <w:rsid w:val="4EB61EB7"/>
    <w:rsid w:val="4EB8151C"/>
    <w:rsid w:val="4EB86BA1"/>
    <w:rsid w:val="4EBB3F9B"/>
    <w:rsid w:val="4EC00FAD"/>
    <w:rsid w:val="4ED1689E"/>
    <w:rsid w:val="4ED23B83"/>
    <w:rsid w:val="4EDF1C72"/>
    <w:rsid w:val="4EEA0D24"/>
    <w:rsid w:val="4EF43951"/>
    <w:rsid w:val="4F0A0A7E"/>
    <w:rsid w:val="4F12039E"/>
    <w:rsid w:val="4F1B24A1"/>
    <w:rsid w:val="4F2B696A"/>
    <w:rsid w:val="4F334479"/>
    <w:rsid w:val="4F337FD5"/>
    <w:rsid w:val="4F4B5D83"/>
    <w:rsid w:val="4F506B2E"/>
    <w:rsid w:val="4F5A4BDB"/>
    <w:rsid w:val="4F6B0615"/>
    <w:rsid w:val="4F766114"/>
    <w:rsid w:val="4F813436"/>
    <w:rsid w:val="4F9175DC"/>
    <w:rsid w:val="4F9843DC"/>
    <w:rsid w:val="4F9C3DCC"/>
    <w:rsid w:val="4FA26F09"/>
    <w:rsid w:val="4FA47125"/>
    <w:rsid w:val="4FC62A8C"/>
    <w:rsid w:val="4FC926E8"/>
    <w:rsid w:val="4FD317B8"/>
    <w:rsid w:val="4FD35314"/>
    <w:rsid w:val="4FDF015D"/>
    <w:rsid w:val="4FE20F0D"/>
    <w:rsid w:val="4FE51552"/>
    <w:rsid w:val="4FE6773D"/>
    <w:rsid w:val="4FF17360"/>
    <w:rsid w:val="4FF55191"/>
    <w:rsid w:val="4FF736F9"/>
    <w:rsid w:val="50027DE4"/>
    <w:rsid w:val="500D280C"/>
    <w:rsid w:val="501F359C"/>
    <w:rsid w:val="502F2E92"/>
    <w:rsid w:val="50447942"/>
    <w:rsid w:val="50504C4B"/>
    <w:rsid w:val="50592E34"/>
    <w:rsid w:val="50604805"/>
    <w:rsid w:val="508C2093"/>
    <w:rsid w:val="509C6E7C"/>
    <w:rsid w:val="50B03F31"/>
    <w:rsid w:val="50C22179"/>
    <w:rsid w:val="50CD35E8"/>
    <w:rsid w:val="50D9707C"/>
    <w:rsid w:val="50E408B9"/>
    <w:rsid w:val="50EA5B3B"/>
    <w:rsid w:val="50EB1B6E"/>
    <w:rsid w:val="50F47C38"/>
    <w:rsid w:val="510B71B7"/>
    <w:rsid w:val="510E0CFA"/>
    <w:rsid w:val="512C6F75"/>
    <w:rsid w:val="51305CF4"/>
    <w:rsid w:val="513E7962"/>
    <w:rsid w:val="51515C88"/>
    <w:rsid w:val="515B1A65"/>
    <w:rsid w:val="5162104E"/>
    <w:rsid w:val="5165605F"/>
    <w:rsid w:val="517154FB"/>
    <w:rsid w:val="517B53A5"/>
    <w:rsid w:val="518E386B"/>
    <w:rsid w:val="51935A63"/>
    <w:rsid w:val="51954F77"/>
    <w:rsid w:val="51B67533"/>
    <w:rsid w:val="51B74DCB"/>
    <w:rsid w:val="51E168B3"/>
    <w:rsid w:val="51E333FD"/>
    <w:rsid w:val="51EE0B2B"/>
    <w:rsid w:val="520612B1"/>
    <w:rsid w:val="520908C9"/>
    <w:rsid w:val="520B4B75"/>
    <w:rsid w:val="521A6D80"/>
    <w:rsid w:val="52311B45"/>
    <w:rsid w:val="52353687"/>
    <w:rsid w:val="524248B8"/>
    <w:rsid w:val="5256360D"/>
    <w:rsid w:val="526B217C"/>
    <w:rsid w:val="52825A68"/>
    <w:rsid w:val="52840586"/>
    <w:rsid w:val="528B0128"/>
    <w:rsid w:val="528E11B3"/>
    <w:rsid w:val="52952D55"/>
    <w:rsid w:val="52A1794C"/>
    <w:rsid w:val="52B4142D"/>
    <w:rsid w:val="52C11D9C"/>
    <w:rsid w:val="52C32E44"/>
    <w:rsid w:val="52CE2BDF"/>
    <w:rsid w:val="52D7511B"/>
    <w:rsid w:val="52DE46FC"/>
    <w:rsid w:val="52E723A3"/>
    <w:rsid w:val="52F12681"/>
    <w:rsid w:val="52F4516C"/>
    <w:rsid w:val="53144CAE"/>
    <w:rsid w:val="532760A3"/>
    <w:rsid w:val="532F6D06"/>
    <w:rsid w:val="53453079"/>
    <w:rsid w:val="53696C64"/>
    <w:rsid w:val="536D1257"/>
    <w:rsid w:val="53757759"/>
    <w:rsid w:val="53784B50"/>
    <w:rsid w:val="537A4BCC"/>
    <w:rsid w:val="53937294"/>
    <w:rsid w:val="53972C02"/>
    <w:rsid w:val="539A6875"/>
    <w:rsid w:val="539D489B"/>
    <w:rsid w:val="53A039CC"/>
    <w:rsid w:val="53A1505A"/>
    <w:rsid w:val="53B50BFF"/>
    <w:rsid w:val="53BD6A07"/>
    <w:rsid w:val="53D6676E"/>
    <w:rsid w:val="53D855C1"/>
    <w:rsid w:val="53E5225B"/>
    <w:rsid w:val="54017769"/>
    <w:rsid w:val="54063E08"/>
    <w:rsid w:val="54087FCC"/>
    <w:rsid w:val="540A7EF2"/>
    <w:rsid w:val="541818ED"/>
    <w:rsid w:val="541F502B"/>
    <w:rsid w:val="54334407"/>
    <w:rsid w:val="543437E8"/>
    <w:rsid w:val="54414F42"/>
    <w:rsid w:val="544E765F"/>
    <w:rsid w:val="54521AE9"/>
    <w:rsid w:val="545E6836"/>
    <w:rsid w:val="54736E75"/>
    <w:rsid w:val="547630C3"/>
    <w:rsid w:val="547D1CF3"/>
    <w:rsid w:val="54893732"/>
    <w:rsid w:val="54B35714"/>
    <w:rsid w:val="54B5148C"/>
    <w:rsid w:val="54BA54C6"/>
    <w:rsid w:val="54BC6CBF"/>
    <w:rsid w:val="54CA2703"/>
    <w:rsid w:val="54D745DB"/>
    <w:rsid w:val="54D87E8C"/>
    <w:rsid w:val="54D9517B"/>
    <w:rsid w:val="54E11CE5"/>
    <w:rsid w:val="54F2189F"/>
    <w:rsid w:val="54F73313"/>
    <w:rsid w:val="54F80955"/>
    <w:rsid w:val="55015561"/>
    <w:rsid w:val="55021394"/>
    <w:rsid w:val="55063DC2"/>
    <w:rsid w:val="550E29B4"/>
    <w:rsid w:val="551322A2"/>
    <w:rsid w:val="551E7032"/>
    <w:rsid w:val="552306CD"/>
    <w:rsid w:val="55284354"/>
    <w:rsid w:val="552E03B1"/>
    <w:rsid w:val="55506F78"/>
    <w:rsid w:val="555170A7"/>
    <w:rsid w:val="5552474F"/>
    <w:rsid w:val="55534835"/>
    <w:rsid w:val="55651104"/>
    <w:rsid w:val="5568451C"/>
    <w:rsid w:val="55765761"/>
    <w:rsid w:val="5587536D"/>
    <w:rsid w:val="558F6B7E"/>
    <w:rsid w:val="559B174B"/>
    <w:rsid w:val="55A75279"/>
    <w:rsid w:val="55C67DF5"/>
    <w:rsid w:val="55C8387E"/>
    <w:rsid w:val="55CE0CF4"/>
    <w:rsid w:val="55CE3334"/>
    <w:rsid w:val="55FC1377"/>
    <w:rsid w:val="56006F54"/>
    <w:rsid w:val="56175C35"/>
    <w:rsid w:val="5622233E"/>
    <w:rsid w:val="56473AB7"/>
    <w:rsid w:val="56584CC4"/>
    <w:rsid w:val="567B1334"/>
    <w:rsid w:val="567B4F5B"/>
    <w:rsid w:val="56A8574D"/>
    <w:rsid w:val="56B22A9C"/>
    <w:rsid w:val="56BA6E6C"/>
    <w:rsid w:val="56BF15B2"/>
    <w:rsid w:val="56D10D1E"/>
    <w:rsid w:val="56FD3A23"/>
    <w:rsid w:val="571406EC"/>
    <w:rsid w:val="5720443F"/>
    <w:rsid w:val="57527466"/>
    <w:rsid w:val="57541431"/>
    <w:rsid w:val="57563E6C"/>
    <w:rsid w:val="57580F21"/>
    <w:rsid w:val="57675B70"/>
    <w:rsid w:val="576C677A"/>
    <w:rsid w:val="578448D2"/>
    <w:rsid w:val="57AC03CE"/>
    <w:rsid w:val="57B72A76"/>
    <w:rsid w:val="57BD0EE0"/>
    <w:rsid w:val="57C3426C"/>
    <w:rsid w:val="57C43F37"/>
    <w:rsid w:val="57CA16F3"/>
    <w:rsid w:val="57CC63EF"/>
    <w:rsid w:val="57CE1F93"/>
    <w:rsid w:val="57D60097"/>
    <w:rsid w:val="57DC0D06"/>
    <w:rsid w:val="57DD3ED9"/>
    <w:rsid w:val="57E02CC4"/>
    <w:rsid w:val="57E83927"/>
    <w:rsid w:val="57F56770"/>
    <w:rsid w:val="5801522C"/>
    <w:rsid w:val="58134E48"/>
    <w:rsid w:val="58156E12"/>
    <w:rsid w:val="5818245E"/>
    <w:rsid w:val="582232DD"/>
    <w:rsid w:val="58242BB1"/>
    <w:rsid w:val="582810F4"/>
    <w:rsid w:val="58333592"/>
    <w:rsid w:val="58472D43"/>
    <w:rsid w:val="584E40D2"/>
    <w:rsid w:val="585711D8"/>
    <w:rsid w:val="58580AAD"/>
    <w:rsid w:val="58586CFE"/>
    <w:rsid w:val="585D16D4"/>
    <w:rsid w:val="587B589D"/>
    <w:rsid w:val="588743D1"/>
    <w:rsid w:val="5887701A"/>
    <w:rsid w:val="589344EE"/>
    <w:rsid w:val="589B073E"/>
    <w:rsid w:val="58A252E2"/>
    <w:rsid w:val="58A539D4"/>
    <w:rsid w:val="58B331A5"/>
    <w:rsid w:val="58BA1767"/>
    <w:rsid w:val="58BA52C3"/>
    <w:rsid w:val="58C919AA"/>
    <w:rsid w:val="58DE5456"/>
    <w:rsid w:val="58E71CD3"/>
    <w:rsid w:val="58EC1A4A"/>
    <w:rsid w:val="58F11346"/>
    <w:rsid w:val="590617C1"/>
    <w:rsid w:val="59113E09"/>
    <w:rsid w:val="595006BA"/>
    <w:rsid w:val="59583222"/>
    <w:rsid w:val="5960317B"/>
    <w:rsid w:val="596479EA"/>
    <w:rsid w:val="59667064"/>
    <w:rsid w:val="597B2F4D"/>
    <w:rsid w:val="597E2795"/>
    <w:rsid w:val="59812B83"/>
    <w:rsid w:val="598D671F"/>
    <w:rsid w:val="59914B71"/>
    <w:rsid w:val="599C295E"/>
    <w:rsid w:val="59A647AF"/>
    <w:rsid w:val="59A71CEC"/>
    <w:rsid w:val="59AB1D36"/>
    <w:rsid w:val="59C0439F"/>
    <w:rsid w:val="59C7413C"/>
    <w:rsid w:val="59D22E56"/>
    <w:rsid w:val="59E90B3D"/>
    <w:rsid w:val="59F11F01"/>
    <w:rsid w:val="59F27AC0"/>
    <w:rsid w:val="59F64A21"/>
    <w:rsid w:val="5A010FCF"/>
    <w:rsid w:val="5A127111"/>
    <w:rsid w:val="5A187098"/>
    <w:rsid w:val="5A287283"/>
    <w:rsid w:val="5A2D7D25"/>
    <w:rsid w:val="5A3A666F"/>
    <w:rsid w:val="5A3D61AC"/>
    <w:rsid w:val="5A407A4A"/>
    <w:rsid w:val="5A4A3F41"/>
    <w:rsid w:val="5A4C1409"/>
    <w:rsid w:val="5A4E660B"/>
    <w:rsid w:val="5A6828BF"/>
    <w:rsid w:val="5A6B0418"/>
    <w:rsid w:val="5A84202D"/>
    <w:rsid w:val="5AA30F9C"/>
    <w:rsid w:val="5AB0090F"/>
    <w:rsid w:val="5AB126F6"/>
    <w:rsid w:val="5ABE2233"/>
    <w:rsid w:val="5ABF613D"/>
    <w:rsid w:val="5ABF67E2"/>
    <w:rsid w:val="5AE20B01"/>
    <w:rsid w:val="5AE317EB"/>
    <w:rsid w:val="5AE34FA5"/>
    <w:rsid w:val="5B0909DA"/>
    <w:rsid w:val="5B092532"/>
    <w:rsid w:val="5B0942E0"/>
    <w:rsid w:val="5B0A088A"/>
    <w:rsid w:val="5B3D25E5"/>
    <w:rsid w:val="5B5E287E"/>
    <w:rsid w:val="5B784485"/>
    <w:rsid w:val="5B7F559C"/>
    <w:rsid w:val="5B981BF9"/>
    <w:rsid w:val="5B9E685E"/>
    <w:rsid w:val="5BA627FE"/>
    <w:rsid w:val="5BA858A7"/>
    <w:rsid w:val="5BB4249E"/>
    <w:rsid w:val="5BBF7D40"/>
    <w:rsid w:val="5BCA76EC"/>
    <w:rsid w:val="5BDA4B03"/>
    <w:rsid w:val="5BDF5D95"/>
    <w:rsid w:val="5BE61996"/>
    <w:rsid w:val="5BEF0E40"/>
    <w:rsid w:val="5BFE7528"/>
    <w:rsid w:val="5C0E36AA"/>
    <w:rsid w:val="5C2A09B2"/>
    <w:rsid w:val="5C2E0DB3"/>
    <w:rsid w:val="5C390DA7"/>
    <w:rsid w:val="5C401595"/>
    <w:rsid w:val="5C5D2B35"/>
    <w:rsid w:val="5C5F565F"/>
    <w:rsid w:val="5C725D18"/>
    <w:rsid w:val="5C760F7A"/>
    <w:rsid w:val="5C78194C"/>
    <w:rsid w:val="5C853E3A"/>
    <w:rsid w:val="5C8C341B"/>
    <w:rsid w:val="5C8E4E72"/>
    <w:rsid w:val="5C9A5B38"/>
    <w:rsid w:val="5CA16EC6"/>
    <w:rsid w:val="5CA42512"/>
    <w:rsid w:val="5CB2179C"/>
    <w:rsid w:val="5CC9313D"/>
    <w:rsid w:val="5CCC5500"/>
    <w:rsid w:val="5CD509A5"/>
    <w:rsid w:val="5CD65303"/>
    <w:rsid w:val="5CDB161B"/>
    <w:rsid w:val="5CE13766"/>
    <w:rsid w:val="5CF07C43"/>
    <w:rsid w:val="5CF12CB1"/>
    <w:rsid w:val="5D02158D"/>
    <w:rsid w:val="5D094416"/>
    <w:rsid w:val="5D14560E"/>
    <w:rsid w:val="5D1A4582"/>
    <w:rsid w:val="5D211720"/>
    <w:rsid w:val="5D2169A5"/>
    <w:rsid w:val="5D6103B6"/>
    <w:rsid w:val="5D612F40"/>
    <w:rsid w:val="5D6F6A48"/>
    <w:rsid w:val="5D740137"/>
    <w:rsid w:val="5D7E2D63"/>
    <w:rsid w:val="5D7F1C90"/>
    <w:rsid w:val="5D9558F0"/>
    <w:rsid w:val="5D973E25"/>
    <w:rsid w:val="5DAD189A"/>
    <w:rsid w:val="5DAD3649"/>
    <w:rsid w:val="5DB3780B"/>
    <w:rsid w:val="5DBC65F2"/>
    <w:rsid w:val="5DD46198"/>
    <w:rsid w:val="5DF75943"/>
    <w:rsid w:val="5E2467F1"/>
    <w:rsid w:val="5E324EE3"/>
    <w:rsid w:val="5E361890"/>
    <w:rsid w:val="5E3B2A02"/>
    <w:rsid w:val="5E3E0745"/>
    <w:rsid w:val="5E3E4FE1"/>
    <w:rsid w:val="5E421FE3"/>
    <w:rsid w:val="5E4740F1"/>
    <w:rsid w:val="5E4D6678"/>
    <w:rsid w:val="5E6E2DD8"/>
    <w:rsid w:val="5E84580B"/>
    <w:rsid w:val="5EA64025"/>
    <w:rsid w:val="5EBD5B0D"/>
    <w:rsid w:val="5EC073AC"/>
    <w:rsid w:val="5ECB5988"/>
    <w:rsid w:val="5ECF75EF"/>
    <w:rsid w:val="5EE25574"/>
    <w:rsid w:val="5EF04511"/>
    <w:rsid w:val="5F037EA3"/>
    <w:rsid w:val="5F144834"/>
    <w:rsid w:val="5F1A2B43"/>
    <w:rsid w:val="5F1E2FCC"/>
    <w:rsid w:val="5F5521EA"/>
    <w:rsid w:val="5F571ABE"/>
    <w:rsid w:val="5F6460BD"/>
    <w:rsid w:val="5F667F53"/>
    <w:rsid w:val="5F684B10"/>
    <w:rsid w:val="5F8C1D0B"/>
    <w:rsid w:val="5F9525E6"/>
    <w:rsid w:val="5F993E84"/>
    <w:rsid w:val="5FB010AC"/>
    <w:rsid w:val="5FB837BB"/>
    <w:rsid w:val="5FB87124"/>
    <w:rsid w:val="5FC33060"/>
    <w:rsid w:val="5FC92290"/>
    <w:rsid w:val="5FDF33B6"/>
    <w:rsid w:val="5FE62A90"/>
    <w:rsid w:val="5FE77442"/>
    <w:rsid w:val="5FEA46E0"/>
    <w:rsid w:val="5FF84F72"/>
    <w:rsid w:val="60003E70"/>
    <w:rsid w:val="60120B2F"/>
    <w:rsid w:val="6017749F"/>
    <w:rsid w:val="60190B65"/>
    <w:rsid w:val="602E1723"/>
    <w:rsid w:val="60326087"/>
    <w:rsid w:val="605A694F"/>
    <w:rsid w:val="60690096"/>
    <w:rsid w:val="60697C8B"/>
    <w:rsid w:val="606C1AA3"/>
    <w:rsid w:val="606E3563"/>
    <w:rsid w:val="607000C4"/>
    <w:rsid w:val="607346D5"/>
    <w:rsid w:val="607D4AF7"/>
    <w:rsid w:val="608A3BE5"/>
    <w:rsid w:val="609D5BF6"/>
    <w:rsid w:val="60AE6331"/>
    <w:rsid w:val="60AF76D8"/>
    <w:rsid w:val="60B864B3"/>
    <w:rsid w:val="60CC405A"/>
    <w:rsid w:val="60D274A6"/>
    <w:rsid w:val="60DD4245"/>
    <w:rsid w:val="60DE1BDE"/>
    <w:rsid w:val="60E51702"/>
    <w:rsid w:val="60F246D5"/>
    <w:rsid w:val="60F83986"/>
    <w:rsid w:val="60FC3468"/>
    <w:rsid w:val="610B4FE9"/>
    <w:rsid w:val="611C24EC"/>
    <w:rsid w:val="611E37D0"/>
    <w:rsid w:val="612B4FB0"/>
    <w:rsid w:val="61390342"/>
    <w:rsid w:val="61480D21"/>
    <w:rsid w:val="614918DA"/>
    <w:rsid w:val="614E344B"/>
    <w:rsid w:val="61515DC1"/>
    <w:rsid w:val="61591C9F"/>
    <w:rsid w:val="615F4FCA"/>
    <w:rsid w:val="61693D2A"/>
    <w:rsid w:val="616A5648"/>
    <w:rsid w:val="617A022C"/>
    <w:rsid w:val="61826B9A"/>
    <w:rsid w:val="61A158C4"/>
    <w:rsid w:val="61A5608E"/>
    <w:rsid w:val="61AB4343"/>
    <w:rsid w:val="61B52ACC"/>
    <w:rsid w:val="61C8409B"/>
    <w:rsid w:val="61D5316E"/>
    <w:rsid w:val="61E215D8"/>
    <w:rsid w:val="61E3588B"/>
    <w:rsid w:val="61E92979"/>
    <w:rsid w:val="61F12114"/>
    <w:rsid w:val="62061579"/>
    <w:rsid w:val="62084BB7"/>
    <w:rsid w:val="620B36E5"/>
    <w:rsid w:val="621168AD"/>
    <w:rsid w:val="621B3775"/>
    <w:rsid w:val="621E0449"/>
    <w:rsid w:val="62240FE5"/>
    <w:rsid w:val="62261412"/>
    <w:rsid w:val="62364782"/>
    <w:rsid w:val="623E192C"/>
    <w:rsid w:val="624F2F20"/>
    <w:rsid w:val="625A397B"/>
    <w:rsid w:val="62647CEB"/>
    <w:rsid w:val="626A7D5A"/>
    <w:rsid w:val="62742944"/>
    <w:rsid w:val="62901E6A"/>
    <w:rsid w:val="62932261"/>
    <w:rsid w:val="62A279D4"/>
    <w:rsid w:val="62A51173"/>
    <w:rsid w:val="62A72D5C"/>
    <w:rsid w:val="62B06F5E"/>
    <w:rsid w:val="62CF7BBD"/>
    <w:rsid w:val="62D307DF"/>
    <w:rsid w:val="62D34877"/>
    <w:rsid w:val="62DB2A06"/>
    <w:rsid w:val="62E52571"/>
    <w:rsid w:val="62F77414"/>
    <w:rsid w:val="62FD297C"/>
    <w:rsid w:val="63212B0F"/>
    <w:rsid w:val="63405029"/>
    <w:rsid w:val="6340588E"/>
    <w:rsid w:val="63450A67"/>
    <w:rsid w:val="63526AAF"/>
    <w:rsid w:val="6353259C"/>
    <w:rsid w:val="635441A8"/>
    <w:rsid w:val="63564074"/>
    <w:rsid w:val="63624D1A"/>
    <w:rsid w:val="636D04E2"/>
    <w:rsid w:val="63831D54"/>
    <w:rsid w:val="6383324E"/>
    <w:rsid w:val="639257BA"/>
    <w:rsid w:val="6394356A"/>
    <w:rsid w:val="63996AEE"/>
    <w:rsid w:val="63AC7EFE"/>
    <w:rsid w:val="63B23767"/>
    <w:rsid w:val="63B76EED"/>
    <w:rsid w:val="63BB05C8"/>
    <w:rsid w:val="63C37F70"/>
    <w:rsid w:val="63C416EC"/>
    <w:rsid w:val="63C61B2C"/>
    <w:rsid w:val="63D40BE9"/>
    <w:rsid w:val="63D61AC1"/>
    <w:rsid w:val="63D84DC0"/>
    <w:rsid w:val="640900E7"/>
    <w:rsid w:val="640A35A3"/>
    <w:rsid w:val="640C4499"/>
    <w:rsid w:val="64102431"/>
    <w:rsid w:val="643401B4"/>
    <w:rsid w:val="643979E4"/>
    <w:rsid w:val="644A7E43"/>
    <w:rsid w:val="646C1BB9"/>
    <w:rsid w:val="647E189B"/>
    <w:rsid w:val="6497295D"/>
    <w:rsid w:val="649F75B2"/>
    <w:rsid w:val="64A5243A"/>
    <w:rsid w:val="64AD5648"/>
    <w:rsid w:val="64B1537D"/>
    <w:rsid w:val="64BB050F"/>
    <w:rsid w:val="64BB2B8D"/>
    <w:rsid w:val="64BC374D"/>
    <w:rsid w:val="64BE025A"/>
    <w:rsid w:val="64CE229F"/>
    <w:rsid w:val="64D13A61"/>
    <w:rsid w:val="64DE058B"/>
    <w:rsid w:val="64F531DE"/>
    <w:rsid w:val="64F77DDD"/>
    <w:rsid w:val="650222AB"/>
    <w:rsid w:val="65051FBC"/>
    <w:rsid w:val="65373578"/>
    <w:rsid w:val="65393A14"/>
    <w:rsid w:val="653E4417"/>
    <w:rsid w:val="654241CF"/>
    <w:rsid w:val="65424FBE"/>
    <w:rsid w:val="654A5CBA"/>
    <w:rsid w:val="654B50E5"/>
    <w:rsid w:val="65624D19"/>
    <w:rsid w:val="65652664"/>
    <w:rsid w:val="6568285E"/>
    <w:rsid w:val="658005D0"/>
    <w:rsid w:val="658A426F"/>
    <w:rsid w:val="65936454"/>
    <w:rsid w:val="659F21F0"/>
    <w:rsid w:val="65A90B99"/>
    <w:rsid w:val="65AE4402"/>
    <w:rsid w:val="65B85280"/>
    <w:rsid w:val="65DD3899"/>
    <w:rsid w:val="660A1AE2"/>
    <w:rsid w:val="661A394E"/>
    <w:rsid w:val="66410DD2"/>
    <w:rsid w:val="664F72DD"/>
    <w:rsid w:val="66507267"/>
    <w:rsid w:val="66713AB8"/>
    <w:rsid w:val="668A0516"/>
    <w:rsid w:val="668F251A"/>
    <w:rsid w:val="669453A6"/>
    <w:rsid w:val="66947B1D"/>
    <w:rsid w:val="66967370"/>
    <w:rsid w:val="66993F11"/>
    <w:rsid w:val="669C12B1"/>
    <w:rsid w:val="66AF0431"/>
    <w:rsid w:val="66BD78CB"/>
    <w:rsid w:val="66C1187B"/>
    <w:rsid w:val="66D9547D"/>
    <w:rsid w:val="66DC1AF3"/>
    <w:rsid w:val="67064B36"/>
    <w:rsid w:val="670A6088"/>
    <w:rsid w:val="671868DB"/>
    <w:rsid w:val="671F124A"/>
    <w:rsid w:val="67346B89"/>
    <w:rsid w:val="673E10ED"/>
    <w:rsid w:val="673E6667"/>
    <w:rsid w:val="67446219"/>
    <w:rsid w:val="675F691A"/>
    <w:rsid w:val="675F6C8C"/>
    <w:rsid w:val="67670EBA"/>
    <w:rsid w:val="677A33C6"/>
    <w:rsid w:val="678278F4"/>
    <w:rsid w:val="678C42CF"/>
    <w:rsid w:val="67977BB7"/>
    <w:rsid w:val="67A15E97"/>
    <w:rsid w:val="67A21D44"/>
    <w:rsid w:val="67AA39CE"/>
    <w:rsid w:val="67AB5867"/>
    <w:rsid w:val="67BF7FAF"/>
    <w:rsid w:val="67E72A25"/>
    <w:rsid w:val="68093B71"/>
    <w:rsid w:val="68177612"/>
    <w:rsid w:val="681F6961"/>
    <w:rsid w:val="682B6BC6"/>
    <w:rsid w:val="683B5453"/>
    <w:rsid w:val="683F7593"/>
    <w:rsid w:val="684150B9"/>
    <w:rsid w:val="68457BE1"/>
    <w:rsid w:val="6852376A"/>
    <w:rsid w:val="68584807"/>
    <w:rsid w:val="685C1517"/>
    <w:rsid w:val="68610A2F"/>
    <w:rsid w:val="686B4ECE"/>
    <w:rsid w:val="687A681D"/>
    <w:rsid w:val="68805514"/>
    <w:rsid w:val="6883102C"/>
    <w:rsid w:val="68932395"/>
    <w:rsid w:val="689773CF"/>
    <w:rsid w:val="689C2E49"/>
    <w:rsid w:val="689C6793"/>
    <w:rsid w:val="68BF2482"/>
    <w:rsid w:val="68C03982"/>
    <w:rsid w:val="68C724BA"/>
    <w:rsid w:val="68E41346"/>
    <w:rsid w:val="68E43F44"/>
    <w:rsid w:val="68EB6CBD"/>
    <w:rsid w:val="68ED5241"/>
    <w:rsid w:val="68F0088D"/>
    <w:rsid w:val="68F715E2"/>
    <w:rsid w:val="690D4031"/>
    <w:rsid w:val="69316E2F"/>
    <w:rsid w:val="694927E7"/>
    <w:rsid w:val="694E2071"/>
    <w:rsid w:val="694E3AF4"/>
    <w:rsid w:val="694E55F2"/>
    <w:rsid w:val="694F7CAA"/>
    <w:rsid w:val="695F65F5"/>
    <w:rsid w:val="69695723"/>
    <w:rsid w:val="69704AFB"/>
    <w:rsid w:val="69704EF9"/>
    <w:rsid w:val="69715D21"/>
    <w:rsid w:val="697257F6"/>
    <w:rsid w:val="69766163"/>
    <w:rsid w:val="6977031C"/>
    <w:rsid w:val="69792EBA"/>
    <w:rsid w:val="697A3B33"/>
    <w:rsid w:val="69855479"/>
    <w:rsid w:val="69866617"/>
    <w:rsid w:val="699F36D5"/>
    <w:rsid w:val="69A51603"/>
    <w:rsid w:val="69A521C6"/>
    <w:rsid w:val="69CC0526"/>
    <w:rsid w:val="69D44760"/>
    <w:rsid w:val="69FA3D78"/>
    <w:rsid w:val="6A1929BA"/>
    <w:rsid w:val="6A1A3E14"/>
    <w:rsid w:val="6A1D4790"/>
    <w:rsid w:val="6A217F8D"/>
    <w:rsid w:val="6A2442BC"/>
    <w:rsid w:val="6A257111"/>
    <w:rsid w:val="6A2C1D99"/>
    <w:rsid w:val="6A402EE0"/>
    <w:rsid w:val="6A4849E5"/>
    <w:rsid w:val="6A4E0079"/>
    <w:rsid w:val="6A520EC7"/>
    <w:rsid w:val="6A5D6C72"/>
    <w:rsid w:val="6A5E63F6"/>
    <w:rsid w:val="6A603BA4"/>
    <w:rsid w:val="6A696B49"/>
    <w:rsid w:val="6A6C6EC2"/>
    <w:rsid w:val="6A6E392C"/>
    <w:rsid w:val="6A771266"/>
    <w:rsid w:val="6A795CC5"/>
    <w:rsid w:val="6A9040D6"/>
    <w:rsid w:val="6AA2579F"/>
    <w:rsid w:val="6AAF13D0"/>
    <w:rsid w:val="6AB62D79"/>
    <w:rsid w:val="6ABA73A5"/>
    <w:rsid w:val="6AC344AB"/>
    <w:rsid w:val="6AE12D9C"/>
    <w:rsid w:val="6AE215AE"/>
    <w:rsid w:val="6AE74CF1"/>
    <w:rsid w:val="6AED6170"/>
    <w:rsid w:val="6AF87E20"/>
    <w:rsid w:val="6B0A032C"/>
    <w:rsid w:val="6B1C3522"/>
    <w:rsid w:val="6B297338"/>
    <w:rsid w:val="6B322639"/>
    <w:rsid w:val="6B4814CB"/>
    <w:rsid w:val="6B50093D"/>
    <w:rsid w:val="6B5B6F2F"/>
    <w:rsid w:val="6B781BDB"/>
    <w:rsid w:val="6B8B3651"/>
    <w:rsid w:val="6B9B2D32"/>
    <w:rsid w:val="6BA37E39"/>
    <w:rsid w:val="6BA75E62"/>
    <w:rsid w:val="6BAD2501"/>
    <w:rsid w:val="6BB45C4E"/>
    <w:rsid w:val="6BBD4F3B"/>
    <w:rsid w:val="6BCB63A3"/>
    <w:rsid w:val="6BD63835"/>
    <w:rsid w:val="6BD96BD5"/>
    <w:rsid w:val="6BDC5218"/>
    <w:rsid w:val="6BE6506C"/>
    <w:rsid w:val="6BEC4054"/>
    <w:rsid w:val="6BEC5C84"/>
    <w:rsid w:val="6C007BA7"/>
    <w:rsid w:val="6C044ABB"/>
    <w:rsid w:val="6C0B7E9A"/>
    <w:rsid w:val="6C112196"/>
    <w:rsid w:val="6C143822"/>
    <w:rsid w:val="6C150D37"/>
    <w:rsid w:val="6C2C16C5"/>
    <w:rsid w:val="6C326586"/>
    <w:rsid w:val="6C344993"/>
    <w:rsid w:val="6C3B62C3"/>
    <w:rsid w:val="6C474C68"/>
    <w:rsid w:val="6C494E84"/>
    <w:rsid w:val="6C5730F0"/>
    <w:rsid w:val="6C587073"/>
    <w:rsid w:val="6C5F6456"/>
    <w:rsid w:val="6C636C38"/>
    <w:rsid w:val="6C7A3139"/>
    <w:rsid w:val="6C7B7C5C"/>
    <w:rsid w:val="6C7B7E3A"/>
    <w:rsid w:val="6C956846"/>
    <w:rsid w:val="6CA36A2B"/>
    <w:rsid w:val="6CA65E33"/>
    <w:rsid w:val="6CAC6DF2"/>
    <w:rsid w:val="6CB247D7"/>
    <w:rsid w:val="6CB87914"/>
    <w:rsid w:val="6CDB1F80"/>
    <w:rsid w:val="6D126C64"/>
    <w:rsid w:val="6D1C071F"/>
    <w:rsid w:val="6D1E1E6D"/>
    <w:rsid w:val="6D1E3C1B"/>
    <w:rsid w:val="6D38382A"/>
    <w:rsid w:val="6D3C7B5F"/>
    <w:rsid w:val="6D5E2181"/>
    <w:rsid w:val="6D6F3B3D"/>
    <w:rsid w:val="6D765805"/>
    <w:rsid w:val="6D7D3037"/>
    <w:rsid w:val="6D887A53"/>
    <w:rsid w:val="6D910694"/>
    <w:rsid w:val="6D9A311E"/>
    <w:rsid w:val="6DAE39DB"/>
    <w:rsid w:val="6DB34098"/>
    <w:rsid w:val="6DB545B6"/>
    <w:rsid w:val="6DC742B3"/>
    <w:rsid w:val="6DDE15FC"/>
    <w:rsid w:val="6DE02FB4"/>
    <w:rsid w:val="6DE06BE4"/>
    <w:rsid w:val="6DE452D5"/>
    <w:rsid w:val="6E0E7CC6"/>
    <w:rsid w:val="6E183E05"/>
    <w:rsid w:val="6E1E4550"/>
    <w:rsid w:val="6E3A3D3C"/>
    <w:rsid w:val="6E4A51F2"/>
    <w:rsid w:val="6E5024FA"/>
    <w:rsid w:val="6E514CED"/>
    <w:rsid w:val="6E637F0C"/>
    <w:rsid w:val="6E68642E"/>
    <w:rsid w:val="6E751F61"/>
    <w:rsid w:val="6E7B6E4B"/>
    <w:rsid w:val="6E895A0C"/>
    <w:rsid w:val="6E921AF9"/>
    <w:rsid w:val="6E9323E7"/>
    <w:rsid w:val="6E9C322B"/>
    <w:rsid w:val="6EA6036C"/>
    <w:rsid w:val="6EA63EC8"/>
    <w:rsid w:val="6EB0599B"/>
    <w:rsid w:val="6EB563D5"/>
    <w:rsid w:val="6EBD7464"/>
    <w:rsid w:val="6EC66318"/>
    <w:rsid w:val="6ED92677"/>
    <w:rsid w:val="6EDA594D"/>
    <w:rsid w:val="6EF70BC7"/>
    <w:rsid w:val="6F1057E5"/>
    <w:rsid w:val="6F18738B"/>
    <w:rsid w:val="6F225983"/>
    <w:rsid w:val="6F332D93"/>
    <w:rsid w:val="6F3753FD"/>
    <w:rsid w:val="6F394D3C"/>
    <w:rsid w:val="6F3E5FCD"/>
    <w:rsid w:val="6F4C500A"/>
    <w:rsid w:val="6F667AFB"/>
    <w:rsid w:val="6F670088"/>
    <w:rsid w:val="6F685621"/>
    <w:rsid w:val="6F69477C"/>
    <w:rsid w:val="6F6F7B7A"/>
    <w:rsid w:val="6F806E0F"/>
    <w:rsid w:val="6F934EEE"/>
    <w:rsid w:val="6FBD5AC4"/>
    <w:rsid w:val="6FBF45D4"/>
    <w:rsid w:val="6FD25146"/>
    <w:rsid w:val="6FF005A6"/>
    <w:rsid w:val="6FF43D62"/>
    <w:rsid w:val="6FFC5590"/>
    <w:rsid w:val="70066FB3"/>
    <w:rsid w:val="70165DEE"/>
    <w:rsid w:val="702951B3"/>
    <w:rsid w:val="70330B0B"/>
    <w:rsid w:val="704414B9"/>
    <w:rsid w:val="70447E3C"/>
    <w:rsid w:val="7056082F"/>
    <w:rsid w:val="706D1DD0"/>
    <w:rsid w:val="707453EC"/>
    <w:rsid w:val="70856B87"/>
    <w:rsid w:val="70903082"/>
    <w:rsid w:val="709F46F4"/>
    <w:rsid w:val="70AD67CE"/>
    <w:rsid w:val="70B14DA6"/>
    <w:rsid w:val="70B256C9"/>
    <w:rsid w:val="70B94B47"/>
    <w:rsid w:val="70BC0902"/>
    <w:rsid w:val="70C9587E"/>
    <w:rsid w:val="70CE7706"/>
    <w:rsid w:val="70D527EE"/>
    <w:rsid w:val="70D64AC3"/>
    <w:rsid w:val="70DB0321"/>
    <w:rsid w:val="70E03EBE"/>
    <w:rsid w:val="70E61366"/>
    <w:rsid w:val="711D243B"/>
    <w:rsid w:val="712C3535"/>
    <w:rsid w:val="713A2FED"/>
    <w:rsid w:val="714662E2"/>
    <w:rsid w:val="71573B9F"/>
    <w:rsid w:val="71597917"/>
    <w:rsid w:val="715B5300"/>
    <w:rsid w:val="715B6715"/>
    <w:rsid w:val="71685DAD"/>
    <w:rsid w:val="717C0EA9"/>
    <w:rsid w:val="717C563C"/>
    <w:rsid w:val="717F3249"/>
    <w:rsid w:val="71836742"/>
    <w:rsid w:val="7188169E"/>
    <w:rsid w:val="718A0D13"/>
    <w:rsid w:val="719567ED"/>
    <w:rsid w:val="71A74E76"/>
    <w:rsid w:val="71BB2380"/>
    <w:rsid w:val="71C32F10"/>
    <w:rsid w:val="71C823A7"/>
    <w:rsid w:val="71CB25AA"/>
    <w:rsid w:val="71D27F8A"/>
    <w:rsid w:val="71D62D16"/>
    <w:rsid w:val="71D84CE0"/>
    <w:rsid w:val="71ED21B3"/>
    <w:rsid w:val="71F25676"/>
    <w:rsid w:val="71FA347F"/>
    <w:rsid w:val="71FB259A"/>
    <w:rsid w:val="71FB53D1"/>
    <w:rsid w:val="720B5698"/>
    <w:rsid w:val="722B72BA"/>
    <w:rsid w:val="72553024"/>
    <w:rsid w:val="725C373A"/>
    <w:rsid w:val="72727AFB"/>
    <w:rsid w:val="72731D14"/>
    <w:rsid w:val="72760055"/>
    <w:rsid w:val="727B38BE"/>
    <w:rsid w:val="72952BD1"/>
    <w:rsid w:val="729C5355"/>
    <w:rsid w:val="72A24178"/>
    <w:rsid w:val="72C25048"/>
    <w:rsid w:val="72C44AAC"/>
    <w:rsid w:val="72E81C7B"/>
    <w:rsid w:val="730B4790"/>
    <w:rsid w:val="73122968"/>
    <w:rsid w:val="731358A4"/>
    <w:rsid w:val="7315161C"/>
    <w:rsid w:val="731F5D5E"/>
    <w:rsid w:val="7334111A"/>
    <w:rsid w:val="73397A01"/>
    <w:rsid w:val="733F48EB"/>
    <w:rsid w:val="7345528C"/>
    <w:rsid w:val="7352605B"/>
    <w:rsid w:val="735B67C0"/>
    <w:rsid w:val="73736477"/>
    <w:rsid w:val="738E590C"/>
    <w:rsid w:val="73927111"/>
    <w:rsid w:val="73973924"/>
    <w:rsid w:val="739A7D73"/>
    <w:rsid w:val="739F0CFB"/>
    <w:rsid w:val="73AD7A9B"/>
    <w:rsid w:val="73B01345"/>
    <w:rsid w:val="73C51AD5"/>
    <w:rsid w:val="73CC5F21"/>
    <w:rsid w:val="73D60F8C"/>
    <w:rsid w:val="73FC4FF4"/>
    <w:rsid w:val="740722AB"/>
    <w:rsid w:val="740D250B"/>
    <w:rsid w:val="741E793C"/>
    <w:rsid w:val="741F198F"/>
    <w:rsid w:val="742C30C1"/>
    <w:rsid w:val="74321B1E"/>
    <w:rsid w:val="743B6ACD"/>
    <w:rsid w:val="744513BA"/>
    <w:rsid w:val="7449069D"/>
    <w:rsid w:val="74542618"/>
    <w:rsid w:val="74584F5A"/>
    <w:rsid w:val="745C1BA6"/>
    <w:rsid w:val="745E3944"/>
    <w:rsid w:val="74634609"/>
    <w:rsid w:val="7467234B"/>
    <w:rsid w:val="746C1E5A"/>
    <w:rsid w:val="746C7962"/>
    <w:rsid w:val="746D7D34"/>
    <w:rsid w:val="74791404"/>
    <w:rsid w:val="747B582F"/>
    <w:rsid w:val="74856786"/>
    <w:rsid w:val="74895FBC"/>
    <w:rsid w:val="748A1329"/>
    <w:rsid w:val="748E78D8"/>
    <w:rsid w:val="749B5F62"/>
    <w:rsid w:val="749F5BA2"/>
    <w:rsid w:val="74AE27E7"/>
    <w:rsid w:val="74BE7A92"/>
    <w:rsid w:val="74DF62FD"/>
    <w:rsid w:val="74E833F3"/>
    <w:rsid w:val="750B7110"/>
    <w:rsid w:val="75104791"/>
    <w:rsid w:val="75121EE2"/>
    <w:rsid w:val="751D3E63"/>
    <w:rsid w:val="752734F6"/>
    <w:rsid w:val="75362FA6"/>
    <w:rsid w:val="75367447"/>
    <w:rsid w:val="7537210A"/>
    <w:rsid w:val="75431E6C"/>
    <w:rsid w:val="757840E4"/>
    <w:rsid w:val="75792336"/>
    <w:rsid w:val="758D465D"/>
    <w:rsid w:val="75990C47"/>
    <w:rsid w:val="75994786"/>
    <w:rsid w:val="75A91749"/>
    <w:rsid w:val="75BD3DE2"/>
    <w:rsid w:val="75C230DE"/>
    <w:rsid w:val="75D03F20"/>
    <w:rsid w:val="75DA599F"/>
    <w:rsid w:val="75E6724E"/>
    <w:rsid w:val="75EC777B"/>
    <w:rsid w:val="75F64878"/>
    <w:rsid w:val="75F96FD3"/>
    <w:rsid w:val="760029C6"/>
    <w:rsid w:val="76097D04"/>
    <w:rsid w:val="760A7432"/>
    <w:rsid w:val="761756AB"/>
    <w:rsid w:val="76191858"/>
    <w:rsid w:val="761C0C50"/>
    <w:rsid w:val="762D3121"/>
    <w:rsid w:val="7635099D"/>
    <w:rsid w:val="7635244F"/>
    <w:rsid w:val="763660B9"/>
    <w:rsid w:val="76373F9F"/>
    <w:rsid w:val="76483316"/>
    <w:rsid w:val="764F3097"/>
    <w:rsid w:val="76761DAE"/>
    <w:rsid w:val="7678611C"/>
    <w:rsid w:val="76805415"/>
    <w:rsid w:val="768054C7"/>
    <w:rsid w:val="76851400"/>
    <w:rsid w:val="76862A50"/>
    <w:rsid w:val="76B348A4"/>
    <w:rsid w:val="76B61F85"/>
    <w:rsid w:val="76D0242A"/>
    <w:rsid w:val="76D436DE"/>
    <w:rsid w:val="76D807F3"/>
    <w:rsid w:val="76FC091F"/>
    <w:rsid w:val="770519A8"/>
    <w:rsid w:val="770A4F84"/>
    <w:rsid w:val="7718459C"/>
    <w:rsid w:val="771D44D5"/>
    <w:rsid w:val="774050A4"/>
    <w:rsid w:val="77431BF7"/>
    <w:rsid w:val="77470212"/>
    <w:rsid w:val="77603EAD"/>
    <w:rsid w:val="776204D1"/>
    <w:rsid w:val="776470A3"/>
    <w:rsid w:val="7771278D"/>
    <w:rsid w:val="77733A96"/>
    <w:rsid w:val="77762421"/>
    <w:rsid w:val="777A4144"/>
    <w:rsid w:val="777F5BFE"/>
    <w:rsid w:val="778116D7"/>
    <w:rsid w:val="778F0CCF"/>
    <w:rsid w:val="77A41174"/>
    <w:rsid w:val="77B56B1F"/>
    <w:rsid w:val="77B57CE6"/>
    <w:rsid w:val="77B65F98"/>
    <w:rsid w:val="77C15D32"/>
    <w:rsid w:val="77CA6D43"/>
    <w:rsid w:val="77D47923"/>
    <w:rsid w:val="77D84510"/>
    <w:rsid w:val="77F1144C"/>
    <w:rsid w:val="77FC724F"/>
    <w:rsid w:val="77FE0C76"/>
    <w:rsid w:val="780103C1"/>
    <w:rsid w:val="780F09F4"/>
    <w:rsid w:val="781B5410"/>
    <w:rsid w:val="781D76EB"/>
    <w:rsid w:val="781F68DB"/>
    <w:rsid w:val="782B3132"/>
    <w:rsid w:val="78400C5C"/>
    <w:rsid w:val="785C0313"/>
    <w:rsid w:val="785D29F2"/>
    <w:rsid w:val="785D684A"/>
    <w:rsid w:val="786638B8"/>
    <w:rsid w:val="786D4D2F"/>
    <w:rsid w:val="787A4601"/>
    <w:rsid w:val="78811502"/>
    <w:rsid w:val="7884775B"/>
    <w:rsid w:val="78A90480"/>
    <w:rsid w:val="78AC657F"/>
    <w:rsid w:val="78AE7934"/>
    <w:rsid w:val="78B90C9C"/>
    <w:rsid w:val="78C061F3"/>
    <w:rsid w:val="78C367D1"/>
    <w:rsid w:val="78C40ADA"/>
    <w:rsid w:val="78CF04BF"/>
    <w:rsid w:val="78D00FA7"/>
    <w:rsid w:val="78D95743"/>
    <w:rsid w:val="78F1073F"/>
    <w:rsid w:val="78F91E55"/>
    <w:rsid w:val="78FD4FDF"/>
    <w:rsid w:val="790F6B0E"/>
    <w:rsid w:val="7912395A"/>
    <w:rsid w:val="792F6562"/>
    <w:rsid w:val="79392392"/>
    <w:rsid w:val="793A7C22"/>
    <w:rsid w:val="794B0520"/>
    <w:rsid w:val="795754BF"/>
    <w:rsid w:val="795B7E31"/>
    <w:rsid w:val="7973709D"/>
    <w:rsid w:val="797A58C2"/>
    <w:rsid w:val="798E06B1"/>
    <w:rsid w:val="79A52926"/>
    <w:rsid w:val="79AC6EF3"/>
    <w:rsid w:val="79BA6C6F"/>
    <w:rsid w:val="79BD4C0D"/>
    <w:rsid w:val="79DA015B"/>
    <w:rsid w:val="79E3533A"/>
    <w:rsid w:val="79ED7EEE"/>
    <w:rsid w:val="79EF1A4B"/>
    <w:rsid w:val="79F24151"/>
    <w:rsid w:val="79FA77BE"/>
    <w:rsid w:val="7A0F72CE"/>
    <w:rsid w:val="7A1268B5"/>
    <w:rsid w:val="7A1C0332"/>
    <w:rsid w:val="7A1D3455"/>
    <w:rsid w:val="7A262361"/>
    <w:rsid w:val="7A2E348E"/>
    <w:rsid w:val="7A364017"/>
    <w:rsid w:val="7A4078C7"/>
    <w:rsid w:val="7A476A24"/>
    <w:rsid w:val="7A535318"/>
    <w:rsid w:val="7A584249"/>
    <w:rsid w:val="7A62383A"/>
    <w:rsid w:val="7A666C01"/>
    <w:rsid w:val="7A7F7C39"/>
    <w:rsid w:val="7A8265E1"/>
    <w:rsid w:val="7A85352B"/>
    <w:rsid w:val="7A8C2B0C"/>
    <w:rsid w:val="7A97500D"/>
    <w:rsid w:val="7A975929"/>
    <w:rsid w:val="7A99167E"/>
    <w:rsid w:val="7AAC0AB8"/>
    <w:rsid w:val="7AAD2A82"/>
    <w:rsid w:val="7AB27434"/>
    <w:rsid w:val="7AB7745D"/>
    <w:rsid w:val="7AD16771"/>
    <w:rsid w:val="7AEC7106"/>
    <w:rsid w:val="7B020C68"/>
    <w:rsid w:val="7B036915"/>
    <w:rsid w:val="7B0A1C83"/>
    <w:rsid w:val="7B2745E3"/>
    <w:rsid w:val="7B2D5DB9"/>
    <w:rsid w:val="7B2F3497"/>
    <w:rsid w:val="7B5178B1"/>
    <w:rsid w:val="7B543E79"/>
    <w:rsid w:val="7B674F74"/>
    <w:rsid w:val="7B686D42"/>
    <w:rsid w:val="7B690757"/>
    <w:rsid w:val="7B6C7AC9"/>
    <w:rsid w:val="7B7D16C7"/>
    <w:rsid w:val="7B841746"/>
    <w:rsid w:val="7B8726D4"/>
    <w:rsid w:val="7B893F18"/>
    <w:rsid w:val="7BA06571"/>
    <w:rsid w:val="7BA179AE"/>
    <w:rsid w:val="7BBF2A6D"/>
    <w:rsid w:val="7BC37450"/>
    <w:rsid w:val="7BD173B3"/>
    <w:rsid w:val="7BDF338E"/>
    <w:rsid w:val="7BE61DA8"/>
    <w:rsid w:val="7BE92FE2"/>
    <w:rsid w:val="7BF85F7F"/>
    <w:rsid w:val="7BFC5A6F"/>
    <w:rsid w:val="7BFE4E6D"/>
    <w:rsid w:val="7C135E45"/>
    <w:rsid w:val="7C2C29FE"/>
    <w:rsid w:val="7C35307A"/>
    <w:rsid w:val="7C35666D"/>
    <w:rsid w:val="7C5A34B2"/>
    <w:rsid w:val="7C5F37EC"/>
    <w:rsid w:val="7C6C5AC7"/>
    <w:rsid w:val="7C6E4C43"/>
    <w:rsid w:val="7C7D7D58"/>
    <w:rsid w:val="7C8A1FD7"/>
    <w:rsid w:val="7CAD4FBB"/>
    <w:rsid w:val="7CBF006A"/>
    <w:rsid w:val="7CC6544B"/>
    <w:rsid w:val="7CCD11BA"/>
    <w:rsid w:val="7CD07B67"/>
    <w:rsid w:val="7CD662C0"/>
    <w:rsid w:val="7CD95DB0"/>
    <w:rsid w:val="7CEF777D"/>
    <w:rsid w:val="7CF348C1"/>
    <w:rsid w:val="7CFA2B42"/>
    <w:rsid w:val="7CFD384D"/>
    <w:rsid w:val="7CFF725B"/>
    <w:rsid w:val="7D0239FF"/>
    <w:rsid w:val="7D0D2C1A"/>
    <w:rsid w:val="7D0F1BE7"/>
    <w:rsid w:val="7D133070"/>
    <w:rsid w:val="7D4162DE"/>
    <w:rsid w:val="7D575847"/>
    <w:rsid w:val="7D575C62"/>
    <w:rsid w:val="7D5D4690"/>
    <w:rsid w:val="7D5E40CD"/>
    <w:rsid w:val="7D6C452F"/>
    <w:rsid w:val="7D792545"/>
    <w:rsid w:val="7D9F2048"/>
    <w:rsid w:val="7DB81D9B"/>
    <w:rsid w:val="7DC652F5"/>
    <w:rsid w:val="7DCD56F2"/>
    <w:rsid w:val="7DF51C4E"/>
    <w:rsid w:val="7DF7793E"/>
    <w:rsid w:val="7DF816DD"/>
    <w:rsid w:val="7E09286B"/>
    <w:rsid w:val="7E1E19FB"/>
    <w:rsid w:val="7E241EA6"/>
    <w:rsid w:val="7E2E3256"/>
    <w:rsid w:val="7E307831"/>
    <w:rsid w:val="7E372444"/>
    <w:rsid w:val="7E3F3803"/>
    <w:rsid w:val="7E461224"/>
    <w:rsid w:val="7E486D4A"/>
    <w:rsid w:val="7E516E43"/>
    <w:rsid w:val="7E5A62C9"/>
    <w:rsid w:val="7E7A2C7B"/>
    <w:rsid w:val="7E94074B"/>
    <w:rsid w:val="7EC05FCF"/>
    <w:rsid w:val="7EC52231"/>
    <w:rsid w:val="7EE11BC0"/>
    <w:rsid w:val="7EE6558E"/>
    <w:rsid w:val="7EF07617"/>
    <w:rsid w:val="7EF221E3"/>
    <w:rsid w:val="7F001CE7"/>
    <w:rsid w:val="7F086B76"/>
    <w:rsid w:val="7F0D67F5"/>
    <w:rsid w:val="7F1E3F4E"/>
    <w:rsid w:val="7F256F5F"/>
    <w:rsid w:val="7F270FC0"/>
    <w:rsid w:val="7F323556"/>
    <w:rsid w:val="7F533BF8"/>
    <w:rsid w:val="7F5D74B8"/>
    <w:rsid w:val="7F631961"/>
    <w:rsid w:val="7F651B7D"/>
    <w:rsid w:val="7F8B555A"/>
    <w:rsid w:val="7F916950"/>
    <w:rsid w:val="7F942D60"/>
    <w:rsid w:val="7FA52E58"/>
    <w:rsid w:val="7FC11C04"/>
    <w:rsid w:val="7FC15DA7"/>
    <w:rsid w:val="7FC75190"/>
    <w:rsid w:val="7FE47E50"/>
    <w:rsid w:val="7FE707E4"/>
    <w:rsid w:val="7FF560D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nhideWhenUsed="0" w:uiPriority="1" w:semiHidden="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ind w:firstLine="0" w:firstLineChars="0"/>
      <w:jc w:val="left"/>
      <w:outlineLvl w:val="1"/>
    </w:pPr>
    <w:rPr>
      <w:rFonts w:hint="eastAsia" w:ascii="宋体" w:hAnsi="宋体"/>
      <w:b/>
      <w:kern w:val="0"/>
      <w:szCs w:val="36"/>
    </w:rPr>
  </w:style>
  <w:style w:type="paragraph" w:styleId="5">
    <w:name w:val="heading 3"/>
    <w:basedOn w:val="1"/>
    <w:next w:val="1"/>
    <w:link w:val="87"/>
    <w:qFormat/>
    <w:locked/>
    <w:uiPriority w:val="0"/>
    <w:pPr>
      <w:keepNext/>
      <w:keepLines/>
      <w:outlineLvl w:val="2"/>
    </w:pPr>
    <w:rPr>
      <w:b/>
      <w:kern w:val="0"/>
      <w:szCs w:val="20"/>
    </w:rPr>
  </w:style>
  <w:style w:type="paragraph" w:styleId="6">
    <w:name w:val="heading 4"/>
    <w:basedOn w:val="1"/>
    <w:next w:val="1"/>
    <w:qFormat/>
    <w:locked/>
    <w:uiPriority w:val="0"/>
    <w:pPr>
      <w:keepNext/>
      <w:keepLines/>
      <w:adjustRightInd w:val="0"/>
      <w:snapToGrid w:val="0"/>
      <w:spacing w:before="50" w:beforeLines="50" w:after="50" w:afterLines="50" w:line="240" w:lineRule="auto"/>
      <w:ind w:firstLine="1044" w:firstLineChars="200"/>
      <w:jc w:val="left"/>
      <w:outlineLvl w:val="3"/>
    </w:pPr>
    <w:rPr>
      <w:rFonts w:ascii="Times New Roman" w:hAnsi="Times New Roman" w:eastAsia="宋体"/>
      <w:b/>
      <w:bCs/>
      <w:sz w:val="24"/>
      <w:szCs w:val="24"/>
    </w:rPr>
  </w:style>
  <w:style w:type="paragraph" w:styleId="7">
    <w:name w:val="heading 7"/>
    <w:basedOn w:val="1"/>
    <w:next w:val="1"/>
    <w:qFormat/>
    <w:locked/>
    <w:uiPriority w:val="1"/>
    <w:pPr>
      <w:outlineLvl w:val="6"/>
    </w:pPr>
    <w:rPr>
      <w:rFonts w:ascii="宋体" w:hAnsi="宋体" w:eastAsia="宋体" w:cs="宋体"/>
      <w:b/>
      <w:bCs/>
      <w:sz w:val="24"/>
      <w:szCs w:val="24"/>
      <w:lang w:val="zh-CN" w:eastAsia="zh-CN" w:bidi="zh-CN"/>
    </w:rPr>
  </w:style>
  <w:style w:type="character" w:default="1" w:styleId="31">
    <w:name w:val="Default Paragraph Font"/>
    <w:semiHidden/>
    <w:qFormat/>
    <w:uiPriority w:val="0"/>
  </w:style>
  <w:style w:type="table" w:default="1" w:styleId="29">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1"/>
    <w:qFormat/>
    <w:locked/>
    <w:uiPriority w:val="0"/>
    <w:pPr>
      <w:spacing w:after="120" w:line="360" w:lineRule="auto"/>
      <w:ind w:left="420" w:leftChars="200" w:firstLine="420" w:firstLineChars="200"/>
    </w:pPr>
    <w:rPr>
      <w:rFonts w:eastAsia="仿宋_GB2312"/>
    </w:rPr>
  </w:style>
  <w:style w:type="paragraph" w:styleId="8">
    <w:name w:val="Normal Indent"/>
    <w:basedOn w:val="1"/>
    <w:next w:val="1"/>
    <w:qFormat/>
    <w:locked/>
    <w:uiPriority w:val="0"/>
    <w:pPr>
      <w:ind w:firstLine="420"/>
    </w:pPr>
    <w:rPr>
      <w:szCs w:val="20"/>
    </w:rPr>
  </w:style>
  <w:style w:type="paragraph" w:styleId="9">
    <w:name w:val="caption"/>
    <w:basedOn w:val="1"/>
    <w:next w:val="1"/>
    <w:qFormat/>
    <w:locked/>
    <w:uiPriority w:val="0"/>
    <w:pPr>
      <w:ind w:firstLine="0" w:firstLineChars="0"/>
      <w:jc w:val="center"/>
    </w:pPr>
    <w:rPr>
      <w:rFonts w:cs="宋体"/>
      <w:b/>
    </w:rPr>
  </w:style>
  <w:style w:type="paragraph" w:styleId="10">
    <w:name w:val="annotation text"/>
    <w:basedOn w:val="1"/>
    <w:link w:val="39"/>
    <w:semiHidden/>
    <w:qFormat/>
    <w:uiPriority w:val="0"/>
    <w:pPr>
      <w:jc w:val="left"/>
    </w:pPr>
    <w:rPr>
      <w:kern w:val="0"/>
      <w:sz w:val="24"/>
      <w:szCs w:val="20"/>
    </w:rPr>
  </w:style>
  <w:style w:type="paragraph" w:styleId="11">
    <w:name w:val="Body Text"/>
    <w:basedOn w:val="1"/>
    <w:next w:val="1"/>
    <w:link w:val="40"/>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41"/>
    <w:qFormat/>
    <w:uiPriority w:val="0"/>
    <w:pPr>
      <w:spacing w:after="120"/>
      <w:ind w:left="420" w:leftChars="200"/>
    </w:pPr>
    <w:rPr>
      <w:kern w:val="0"/>
      <w:sz w:val="24"/>
      <w:szCs w:val="20"/>
    </w:rPr>
  </w:style>
  <w:style w:type="paragraph" w:styleId="13">
    <w:name w:val="header"/>
    <w:basedOn w:val="1"/>
    <w:next w:val="14"/>
    <w:link w:val="42"/>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4">
    <w:name w:val="样式5"/>
    <w:basedOn w:val="15"/>
    <w:qFormat/>
    <w:uiPriority w:val="0"/>
    <w:pPr>
      <w:spacing w:line="380" w:lineRule="exact"/>
      <w:ind w:firstLine="566" w:firstLineChars="202"/>
    </w:pPr>
    <w:rPr>
      <w:rFonts w:eastAsia="华文行楷"/>
      <w:sz w:val="28"/>
    </w:rPr>
  </w:style>
  <w:style w:type="paragraph" w:customStyle="1" w:styleId="15">
    <w:name w:val="样式3"/>
    <w:basedOn w:val="16"/>
    <w:qFormat/>
    <w:uiPriority w:val="0"/>
    <w:pPr>
      <w:snapToGrid w:val="0"/>
      <w:ind w:firstLine="539"/>
      <w:jc w:val="center"/>
    </w:pPr>
    <w:rPr>
      <w:rFonts w:ascii="黑体" w:hAnsi="宋体" w:eastAsia="黑体"/>
      <w:color w:val="000000"/>
    </w:rPr>
  </w:style>
  <w:style w:type="paragraph" w:styleId="16">
    <w:name w:val="toc 3"/>
    <w:basedOn w:val="1"/>
    <w:next w:val="1"/>
    <w:qFormat/>
    <w:locked/>
    <w:uiPriority w:val="0"/>
    <w:pPr>
      <w:ind w:left="560"/>
    </w:pPr>
    <w:rPr>
      <w:i/>
      <w:iCs/>
      <w:sz w:val="20"/>
    </w:rPr>
  </w:style>
  <w:style w:type="paragraph" w:styleId="17">
    <w:name w:val="Plain Text"/>
    <w:basedOn w:val="1"/>
    <w:qFormat/>
    <w:locked/>
    <w:uiPriority w:val="99"/>
    <w:rPr>
      <w:rFonts w:ascii="宋体" w:hAnsi="Courier New" w:eastAsia="宋体" w:cs="Courier New"/>
      <w:sz w:val="21"/>
      <w:szCs w:val="21"/>
    </w:rPr>
  </w:style>
  <w:style w:type="paragraph" w:styleId="18">
    <w:name w:val="Date"/>
    <w:basedOn w:val="1"/>
    <w:next w:val="1"/>
    <w:link w:val="43"/>
    <w:qFormat/>
    <w:uiPriority w:val="0"/>
    <w:pPr>
      <w:ind w:left="100" w:leftChars="2500"/>
    </w:pPr>
    <w:rPr>
      <w:kern w:val="0"/>
      <w:sz w:val="24"/>
      <w:szCs w:val="20"/>
    </w:rPr>
  </w:style>
  <w:style w:type="paragraph" w:styleId="19">
    <w:name w:val="Balloon Text"/>
    <w:basedOn w:val="1"/>
    <w:link w:val="44"/>
    <w:semiHidden/>
    <w:qFormat/>
    <w:uiPriority w:val="0"/>
    <w:rPr>
      <w:kern w:val="0"/>
      <w:sz w:val="18"/>
      <w:szCs w:val="20"/>
    </w:rPr>
  </w:style>
  <w:style w:type="paragraph" w:styleId="20">
    <w:name w:val="footer"/>
    <w:basedOn w:val="1"/>
    <w:link w:val="38"/>
    <w:qFormat/>
    <w:uiPriority w:val="99"/>
    <w:pPr>
      <w:tabs>
        <w:tab w:val="center" w:pos="4153"/>
        <w:tab w:val="right" w:pos="8306"/>
      </w:tabs>
      <w:snapToGrid w:val="0"/>
      <w:jc w:val="left"/>
    </w:pPr>
    <w:rPr>
      <w:kern w:val="0"/>
      <w:sz w:val="18"/>
      <w:szCs w:val="20"/>
    </w:rPr>
  </w:style>
  <w:style w:type="paragraph" w:styleId="21">
    <w:name w:val="toc 1"/>
    <w:basedOn w:val="1"/>
    <w:next w:val="1"/>
    <w:qFormat/>
    <w:locked/>
    <w:uiPriority w:val="0"/>
  </w:style>
  <w:style w:type="paragraph" w:styleId="22">
    <w:name w:val="List"/>
    <w:basedOn w:val="1"/>
    <w:qFormat/>
    <w:locked/>
    <w:uiPriority w:val="0"/>
    <w:pPr>
      <w:widowControl/>
      <w:spacing w:line="440" w:lineRule="exact"/>
      <w:ind w:left="200" w:hanging="200"/>
      <w:jc w:val="left"/>
    </w:pPr>
    <w:rPr>
      <w:kern w:val="0"/>
      <w:sz w:val="24"/>
      <w:szCs w:val="20"/>
    </w:rPr>
  </w:style>
  <w:style w:type="paragraph" w:styleId="23">
    <w:name w:val="Body Text Indent 3"/>
    <w:basedOn w:val="1"/>
    <w:qFormat/>
    <w:locked/>
    <w:uiPriority w:val="0"/>
    <w:pPr>
      <w:spacing w:line="500" w:lineRule="exact"/>
      <w:ind w:firstLine="570"/>
    </w:pPr>
    <w:rPr>
      <w:sz w:val="24"/>
    </w:rPr>
  </w:style>
  <w:style w:type="paragraph" w:styleId="24">
    <w:name w:val="table of figures"/>
    <w:basedOn w:val="1"/>
    <w:next w:val="1"/>
    <w:qFormat/>
    <w:locked/>
    <w:uiPriority w:val="0"/>
    <w:pPr>
      <w:ind w:left="200" w:leftChars="200" w:hanging="200" w:hangingChars="200"/>
    </w:pPr>
  </w:style>
  <w:style w:type="paragraph" w:styleId="25">
    <w:name w:val="Normal (Web)"/>
    <w:basedOn w:val="1"/>
    <w:link w:val="45"/>
    <w:qFormat/>
    <w:uiPriority w:val="0"/>
    <w:pPr>
      <w:widowControl/>
      <w:spacing w:before="100" w:beforeAutospacing="1" w:after="100" w:afterAutospacing="1"/>
      <w:jc w:val="left"/>
    </w:pPr>
    <w:rPr>
      <w:rFonts w:ascii="宋体" w:hAnsi="宋体"/>
      <w:kern w:val="0"/>
      <w:sz w:val="24"/>
      <w:szCs w:val="20"/>
    </w:rPr>
  </w:style>
  <w:style w:type="paragraph" w:styleId="26">
    <w:name w:val="Title"/>
    <w:basedOn w:val="1"/>
    <w:next w:val="1"/>
    <w:qFormat/>
    <w:locked/>
    <w:uiPriority w:val="0"/>
    <w:pPr>
      <w:spacing w:line="360" w:lineRule="auto"/>
      <w:jc w:val="left"/>
      <w:outlineLvl w:val="2"/>
    </w:pPr>
    <w:rPr>
      <w:rFonts w:ascii="Cambria" w:hAnsi="Cambria" w:eastAsia="Times New Roman"/>
      <w:b/>
      <w:bCs/>
      <w:sz w:val="28"/>
      <w:szCs w:val="32"/>
    </w:rPr>
  </w:style>
  <w:style w:type="paragraph" w:styleId="27">
    <w:name w:val="annotation subject"/>
    <w:basedOn w:val="10"/>
    <w:next w:val="10"/>
    <w:link w:val="46"/>
    <w:semiHidden/>
    <w:qFormat/>
    <w:uiPriority w:val="0"/>
    <w:rPr>
      <w:b/>
      <w:sz w:val="24"/>
      <w:szCs w:val="20"/>
    </w:rPr>
  </w:style>
  <w:style w:type="paragraph" w:styleId="28">
    <w:name w:val="Body Text First Indent"/>
    <w:basedOn w:val="11"/>
    <w:next w:val="1"/>
    <w:qFormat/>
    <w:locked/>
    <w:uiPriority w:val="0"/>
    <w:pPr>
      <w:spacing w:after="120" w:line="360" w:lineRule="auto"/>
      <w:ind w:firstLine="420" w:firstLineChars="100"/>
    </w:pPr>
    <w:rPr>
      <w:rFonts w:eastAsia="Times New Roman"/>
      <w:szCs w:val="24"/>
    </w:rPr>
  </w:style>
  <w:style w:type="table" w:styleId="30">
    <w:name w:val="Table Grid"/>
    <w:basedOn w:val="2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locked/>
    <w:uiPriority w:val="0"/>
  </w:style>
  <w:style w:type="character" w:styleId="33">
    <w:name w:val="Hyperlink"/>
    <w:basedOn w:val="31"/>
    <w:qFormat/>
    <w:locked/>
    <w:uiPriority w:val="0"/>
    <w:rPr>
      <w:color w:val="0000FF"/>
      <w:u w:val="single"/>
    </w:rPr>
  </w:style>
  <w:style w:type="character" w:styleId="34">
    <w:name w:val="annotation reference"/>
    <w:semiHidden/>
    <w:qFormat/>
    <w:uiPriority w:val="0"/>
    <w:rPr>
      <w:sz w:val="21"/>
    </w:rPr>
  </w:style>
  <w:style w:type="paragraph" w:customStyle="1" w:styleId="35">
    <w:name w:val="报告正文"/>
    <w:basedOn w:val="1"/>
    <w:qFormat/>
    <w:uiPriority w:val="0"/>
    <w:pPr>
      <w:widowControl/>
      <w:adjustRightInd w:val="0"/>
      <w:spacing w:line="288" w:lineRule="auto"/>
      <w:ind w:firstLine="472" w:firstLineChars="200"/>
      <w:jc w:val="left"/>
    </w:pPr>
    <w:rPr>
      <w:rFonts w:ascii="仿宋_GB2312" w:eastAsia="仿宋_GB2312"/>
      <w:kern w:val="144"/>
    </w:rPr>
  </w:style>
  <w:style w:type="paragraph" w:customStyle="1" w:styleId="36">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7">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character" w:customStyle="1" w:styleId="38">
    <w:name w:val="页脚 Char"/>
    <w:link w:val="20"/>
    <w:qFormat/>
    <w:locked/>
    <w:uiPriority w:val="99"/>
    <w:rPr>
      <w:sz w:val="18"/>
    </w:rPr>
  </w:style>
  <w:style w:type="character" w:customStyle="1" w:styleId="39">
    <w:name w:val="批注文字 Char"/>
    <w:link w:val="10"/>
    <w:qFormat/>
    <w:locked/>
    <w:uiPriority w:val="0"/>
    <w:rPr>
      <w:rFonts w:ascii="Times New Roman" w:hAnsi="Times New Roman" w:eastAsia="宋体"/>
      <w:sz w:val="24"/>
    </w:rPr>
  </w:style>
  <w:style w:type="character" w:customStyle="1" w:styleId="40">
    <w:name w:val="正文文本 Char"/>
    <w:link w:val="11"/>
    <w:qFormat/>
    <w:locked/>
    <w:uiPriority w:val="0"/>
    <w:rPr>
      <w:sz w:val="18"/>
    </w:rPr>
  </w:style>
  <w:style w:type="character" w:customStyle="1" w:styleId="41">
    <w:name w:val="正文文本缩进 Char"/>
    <w:link w:val="12"/>
    <w:semiHidden/>
    <w:qFormat/>
    <w:locked/>
    <w:uiPriority w:val="0"/>
    <w:rPr>
      <w:rFonts w:ascii="Times New Roman" w:hAnsi="Times New Roman" w:eastAsia="宋体"/>
      <w:sz w:val="24"/>
    </w:rPr>
  </w:style>
  <w:style w:type="character" w:customStyle="1" w:styleId="42">
    <w:name w:val="页眉 Char"/>
    <w:link w:val="13"/>
    <w:qFormat/>
    <w:locked/>
    <w:uiPriority w:val="0"/>
    <w:rPr>
      <w:sz w:val="18"/>
    </w:rPr>
  </w:style>
  <w:style w:type="character" w:customStyle="1" w:styleId="43">
    <w:name w:val="日期 Char"/>
    <w:link w:val="18"/>
    <w:qFormat/>
    <w:locked/>
    <w:uiPriority w:val="0"/>
    <w:rPr>
      <w:rFonts w:ascii="Times New Roman" w:hAnsi="Times New Roman" w:eastAsia="宋体"/>
      <w:sz w:val="24"/>
    </w:rPr>
  </w:style>
  <w:style w:type="character" w:customStyle="1" w:styleId="44">
    <w:name w:val="批注框文本 Char"/>
    <w:link w:val="19"/>
    <w:semiHidden/>
    <w:qFormat/>
    <w:locked/>
    <w:uiPriority w:val="0"/>
    <w:rPr>
      <w:rFonts w:ascii="Times New Roman" w:hAnsi="Times New Roman" w:eastAsia="宋体"/>
      <w:sz w:val="18"/>
    </w:rPr>
  </w:style>
  <w:style w:type="character" w:customStyle="1" w:styleId="45">
    <w:name w:val="普通(网站) Char"/>
    <w:link w:val="25"/>
    <w:qFormat/>
    <w:locked/>
    <w:uiPriority w:val="0"/>
    <w:rPr>
      <w:rFonts w:ascii="宋体" w:hAnsi="宋体" w:eastAsia="宋体"/>
      <w:sz w:val="24"/>
    </w:rPr>
  </w:style>
  <w:style w:type="character" w:customStyle="1" w:styleId="46">
    <w:name w:val="批注主题 Char"/>
    <w:link w:val="27"/>
    <w:semiHidden/>
    <w:qFormat/>
    <w:locked/>
    <w:uiPriority w:val="0"/>
    <w:rPr>
      <w:rFonts w:ascii="Times New Roman" w:hAnsi="Times New Roman" w:eastAsia="宋体"/>
      <w:b/>
      <w:kern w:val="2"/>
      <w:sz w:val="24"/>
    </w:rPr>
  </w:style>
  <w:style w:type="paragraph" w:customStyle="1" w:styleId="47">
    <w:name w:val="Default"/>
    <w:next w:val="48"/>
    <w:unhideWhenUsed/>
    <w:qFormat/>
    <w:uiPriority w:val="99"/>
    <w:pPr>
      <w:widowControl w:val="0"/>
      <w:autoSpaceDE w:val="0"/>
      <w:autoSpaceDN w:val="0"/>
    </w:pPr>
    <w:rPr>
      <w:rFonts w:hint="eastAsia" w:ascii="宋体" w:hAnsi="Calibri" w:eastAsia="宋体" w:cs="Times New Roman"/>
      <w:color w:val="000000"/>
      <w:sz w:val="24"/>
      <w:szCs w:val="22"/>
      <w:lang w:val="en-US" w:eastAsia="zh-CN" w:bidi="ar-SA"/>
    </w:rPr>
  </w:style>
  <w:style w:type="paragraph" w:customStyle="1" w:styleId="48">
    <w:name w:val="样式 样式 首行缩进:  2 字符 + 首行缩进:  2 字符"/>
    <w:basedOn w:val="1"/>
    <w:next w:val="21"/>
    <w:qFormat/>
    <w:uiPriority w:val="0"/>
    <w:pPr>
      <w:snapToGrid w:val="0"/>
      <w:spacing w:line="360" w:lineRule="auto"/>
      <w:ind w:firstLine="560" w:firstLineChars="200"/>
    </w:pPr>
    <w:rPr>
      <w:sz w:val="28"/>
    </w:rPr>
  </w:style>
  <w:style w:type="paragraph" w:customStyle="1" w:styleId="49">
    <w:name w:val="+正文"/>
    <w:basedOn w:val="1"/>
    <w:qFormat/>
    <w:uiPriority w:val="0"/>
    <w:pPr>
      <w:adjustRightInd w:val="0"/>
      <w:snapToGrid w:val="0"/>
      <w:spacing w:line="360" w:lineRule="auto"/>
      <w:ind w:firstLine="200" w:firstLineChars="200"/>
    </w:pPr>
    <w:rPr>
      <w:rFonts w:ascii="Times New Roman" w:hAnsi="Times New Roman" w:eastAsia="宋体"/>
      <w:sz w:val="24"/>
    </w:rPr>
  </w:style>
  <w:style w:type="character" w:customStyle="1" w:styleId="50">
    <w:name w:val="批注文字 字符1"/>
    <w:semiHidden/>
    <w:qFormat/>
    <w:uiPriority w:val="0"/>
    <w:rPr>
      <w:rFonts w:ascii="Times New Roman" w:hAnsi="Times New Roman" w:eastAsia="宋体"/>
      <w:sz w:val="24"/>
    </w:rPr>
  </w:style>
  <w:style w:type="character" w:customStyle="1" w:styleId="51">
    <w:name w:val="日期 字符"/>
    <w:semiHidden/>
    <w:qFormat/>
    <w:uiPriority w:val="0"/>
    <w:rPr>
      <w:rFonts w:ascii="Times New Roman" w:hAnsi="Times New Roman" w:eastAsia="宋体"/>
      <w:sz w:val="24"/>
    </w:rPr>
  </w:style>
  <w:style w:type="character" w:customStyle="1" w:styleId="52">
    <w:name w:val="表格 Char"/>
    <w:link w:val="53"/>
    <w:qFormat/>
    <w:locked/>
    <w:uiPriority w:val="0"/>
    <w:rPr>
      <w:rFonts w:ascii="宋体"/>
      <w:sz w:val="21"/>
    </w:rPr>
  </w:style>
  <w:style w:type="paragraph" w:customStyle="1" w:styleId="53">
    <w:name w:val="表格"/>
    <w:basedOn w:val="22"/>
    <w:next w:val="1"/>
    <w:link w:val="52"/>
    <w:qFormat/>
    <w:uiPriority w:val="0"/>
    <w:pPr>
      <w:adjustRightInd w:val="0"/>
      <w:snapToGrid w:val="0"/>
      <w:spacing w:beforeLines="10" w:afterLines="10" w:line="259" w:lineRule="auto"/>
      <w:jc w:val="center"/>
    </w:pPr>
    <w:rPr>
      <w:rFonts w:ascii="宋体"/>
      <w:kern w:val="0"/>
      <w:szCs w:val="20"/>
    </w:rPr>
  </w:style>
  <w:style w:type="character" w:customStyle="1" w:styleId="54">
    <w:name w:val="页脚 字符"/>
    <w:basedOn w:val="31"/>
    <w:qFormat/>
    <w:uiPriority w:val="99"/>
  </w:style>
  <w:style w:type="character" w:customStyle="1" w:styleId="55">
    <w:name w:val="正文文本 字符1"/>
    <w:semiHidden/>
    <w:qFormat/>
    <w:uiPriority w:val="0"/>
    <w:rPr>
      <w:rFonts w:ascii="Times New Roman" w:hAnsi="Times New Roman" w:eastAsia="宋体"/>
      <w:sz w:val="24"/>
    </w:rPr>
  </w:style>
  <w:style w:type="paragraph" w:customStyle="1" w:styleId="56">
    <w:name w:val="正文格式"/>
    <w:basedOn w:val="57"/>
    <w:qFormat/>
    <w:uiPriority w:val="99"/>
    <w:pPr>
      <w:spacing w:line="360" w:lineRule="auto"/>
      <w:ind w:firstLine="200" w:firstLineChars="200"/>
    </w:pPr>
    <w:rPr>
      <w:rFonts w:hAnsi="Times New Roman" w:cs="Times New Roman"/>
      <w:kern w:val="0"/>
    </w:rPr>
  </w:style>
  <w:style w:type="paragraph" w:customStyle="1" w:styleId="57">
    <w:name w:val="样式 (符号) 宋体 小四 首行缩进:  0.95 厘米 行距: 1.5 倍行距"/>
    <w:basedOn w:val="1"/>
    <w:qFormat/>
    <w:uiPriority w:val="0"/>
    <w:pPr>
      <w:spacing w:line="360" w:lineRule="auto"/>
      <w:ind w:firstLine="200" w:firstLineChars="200"/>
    </w:pPr>
    <w:rPr>
      <w:rFonts w:hAnsi="宋体" w:cs="宋体"/>
      <w:sz w:val="24"/>
      <w:szCs w:val="20"/>
    </w:rPr>
  </w:style>
  <w:style w:type="paragraph" w:customStyle="1" w:styleId="5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表格2"/>
    <w:basedOn w:val="1"/>
    <w:qFormat/>
    <w:uiPriority w:val="0"/>
    <w:pPr>
      <w:spacing w:line="240" w:lineRule="auto"/>
      <w:ind w:firstLine="0" w:firstLineChars="0"/>
      <w:jc w:val="center"/>
    </w:pPr>
    <w:rPr>
      <w:sz w:val="21"/>
    </w:rPr>
  </w:style>
  <w:style w:type="paragraph" w:customStyle="1" w:styleId="61">
    <w:name w:val="表头"/>
    <w:basedOn w:val="11"/>
    <w:next w:val="1"/>
    <w:qFormat/>
    <w:uiPriority w:val="0"/>
    <w:pPr>
      <w:ind w:firstLine="0" w:firstLineChars="0"/>
      <w:jc w:val="center"/>
    </w:pPr>
    <w:rPr>
      <w:rFonts w:ascii="Times New Roman" w:hAnsi="Times New Roman"/>
      <w:b/>
    </w:rPr>
  </w:style>
  <w:style w:type="paragraph" w:customStyle="1" w:styleId="62">
    <w:name w:val="+表头"/>
    <w:basedOn w:val="1"/>
    <w:next w:val="49"/>
    <w:qFormat/>
    <w:uiPriority w:val="0"/>
    <w:pPr>
      <w:adjustRightInd w:val="0"/>
      <w:snapToGrid w:val="0"/>
      <w:jc w:val="center"/>
    </w:pPr>
    <w:rPr>
      <w:rFonts w:ascii="Times New Roman" w:hAnsi="Times New Roman"/>
      <w:b/>
      <w:szCs w:val="21"/>
    </w:rPr>
  </w:style>
  <w:style w:type="paragraph" w:customStyle="1" w:styleId="63">
    <w:name w:val="Table Paragraph"/>
    <w:basedOn w:val="1"/>
    <w:qFormat/>
    <w:uiPriority w:val="1"/>
    <w:rPr>
      <w:rFonts w:ascii="宋体" w:hAnsi="宋体" w:eastAsia="宋体" w:cs="宋体"/>
      <w:lang w:val="zh-CN" w:eastAsia="zh-CN" w:bidi="zh-CN"/>
    </w:rPr>
  </w:style>
  <w:style w:type="paragraph" w:customStyle="1" w:styleId="64">
    <w:name w:val="报告书正文"/>
    <w:basedOn w:val="1"/>
    <w:qFormat/>
    <w:locked/>
    <w:uiPriority w:val="0"/>
    <w:pPr>
      <w:snapToGrid w:val="0"/>
      <w:spacing w:line="300" w:lineRule="auto"/>
      <w:ind w:firstLine="200" w:firstLineChars="200"/>
      <w:jc w:val="left"/>
    </w:pPr>
    <w:rPr>
      <w:rFonts w:ascii="Times New Roman" w:hAnsi="Times New Roman"/>
      <w:kern w:val="0"/>
      <w:szCs w:val="20"/>
    </w:rPr>
  </w:style>
  <w:style w:type="paragraph" w:customStyle="1" w:styleId="65">
    <w:name w:val="表格-黄冈"/>
    <w:basedOn w:val="12"/>
    <w:qFormat/>
    <w:uiPriority w:val="0"/>
    <w:pPr>
      <w:spacing w:after="0" w:line="240" w:lineRule="auto"/>
      <w:ind w:left="0" w:leftChars="0" w:firstLine="0" w:firstLineChars="0"/>
    </w:pPr>
    <w:rPr>
      <w:rFonts w:cs="宋体"/>
      <w:b/>
      <w:kern w:val="0"/>
      <w:sz w:val="21"/>
    </w:rPr>
  </w:style>
  <w:style w:type="paragraph" w:customStyle="1" w:styleId="66">
    <w:name w:val="表格文字"/>
    <w:basedOn w:val="1"/>
    <w:next w:val="1"/>
    <w:qFormat/>
    <w:uiPriority w:val="0"/>
    <w:pPr>
      <w:spacing w:line="240" w:lineRule="auto"/>
      <w:ind w:firstLine="0" w:firstLineChars="0"/>
      <w:jc w:val="center"/>
    </w:pPr>
    <w:rPr>
      <w:rFonts w:ascii="Times New Roman" w:hAnsi="Times New Roman"/>
      <w:kern w:val="44"/>
      <w:sz w:val="21"/>
    </w:rPr>
  </w:style>
  <w:style w:type="paragraph" w:customStyle="1" w:styleId="67">
    <w:name w:val="Char11"/>
    <w:basedOn w:val="2"/>
    <w:qFormat/>
    <w:uiPriority w:val="0"/>
    <w:pPr>
      <w:widowControl/>
      <w:adjustRightInd w:val="0"/>
      <w:snapToGrid w:val="0"/>
      <w:spacing w:after="0" w:line="360" w:lineRule="auto"/>
      <w:ind w:left="0" w:leftChars="0" w:firstLine="200"/>
      <w:jc w:val="left"/>
    </w:pPr>
    <w:rPr>
      <w:rFonts w:ascii="宋体" w:cs="宋体"/>
      <w:kern w:val="0"/>
      <w:sz w:val="24"/>
      <w:szCs w:val="24"/>
    </w:rPr>
  </w:style>
  <w:style w:type="paragraph" w:styleId="68">
    <w:name w:val="List Paragraph"/>
    <w:basedOn w:val="1"/>
    <w:qFormat/>
    <w:uiPriority w:val="1"/>
    <w:pPr>
      <w:ind w:left="288" w:hanging="361"/>
    </w:pPr>
  </w:style>
  <w:style w:type="character" w:customStyle="1" w:styleId="69">
    <w:name w:val="fontstyle01"/>
    <w:basedOn w:val="31"/>
    <w:qFormat/>
    <w:uiPriority w:val="0"/>
    <w:rPr>
      <w:rFonts w:hint="eastAsia" w:ascii="宋体" w:hAnsi="宋体" w:eastAsia="宋体"/>
      <w:color w:val="000000"/>
      <w:sz w:val="24"/>
      <w:szCs w:val="24"/>
    </w:rPr>
  </w:style>
  <w:style w:type="paragraph" w:customStyle="1" w:styleId="70">
    <w:name w:val="列出段落1"/>
    <w:basedOn w:val="1"/>
    <w:qFormat/>
    <w:uiPriority w:val="34"/>
    <w:pPr>
      <w:ind w:firstLine="200" w:firstLineChars="200"/>
    </w:pPr>
  </w:style>
  <w:style w:type="character" w:customStyle="1" w:styleId="71">
    <w:name w:val="正文文本 + SimHei9"/>
    <w:qFormat/>
    <w:uiPriority w:val="0"/>
    <w:rPr>
      <w:rFonts w:ascii="黑体" w:hAnsi="黑体" w:eastAsia="Arial Unicode MS" w:cs="黑体"/>
      <w:sz w:val="21"/>
      <w:szCs w:val="21"/>
      <w:u w:val="none"/>
    </w:rPr>
  </w:style>
  <w:style w:type="paragraph" w:customStyle="1" w:styleId="72">
    <w:name w:val="WPSOffice手动目录 1"/>
    <w:qFormat/>
    <w:uiPriority w:val="0"/>
    <w:rPr>
      <w:rFonts w:ascii="Calibri" w:hAnsi="Calibri" w:eastAsia="Calibri" w:cs="Times New Roman"/>
      <w:lang w:val="en-US" w:eastAsia="zh-CN" w:bidi="ar-SA"/>
    </w:rPr>
  </w:style>
  <w:style w:type="paragraph" w:customStyle="1" w:styleId="73">
    <w:name w:val="样式9"/>
    <w:qFormat/>
    <w:uiPriority w:val="99"/>
    <w:pPr>
      <w:adjustRightInd w:val="0"/>
      <w:snapToGrid w:val="0"/>
      <w:spacing w:beforeLines="50"/>
      <w:ind w:firstLine="200" w:firstLineChars="200"/>
    </w:pPr>
    <w:rPr>
      <w:rFonts w:ascii="Times New Roman" w:hAnsi="宋体" w:eastAsia="Times New Roman" w:cs="Times New Roman"/>
      <w:b/>
      <w:bCs/>
      <w:lang w:val="en-US" w:eastAsia="zh-CN" w:bidi="ar-SA"/>
    </w:rPr>
  </w:style>
  <w:style w:type="paragraph" w:customStyle="1" w:styleId="74">
    <w:name w:val="XQ表格文字"/>
    <w:basedOn w:val="1"/>
    <w:qFormat/>
    <w:uiPriority w:val="0"/>
    <w:pPr>
      <w:tabs>
        <w:tab w:val="left" w:pos="420"/>
        <w:tab w:val="center" w:pos="623"/>
      </w:tabs>
      <w:adjustRightInd w:val="0"/>
      <w:snapToGrid w:val="0"/>
      <w:jc w:val="center"/>
    </w:pPr>
    <w:rPr>
      <w:color w:val="000000"/>
      <w:kern w:val="0"/>
      <w:szCs w:val="21"/>
    </w:rPr>
  </w:style>
  <w:style w:type="table" w:customStyle="1" w:styleId="75">
    <w:name w:val="Table Normal"/>
    <w:semiHidden/>
    <w:unhideWhenUsed/>
    <w:qFormat/>
    <w:uiPriority w:val="0"/>
    <w:tblPr>
      <w:tblCellMar>
        <w:top w:w="0" w:type="dxa"/>
        <w:left w:w="0" w:type="dxa"/>
        <w:bottom w:w="0" w:type="dxa"/>
        <w:right w:w="0" w:type="dxa"/>
      </w:tblCellMar>
    </w:tblPr>
  </w:style>
  <w:style w:type="paragraph" w:customStyle="1" w:styleId="76">
    <w:name w:val="正文缩进1"/>
    <w:basedOn w:val="1"/>
    <w:qFormat/>
    <w:uiPriority w:val="0"/>
    <w:pPr>
      <w:ind w:firstLine="420" w:firstLineChars="200"/>
    </w:pPr>
  </w:style>
  <w:style w:type="character" w:customStyle="1" w:styleId="77">
    <w:name w:val="font01"/>
    <w:basedOn w:val="31"/>
    <w:qFormat/>
    <w:uiPriority w:val="0"/>
    <w:rPr>
      <w:rFonts w:hint="eastAsia" w:ascii="宋体" w:hAnsi="宋体" w:eastAsia="宋体" w:cs="宋体"/>
      <w:color w:val="000000"/>
      <w:sz w:val="24"/>
      <w:szCs w:val="24"/>
      <w:u w:val="none"/>
    </w:rPr>
  </w:style>
  <w:style w:type="paragraph" w:customStyle="1" w:styleId="78">
    <w:name w:val="项目正文，无格式"/>
    <w:basedOn w:val="1"/>
    <w:qFormat/>
    <w:uiPriority w:val="99"/>
    <w:pPr>
      <w:jc w:val="center"/>
    </w:pPr>
    <w:rPr>
      <w:sz w:val="18"/>
      <w:szCs w:val="18"/>
    </w:rPr>
  </w:style>
  <w:style w:type="paragraph" w:customStyle="1" w:styleId="79">
    <w:name w:val="表格文字."/>
    <w:basedOn w:val="1"/>
    <w:qFormat/>
    <w:uiPriority w:val="0"/>
    <w:pPr>
      <w:adjustRightInd w:val="0"/>
      <w:snapToGrid w:val="0"/>
      <w:spacing w:line="312" w:lineRule="auto"/>
      <w:ind w:left="9" w:leftChars="9" w:right="9" w:rightChars="9"/>
      <w:jc w:val="center"/>
    </w:pPr>
    <w:rPr>
      <w:color w:val="000000"/>
    </w:rPr>
  </w:style>
  <w:style w:type="paragraph" w:customStyle="1" w:styleId="80">
    <w:name w:val="表格内容"/>
    <w:basedOn w:val="1"/>
    <w:qFormat/>
    <w:uiPriority w:val="0"/>
    <w:pPr>
      <w:adjustRightInd w:val="0"/>
      <w:snapToGrid w:val="0"/>
      <w:jc w:val="center"/>
    </w:pPr>
    <w:rPr>
      <w:rFonts w:cs="宋体"/>
      <w:szCs w:val="21"/>
    </w:rPr>
  </w:style>
  <w:style w:type="paragraph" w:customStyle="1" w:styleId="81">
    <w:name w:val="列出段落2"/>
    <w:basedOn w:val="1"/>
    <w:qFormat/>
    <w:uiPriority w:val="99"/>
    <w:pPr>
      <w:adjustRightInd w:val="0"/>
      <w:snapToGrid w:val="0"/>
      <w:spacing w:line="360" w:lineRule="auto"/>
      <w:ind w:firstLine="420" w:firstLineChars="200"/>
    </w:pPr>
    <w:rPr>
      <w:sz w:val="24"/>
      <w:szCs w:val="24"/>
    </w:rPr>
  </w:style>
  <w:style w:type="paragraph" w:customStyle="1" w:styleId="82">
    <w:name w:val="Body text|1"/>
    <w:basedOn w:val="1"/>
    <w:qFormat/>
    <w:uiPriority w:val="0"/>
    <w:pPr>
      <w:widowControl w:val="0"/>
      <w:shd w:val="clear" w:color="auto" w:fill="auto"/>
    </w:pPr>
    <w:rPr>
      <w:rFonts w:ascii="宋体" w:hAnsi="宋体" w:eastAsia="宋体" w:cs="宋体"/>
      <w:sz w:val="40"/>
      <w:szCs w:val="40"/>
      <w:u w:val="none"/>
      <w:shd w:val="clear" w:color="auto" w:fill="auto"/>
    </w:rPr>
  </w:style>
  <w:style w:type="paragraph" w:customStyle="1" w:styleId="83">
    <w:name w:val="Other|1"/>
    <w:basedOn w:val="1"/>
    <w:qFormat/>
    <w:uiPriority w:val="0"/>
    <w:pPr>
      <w:widowControl w:val="0"/>
      <w:shd w:val="clear" w:color="auto" w:fill="auto"/>
    </w:pPr>
    <w:rPr>
      <w:rFonts w:ascii="宋体" w:hAnsi="宋体" w:eastAsia="宋体" w:cs="宋体"/>
      <w:sz w:val="40"/>
      <w:szCs w:val="40"/>
      <w:u w:val="none"/>
      <w:shd w:val="clear" w:color="auto" w:fill="auto"/>
    </w:rPr>
  </w:style>
  <w:style w:type="paragraph" w:customStyle="1" w:styleId="84">
    <w:name w:val="Table caption|1"/>
    <w:basedOn w:val="1"/>
    <w:qFormat/>
    <w:uiPriority w:val="0"/>
    <w:pPr>
      <w:widowControl w:val="0"/>
      <w:shd w:val="clear" w:color="auto" w:fill="auto"/>
    </w:pPr>
    <w:rPr>
      <w:rFonts w:ascii="宋体" w:hAnsi="宋体" w:eastAsia="宋体" w:cs="宋体"/>
      <w:sz w:val="40"/>
      <w:szCs w:val="40"/>
      <w:u w:val="none"/>
      <w:shd w:val="clear" w:color="auto" w:fill="auto"/>
    </w:rPr>
  </w:style>
  <w:style w:type="paragraph" w:customStyle="1" w:styleId="85">
    <w:name w:val="样式 样式 样式 首行缩进:  1 字符 + 首行缩进:  2 字符1 + 首行缩进:  2 字符2"/>
    <w:basedOn w:val="1"/>
    <w:qFormat/>
    <w:uiPriority w:val="0"/>
    <w:pPr>
      <w:spacing w:line="360" w:lineRule="auto"/>
      <w:ind w:firstLine="480" w:firstLineChars="200"/>
    </w:pPr>
    <w:rPr>
      <w:rFonts w:cs="宋体"/>
      <w:sz w:val="24"/>
    </w:rPr>
  </w:style>
  <w:style w:type="paragraph" w:customStyle="1" w:styleId="86">
    <w:name w:val="惠泽正文"/>
    <w:basedOn w:val="1"/>
    <w:qFormat/>
    <w:uiPriority w:val="0"/>
    <w:pPr>
      <w:spacing w:line="480" w:lineRule="exact"/>
      <w:ind w:firstLine="480" w:firstLineChars="200"/>
    </w:pPr>
    <w:rPr>
      <w:rFonts w:hAnsi="宋体" w:cs="宋体"/>
      <w:sz w:val="24"/>
      <w:szCs w:val="20"/>
    </w:rPr>
  </w:style>
  <w:style w:type="character" w:customStyle="1" w:styleId="87">
    <w:name w:val="标题 3 字符"/>
    <w:link w:val="5"/>
    <w:qFormat/>
    <w:uiPriority w:val="0"/>
    <w:rPr>
      <w:b/>
      <w:kern w:val="0"/>
      <w:szCs w:val="20"/>
    </w:rPr>
  </w:style>
  <w:style w:type="paragraph" w:customStyle="1" w:styleId="88">
    <w:name w:val="正文(首行缩进)"/>
    <w:basedOn w:val="1"/>
    <w:semiHidden/>
    <w:qFormat/>
    <w:uiPriority w:val="0"/>
    <w:pPr>
      <w:spacing w:line="360" w:lineRule="auto"/>
      <w:ind w:firstLine="540" w:firstLineChars="225"/>
    </w:pPr>
    <w:rPr>
      <w:snapToGrid w:val="0"/>
      <w:color w:val="000000"/>
      <w:kern w:val="0"/>
      <w:sz w:val="24"/>
    </w:rPr>
  </w:style>
  <w:style w:type="paragraph" w:customStyle="1" w:styleId="89">
    <w:name w:val="表格文字（内）"/>
    <w:basedOn w:val="90"/>
    <w:qFormat/>
    <w:uiPriority w:val="0"/>
    <w:rPr>
      <w:snapToGrid w:val="0"/>
      <w:sz w:val="21"/>
    </w:rPr>
  </w:style>
  <w:style w:type="paragraph" w:customStyle="1" w:styleId="90">
    <w:name w:val="表格文字（外）"/>
    <w:basedOn w:val="1"/>
    <w:qFormat/>
    <w:uiPriority w:val="0"/>
    <w:pPr>
      <w:adjustRightInd w:val="0"/>
      <w:snapToGrid w:val="0"/>
      <w:spacing w:line="240" w:lineRule="auto"/>
      <w:ind w:firstLine="0" w:firstLineChars="0"/>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1.wmf"/><Relationship Id="rId30" Type="http://schemas.openxmlformats.org/officeDocument/2006/relationships/oleObject" Target="embeddings/oleObject2.bin"/><Relationship Id="rId3" Type="http://schemas.openxmlformats.org/officeDocument/2006/relationships/footer" Target="footer1.xml"/><Relationship Id="rId29" Type="http://schemas.openxmlformats.org/officeDocument/2006/relationships/image" Target="media/image20.wmf"/><Relationship Id="rId28" Type="http://schemas.openxmlformats.org/officeDocument/2006/relationships/oleObject" Target="embeddings/oleObject1.bin"/><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52</Pages>
  <Words>25560</Words>
  <Characters>28992</Characters>
  <Lines>13</Lines>
  <Paragraphs>3</Paragraphs>
  <TotalTime>4</TotalTime>
  <ScaleCrop>false</ScaleCrop>
  <LinksUpToDate>false</LinksUpToDate>
  <CharactersWithSpaces>33629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晒太阳的咸鱼</cp:lastModifiedBy>
  <cp:lastPrinted>2022-10-24T06:19:00Z</cp:lastPrinted>
  <dcterms:modified xsi:type="dcterms:W3CDTF">2022-11-28T02:50:46Z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453666EE5DBD4F60916C1CD82B5E0097</vt:lpwstr>
  </property>
</Properties>
</file>