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pageBreakBefore w:val="0"/>
        <w:kinsoku/>
        <w:wordWrap/>
        <w:overflowPunct/>
        <w:topLinePunct w:val="0"/>
        <w:autoSpaceDE/>
        <w:autoSpaceDN/>
        <w:bidi w:val="0"/>
        <w:adjustRightInd w:val="0"/>
        <w:snapToGrid w:val="0"/>
        <w:spacing w:line="360" w:lineRule="auto"/>
        <w:ind w:right="0"/>
        <w:jc w:val="right"/>
        <w:textAlignment w:val="auto"/>
        <w:rPr>
          <w:rFonts w:hint="default" w:eastAsia="仿宋"/>
          <w:b/>
          <w:color w:val="000000"/>
          <w:sz w:val="32"/>
          <w:szCs w:val="32"/>
          <w:lang w:val="en-US" w:eastAsia="zh-CN"/>
        </w:rPr>
      </w:pPr>
      <w:r>
        <w:rPr>
          <w:b/>
          <w:color w:val="000000"/>
          <w:sz w:val="32"/>
          <w:szCs w:val="32"/>
        </w:rPr>
        <w:t>预案编号：</w:t>
      </w:r>
      <w:r>
        <w:rPr>
          <w:rFonts w:hint="eastAsia" w:cs="Times New Roman"/>
          <w:b/>
          <w:color w:val="000000"/>
          <w:sz w:val="32"/>
          <w:szCs w:val="32"/>
          <w:lang w:val="en-US" w:eastAsia="zh-CN"/>
        </w:rPr>
        <w:t>KDSN</w:t>
      </w:r>
      <w:r>
        <w:rPr>
          <w:b/>
          <w:color w:val="000000"/>
          <w:sz w:val="32"/>
          <w:szCs w:val="32"/>
        </w:rPr>
        <w:t xml:space="preserve"> -HJYA-2022-</w:t>
      </w:r>
      <w:r>
        <w:rPr>
          <w:rFonts w:hint="eastAsia"/>
          <w:b/>
          <w:color w:val="000000"/>
          <w:sz w:val="32"/>
          <w:szCs w:val="32"/>
          <w:lang w:val="en-US" w:eastAsia="zh-CN"/>
        </w:rPr>
        <w:t>11</w:t>
      </w:r>
    </w:p>
    <w:p>
      <w:pPr>
        <w:pStyle w:val="23"/>
        <w:pageBreakBefore w:val="0"/>
        <w:kinsoku/>
        <w:wordWrap/>
        <w:overflowPunct/>
        <w:topLinePunct w:val="0"/>
        <w:autoSpaceDE/>
        <w:autoSpaceDN/>
        <w:bidi w:val="0"/>
        <w:adjustRightInd w:val="0"/>
        <w:snapToGrid w:val="0"/>
        <w:spacing w:line="360" w:lineRule="auto"/>
        <w:ind w:right="0"/>
        <w:jc w:val="right"/>
        <w:textAlignment w:val="auto"/>
        <w:rPr>
          <w:b/>
          <w:color w:val="000000"/>
          <w:sz w:val="32"/>
          <w:szCs w:val="32"/>
        </w:rPr>
      </w:pPr>
      <w:r>
        <w:rPr>
          <w:b/>
          <w:color w:val="000000"/>
          <w:sz w:val="32"/>
          <w:szCs w:val="32"/>
        </w:rPr>
        <w:t>预案版本号：第</w:t>
      </w:r>
      <w:r>
        <w:rPr>
          <w:rFonts w:hint="eastAsia"/>
          <w:b/>
          <w:color w:val="000000"/>
          <w:sz w:val="32"/>
          <w:szCs w:val="32"/>
          <w:lang w:val="en-US" w:eastAsia="zh-CN"/>
        </w:rPr>
        <w:t>一</w:t>
      </w:r>
      <w:r>
        <w:rPr>
          <w:b/>
          <w:color w:val="000000"/>
          <w:sz w:val="32"/>
          <w:szCs w:val="32"/>
        </w:rPr>
        <w:t>版</w:t>
      </w:r>
    </w:p>
    <w:p>
      <w:pPr>
        <w:pageBreakBefore w:val="0"/>
        <w:kinsoku/>
        <w:wordWrap/>
        <w:overflowPunct/>
        <w:topLinePunct w:val="0"/>
        <w:autoSpaceDE/>
        <w:autoSpaceDN/>
        <w:bidi w:val="0"/>
        <w:adjustRightInd w:val="0"/>
        <w:snapToGrid w:val="0"/>
        <w:spacing w:line="360" w:lineRule="auto"/>
        <w:ind w:right="0"/>
        <w:textAlignment w:val="auto"/>
        <w:rPr>
          <w:bCs/>
          <w:color w:val="000000"/>
          <w:sz w:val="15"/>
          <w:szCs w:val="15"/>
        </w:rPr>
      </w:pPr>
    </w:p>
    <w:p>
      <w:pPr>
        <w:pageBreakBefore w:val="0"/>
        <w:kinsoku/>
        <w:wordWrap/>
        <w:overflowPunct/>
        <w:topLinePunct w:val="0"/>
        <w:autoSpaceDE/>
        <w:autoSpaceDN/>
        <w:bidi w:val="0"/>
        <w:adjustRightInd w:val="0"/>
        <w:snapToGrid w:val="0"/>
        <w:spacing w:line="360" w:lineRule="auto"/>
        <w:ind w:right="0"/>
        <w:textAlignment w:val="auto"/>
        <w:rPr>
          <w:color w:val="000000"/>
        </w:rPr>
      </w:pPr>
    </w:p>
    <w:p>
      <w:pPr>
        <w:pStyle w:val="14"/>
        <w:pageBreakBefore w:val="0"/>
        <w:kinsoku/>
        <w:wordWrap/>
        <w:overflowPunct/>
        <w:topLinePunct w:val="0"/>
        <w:autoSpaceDE/>
        <w:autoSpaceDN/>
        <w:bidi w:val="0"/>
        <w:adjustRightInd w:val="0"/>
        <w:snapToGrid w:val="0"/>
        <w:spacing w:after="0" w:line="360" w:lineRule="auto"/>
        <w:ind w:right="0" w:firstLine="210"/>
        <w:textAlignment w:val="auto"/>
        <w:rPr>
          <w:rFonts w:ascii="Times New Roman" w:hAnsi="Times New Roman" w:cs="Times New Roman"/>
          <w:color w:val="000000"/>
        </w:rPr>
      </w:pPr>
    </w:p>
    <w:p>
      <w:pPr>
        <w:pStyle w:val="14"/>
        <w:pageBreakBefore w:val="0"/>
        <w:kinsoku/>
        <w:wordWrap/>
        <w:overflowPunct/>
        <w:topLinePunct w:val="0"/>
        <w:autoSpaceDE/>
        <w:autoSpaceDN/>
        <w:bidi w:val="0"/>
        <w:adjustRightInd w:val="0"/>
        <w:snapToGrid w:val="0"/>
        <w:spacing w:after="0" w:line="360" w:lineRule="auto"/>
        <w:ind w:right="0" w:firstLine="210"/>
        <w:textAlignment w:val="auto"/>
        <w:rPr>
          <w:rFonts w:ascii="Times New Roman" w:hAnsi="Times New Roman" w:cs="Times New Roman"/>
          <w:color w:val="000000"/>
        </w:rPr>
      </w:pPr>
    </w:p>
    <w:p>
      <w:pPr>
        <w:pageBreakBefore w:val="0"/>
        <w:kinsoku/>
        <w:wordWrap/>
        <w:overflowPunct/>
        <w:topLinePunct w:val="0"/>
        <w:autoSpaceDE/>
        <w:autoSpaceDN/>
        <w:bidi w:val="0"/>
        <w:adjustRightInd w:val="0"/>
        <w:snapToGrid w:val="0"/>
        <w:spacing w:line="360" w:lineRule="auto"/>
        <w:ind w:right="0"/>
        <w:textAlignment w:val="auto"/>
        <w:rPr>
          <w:bCs/>
          <w:color w:val="000000"/>
          <w:sz w:val="18"/>
          <w:szCs w:val="18"/>
        </w:rPr>
      </w:pPr>
    </w:p>
    <w:p>
      <w:pPr>
        <w:pageBreakBefore w:val="0"/>
        <w:kinsoku/>
        <w:wordWrap/>
        <w:overflowPunct/>
        <w:topLinePunct w:val="0"/>
        <w:autoSpaceDE/>
        <w:autoSpaceDN/>
        <w:bidi w:val="0"/>
        <w:adjustRightInd w:val="0"/>
        <w:snapToGrid w:val="0"/>
        <w:spacing w:line="360" w:lineRule="auto"/>
        <w:ind w:right="0"/>
        <w:textAlignment w:val="auto"/>
        <w:rPr>
          <w:color w:val="000000"/>
        </w:rPr>
      </w:pPr>
    </w:p>
    <w:p>
      <w:pPr>
        <w:pageBreakBefore w:val="0"/>
        <w:kinsoku/>
        <w:wordWrap/>
        <w:overflowPunct/>
        <w:topLinePunct w:val="0"/>
        <w:autoSpaceDE/>
        <w:autoSpaceDN/>
        <w:bidi w:val="0"/>
        <w:adjustRightInd w:val="0"/>
        <w:snapToGrid w:val="0"/>
        <w:spacing w:line="360" w:lineRule="auto"/>
        <w:ind w:right="0"/>
        <w:jc w:val="center"/>
        <w:textAlignment w:val="auto"/>
        <w:rPr>
          <w:rFonts w:hint="eastAsia" w:eastAsia="仿宋"/>
          <w:b/>
          <w:bCs/>
          <w:color w:val="000000"/>
          <w:sz w:val="52"/>
          <w:szCs w:val="52"/>
          <w:lang w:eastAsia="zh-CN"/>
        </w:rPr>
      </w:pPr>
      <w:r>
        <w:rPr>
          <w:rFonts w:hint="eastAsia"/>
          <w:b/>
          <w:bCs/>
          <w:color w:val="000000"/>
          <w:w w:val="90"/>
          <w:sz w:val="52"/>
          <w:szCs w:val="52"/>
          <w:lang w:eastAsia="zh-CN"/>
        </w:rPr>
        <w:t>咸阳泾渭新区康达水泥制品销售有限公司</w:t>
      </w:r>
    </w:p>
    <w:p>
      <w:pPr>
        <w:pageBreakBefore w:val="0"/>
        <w:kinsoku/>
        <w:wordWrap/>
        <w:overflowPunct/>
        <w:topLinePunct w:val="0"/>
        <w:autoSpaceDE/>
        <w:autoSpaceDN/>
        <w:bidi w:val="0"/>
        <w:adjustRightInd w:val="0"/>
        <w:snapToGrid w:val="0"/>
        <w:spacing w:line="360" w:lineRule="auto"/>
        <w:ind w:right="0"/>
        <w:jc w:val="center"/>
        <w:textAlignment w:val="auto"/>
        <w:rPr>
          <w:b/>
          <w:bCs/>
          <w:color w:val="000000"/>
          <w:sz w:val="52"/>
          <w:szCs w:val="52"/>
        </w:rPr>
      </w:pPr>
      <w:r>
        <w:rPr>
          <w:b/>
          <w:bCs/>
          <w:color w:val="000000"/>
          <w:sz w:val="52"/>
          <w:szCs w:val="52"/>
        </w:rPr>
        <w:t>突发环境事件应急预案编制说明</w:t>
      </w:r>
    </w:p>
    <w:p>
      <w:pPr>
        <w:pageBreakBefore w:val="0"/>
        <w:kinsoku/>
        <w:wordWrap/>
        <w:overflowPunct/>
        <w:topLinePunct w:val="0"/>
        <w:autoSpaceDE/>
        <w:autoSpaceDN/>
        <w:bidi w:val="0"/>
        <w:adjustRightInd w:val="0"/>
        <w:snapToGrid w:val="0"/>
        <w:spacing w:line="360" w:lineRule="auto"/>
        <w:ind w:right="0" w:firstLine="1316" w:firstLineChars="298"/>
        <w:jc w:val="center"/>
        <w:textAlignment w:val="auto"/>
        <w:rPr>
          <w:b/>
          <w:color w:val="000000"/>
          <w:kern w:val="0"/>
          <w:sz w:val="44"/>
          <w:szCs w:val="44"/>
        </w:rPr>
      </w:pPr>
    </w:p>
    <w:p>
      <w:pPr>
        <w:pageBreakBefore w:val="0"/>
        <w:kinsoku/>
        <w:wordWrap/>
        <w:overflowPunct/>
        <w:topLinePunct w:val="0"/>
        <w:autoSpaceDE/>
        <w:autoSpaceDN/>
        <w:bidi w:val="0"/>
        <w:adjustRightInd w:val="0"/>
        <w:snapToGrid w:val="0"/>
        <w:spacing w:line="360" w:lineRule="auto"/>
        <w:ind w:right="0" w:firstLine="1316" w:firstLineChars="298"/>
        <w:textAlignment w:val="auto"/>
        <w:rPr>
          <w:b/>
          <w:color w:val="000000"/>
          <w:kern w:val="0"/>
          <w:sz w:val="44"/>
          <w:szCs w:val="44"/>
        </w:rPr>
      </w:pPr>
    </w:p>
    <w:p>
      <w:pPr>
        <w:pageBreakBefore w:val="0"/>
        <w:kinsoku/>
        <w:wordWrap/>
        <w:overflowPunct/>
        <w:topLinePunct w:val="0"/>
        <w:autoSpaceDE/>
        <w:autoSpaceDN/>
        <w:bidi w:val="0"/>
        <w:adjustRightInd w:val="0"/>
        <w:snapToGrid w:val="0"/>
        <w:spacing w:line="360" w:lineRule="auto"/>
        <w:ind w:right="0" w:firstLine="1316" w:firstLineChars="298"/>
        <w:textAlignment w:val="auto"/>
        <w:rPr>
          <w:b/>
          <w:color w:val="000000"/>
          <w:kern w:val="0"/>
          <w:sz w:val="44"/>
          <w:szCs w:val="44"/>
        </w:rPr>
      </w:pPr>
    </w:p>
    <w:p>
      <w:pPr>
        <w:pageBreakBefore w:val="0"/>
        <w:kinsoku/>
        <w:wordWrap/>
        <w:overflowPunct/>
        <w:topLinePunct w:val="0"/>
        <w:autoSpaceDE/>
        <w:autoSpaceDN/>
        <w:bidi w:val="0"/>
        <w:adjustRightInd w:val="0"/>
        <w:snapToGrid w:val="0"/>
        <w:spacing w:line="360" w:lineRule="auto"/>
        <w:ind w:right="0" w:firstLine="1316" w:firstLineChars="298"/>
        <w:textAlignment w:val="auto"/>
        <w:rPr>
          <w:b/>
          <w:color w:val="000000"/>
          <w:kern w:val="0"/>
          <w:sz w:val="44"/>
          <w:szCs w:val="44"/>
        </w:rPr>
      </w:pPr>
    </w:p>
    <w:p>
      <w:pPr>
        <w:pageBreakBefore w:val="0"/>
        <w:kinsoku/>
        <w:wordWrap/>
        <w:overflowPunct/>
        <w:topLinePunct w:val="0"/>
        <w:autoSpaceDE/>
        <w:autoSpaceDN/>
        <w:bidi w:val="0"/>
        <w:adjustRightInd w:val="0"/>
        <w:snapToGrid w:val="0"/>
        <w:spacing w:line="360" w:lineRule="auto"/>
        <w:ind w:right="0" w:firstLine="1316" w:firstLineChars="298"/>
        <w:textAlignment w:val="auto"/>
        <w:rPr>
          <w:b/>
          <w:color w:val="000000"/>
          <w:kern w:val="0"/>
          <w:sz w:val="44"/>
          <w:szCs w:val="44"/>
        </w:rPr>
      </w:pPr>
    </w:p>
    <w:p>
      <w:pPr>
        <w:pageBreakBefore w:val="0"/>
        <w:kinsoku/>
        <w:wordWrap/>
        <w:overflowPunct/>
        <w:topLinePunct w:val="0"/>
        <w:autoSpaceDE/>
        <w:autoSpaceDN/>
        <w:bidi w:val="0"/>
        <w:adjustRightInd w:val="0"/>
        <w:snapToGrid w:val="0"/>
        <w:spacing w:line="360" w:lineRule="auto"/>
        <w:ind w:right="0"/>
        <w:textAlignment w:val="auto"/>
        <w:rPr>
          <w:color w:val="000000"/>
        </w:rPr>
      </w:pPr>
    </w:p>
    <w:p>
      <w:pPr>
        <w:pageBreakBefore w:val="0"/>
        <w:kinsoku/>
        <w:wordWrap/>
        <w:overflowPunct/>
        <w:topLinePunct w:val="0"/>
        <w:autoSpaceDE/>
        <w:autoSpaceDN/>
        <w:bidi w:val="0"/>
        <w:adjustRightInd w:val="0"/>
        <w:snapToGrid w:val="0"/>
        <w:spacing w:line="360" w:lineRule="auto"/>
        <w:ind w:right="0"/>
        <w:textAlignment w:val="auto"/>
        <w:rPr>
          <w:b/>
          <w:color w:val="000000"/>
          <w:kern w:val="0"/>
          <w:sz w:val="15"/>
          <w:szCs w:val="15"/>
        </w:rPr>
      </w:pPr>
    </w:p>
    <w:p>
      <w:pPr>
        <w:pStyle w:val="12"/>
        <w:pageBreakBefore w:val="0"/>
        <w:widowControl w:val="0"/>
        <w:kinsoku/>
        <w:wordWrap/>
        <w:overflowPunct/>
        <w:topLinePunct w:val="0"/>
        <w:autoSpaceDE/>
        <w:autoSpaceDN/>
        <w:bidi w:val="0"/>
        <w:adjustRightInd w:val="0"/>
        <w:snapToGrid w:val="0"/>
        <w:spacing w:before="0" w:beforeAutospacing="0" w:after="0" w:afterAutospacing="0" w:line="360" w:lineRule="auto"/>
        <w:ind w:right="0"/>
        <w:jc w:val="center"/>
        <w:textAlignment w:val="auto"/>
        <w:rPr>
          <w:rFonts w:hint="eastAsia" w:ascii="Times New Roman" w:hAnsi="Times New Roman" w:eastAsia="仿宋" w:cs="Times New Roman"/>
          <w:b/>
          <w:bCs/>
          <w:color w:val="000000"/>
          <w:sz w:val="32"/>
          <w:szCs w:val="32"/>
          <w:lang w:eastAsia="zh-CN"/>
        </w:rPr>
      </w:pPr>
      <w:r>
        <w:rPr>
          <w:rFonts w:ascii="Times New Roman" w:hAnsi="Times New Roman" w:cs="Times New Roman"/>
          <w:b/>
          <w:bCs/>
          <w:color w:val="000000"/>
          <w:sz w:val="32"/>
          <w:szCs w:val="32"/>
        </w:rPr>
        <w:t>编制单位：</w:t>
      </w:r>
      <w:r>
        <w:rPr>
          <w:rFonts w:hint="eastAsia" w:ascii="Times New Roman" w:hAnsi="Times New Roman" w:cs="Times New Roman"/>
          <w:b/>
          <w:color w:val="000000"/>
          <w:sz w:val="32"/>
          <w:szCs w:val="32"/>
          <w:lang w:eastAsia="zh-CN"/>
        </w:rPr>
        <w:t>咸阳泾渭新区康达水泥制品销售有限公司</w:t>
      </w:r>
    </w:p>
    <w:p>
      <w:pPr>
        <w:pStyle w:val="12"/>
        <w:pageBreakBefore w:val="0"/>
        <w:widowControl w:val="0"/>
        <w:kinsoku/>
        <w:wordWrap/>
        <w:overflowPunct/>
        <w:topLinePunct w:val="0"/>
        <w:autoSpaceDE/>
        <w:autoSpaceDN/>
        <w:bidi w:val="0"/>
        <w:adjustRightInd w:val="0"/>
        <w:snapToGrid w:val="0"/>
        <w:spacing w:before="0" w:beforeAutospacing="0" w:after="0" w:afterAutospacing="0" w:line="360" w:lineRule="auto"/>
        <w:ind w:right="0"/>
        <w:jc w:val="center"/>
        <w:textAlignment w:val="auto"/>
        <w:rPr>
          <w:rFonts w:ascii="Times New Roman" w:hAnsi="Times New Roman" w:cs="Times New Roman"/>
          <w:b/>
          <w:bCs/>
          <w:color w:val="000000"/>
          <w:sz w:val="32"/>
          <w:szCs w:val="32"/>
        </w:rPr>
      </w:pPr>
      <w:r>
        <w:rPr>
          <w:rFonts w:ascii="Times New Roman" w:hAnsi="Times New Roman" w:cs="Times New Roman"/>
          <w:b/>
          <w:bCs/>
          <w:color w:val="000000"/>
          <w:sz w:val="32"/>
          <w:szCs w:val="32"/>
        </w:rPr>
        <w:t>编制时间：二O二二年</w:t>
      </w:r>
      <w:r>
        <w:rPr>
          <w:rFonts w:hint="eastAsia" w:ascii="Times New Roman" w:hAnsi="Times New Roman" w:cs="Times New Roman"/>
          <w:b/>
          <w:bCs/>
          <w:color w:val="000000"/>
          <w:sz w:val="32"/>
          <w:szCs w:val="32"/>
          <w:lang w:val="en-US" w:eastAsia="zh-CN"/>
        </w:rPr>
        <w:t>十一</w:t>
      </w:r>
      <w:r>
        <w:rPr>
          <w:rFonts w:ascii="Times New Roman" w:hAnsi="Times New Roman" w:cs="Times New Roman"/>
          <w:b/>
          <w:bCs/>
          <w:color w:val="000000"/>
          <w:sz w:val="32"/>
          <w:szCs w:val="32"/>
        </w:rPr>
        <w:t>月</w:t>
      </w:r>
    </w:p>
    <w:p>
      <w:pPr>
        <w:pStyle w:val="12"/>
        <w:pageBreakBefore w:val="0"/>
        <w:widowControl w:val="0"/>
        <w:kinsoku/>
        <w:wordWrap/>
        <w:overflowPunct/>
        <w:topLinePunct w:val="0"/>
        <w:autoSpaceDE/>
        <w:autoSpaceDN/>
        <w:bidi w:val="0"/>
        <w:adjustRightInd w:val="0"/>
        <w:snapToGrid w:val="0"/>
        <w:spacing w:before="0" w:beforeAutospacing="0" w:after="0" w:afterAutospacing="0" w:line="360" w:lineRule="auto"/>
        <w:ind w:right="0"/>
        <w:jc w:val="center"/>
        <w:textAlignment w:val="auto"/>
        <w:rPr>
          <w:rFonts w:ascii="Times New Roman" w:hAnsi="Times New Roman" w:cs="Times New Roman"/>
          <w:b/>
          <w:bCs/>
          <w:color w:val="000000"/>
          <w:sz w:val="32"/>
          <w:szCs w:val="32"/>
        </w:rPr>
      </w:pPr>
    </w:p>
    <w:p>
      <w:pPr>
        <w:pStyle w:val="12"/>
        <w:pageBreakBefore w:val="0"/>
        <w:widowControl w:val="0"/>
        <w:kinsoku/>
        <w:wordWrap/>
        <w:overflowPunct/>
        <w:topLinePunct w:val="0"/>
        <w:autoSpaceDE/>
        <w:autoSpaceDN/>
        <w:bidi w:val="0"/>
        <w:adjustRightInd w:val="0"/>
        <w:snapToGrid w:val="0"/>
        <w:spacing w:before="0" w:beforeAutospacing="0" w:after="0" w:afterAutospacing="0" w:line="360" w:lineRule="auto"/>
        <w:ind w:right="0"/>
        <w:jc w:val="center"/>
        <w:textAlignment w:val="auto"/>
        <w:rPr>
          <w:rFonts w:ascii="Times New Roman" w:hAnsi="Times New Roman" w:cs="Times New Roman"/>
          <w:b/>
          <w:bCs/>
          <w:color w:val="000000"/>
          <w:sz w:val="32"/>
          <w:szCs w:val="32"/>
        </w:rPr>
      </w:pPr>
    </w:p>
    <w:p>
      <w:pPr>
        <w:pStyle w:val="12"/>
        <w:pageBreakBefore w:val="0"/>
        <w:widowControl w:val="0"/>
        <w:kinsoku/>
        <w:wordWrap/>
        <w:overflowPunct/>
        <w:topLinePunct w:val="0"/>
        <w:autoSpaceDE/>
        <w:autoSpaceDN/>
        <w:bidi w:val="0"/>
        <w:adjustRightInd w:val="0"/>
        <w:snapToGrid w:val="0"/>
        <w:spacing w:before="0" w:beforeAutospacing="0" w:after="0" w:afterAutospacing="0" w:line="360" w:lineRule="auto"/>
        <w:ind w:right="0"/>
        <w:jc w:val="center"/>
        <w:textAlignment w:val="auto"/>
        <w:rPr>
          <w:rFonts w:ascii="Times New Roman" w:hAnsi="Times New Roman" w:cs="Times New Roman"/>
          <w:b/>
          <w:bCs/>
          <w:color w:val="000000"/>
          <w:sz w:val="32"/>
          <w:szCs w:val="32"/>
        </w:rPr>
      </w:pPr>
    </w:p>
    <w:p>
      <w:pPr>
        <w:pageBreakBefore w:val="0"/>
        <w:tabs>
          <w:tab w:val="right" w:leader="dot" w:pos="9060"/>
        </w:tabs>
        <w:kinsoku/>
        <w:wordWrap/>
        <w:overflowPunct/>
        <w:topLinePunct w:val="0"/>
        <w:autoSpaceDE/>
        <w:autoSpaceDN/>
        <w:bidi w:val="0"/>
        <w:adjustRightInd w:val="0"/>
        <w:snapToGrid w:val="0"/>
        <w:spacing w:line="360" w:lineRule="auto"/>
        <w:ind w:right="0"/>
        <w:jc w:val="left"/>
        <w:textAlignment w:val="auto"/>
        <w:rPr>
          <w:b/>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304" w:right="1418" w:bottom="1247" w:left="1418" w:header="851" w:footer="992" w:gutter="0"/>
          <w:pgNumType w:fmt="upperRoman" w:start="1"/>
          <w:cols w:space="720" w:num="1"/>
          <w:docGrid w:type="lines" w:linePitch="312" w:charSpace="0"/>
        </w:sectPr>
      </w:pPr>
      <w:bookmarkStart w:id="0" w:name="_Toc301018540"/>
    </w:p>
    <w:sdt>
      <w:sdtPr>
        <w:rPr>
          <w:rFonts w:ascii="宋体" w:hAnsi="宋体" w:eastAsia="宋体" w:cs="Times New Roman"/>
          <w:kern w:val="2"/>
          <w:sz w:val="21"/>
          <w:szCs w:val="24"/>
          <w:lang w:val="en-US" w:eastAsia="zh-CN" w:bidi="ar-SA"/>
        </w:rPr>
        <w:id w:val="147456228"/>
        <w15:color w:val="DBDBDB"/>
        <w:docPartObj>
          <w:docPartGallery w:val="Table of Contents"/>
          <w:docPartUnique/>
        </w:docPartObj>
      </w:sdtPr>
      <w:sdtEndPr>
        <w:rPr>
          <w:rFonts w:ascii="Times New Roman" w:hAnsi="Times New Roman" w:eastAsia="仿宋" w:cs="Times New Roman"/>
          <w:kern w:val="2"/>
          <w:sz w:val="28"/>
          <w:szCs w:val="28"/>
          <w:lang w:val="en-US" w:eastAsia="zh-CN" w:bidi="ar-SA"/>
        </w:rPr>
      </w:sdtEndPr>
      <w:sdtContent>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b/>
              <w:caps/>
              <w:szCs w:val="28"/>
              <w:lang w:val="zh-CN"/>
            </w:rPr>
          </w:pPr>
          <w:r>
            <w:rPr>
              <w:b/>
              <w:caps/>
              <w:szCs w:val="28"/>
              <w:lang w:val="zh-CN"/>
            </w:rPr>
            <w:t>目</w:t>
          </w:r>
          <w:r>
            <w:rPr>
              <w:rFonts w:hint="eastAsia"/>
              <w:b/>
              <w:caps/>
              <w:szCs w:val="28"/>
              <w:lang w:val="en-US" w:eastAsia="zh-CN"/>
            </w:rPr>
            <w:t xml:space="preserve">  </w:t>
          </w:r>
          <w:r>
            <w:rPr>
              <w:b/>
              <w:caps/>
              <w:szCs w:val="28"/>
              <w:lang w:val="zh-CN"/>
            </w:rPr>
            <w:t>录</w:t>
          </w:r>
        </w:p>
        <w:p>
          <w:pPr>
            <w:pStyle w:val="28"/>
            <w:keepNext w:val="0"/>
            <w:keepLines w:val="0"/>
            <w:pageBreakBefore w:val="0"/>
            <w:widowControl w:val="0"/>
            <w:tabs>
              <w:tab w:val="right" w:leader="dot" w:pos="9070"/>
            </w:tabs>
            <w:kinsoku/>
            <w:wordWrap/>
            <w:overflowPunct/>
            <w:topLinePunct w:val="0"/>
            <w:autoSpaceDE/>
            <w:autoSpaceDN/>
            <w:bidi w:val="0"/>
            <w:adjustRightInd w:val="0"/>
            <w:snapToGrid w:val="0"/>
            <w:spacing w:line="360" w:lineRule="auto"/>
            <w:ind w:right="0"/>
            <w:textAlignment w:val="auto"/>
            <w:rPr>
              <w:rFonts w:hint="default" w:ascii="Times New Roman" w:hAnsi="Times New Roman" w:eastAsia="仿宋" w:cs="Times New Roman"/>
              <w:b/>
              <w:bCs/>
              <w:sz w:val="28"/>
              <w:szCs w:val="28"/>
            </w:rPr>
          </w:pPr>
          <w:r>
            <w:rPr>
              <w:rFonts w:hint="default" w:ascii="Times New Roman" w:hAnsi="Times New Roman" w:cs="Times New Roman"/>
              <w:b/>
              <w:szCs w:val="28"/>
            </w:rPr>
            <w:fldChar w:fldCharType="begin"/>
          </w:r>
          <w:r>
            <w:rPr>
              <w:rFonts w:hint="default" w:ascii="Times New Roman" w:hAnsi="Times New Roman" w:cs="Times New Roman"/>
              <w:b/>
              <w:szCs w:val="28"/>
            </w:rPr>
            <w:instrText xml:space="preserve">TOC \o "1-1" \h \u </w:instrText>
          </w:r>
          <w:r>
            <w:rPr>
              <w:rFonts w:hint="default" w:ascii="Times New Roman" w:hAnsi="Times New Roman" w:cs="Times New Roman"/>
              <w:b/>
              <w:szCs w:val="28"/>
            </w:rPr>
            <w:fldChar w:fldCharType="separate"/>
          </w: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HYPERLINK \l _Toc13962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kern w:val="0"/>
              <w:sz w:val="28"/>
              <w:szCs w:val="28"/>
            </w:rPr>
            <w:t>一、编制目的</w:t>
          </w:r>
          <w:r>
            <w:rPr>
              <w:rFonts w:hint="default" w:ascii="Times New Roman" w:hAnsi="Times New Roman" w:eastAsia="仿宋" w:cs="Times New Roman"/>
              <w:b/>
              <w:bCs/>
              <w:sz w:val="28"/>
              <w:szCs w:val="28"/>
            </w:rPr>
            <w:tab/>
          </w: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PAGEREF _Toc13962 \h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sz w:val="28"/>
              <w:szCs w:val="28"/>
            </w:rPr>
            <w:t>1</w:t>
          </w:r>
          <w:r>
            <w:rPr>
              <w:rFonts w:hint="default" w:ascii="Times New Roman" w:hAnsi="Times New Roman" w:eastAsia="仿宋" w:cs="Times New Roman"/>
              <w:b/>
              <w:bCs/>
              <w:sz w:val="28"/>
              <w:szCs w:val="28"/>
            </w:rPr>
            <w:fldChar w:fldCharType="end"/>
          </w:r>
          <w:r>
            <w:rPr>
              <w:rFonts w:hint="default" w:ascii="Times New Roman" w:hAnsi="Times New Roman" w:eastAsia="仿宋" w:cs="Times New Roman"/>
              <w:b/>
              <w:bCs/>
              <w:sz w:val="28"/>
              <w:szCs w:val="28"/>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val="0"/>
            <w:snapToGrid w:val="0"/>
            <w:spacing w:line="360" w:lineRule="auto"/>
            <w:ind w:right="0"/>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HYPERLINK \l _Toc25808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kern w:val="0"/>
              <w:sz w:val="28"/>
              <w:szCs w:val="28"/>
            </w:rPr>
            <w:t>二、编制过程</w:t>
          </w:r>
          <w:r>
            <w:rPr>
              <w:rFonts w:hint="default" w:ascii="Times New Roman" w:hAnsi="Times New Roman" w:eastAsia="仿宋" w:cs="Times New Roman"/>
              <w:b/>
              <w:bCs/>
              <w:sz w:val="28"/>
              <w:szCs w:val="28"/>
            </w:rPr>
            <w:tab/>
          </w: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PAGEREF _Toc25808 \h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sz w:val="28"/>
              <w:szCs w:val="28"/>
            </w:rPr>
            <w:t>1</w:t>
          </w:r>
          <w:r>
            <w:rPr>
              <w:rFonts w:hint="default" w:ascii="Times New Roman" w:hAnsi="Times New Roman" w:eastAsia="仿宋" w:cs="Times New Roman"/>
              <w:b/>
              <w:bCs/>
              <w:sz w:val="28"/>
              <w:szCs w:val="28"/>
            </w:rPr>
            <w:fldChar w:fldCharType="end"/>
          </w:r>
          <w:r>
            <w:rPr>
              <w:rFonts w:hint="default" w:ascii="Times New Roman" w:hAnsi="Times New Roman" w:eastAsia="仿宋" w:cs="Times New Roman"/>
              <w:b/>
              <w:bCs/>
              <w:sz w:val="28"/>
              <w:szCs w:val="28"/>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val="0"/>
            <w:snapToGrid w:val="0"/>
            <w:spacing w:line="360" w:lineRule="auto"/>
            <w:ind w:right="0"/>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HYPERLINK \l _Toc9850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kern w:val="0"/>
              <w:sz w:val="28"/>
              <w:szCs w:val="28"/>
            </w:rPr>
            <w:t>三、编制依据</w:t>
          </w:r>
          <w:r>
            <w:rPr>
              <w:rFonts w:hint="default" w:ascii="Times New Roman" w:hAnsi="Times New Roman" w:eastAsia="仿宋" w:cs="Times New Roman"/>
              <w:b/>
              <w:bCs/>
              <w:sz w:val="28"/>
              <w:szCs w:val="28"/>
            </w:rPr>
            <w:tab/>
          </w: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PAGEREF _Toc9850 \h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sz w:val="28"/>
              <w:szCs w:val="28"/>
            </w:rPr>
            <w:t>1</w:t>
          </w:r>
          <w:r>
            <w:rPr>
              <w:rFonts w:hint="default" w:ascii="Times New Roman" w:hAnsi="Times New Roman" w:eastAsia="仿宋" w:cs="Times New Roman"/>
              <w:b/>
              <w:bCs/>
              <w:sz w:val="28"/>
              <w:szCs w:val="28"/>
            </w:rPr>
            <w:fldChar w:fldCharType="end"/>
          </w:r>
          <w:r>
            <w:rPr>
              <w:rFonts w:hint="default" w:ascii="Times New Roman" w:hAnsi="Times New Roman" w:eastAsia="仿宋" w:cs="Times New Roman"/>
              <w:b/>
              <w:bCs/>
              <w:sz w:val="28"/>
              <w:szCs w:val="28"/>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val="0"/>
            <w:snapToGrid w:val="0"/>
            <w:spacing w:line="360" w:lineRule="auto"/>
            <w:ind w:right="0"/>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HYPERLINK \l _Toc27000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kern w:val="0"/>
              <w:sz w:val="28"/>
              <w:szCs w:val="28"/>
            </w:rPr>
            <w:t>四、预案编制原则</w:t>
          </w:r>
          <w:r>
            <w:rPr>
              <w:rFonts w:hint="default" w:ascii="Times New Roman" w:hAnsi="Times New Roman" w:eastAsia="仿宋" w:cs="Times New Roman"/>
              <w:b/>
              <w:bCs/>
              <w:sz w:val="28"/>
              <w:szCs w:val="28"/>
            </w:rPr>
            <w:tab/>
          </w: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PAGEREF _Toc27000 \h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sz w:val="28"/>
              <w:szCs w:val="28"/>
            </w:rPr>
            <w:t>3</w:t>
          </w:r>
          <w:r>
            <w:rPr>
              <w:rFonts w:hint="default" w:ascii="Times New Roman" w:hAnsi="Times New Roman" w:eastAsia="仿宋" w:cs="Times New Roman"/>
              <w:b/>
              <w:bCs/>
              <w:sz w:val="28"/>
              <w:szCs w:val="28"/>
            </w:rPr>
            <w:fldChar w:fldCharType="end"/>
          </w:r>
          <w:r>
            <w:rPr>
              <w:rFonts w:hint="default" w:ascii="Times New Roman" w:hAnsi="Times New Roman" w:eastAsia="仿宋" w:cs="Times New Roman"/>
              <w:b/>
              <w:bCs/>
              <w:sz w:val="28"/>
              <w:szCs w:val="28"/>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val="0"/>
            <w:snapToGrid w:val="0"/>
            <w:spacing w:line="360" w:lineRule="auto"/>
            <w:ind w:right="0"/>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HYPERLINK \l _Toc64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kern w:val="0"/>
              <w:sz w:val="28"/>
              <w:szCs w:val="28"/>
            </w:rPr>
            <w:t>五、预案适用范围</w:t>
          </w:r>
          <w:r>
            <w:rPr>
              <w:rFonts w:hint="default" w:ascii="Times New Roman" w:hAnsi="Times New Roman" w:eastAsia="仿宋" w:cs="Times New Roman"/>
              <w:b/>
              <w:bCs/>
              <w:sz w:val="28"/>
              <w:szCs w:val="28"/>
            </w:rPr>
            <w:tab/>
          </w: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PAGEREF _Toc64 \h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sz w:val="28"/>
              <w:szCs w:val="28"/>
            </w:rPr>
            <w:t>5</w:t>
          </w:r>
          <w:r>
            <w:rPr>
              <w:rFonts w:hint="default" w:ascii="Times New Roman" w:hAnsi="Times New Roman" w:eastAsia="仿宋" w:cs="Times New Roman"/>
              <w:b/>
              <w:bCs/>
              <w:sz w:val="28"/>
              <w:szCs w:val="28"/>
            </w:rPr>
            <w:fldChar w:fldCharType="end"/>
          </w:r>
          <w:r>
            <w:rPr>
              <w:rFonts w:hint="default" w:ascii="Times New Roman" w:hAnsi="Times New Roman" w:eastAsia="仿宋" w:cs="Times New Roman"/>
              <w:b/>
              <w:bCs/>
              <w:sz w:val="28"/>
              <w:szCs w:val="28"/>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val="0"/>
            <w:snapToGrid w:val="0"/>
            <w:spacing w:line="360" w:lineRule="auto"/>
            <w:ind w:right="0"/>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HYPERLINK \l _Toc30098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kern w:val="0"/>
              <w:sz w:val="28"/>
              <w:szCs w:val="28"/>
            </w:rPr>
            <w:t>六、重点内容说明</w:t>
          </w:r>
          <w:r>
            <w:rPr>
              <w:rFonts w:hint="default" w:ascii="Times New Roman" w:hAnsi="Times New Roman" w:eastAsia="仿宋" w:cs="Times New Roman"/>
              <w:b/>
              <w:bCs/>
              <w:sz w:val="28"/>
              <w:szCs w:val="28"/>
            </w:rPr>
            <w:tab/>
          </w: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PAGEREF _Toc30098 \h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sz w:val="28"/>
              <w:szCs w:val="28"/>
            </w:rPr>
            <w:t>5</w:t>
          </w:r>
          <w:r>
            <w:rPr>
              <w:rFonts w:hint="default" w:ascii="Times New Roman" w:hAnsi="Times New Roman" w:eastAsia="仿宋" w:cs="Times New Roman"/>
              <w:b/>
              <w:bCs/>
              <w:sz w:val="28"/>
              <w:szCs w:val="28"/>
            </w:rPr>
            <w:fldChar w:fldCharType="end"/>
          </w:r>
          <w:r>
            <w:rPr>
              <w:rFonts w:hint="default" w:ascii="Times New Roman" w:hAnsi="Times New Roman" w:eastAsia="仿宋" w:cs="Times New Roman"/>
              <w:b/>
              <w:bCs/>
              <w:sz w:val="28"/>
              <w:szCs w:val="28"/>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val="0"/>
            <w:snapToGrid w:val="0"/>
            <w:spacing w:line="360" w:lineRule="auto"/>
            <w:ind w:right="0"/>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HYPERLINK \l _Toc7625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kern w:val="0"/>
              <w:sz w:val="28"/>
              <w:szCs w:val="28"/>
            </w:rPr>
            <w:t>七、演练推演问题说明</w:t>
          </w:r>
          <w:r>
            <w:rPr>
              <w:rFonts w:hint="default" w:ascii="Times New Roman" w:hAnsi="Times New Roman" w:eastAsia="仿宋" w:cs="Times New Roman"/>
              <w:b/>
              <w:bCs/>
              <w:sz w:val="28"/>
              <w:szCs w:val="28"/>
            </w:rPr>
            <w:tab/>
          </w: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PAGEREF _Toc7625 \h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sz w:val="28"/>
              <w:szCs w:val="28"/>
            </w:rPr>
            <w:t>5</w:t>
          </w:r>
          <w:r>
            <w:rPr>
              <w:rFonts w:hint="default" w:ascii="Times New Roman" w:hAnsi="Times New Roman" w:eastAsia="仿宋" w:cs="Times New Roman"/>
              <w:b/>
              <w:bCs/>
              <w:sz w:val="28"/>
              <w:szCs w:val="28"/>
            </w:rPr>
            <w:fldChar w:fldCharType="end"/>
          </w:r>
          <w:r>
            <w:rPr>
              <w:rFonts w:hint="default" w:ascii="Times New Roman" w:hAnsi="Times New Roman" w:eastAsia="仿宋" w:cs="Times New Roman"/>
              <w:b/>
              <w:bCs/>
              <w:sz w:val="28"/>
              <w:szCs w:val="28"/>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val="0"/>
            <w:snapToGrid w:val="0"/>
            <w:spacing w:line="360" w:lineRule="auto"/>
            <w:ind w:right="0"/>
            <w:textAlignment w:val="auto"/>
            <w:rPr>
              <w:rFonts w:hint="default" w:ascii="Times New Roman" w:hAnsi="Times New Roman" w:cs="Times New Roman"/>
            </w:rPr>
          </w:pP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HYPERLINK \l _Toc11532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kern w:val="0"/>
              <w:sz w:val="28"/>
              <w:szCs w:val="28"/>
            </w:rPr>
            <w:t>八、评审情况说明</w:t>
          </w:r>
          <w:r>
            <w:rPr>
              <w:rFonts w:hint="default" w:ascii="Times New Roman" w:hAnsi="Times New Roman" w:eastAsia="仿宋" w:cs="Times New Roman"/>
              <w:b/>
              <w:bCs/>
              <w:sz w:val="28"/>
              <w:szCs w:val="28"/>
            </w:rPr>
            <w:tab/>
          </w:r>
          <w:r>
            <w:rPr>
              <w:rFonts w:hint="default" w:ascii="Times New Roman" w:hAnsi="Times New Roman" w:eastAsia="仿宋" w:cs="Times New Roman"/>
              <w:b/>
              <w:bCs/>
              <w:sz w:val="28"/>
              <w:szCs w:val="28"/>
            </w:rPr>
            <w:fldChar w:fldCharType="begin"/>
          </w:r>
          <w:r>
            <w:rPr>
              <w:rFonts w:hint="default" w:ascii="Times New Roman" w:hAnsi="Times New Roman" w:eastAsia="仿宋" w:cs="Times New Roman"/>
              <w:b/>
              <w:bCs/>
              <w:sz w:val="28"/>
              <w:szCs w:val="28"/>
            </w:rPr>
            <w:instrText xml:space="preserve"> PAGEREF _Toc11532 \h </w:instrText>
          </w:r>
          <w:r>
            <w:rPr>
              <w:rFonts w:hint="default" w:ascii="Times New Roman" w:hAnsi="Times New Roman" w:eastAsia="仿宋" w:cs="Times New Roman"/>
              <w:b/>
              <w:bCs/>
              <w:sz w:val="28"/>
              <w:szCs w:val="28"/>
            </w:rPr>
            <w:fldChar w:fldCharType="separate"/>
          </w:r>
          <w:r>
            <w:rPr>
              <w:rFonts w:hint="default" w:ascii="Times New Roman" w:hAnsi="Times New Roman" w:eastAsia="仿宋" w:cs="Times New Roman"/>
              <w:b/>
              <w:bCs/>
              <w:sz w:val="28"/>
              <w:szCs w:val="28"/>
            </w:rPr>
            <w:t>5</w:t>
          </w:r>
          <w:r>
            <w:rPr>
              <w:rFonts w:hint="default" w:ascii="Times New Roman" w:hAnsi="Times New Roman" w:eastAsia="仿宋" w:cs="Times New Roman"/>
              <w:b/>
              <w:bCs/>
              <w:sz w:val="28"/>
              <w:szCs w:val="28"/>
            </w:rPr>
            <w:fldChar w:fldCharType="end"/>
          </w:r>
          <w:r>
            <w:rPr>
              <w:rFonts w:hint="default" w:ascii="Times New Roman" w:hAnsi="Times New Roman" w:eastAsia="仿宋" w:cs="Times New Roman"/>
              <w:b/>
              <w:bCs/>
              <w:sz w:val="28"/>
              <w:szCs w:val="28"/>
            </w:rPr>
            <w:fldChar w:fldCharType="end"/>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ascii="Times New Roman" w:hAnsi="Times New Roman" w:eastAsia="仿宋" w:cs="Times New Roman"/>
              <w:kern w:val="2"/>
              <w:sz w:val="28"/>
              <w:szCs w:val="28"/>
              <w:lang w:val="en-US" w:eastAsia="zh-CN" w:bidi="ar-SA"/>
            </w:rPr>
          </w:pPr>
          <w:r>
            <w:rPr>
              <w:rFonts w:hint="default" w:ascii="Times New Roman" w:hAnsi="Times New Roman" w:cs="Times New Roman"/>
              <w:szCs w:val="28"/>
            </w:rPr>
            <w:fldChar w:fldCharType="end"/>
          </w:r>
        </w:p>
      </w:sdtContent>
    </w:sdt>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pPr>
      <w:r>
        <w:rPr>
          <w:b/>
          <w:szCs w:val="28"/>
        </w:rPr>
        <w:fldChar w:fldCharType="begin"/>
      </w:r>
      <w:r>
        <w:rPr>
          <w:b/>
          <w:szCs w:val="28"/>
        </w:rPr>
        <w:instrText xml:space="preserve"> TOC \o "1-2" \h \z \u </w:instrText>
      </w:r>
      <w:r>
        <w:rPr>
          <w:b/>
          <w:szCs w:val="28"/>
        </w:rPr>
        <w:fldChar w:fldCharType="separate"/>
      </w:r>
    </w:p>
    <w:p>
      <w:pPr>
        <w:keepNext w:val="0"/>
        <w:keepLines w:val="0"/>
        <w:pageBreakBefore w:val="0"/>
        <w:widowControl w:val="0"/>
        <w:tabs>
          <w:tab w:val="right" w:leader="dot" w:pos="9060"/>
        </w:tabs>
        <w:kinsoku/>
        <w:wordWrap/>
        <w:overflowPunct/>
        <w:topLinePunct w:val="0"/>
        <w:autoSpaceDE/>
        <w:autoSpaceDN/>
        <w:bidi w:val="0"/>
        <w:adjustRightInd w:val="0"/>
        <w:snapToGrid w:val="0"/>
        <w:spacing w:line="360" w:lineRule="auto"/>
        <w:ind w:right="0"/>
        <w:jc w:val="left"/>
        <w:textAlignment w:val="auto"/>
        <w:rPr>
          <w:rFonts w:ascii="Times New Roman" w:hAnsi="Times New Roman" w:eastAsia="仿宋" w:cs="Times New Roman"/>
          <w:kern w:val="2"/>
          <w:sz w:val="28"/>
          <w:szCs w:val="28"/>
          <w:lang w:val="en-US" w:eastAsia="zh-CN" w:bidi="ar-SA"/>
        </w:rPr>
      </w:pPr>
    </w:p>
    <w:p>
      <w:pPr>
        <w:pageBreakBefore w:val="0"/>
        <w:tabs>
          <w:tab w:val="right" w:leader="dot" w:pos="9060"/>
        </w:tabs>
        <w:kinsoku/>
        <w:wordWrap/>
        <w:overflowPunct/>
        <w:topLinePunct w:val="0"/>
        <w:autoSpaceDE/>
        <w:autoSpaceDN/>
        <w:bidi w:val="0"/>
        <w:adjustRightInd w:val="0"/>
        <w:snapToGrid w:val="0"/>
        <w:spacing w:line="360" w:lineRule="auto"/>
        <w:ind w:right="0"/>
        <w:jc w:val="left"/>
        <w:textAlignment w:val="auto"/>
        <w:rPr>
          <w:rFonts w:ascii="Times New Roman" w:hAnsi="Times New Roman" w:eastAsia="仿宋" w:cs="Times New Roman"/>
          <w:kern w:val="2"/>
          <w:sz w:val="28"/>
          <w:szCs w:val="28"/>
          <w:lang w:val="en-US" w:eastAsia="zh-CN" w:bidi="ar-SA"/>
        </w:rPr>
      </w:pPr>
    </w:p>
    <w:p>
      <w:pPr>
        <w:pageBreakBefore w:val="0"/>
        <w:tabs>
          <w:tab w:val="right" w:leader="dot" w:pos="8380"/>
        </w:tabs>
        <w:kinsoku/>
        <w:wordWrap/>
        <w:overflowPunct/>
        <w:topLinePunct w:val="0"/>
        <w:autoSpaceDE/>
        <w:autoSpaceDN/>
        <w:bidi w:val="0"/>
        <w:adjustRightInd w:val="0"/>
        <w:snapToGrid w:val="0"/>
        <w:spacing w:line="360" w:lineRule="auto"/>
        <w:ind w:right="0"/>
        <w:jc w:val="left"/>
        <w:textAlignment w:val="auto"/>
        <w:rPr>
          <w:caps/>
          <w:sz w:val="24"/>
        </w:rPr>
      </w:pPr>
      <w:r>
        <w:rPr>
          <w:caps/>
          <w:sz w:val="21"/>
          <w:szCs w:val="28"/>
        </w:rPr>
        <w:fldChar w:fldCharType="end"/>
      </w:r>
    </w:p>
    <w:p>
      <w:pPr>
        <w:pageBreakBefore w:val="0"/>
        <w:tabs>
          <w:tab w:val="right" w:leader="dot" w:pos="8380"/>
        </w:tabs>
        <w:kinsoku/>
        <w:wordWrap/>
        <w:overflowPunct/>
        <w:topLinePunct w:val="0"/>
        <w:autoSpaceDE/>
        <w:autoSpaceDN/>
        <w:bidi w:val="0"/>
        <w:adjustRightInd w:val="0"/>
        <w:snapToGrid w:val="0"/>
        <w:spacing w:line="360" w:lineRule="auto"/>
        <w:ind w:right="0"/>
        <w:jc w:val="left"/>
        <w:textAlignment w:val="auto"/>
        <w:rPr>
          <w:caps/>
          <w:sz w:val="24"/>
        </w:rPr>
      </w:pPr>
    </w:p>
    <w:p>
      <w:pPr>
        <w:pageBreakBefore w:val="0"/>
        <w:tabs>
          <w:tab w:val="right" w:leader="dot" w:pos="8380"/>
        </w:tabs>
        <w:kinsoku/>
        <w:wordWrap/>
        <w:overflowPunct/>
        <w:topLinePunct w:val="0"/>
        <w:autoSpaceDE/>
        <w:autoSpaceDN/>
        <w:bidi w:val="0"/>
        <w:adjustRightInd w:val="0"/>
        <w:snapToGrid w:val="0"/>
        <w:spacing w:line="360" w:lineRule="auto"/>
        <w:ind w:right="0" w:firstLine="480" w:firstLineChars="200"/>
        <w:jc w:val="left"/>
        <w:textAlignment w:val="auto"/>
        <w:rPr>
          <w:caps/>
          <w:sz w:val="24"/>
        </w:rPr>
      </w:pPr>
    </w:p>
    <w:p>
      <w:pPr>
        <w:pageBreakBefore w:val="0"/>
        <w:tabs>
          <w:tab w:val="right" w:leader="dot" w:pos="8380"/>
        </w:tabs>
        <w:kinsoku/>
        <w:wordWrap/>
        <w:overflowPunct/>
        <w:topLinePunct w:val="0"/>
        <w:autoSpaceDE/>
        <w:autoSpaceDN/>
        <w:bidi w:val="0"/>
        <w:adjustRightInd w:val="0"/>
        <w:snapToGrid w:val="0"/>
        <w:spacing w:line="360" w:lineRule="auto"/>
        <w:ind w:right="0" w:firstLine="480" w:firstLineChars="200"/>
        <w:jc w:val="left"/>
        <w:textAlignment w:val="auto"/>
        <w:rPr>
          <w:caps/>
          <w:sz w:val="24"/>
        </w:rPr>
        <w:sectPr>
          <w:footerReference r:id="rId11" w:type="default"/>
          <w:pgSz w:w="11906" w:h="16838"/>
          <w:pgMar w:top="1304" w:right="1418" w:bottom="1247" w:left="1418" w:header="851" w:footer="992" w:gutter="0"/>
          <w:pgNumType w:fmt="upperRoman" w:start="1"/>
          <w:cols w:space="720" w:num="1"/>
          <w:docGrid w:type="lines" w:linePitch="312" w:charSpace="0"/>
        </w:sectPr>
      </w:pPr>
    </w:p>
    <w:p>
      <w:pPr>
        <w:pageBreakBefore w:val="0"/>
        <w:tabs>
          <w:tab w:val="left" w:pos="432"/>
        </w:tabs>
        <w:kinsoku/>
        <w:wordWrap/>
        <w:overflowPunct/>
        <w:topLinePunct w:val="0"/>
        <w:autoSpaceDE/>
        <w:autoSpaceDN/>
        <w:bidi w:val="0"/>
        <w:adjustRightInd w:val="0"/>
        <w:snapToGrid w:val="0"/>
        <w:spacing w:line="360" w:lineRule="auto"/>
        <w:ind w:right="0"/>
        <w:textAlignment w:val="auto"/>
        <w:outlineLvl w:val="0"/>
        <w:rPr>
          <w:b/>
          <w:kern w:val="0"/>
          <w:szCs w:val="28"/>
        </w:rPr>
      </w:pPr>
      <w:bookmarkStart w:id="1" w:name="_Toc47448352"/>
      <w:bookmarkStart w:id="2" w:name="_Toc13962"/>
      <w:r>
        <w:rPr>
          <w:b/>
          <w:kern w:val="0"/>
          <w:szCs w:val="28"/>
        </w:rPr>
        <w:t>一、编制目的</w:t>
      </w:r>
      <w:bookmarkEnd w:id="1"/>
      <w:bookmarkEnd w:id="2"/>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为保障企业环保安全，有效预防、及时控制和消除突发环境事件的危害，提高应急能力，规范处置程序、明确相关职责，确保迅速有效地处理突发性局部或区域环境污染事故，指导和规范突发性环境污染和生态破坏事件的应急处理工作，将事故造成的损失降低到最小程度，特制定本预案。本预案将对实际发生的环境风险事故和紧急情况作出响应，预防和减少伴随的环境影响。</w:t>
      </w:r>
    </w:p>
    <w:p>
      <w:pPr>
        <w:keepNext/>
        <w:keepLines/>
        <w:pageBreakBefore w:val="0"/>
        <w:tabs>
          <w:tab w:val="left" w:pos="432"/>
        </w:tabs>
        <w:kinsoku/>
        <w:wordWrap/>
        <w:overflowPunct/>
        <w:topLinePunct w:val="0"/>
        <w:autoSpaceDE/>
        <w:autoSpaceDN/>
        <w:bidi w:val="0"/>
        <w:adjustRightInd w:val="0"/>
        <w:snapToGrid w:val="0"/>
        <w:spacing w:line="360" w:lineRule="auto"/>
        <w:ind w:right="0"/>
        <w:textAlignment w:val="auto"/>
        <w:outlineLvl w:val="0"/>
        <w:rPr>
          <w:b/>
          <w:kern w:val="0"/>
          <w:szCs w:val="28"/>
        </w:rPr>
      </w:pPr>
      <w:bookmarkStart w:id="3" w:name="_Toc25808"/>
      <w:bookmarkStart w:id="4" w:name="_Toc47448353"/>
      <w:r>
        <w:rPr>
          <w:b/>
          <w:kern w:val="0"/>
          <w:szCs w:val="28"/>
        </w:rPr>
        <w:t>二、</w:t>
      </w:r>
      <w:bookmarkEnd w:id="0"/>
      <w:r>
        <w:rPr>
          <w:b/>
          <w:kern w:val="0"/>
          <w:szCs w:val="28"/>
        </w:rPr>
        <w:t>编制过程</w:t>
      </w:r>
      <w:bookmarkEnd w:id="3"/>
      <w:bookmarkEnd w:id="4"/>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rFonts w:hint="eastAsia"/>
          <w:szCs w:val="28"/>
          <w:lang w:eastAsia="zh-CN"/>
        </w:rPr>
        <w:t>咸阳泾渭新区康达水泥制品销售有限公司</w:t>
      </w:r>
      <w:r>
        <w:rPr>
          <w:szCs w:val="28"/>
        </w:rPr>
        <w:t>组建突发环境事件应急预案编制组，由总指挥</w:t>
      </w:r>
      <w:r>
        <w:rPr>
          <w:rFonts w:hint="eastAsia"/>
          <w:szCs w:val="28"/>
          <w:lang w:val="en-US" w:eastAsia="zh-CN"/>
        </w:rPr>
        <w:t>康海江</w:t>
      </w:r>
      <w:r>
        <w:rPr>
          <w:szCs w:val="28"/>
        </w:rPr>
        <w:t>担任组长，各部门主要负责人任编制组成员，针对厂区可能发生的突发环境事件，编制了本公司突发环境事件应急预案。</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我公司为编制突发环境事件应急预案做了相关资料的收集工作，收集了环境影响评价报告</w:t>
      </w:r>
      <w:r>
        <w:rPr>
          <w:rFonts w:hint="eastAsia"/>
          <w:szCs w:val="28"/>
          <w:lang w:val="en-US" w:eastAsia="zh-CN"/>
        </w:rPr>
        <w:t>书</w:t>
      </w:r>
      <w:r>
        <w:rPr>
          <w:szCs w:val="28"/>
        </w:rPr>
        <w:t>、公司规章制度、事故应急预案相关法律法规、事故应急预案编制资料等。</w:t>
      </w:r>
    </w:p>
    <w:p>
      <w:pPr>
        <w:keepNext/>
        <w:keepLines/>
        <w:pageBreakBefore w:val="0"/>
        <w:tabs>
          <w:tab w:val="left" w:pos="432"/>
        </w:tabs>
        <w:kinsoku/>
        <w:wordWrap/>
        <w:overflowPunct/>
        <w:topLinePunct w:val="0"/>
        <w:autoSpaceDE/>
        <w:autoSpaceDN/>
        <w:bidi w:val="0"/>
        <w:adjustRightInd w:val="0"/>
        <w:snapToGrid w:val="0"/>
        <w:spacing w:line="360" w:lineRule="auto"/>
        <w:ind w:right="0"/>
        <w:textAlignment w:val="auto"/>
        <w:outlineLvl w:val="0"/>
        <w:rPr>
          <w:b/>
          <w:kern w:val="0"/>
          <w:szCs w:val="28"/>
        </w:rPr>
      </w:pPr>
      <w:bookmarkStart w:id="5" w:name="_Toc301018542"/>
      <w:bookmarkStart w:id="6" w:name="_Toc224965865"/>
      <w:bookmarkStart w:id="7" w:name="_Toc225244048"/>
      <w:bookmarkStart w:id="8" w:name="_Toc9850"/>
      <w:bookmarkStart w:id="9" w:name="_Toc47448354"/>
      <w:r>
        <w:rPr>
          <w:b/>
          <w:kern w:val="0"/>
          <w:szCs w:val="28"/>
        </w:rPr>
        <w:t>三、编制依据</w:t>
      </w:r>
      <w:bookmarkEnd w:id="5"/>
      <w:bookmarkEnd w:id="6"/>
      <w:bookmarkEnd w:id="7"/>
      <w:bookmarkEnd w:id="8"/>
      <w:bookmarkEnd w:id="9"/>
    </w:p>
    <w:p>
      <w:pPr>
        <w:pageBreakBefore w:val="0"/>
        <w:kinsoku/>
        <w:wordWrap/>
        <w:overflowPunct/>
        <w:topLinePunct w:val="0"/>
        <w:autoSpaceDE/>
        <w:autoSpaceDN/>
        <w:bidi w:val="0"/>
        <w:adjustRightInd w:val="0"/>
        <w:snapToGrid w:val="0"/>
        <w:spacing w:line="360" w:lineRule="auto"/>
        <w:ind w:right="0" w:firstLine="554" w:firstLineChars="197"/>
        <w:textAlignment w:val="auto"/>
        <w:rPr>
          <w:b/>
          <w:szCs w:val="28"/>
        </w:rPr>
      </w:pPr>
      <w:bookmarkStart w:id="10" w:name="_Toc456778478"/>
      <w:bookmarkStart w:id="11" w:name="_Toc422906295"/>
      <w:bookmarkStart w:id="12" w:name="_Toc655"/>
      <w:bookmarkStart w:id="13" w:name="_Toc21611"/>
      <w:bookmarkStart w:id="14" w:name="_Toc398733574"/>
      <w:bookmarkStart w:id="15" w:name="_Toc5635"/>
      <w:bookmarkStart w:id="16" w:name="_Toc23456"/>
      <w:bookmarkStart w:id="17" w:name="_Toc398734059"/>
      <w:bookmarkStart w:id="18" w:name="_Toc12618"/>
      <w:bookmarkStart w:id="19" w:name="_Toc427836818"/>
      <w:bookmarkStart w:id="20" w:name="_Toc47448355"/>
      <w:bookmarkStart w:id="21" w:name="_Toc225244049"/>
      <w:bookmarkStart w:id="22" w:name="_Toc224965866"/>
      <w:bookmarkStart w:id="23" w:name="_Toc301018543"/>
      <w:r>
        <w:rPr>
          <w:b/>
          <w:szCs w:val="28"/>
        </w:rPr>
        <w:t>法律法规</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（1）《中华人民共和国环境保护法》（中华人民共和国主席令第九号，自2015年1月1日起施行）；</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（2）《中华人民共和国突发事件应对法》(中华人民共和国主席令第六十九号，自2007年11月1日起施行)；</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（3）《突发事件应急预案管理办法》 （国办发﹝2013〕101号，自2013年10月25日起施行)；</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（4）《突发环境事件应急预案管理暂行办法》（环发﹝201</w:t>
      </w:r>
      <w:r>
        <w:rPr>
          <w:rFonts w:hint="eastAsia"/>
          <w:bCs/>
          <w:kern w:val="0"/>
          <w:szCs w:val="28"/>
          <w:lang w:val="en-US" w:eastAsia="zh-CN"/>
        </w:rPr>
        <w:t>0</w:t>
      </w:r>
      <w:r>
        <w:rPr>
          <w:bCs/>
          <w:kern w:val="0"/>
          <w:szCs w:val="28"/>
        </w:rPr>
        <w:t>〕</w:t>
      </w:r>
      <w:r>
        <w:rPr>
          <w:rFonts w:hint="eastAsia"/>
          <w:bCs/>
          <w:kern w:val="0"/>
          <w:szCs w:val="28"/>
          <w:lang w:val="en-US" w:eastAsia="zh-CN"/>
        </w:rPr>
        <w:t>113</w:t>
      </w:r>
      <w:r>
        <w:rPr>
          <w:bCs/>
          <w:kern w:val="0"/>
          <w:szCs w:val="28"/>
        </w:rPr>
        <w:t>号）；</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（5）《陕西省环境保护厅办公室关于进一步加强突发环境事件应急预案工作的通知》（陕环发﹝2012〕126号）；</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w:t>
      </w:r>
      <w:r>
        <w:rPr>
          <w:rFonts w:hint="eastAsia"/>
          <w:bCs/>
          <w:kern w:val="0"/>
          <w:szCs w:val="28"/>
          <w:lang w:val="en-US" w:eastAsia="zh-CN"/>
        </w:rPr>
        <w:t>6</w:t>
      </w:r>
      <w:r>
        <w:rPr>
          <w:bCs/>
          <w:kern w:val="0"/>
          <w:szCs w:val="28"/>
        </w:rPr>
        <w:t>）《企业突发环境事件风险评估指南（试行）》，环办﹝2014〕34号；</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w:t>
      </w:r>
      <w:r>
        <w:rPr>
          <w:rFonts w:hint="eastAsia"/>
          <w:bCs/>
          <w:kern w:val="0"/>
          <w:szCs w:val="28"/>
          <w:lang w:val="en-US" w:eastAsia="zh-CN"/>
        </w:rPr>
        <w:t>7</w:t>
      </w:r>
      <w:r>
        <w:rPr>
          <w:bCs/>
          <w:kern w:val="0"/>
          <w:szCs w:val="28"/>
        </w:rPr>
        <w:t>） 《企业事业单位突发环境事件应急预案备案管理办法（试行）》环发﹝2015〕4号；</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w:t>
      </w:r>
      <w:r>
        <w:rPr>
          <w:rFonts w:hint="eastAsia"/>
          <w:bCs/>
          <w:kern w:val="0"/>
          <w:szCs w:val="28"/>
          <w:lang w:val="en-US" w:eastAsia="zh-CN"/>
        </w:rPr>
        <w:t>8</w:t>
      </w:r>
      <w:r>
        <w:rPr>
          <w:bCs/>
          <w:kern w:val="0"/>
          <w:szCs w:val="28"/>
        </w:rPr>
        <w:t>）《突发环境事件调查处理办法》，2014年12月15日；</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w:t>
      </w:r>
      <w:r>
        <w:rPr>
          <w:rFonts w:hint="eastAsia"/>
          <w:bCs/>
          <w:kern w:val="0"/>
          <w:szCs w:val="28"/>
          <w:lang w:val="en-US" w:eastAsia="zh-CN"/>
        </w:rPr>
        <w:t>9</w:t>
      </w:r>
      <w:r>
        <w:rPr>
          <w:bCs/>
          <w:kern w:val="0"/>
          <w:szCs w:val="28"/>
        </w:rPr>
        <w:t>）《国务院办公厅关于印发国家突发环境事件应急预案的通知》（国办函﹝2014〕119号）；</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（1</w:t>
      </w:r>
      <w:r>
        <w:rPr>
          <w:rFonts w:hint="eastAsia"/>
          <w:bCs/>
          <w:kern w:val="0"/>
          <w:szCs w:val="28"/>
          <w:lang w:val="en-US" w:eastAsia="zh-CN"/>
        </w:rPr>
        <w:t>0</w:t>
      </w:r>
      <w:r>
        <w:rPr>
          <w:bCs/>
          <w:kern w:val="0"/>
          <w:szCs w:val="28"/>
        </w:rPr>
        <w:t>）《陕西省</w:t>
      </w:r>
      <w:r>
        <w:rPr>
          <w:rFonts w:hint="eastAsia"/>
          <w:bCs/>
          <w:kern w:val="0"/>
          <w:szCs w:val="28"/>
          <w:lang w:val="en-US" w:eastAsia="zh-CN"/>
        </w:rPr>
        <w:t>环境保护厅</w:t>
      </w:r>
      <w:r>
        <w:rPr>
          <w:bCs/>
          <w:kern w:val="0"/>
          <w:szCs w:val="28"/>
        </w:rPr>
        <w:t>突发环境事件应急预案》陕</w:t>
      </w:r>
      <w:r>
        <w:rPr>
          <w:rFonts w:hint="eastAsia"/>
          <w:bCs/>
          <w:kern w:val="0"/>
          <w:szCs w:val="28"/>
          <w:lang w:val="en-US" w:eastAsia="zh-CN"/>
        </w:rPr>
        <w:t>环发</w:t>
      </w:r>
      <w:r>
        <w:rPr>
          <w:bCs/>
          <w:kern w:val="0"/>
          <w:szCs w:val="28"/>
        </w:rPr>
        <w:t>﹝201</w:t>
      </w:r>
      <w:r>
        <w:rPr>
          <w:rFonts w:hint="eastAsia"/>
          <w:bCs/>
          <w:kern w:val="0"/>
          <w:szCs w:val="28"/>
          <w:lang w:val="en-US" w:eastAsia="zh-CN"/>
        </w:rPr>
        <w:t>6</w:t>
      </w:r>
      <w:r>
        <w:rPr>
          <w:bCs/>
          <w:kern w:val="0"/>
          <w:szCs w:val="28"/>
        </w:rPr>
        <w:t>〕</w:t>
      </w:r>
      <w:r>
        <w:rPr>
          <w:rFonts w:hint="eastAsia"/>
          <w:bCs/>
          <w:kern w:val="0"/>
          <w:szCs w:val="28"/>
          <w:lang w:val="en-US" w:eastAsia="zh-CN"/>
        </w:rPr>
        <w:t>45</w:t>
      </w:r>
      <w:r>
        <w:rPr>
          <w:bCs/>
          <w:kern w:val="0"/>
          <w:szCs w:val="28"/>
        </w:rPr>
        <w:t>号</w:t>
      </w:r>
      <w:r>
        <w:rPr>
          <w:rFonts w:hint="eastAsia"/>
          <w:bCs/>
          <w:kern w:val="0"/>
          <w:szCs w:val="28"/>
          <w:lang w:val="en-US" w:eastAsia="zh-CN"/>
        </w:rPr>
        <w:t>,2016年10月21日实施</w:t>
      </w:r>
      <w:r>
        <w:rPr>
          <w:bCs/>
          <w:kern w:val="0"/>
          <w:szCs w:val="28"/>
        </w:rPr>
        <w:t>；</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bCs/>
          <w:kern w:val="0"/>
          <w:szCs w:val="28"/>
        </w:rPr>
      </w:pPr>
      <w:r>
        <w:rPr>
          <w:bCs/>
          <w:kern w:val="0"/>
          <w:szCs w:val="28"/>
        </w:rPr>
        <w:t>（1</w:t>
      </w:r>
      <w:r>
        <w:rPr>
          <w:rFonts w:hint="eastAsia"/>
          <w:bCs/>
          <w:kern w:val="0"/>
          <w:szCs w:val="28"/>
          <w:lang w:val="en-US" w:eastAsia="zh-CN"/>
        </w:rPr>
        <w:t>1</w:t>
      </w:r>
      <w:r>
        <w:rPr>
          <w:bCs/>
          <w:kern w:val="0"/>
          <w:szCs w:val="28"/>
        </w:rPr>
        <w:t>）《陕西省突发环境事件应急预案管理暂行办法》陕环发﹝2011〕88号。</w:t>
      </w:r>
    </w:p>
    <w:p>
      <w:pPr>
        <w:pStyle w:val="3"/>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Times New Roman" w:hAnsi="Times New Roman" w:eastAsia="仿宋" w:cs="Times New Roman"/>
          <w:b w:val="0"/>
          <w:bCs/>
          <w:kern w:val="0"/>
          <w:sz w:val="28"/>
          <w:szCs w:val="28"/>
          <w:lang w:val="en-US" w:eastAsia="zh-CN" w:bidi="ar-SA"/>
        </w:rPr>
      </w:pPr>
      <w:r>
        <w:rPr>
          <w:rFonts w:hint="eastAsia" w:ascii="Times New Roman" w:hAnsi="Times New Roman" w:eastAsia="仿宋" w:cs="Times New Roman"/>
          <w:b w:val="0"/>
          <w:bCs/>
          <w:kern w:val="0"/>
          <w:sz w:val="28"/>
          <w:szCs w:val="28"/>
          <w:lang w:val="en-US" w:eastAsia="zh-CN" w:bidi="ar-SA"/>
        </w:rPr>
        <w:t>（12）《陕西省突发事件总体应急预案》陕政发[2021]11号，实施日期2021年7月5日。</w:t>
      </w:r>
    </w:p>
    <w:p>
      <w:pPr>
        <w:pageBreakBefore w:val="0"/>
        <w:kinsoku/>
        <w:wordWrap/>
        <w:overflowPunct/>
        <w:topLinePunct w:val="0"/>
        <w:autoSpaceDE/>
        <w:autoSpaceDN/>
        <w:bidi w:val="0"/>
        <w:adjustRightInd w:val="0"/>
        <w:snapToGrid w:val="0"/>
        <w:spacing w:line="360" w:lineRule="auto"/>
        <w:ind w:right="0" w:firstLine="554" w:firstLineChars="197"/>
        <w:textAlignment w:val="auto"/>
        <w:rPr>
          <w:b/>
          <w:szCs w:val="28"/>
        </w:rPr>
      </w:pPr>
      <w:r>
        <w:rPr>
          <w:b/>
          <w:szCs w:val="28"/>
        </w:rPr>
        <w:t>技术指南</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（1）《企业突发环境事件隐患排查和治理工作指南》；</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bookmarkStart w:id="24" w:name="_Toc8139"/>
      <w:r>
        <w:rPr>
          <w:rFonts w:hint="default" w:ascii="Times New Roman" w:hAnsi="Times New Roman" w:eastAsia="仿宋" w:cs="Times New Roman"/>
          <w:color w:val="000000"/>
          <w:szCs w:val="28"/>
        </w:rPr>
        <w:t>（2）《企业突发环境事件信息报告办法》；</w:t>
      </w:r>
      <w:bookmarkEnd w:id="24"/>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（3）《企业突发环境事件风险分级方法》，2018年3月1号实施；</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bCs/>
          <w:kern w:val="0"/>
          <w:szCs w:val="28"/>
        </w:rPr>
      </w:pPr>
      <w:r>
        <w:rPr>
          <w:rFonts w:hint="default" w:ascii="Times New Roman" w:hAnsi="Times New Roman" w:eastAsia="仿宋" w:cs="Times New Roman"/>
          <w:color w:val="000000"/>
          <w:szCs w:val="28"/>
        </w:rPr>
        <w:t>（4）《建设项目环境风险评价技术导则》（HJ/T169-2004）。</w:t>
      </w:r>
    </w:p>
    <w:p>
      <w:pPr>
        <w:pageBreakBefore w:val="0"/>
        <w:kinsoku/>
        <w:wordWrap/>
        <w:overflowPunct/>
        <w:topLinePunct w:val="0"/>
        <w:autoSpaceDE/>
        <w:autoSpaceDN/>
        <w:bidi w:val="0"/>
        <w:adjustRightInd w:val="0"/>
        <w:snapToGrid w:val="0"/>
        <w:spacing w:line="360" w:lineRule="auto"/>
        <w:ind w:right="0" w:firstLine="554" w:firstLineChars="197"/>
        <w:textAlignment w:val="auto"/>
        <w:rPr>
          <w:b/>
          <w:szCs w:val="28"/>
        </w:rPr>
      </w:pPr>
      <w:r>
        <w:rPr>
          <w:b/>
          <w:szCs w:val="28"/>
        </w:rPr>
        <w:t>标准规范</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w:t>
      </w:r>
      <w:r>
        <w:rPr>
          <w:rFonts w:hint="eastAsia" w:cs="Times New Roman"/>
          <w:color w:val="000000"/>
          <w:szCs w:val="28"/>
          <w:lang w:val="en-US" w:eastAsia="zh-CN"/>
        </w:rPr>
        <w:t>1</w:t>
      </w:r>
      <w:r>
        <w:rPr>
          <w:rFonts w:hint="default" w:ascii="Times New Roman" w:hAnsi="Times New Roman" w:eastAsia="仿宋" w:cs="Times New Roman"/>
          <w:color w:val="000000"/>
          <w:szCs w:val="28"/>
        </w:rPr>
        <w:t>）《环境空气质量标准》（GB3095-2012）；</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w:t>
      </w:r>
      <w:r>
        <w:rPr>
          <w:rFonts w:hint="eastAsia" w:cs="Times New Roman"/>
          <w:color w:val="000000"/>
          <w:szCs w:val="28"/>
          <w:lang w:val="en-US" w:eastAsia="zh-CN"/>
        </w:rPr>
        <w:t>2</w:t>
      </w:r>
      <w:r>
        <w:rPr>
          <w:rFonts w:hint="default" w:ascii="Times New Roman" w:hAnsi="Times New Roman" w:eastAsia="仿宋" w:cs="Times New Roman"/>
          <w:color w:val="000000"/>
          <w:szCs w:val="28"/>
        </w:rPr>
        <w:t>）《工业企业设计卫生标准》（GBZ1-2010）；</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w:t>
      </w:r>
      <w:r>
        <w:rPr>
          <w:rFonts w:hint="eastAsia" w:cs="Times New Roman"/>
          <w:color w:val="000000"/>
          <w:szCs w:val="28"/>
          <w:lang w:val="en-US" w:eastAsia="zh-CN"/>
        </w:rPr>
        <w:t>3</w:t>
      </w:r>
      <w:r>
        <w:rPr>
          <w:rFonts w:hint="default" w:ascii="Times New Roman" w:hAnsi="Times New Roman" w:eastAsia="仿宋" w:cs="Times New Roman"/>
          <w:color w:val="000000"/>
          <w:szCs w:val="28"/>
        </w:rPr>
        <w:t>）《工作场所有害因素职业接触限值   第1部分：化学有害因素》（GBZ2.1-20</w:t>
      </w:r>
      <w:r>
        <w:rPr>
          <w:rFonts w:hint="default" w:ascii="Times New Roman" w:hAnsi="Times New Roman" w:eastAsia="仿宋" w:cs="Times New Roman"/>
          <w:color w:val="000000"/>
          <w:szCs w:val="28"/>
          <w:lang w:val="en-US" w:eastAsia="zh-CN"/>
        </w:rPr>
        <w:t>19</w:t>
      </w:r>
      <w:r>
        <w:rPr>
          <w:rFonts w:hint="default" w:ascii="Times New Roman" w:hAnsi="Times New Roman" w:eastAsia="仿宋" w:cs="Times New Roman"/>
          <w:color w:val="000000"/>
          <w:szCs w:val="28"/>
        </w:rPr>
        <w:t>）；</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w:t>
      </w:r>
      <w:r>
        <w:rPr>
          <w:rFonts w:hint="default" w:ascii="Times New Roman" w:hAnsi="Times New Roman" w:eastAsia="仿宋" w:cs="Times New Roman"/>
          <w:color w:val="000000"/>
          <w:szCs w:val="28"/>
          <w:lang w:val="en-US" w:eastAsia="zh-CN"/>
        </w:rPr>
        <w:t>9</w:t>
      </w:r>
      <w:r>
        <w:rPr>
          <w:rFonts w:hint="default" w:ascii="Times New Roman" w:hAnsi="Times New Roman" w:eastAsia="仿宋" w:cs="Times New Roman"/>
          <w:color w:val="000000"/>
          <w:szCs w:val="28"/>
        </w:rPr>
        <w:t>）《地表水环境质量标准》（GB3838-2002）；</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（1</w:t>
      </w:r>
      <w:r>
        <w:rPr>
          <w:rFonts w:hint="default" w:ascii="Times New Roman" w:hAnsi="Times New Roman" w:eastAsia="仿宋" w:cs="Times New Roman"/>
          <w:color w:val="000000"/>
          <w:szCs w:val="28"/>
          <w:lang w:val="en-US" w:eastAsia="zh-CN"/>
        </w:rPr>
        <w:t>0</w:t>
      </w:r>
      <w:r>
        <w:rPr>
          <w:rFonts w:hint="default" w:ascii="Times New Roman" w:hAnsi="Times New Roman" w:eastAsia="仿宋" w:cs="Times New Roman"/>
          <w:color w:val="000000"/>
          <w:szCs w:val="28"/>
        </w:rPr>
        <w:t>）《地下水环境质量标准》（GB/T14848-2017）；</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（1</w:t>
      </w:r>
      <w:r>
        <w:rPr>
          <w:rFonts w:hint="default" w:ascii="Times New Roman" w:hAnsi="Times New Roman" w:eastAsia="仿宋" w:cs="Times New Roman"/>
          <w:color w:val="000000"/>
          <w:szCs w:val="28"/>
          <w:lang w:val="en-US" w:eastAsia="zh-CN"/>
        </w:rPr>
        <w:t>1</w:t>
      </w:r>
      <w:r>
        <w:rPr>
          <w:rFonts w:hint="default" w:ascii="Times New Roman" w:hAnsi="Times New Roman" w:eastAsia="仿宋" w:cs="Times New Roman"/>
          <w:color w:val="000000"/>
          <w:szCs w:val="28"/>
        </w:rPr>
        <w:t>）《土壤环境质量 建设用地土壤污染风险管控标准（试行）》（GB36600-2018）；</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（1</w:t>
      </w:r>
      <w:r>
        <w:rPr>
          <w:rFonts w:hint="default" w:ascii="Times New Roman" w:hAnsi="Times New Roman" w:eastAsia="仿宋" w:cs="Times New Roman"/>
          <w:color w:val="000000"/>
          <w:szCs w:val="28"/>
          <w:lang w:val="en-US" w:eastAsia="zh-CN"/>
        </w:rPr>
        <w:t>2</w:t>
      </w:r>
      <w:r>
        <w:rPr>
          <w:rFonts w:hint="default" w:ascii="Times New Roman" w:hAnsi="Times New Roman" w:eastAsia="仿宋" w:cs="Times New Roman"/>
          <w:color w:val="000000"/>
          <w:szCs w:val="28"/>
        </w:rPr>
        <w:t>）《大气污染物综合排放标准》(GB16297-1996)；</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w:t>
      </w:r>
      <w:r>
        <w:rPr>
          <w:rFonts w:hint="default" w:ascii="Times New Roman" w:hAnsi="Times New Roman" w:eastAsia="仿宋" w:cs="Times New Roman"/>
          <w:color w:val="000000"/>
          <w:szCs w:val="28"/>
          <w:lang w:val="en-US" w:eastAsia="zh-CN"/>
        </w:rPr>
        <w:t>13</w:t>
      </w:r>
      <w:r>
        <w:rPr>
          <w:rFonts w:hint="default" w:ascii="Times New Roman" w:hAnsi="Times New Roman" w:eastAsia="仿宋" w:cs="Times New Roman"/>
          <w:color w:val="000000"/>
          <w:szCs w:val="28"/>
        </w:rPr>
        <w:t>）《一般工业固体废物贮存和填埋污染控制标准》（GB18599-2020）；</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w:t>
      </w:r>
      <w:r>
        <w:rPr>
          <w:rFonts w:hint="default" w:ascii="Times New Roman" w:hAnsi="Times New Roman" w:eastAsia="仿宋" w:cs="Times New Roman"/>
          <w:color w:val="000000"/>
          <w:szCs w:val="28"/>
          <w:lang w:val="en-US" w:eastAsia="zh-CN"/>
        </w:rPr>
        <w:t>14</w:t>
      </w:r>
      <w:r>
        <w:rPr>
          <w:rFonts w:hint="default" w:ascii="Times New Roman" w:hAnsi="Times New Roman" w:eastAsia="仿宋" w:cs="Times New Roman"/>
          <w:color w:val="000000"/>
          <w:szCs w:val="28"/>
        </w:rPr>
        <w:t>）《建设项目环境风险评价技术导则》（HJ169-2018）；</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w:t>
      </w:r>
      <w:r>
        <w:rPr>
          <w:rFonts w:hint="default" w:ascii="Times New Roman" w:hAnsi="Times New Roman" w:eastAsia="仿宋" w:cs="Times New Roman"/>
          <w:color w:val="000000"/>
          <w:szCs w:val="28"/>
          <w:lang w:val="en-US" w:eastAsia="zh-CN"/>
        </w:rPr>
        <w:t>15</w:t>
      </w:r>
      <w:r>
        <w:rPr>
          <w:rFonts w:hint="default" w:ascii="Times New Roman" w:hAnsi="Times New Roman" w:eastAsia="仿宋" w:cs="Times New Roman"/>
          <w:color w:val="000000"/>
          <w:szCs w:val="28"/>
        </w:rPr>
        <w:t>）《建筑设计防火规范》（GB50016-2014，2018 年修订）；</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imes New Roman" w:hAnsi="Times New Roman" w:eastAsia="仿宋" w:cs="Times New Roman"/>
          <w:color w:val="000000"/>
          <w:szCs w:val="28"/>
        </w:rPr>
      </w:pPr>
      <w:r>
        <w:rPr>
          <w:rFonts w:hint="default" w:ascii="Times New Roman" w:hAnsi="Times New Roman" w:eastAsia="仿宋" w:cs="Times New Roman"/>
          <w:color w:val="000000"/>
          <w:szCs w:val="28"/>
        </w:rPr>
        <w:t>（</w:t>
      </w:r>
      <w:r>
        <w:rPr>
          <w:rFonts w:hint="default" w:ascii="Times New Roman" w:hAnsi="Times New Roman" w:eastAsia="仿宋" w:cs="Times New Roman"/>
          <w:color w:val="000000"/>
          <w:szCs w:val="28"/>
          <w:lang w:val="en-US" w:eastAsia="zh-CN"/>
        </w:rPr>
        <w:t>16</w:t>
      </w:r>
      <w:r>
        <w:rPr>
          <w:rFonts w:hint="default" w:ascii="Times New Roman" w:hAnsi="Times New Roman" w:eastAsia="仿宋" w:cs="Times New Roman"/>
          <w:color w:val="000000"/>
          <w:szCs w:val="28"/>
        </w:rPr>
        <w:t>）《建筑灭火器配置设计规范》(GB50140-2005)；</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rFonts w:hint="eastAsia" w:eastAsia="仿宋"/>
          <w:bCs/>
          <w:kern w:val="0"/>
          <w:szCs w:val="28"/>
          <w:lang w:eastAsia="zh-CN"/>
        </w:rPr>
      </w:pPr>
      <w:r>
        <w:rPr>
          <w:rFonts w:hint="default" w:ascii="Times New Roman" w:hAnsi="Times New Roman" w:eastAsia="仿宋" w:cs="Times New Roman"/>
          <w:color w:val="000000"/>
          <w:szCs w:val="28"/>
        </w:rPr>
        <w:t>（</w:t>
      </w:r>
      <w:r>
        <w:rPr>
          <w:rFonts w:hint="eastAsia" w:cs="Times New Roman"/>
          <w:color w:val="000000"/>
          <w:szCs w:val="28"/>
          <w:lang w:val="en-US" w:eastAsia="zh-CN"/>
        </w:rPr>
        <w:t>17</w:t>
      </w:r>
      <w:r>
        <w:rPr>
          <w:rFonts w:hint="default" w:ascii="Times New Roman" w:hAnsi="Times New Roman" w:eastAsia="仿宋" w:cs="Times New Roman"/>
          <w:color w:val="000000"/>
          <w:szCs w:val="28"/>
        </w:rPr>
        <w:t>）《突发环境事件应急监测技术规范》（HJ589-20</w:t>
      </w:r>
      <w:r>
        <w:rPr>
          <w:rFonts w:hint="eastAsia" w:cs="Times New Roman"/>
          <w:color w:val="000000"/>
          <w:szCs w:val="28"/>
          <w:lang w:val="en-US" w:eastAsia="zh-CN"/>
        </w:rPr>
        <w:t>21</w:t>
      </w:r>
      <w:r>
        <w:rPr>
          <w:rFonts w:hint="default" w:ascii="Times New Roman" w:hAnsi="Times New Roman" w:eastAsia="仿宋" w:cs="Times New Roman"/>
          <w:color w:val="000000"/>
          <w:szCs w:val="28"/>
        </w:rPr>
        <w:t>）</w:t>
      </w:r>
      <w:r>
        <w:rPr>
          <w:rFonts w:hint="default" w:ascii="Times New Roman" w:hAnsi="Times New Roman" w:eastAsia="仿宋" w:cs="Times New Roman"/>
          <w:color w:val="000000"/>
          <w:szCs w:val="28"/>
          <w:lang w:eastAsia="zh-CN"/>
        </w:rPr>
        <w:t>。</w:t>
      </w:r>
    </w:p>
    <w:p>
      <w:pPr>
        <w:pageBreakBefore w:val="0"/>
        <w:kinsoku/>
        <w:wordWrap/>
        <w:overflowPunct/>
        <w:topLinePunct w:val="0"/>
        <w:autoSpaceDE/>
        <w:autoSpaceDN/>
        <w:bidi w:val="0"/>
        <w:adjustRightInd w:val="0"/>
        <w:snapToGrid w:val="0"/>
        <w:spacing w:line="360" w:lineRule="auto"/>
        <w:ind w:right="0" w:firstLine="554" w:firstLineChars="197"/>
        <w:textAlignment w:val="auto"/>
        <w:rPr>
          <w:b/>
          <w:szCs w:val="28"/>
        </w:rPr>
      </w:pPr>
      <w:r>
        <w:rPr>
          <w:b/>
          <w:szCs w:val="28"/>
        </w:rPr>
        <w:t>其他文件及资料</w:t>
      </w:r>
      <w:bookmarkEnd w:id="10"/>
    </w:p>
    <w:bookmarkEnd w:id="11"/>
    <w:bookmarkEnd w:id="12"/>
    <w:bookmarkEnd w:id="13"/>
    <w:bookmarkEnd w:id="14"/>
    <w:bookmarkEnd w:id="15"/>
    <w:bookmarkEnd w:id="16"/>
    <w:bookmarkEnd w:id="17"/>
    <w:bookmarkEnd w:id="18"/>
    <w:bookmarkEnd w:id="19"/>
    <w:p>
      <w:pPr>
        <w:pStyle w:val="5"/>
        <w:keepNext w:val="0"/>
        <w:keepLines w:val="0"/>
        <w:pageBreakBefore w:val="0"/>
        <w:widowControl w:val="0"/>
        <w:kinsoku/>
        <w:wordWrap/>
        <w:overflowPunct/>
        <w:topLinePunct w:val="0"/>
        <w:autoSpaceDE/>
        <w:autoSpaceDN/>
        <w:bidi w:val="0"/>
        <w:adjustRightInd w:val="0"/>
        <w:snapToGrid w:val="0"/>
        <w:ind w:firstLine="561"/>
        <w:textAlignment w:val="auto"/>
        <w:rPr>
          <w:rFonts w:eastAsia="仿宋" w:cs="Times New Roman"/>
          <w:color w:val="000000"/>
          <w:sz w:val="28"/>
          <w:szCs w:val="28"/>
        </w:rPr>
      </w:pPr>
      <w:bookmarkStart w:id="25" w:name="_Toc27000"/>
      <w:r>
        <w:rPr>
          <w:rFonts w:eastAsia="仿宋" w:cs="Times New Roman"/>
          <w:color w:val="000000"/>
          <w:sz w:val="28"/>
          <w:szCs w:val="28"/>
        </w:rPr>
        <w:t>（1）《</w:t>
      </w:r>
      <w:r>
        <w:rPr>
          <w:rFonts w:hint="eastAsia" w:eastAsia="仿宋" w:cs="Times New Roman"/>
          <w:color w:val="000000"/>
          <w:sz w:val="28"/>
          <w:szCs w:val="28"/>
          <w:lang w:eastAsia="zh-CN"/>
        </w:rPr>
        <w:t>咸阳泾渭新区康达水泥制品销售有限公司</w:t>
      </w:r>
      <w:r>
        <w:rPr>
          <w:rFonts w:eastAsia="仿宋" w:cs="Times New Roman"/>
          <w:color w:val="000000"/>
          <w:sz w:val="28"/>
          <w:szCs w:val="28"/>
        </w:rPr>
        <w:t>建设项目环境影响报告表》；</w:t>
      </w:r>
    </w:p>
    <w:p>
      <w:pPr>
        <w:pStyle w:val="5"/>
        <w:keepNext w:val="0"/>
        <w:keepLines w:val="0"/>
        <w:pageBreakBefore w:val="0"/>
        <w:widowControl w:val="0"/>
        <w:kinsoku/>
        <w:wordWrap/>
        <w:overflowPunct/>
        <w:topLinePunct w:val="0"/>
        <w:autoSpaceDE/>
        <w:autoSpaceDN/>
        <w:bidi w:val="0"/>
        <w:adjustRightInd w:val="0"/>
        <w:snapToGrid w:val="0"/>
        <w:ind w:firstLine="561"/>
        <w:textAlignment w:val="auto"/>
        <w:rPr>
          <w:rFonts w:eastAsia="仿宋" w:cs="Times New Roman"/>
          <w:color w:val="000000"/>
          <w:sz w:val="28"/>
          <w:szCs w:val="28"/>
        </w:rPr>
      </w:pPr>
      <w:r>
        <w:rPr>
          <w:rFonts w:eastAsia="仿宋" w:cs="Times New Roman"/>
          <w:color w:val="000000"/>
          <w:sz w:val="28"/>
          <w:szCs w:val="28"/>
        </w:rPr>
        <w:t>（</w:t>
      </w:r>
      <w:r>
        <w:rPr>
          <w:rFonts w:hint="eastAsia" w:eastAsia="仿宋" w:cs="Times New Roman"/>
          <w:color w:val="000000"/>
          <w:sz w:val="28"/>
          <w:szCs w:val="28"/>
          <w:lang w:val="en-US" w:eastAsia="zh-CN"/>
        </w:rPr>
        <w:t>2</w:t>
      </w:r>
      <w:r>
        <w:rPr>
          <w:rFonts w:eastAsia="仿宋" w:cs="Times New Roman"/>
          <w:color w:val="000000"/>
          <w:sz w:val="28"/>
          <w:szCs w:val="28"/>
        </w:rPr>
        <w:t>）</w:t>
      </w:r>
      <w:r>
        <w:rPr>
          <w:rFonts w:hint="eastAsia" w:eastAsia="仿宋" w:cs="Times New Roman"/>
          <w:color w:val="000000"/>
          <w:sz w:val="28"/>
          <w:szCs w:val="28"/>
          <w:lang w:eastAsia="zh-CN"/>
        </w:rPr>
        <w:t>咸阳泾渭新区康达水泥制品销售有限公司</w:t>
      </w:r>
      <w:r>
        <w:rPr>
          <w:rFonts w:eastAsia="仿宋" w:cs="Times New Roman"/>
          <w:color w:val="000000"/>
          <w:sz w:val="28"/>
          <w:szCs w:val="28"/>
        </w:rPr>
        <w:t>提供的材料清单、生产设备清单、生产工艺图等资料。</w:t>
      </w:r>
    </w:p>
    <w:p>
      <w:pPr>
        <w:keepNext/>
        <w:keepLines/>
        <w:pageBreakBefore w:val="0"/>
        <w:widowControl w:val="0"/>
        <w:tabs>
          <w:tab w:val="left" w:pos="432"/>
        </w:tabs>
        <w:kinsoku/>
        <w:wordWrap/>
        <w:overflowPunct/>
        <w:topLinePunct w:val="0"/>
        <w:autoSpaceDE/>
        <w:autoSpaceDN/>
        <w:bidi w:val="0"/>
        <w:adjustRightInd w:val="0"/>
        <w:snapToGrid w:val="0"/>
        <w:spacing w:line="360" w:lineRule="auto"/>
        <w:ind w:right="0"/>
        <w:textAlignment w:val="auto"/>
        <w:outlineLvl w:val="0"/>
        <w:rPr>
          <w:b/>
          <w:kern w:val="0"/>
          <w:szCs w:val="28"/>
        </w:rPr>
      </w:pPr>
      <w:r>
        <w:rPr>
          <w:b/>
          <w:kern w:val="0"/>
          <w:szCs w:val="28"/>
        </w:rPr>
        <w:t>四、预案编制原则</w:t>
      </w:r>
      <w:bookmarkEnd w:id="20"/>
      <w:bookmarkEnd w:id="25"/>
    </w:p>
    <w:p>
      <w:pPr>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1、以人为本，减少危害。</w:t>
      </w:r>
    </w:p>
    <w:p>
      <w:pPr>
        <w:pageBreakBefore w:val="0"/>
        <w:widowControl w:val="0"/>
        <w:kinsoku/>
        <w:wordWrap/>
        <w:overflowPunct/>
        <w:topLinePunct w:val="0"/>
        <w:autoSpaceDE/>
        <w:autoSpaceDN/>
        <w:bidi w:val="0"/>
        <w:adjustRightInd w:val="0"/>
        <w:snapToGrid w:val="0"/>
        <w:spacing w:line="360" w:lineRule="auto"/>
        <w:ind w:right="0" w:firstLine="570"/>
        <w:textAlignment w:val="auto"/>
        <w:rPr>
          <w:szCs w:val="28"/>
        </w:rPr>
      </w:pPr>
      <w:r>
        <w:rPr>
          <w:szCs w:val="28"/>
        </w:rPr>
        <w:t>应急救援的现场处置应把保障人民群众的生命安全和身体健康作为首要任务，最大程度地减少事故灾难造成的人员伤亡和危害。不断改进和完善应急救援的装备、设施和手段，加强应急救援人员的安全防护和人身安全。同时切实加强应急救援人员的安全防护，充分发挥人的主观能动性，充分发挥专业救援力量的骨干作用。</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2、居安思危，预防为主。</w:t>
      </w:r>
    </w:p>
    <w:p>
      <w:pPr>
        <w:pageBreakBefore w:val="0"/>
        <w:kinsoku/>
        <w:wordWrap/>
        <w:overflowPunct/>
        <w:topLinePunct w:val="0"/>
        <w:autoSpaceDE/>
        <w:autoSpaceDN/>
        <w:bidi w:val="0"/>
        <w:adjustRightInd w:val="0"/>
        <w:snapToGrid w:val="0"/>
        <w:spacing w:line="360" w:lineRule="auto"/>
        <w:ind w:right="0" w:firstLine="570"/>
        <w:textAlignment w:val="auto"/>
        <w:rPr>
          <w:szCs w:val="28"/>
        </w:rPr>
      </w:pPr>
      <w:r>
        <w:rPr>
          <w:szCs w:val="28"/>
        </w:rPr>
        <w:t>高度重视环境安全，常抓不懈，防患于未然。增强忧患意识，坚持预防与应急相结合，常态与非常态相结合，做好应对突发环境事件的各项预备工作。</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3、快速反应，科学应对。</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加强应急处置队伍建设，建立联动协调制度，形成统一指挥、反应灵敏、功能齐全、协调有序、运转高效的应急处置机制。</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4、科学预防，高效处置。</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鼓励环境应急相关科研工作，加大投入，重视专家在环境应急工作中的作用，积极做好应对突发环境事件的思想准备、物资准备、技术准备等日常准备工作，强化预防、预警工作，提高突发环境事件的处置能力。</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5、条块结合、以块为主。</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各级管理部门按照属地为主原则，实施应急救援。实行单位法人负责制，把事故控制在有限范围内，避免发生次生、衍生事故。加强管理、提高素质。依据国家有关法律、行政法规和有关管理制度，加强应急管理，使应急工作规范化、制度化、法制化。加强应急管理工作的宣传、培训教育和演练工作，提高广大员工自救、互救和应对各类突发环境事件的综合素质。</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6、预防为主，平战结合</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贯彻落实“安全第一、以防为主、综合治理”的方针，坚持事故灾难应急与预防工作相结合，做好预防、预测、预警和预报工作，做好常态下的风险评估、物资储备、队伍建设、装备完善、预案演练等工作。</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70"/>
        <w:textAlignment w:val="auto"/>
        <w:rPr>
          <w:szCs w:val="28"/>
        </w:rPr>
      </w:pPr>
      <w:r>
        <w:rPr>
          <w:szCs w:val="28"/>
        </w:rPr>
        <w:t>7、统一领导，分级负责</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预案启动后，应急总指挥作为应急的最高统一指挥，公司按职责设置的应急小组要服从应急总指挥的领导，落实应急职责，积极有效地开展应急工作。</w:t>
      </w:r>
    </w:p>
    <w:p>
      <w:pPr>
        <w:keepNext w:val="0"/>
        <w:keepLines w:val="0"/>
        <w:pageBreakBefore w:val="0"/>
        <w:widowControl w:val="0"/>
        <w:tabs>
          <w:tab w:val="left" w:pos="432"/>
        </w:tabs>
        <w:kinsoku/>
        <w:wordWrap/>
        <w:overflowPunct/>
        <w:topLinePunct w:val="0"/>
        <w:autoSpaceDE/>
        <w:autoSpaceDN/>
        <w:bidi w:val="0"/>
        <w:adjustRightInd w:val="0"/>
        <w:snapToGrid w:val="0"/>
        <w:spacing w:line="360" w:lineRule="auto"/>
        <w:ind w:right="0"/>
        <w:textAlignment w:val="auto"/>
        <w:outlineLvl w:val="0"/>
        <w:rPr>
          <w:b/>
          <w:kern w:val="0"/>
          <w:szCs w:val="28"/>
        </w:rPr>
      </w:pPr>
      <w:bookmarkStart w:id="26" w:name="_Toc64"/>
      <w:bookmarkStart w:id="27" w:name="_Toc47448356"/>
      <w:r>
        <w:rPr>
          <w:b/>
          <w:kern w:val="0"/>
          <w:szCs w:val="28"/>
        </w:rPr>
        <w:t>五、预案适用范围</w:t>
      </w:r>
      <w:bookmarkEnd w:id="21"/>
      <w:bookmarkEnd w:id="22"/>
      <w:bookmarkEnd w:id="23"/>
      <w:bookmarkEnd w:id="26"/>
      <w:bookmarkEnd w:id="27"/>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szCs w:val="28"/>
        </w:rPr>
      </w:pPr>
      <w:r>
        <w:rPr>
          <w:szCs w:val="28"/>
        </w:rPr>
        <w:t>本预案适用于</w:t>
      </w:r>
      <w:r>
        <w:rPr>
          <w:rFonts w:hint="eastAsia"/>
          <w:szCs w:val="28"/>
          <w:lang w:eastAsia="zh-CN"/>
        </w:rPr>
        <w:t>咸阳泾渭新区康达水泥制品销售有限公司</w:t>
      </w:r>
      <w:r>
        <w:rPr>
          <w:szCs w:val="28"/>
        </w:rPr>
        <w:t>范围内所有突发环境事件的应急处理程序，按照一定的程序、内容、要素基本要求，为事故发生时提供应急处理措施。根据预案人员组织关系图，明确内部以及内外部事件处置衔接关系。</w:t>
      </w:r>
    </w:p>
    <w:p>
      <w:pPr>
        <w:keepNext w:val="0"/>
        <w:keepLines w:val="0"/>
        <w:pageBreakBefore w:val="0"/>
        <w:widowControl w:val="0"/>
        <w:tabs>
          <w:tab w:val="left" w:pos="432"/>
        </w:tabs>
        <w:kinsoku/>
        <w:wordWrap/>
        <w:overflowPunct/>
        <w:topLinePunct w:val="0"/>
        <w:autoSpaceDE/>
        <w:autoSpaceDN/>
        <w:bidi w:val="0"/>
        <w:adjustRightInd w:val="0"/>
        <w:snapToGrid w:val="0"/>
        <w:spacing w:line="360" w:lineRule="auto"/>
        <w:ind w:right="0"/>
        <w:textAlignment w:val="auto"/>
        <w:outlineLvl w:val="0"/>
        <w:rPr>
          <w:b/>
          <w:kern w:val="0"/>
          <w:szCs w:val="28"/>
        </w:rPr>
      </w:pPr>
      <w:bookmarkStart w:id="28" w:name="_Toc30098"/>
      <w:bookmarkStart w:id="29" w:name="_Toc47448357"/>
      <w:bookmarkStart w:id="30" w:name="_Toc301018546"/>
      <w:bookmarkStart w:id="31" w:name="_Toc224965869"/>
      <w:bookmarkStart w:id="32" w:name="_Toc225244052"/>
      <w:r>
        <w:rPr>
          <w:b/>
          <w:kern w:val="0"/>
          <w:szCs w:val="28"/>
        </w:rPr>
        <w:t>六、重点内容说明</w:t>
      </w:r>
      <w:bookmarkEnd w:id="28"/>
      <w:bookmarkEnd w:id="29"/>
      <w:bookmarkEnd w:id="30"/>
      <w:bookmarkEnd w:id="31"/>
      <w:bookmarkEnd w:id="32"/>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textAlignment w:val="auto"/>
        <w:rPr>
          <w:szCs w:val="28"/>
        </w:rPr>
      </w:pPr>
      <w:bookmarkStart w:id="33" w:name="_Hlt168563914"/>
      <w:bookmarkStart w:id="34" w:name="_Toc224965870"/>
      <w:bookmarkStart w:id="35" w:name="_Toc225244053"/>
      <w:r>
        <w:rPr>
          <w:szCs w:val="28"/>
        </w:rPr>
        <w:t>突发环境事件应急预案体现自救互救、信息报告和先期处置特点，侧重明确现场组织指挥机制、应急队伍分工、监测预警、不同情景下的应对流程和措施、应急资源保障等内容。编制过程中结合经营性质、规模、组织体系和环境风险状况、应急资源状况，突发环境事件应急预案中重点体现应急现场处置的可操作性。</w:t>
      </w:r>
      <w:bookmarkEnd w:id="33"/>
    </w:p>
    <w:p>
      <w:pPr>
        <w:keepNext/>
        <w:keepLines/>
        <w:pageBreakBefore w:val="0"/>
        <w:tabs>
          <w:tab w:val="left" w:pos="432"/>
        </w:tabs>
        <w:kinsoku/>
        <w:wordWrap/>
        <w:overflowPunct/>
        <w:topLinePunct w:val="0"/>
        <w:autoSpaceDE/>
        <w:autoSpaceDN/>
        <w:bidi w:val="0"/>
        <w:adjustRightInd w:val="0"/>
        <w:snapToGrid w:val="0"/>
        <w:spacing w:line="360" w:lineRule="auto"/>
        <w:ind w:right="0"/>
        <w:textAlignment w:val="auto"/>
        <w:outlineLvl w:val="0"/>
        <w:rPr>
          <w:b/>
          <w:kern w:val="0"/>
          <w:szCs w:val="28"/>
        </w:rPr>
      </w:pPr>
      <w:bookmarkStart w:id="36" w:name="_Toc47448358"/>
      <w:bookmarkStart w:id="37" w:name="_Toc7625"/>
      <w:r>
        <w:rPr>
          <w:b/>
          <w:kern w:val="0"/>
          <w:szCs w:val="28"/>
        </w:rPr>
        <w:t>七、</w:t>
      </w:r>
      <w:r>
        <w:rPr>
          <w:rFonts w:hint="eastAsia"/>
          <w:b/>
          <w:kern w:val="0"/>
          <w:szCs w:val="28"/>
          <w:lang w:val="en-US" w:eastAsia="zh-CN"/>
        </w:rPr>
        <w:t>应急</w:t>
      </w:r>
      <w:r>
        <w:rPr>
          <w:b/>
          <w:kern w:val="0"/>
          <w:szCs w:val="28"/>
        </w:rPr>
        <w:t>演练推演问题说明</w:t>
      </w:r>
      <w:bookmarkEnd w:id="36"/>
      <w:bookmarkEnd w:id="37"/>
    </w:p>
    <w:p>
      <w:pPr>
        <w:pageBreakBefore w:val="0"/>
        <w:kinsoku/>
        <w:wordWrap/>
        <w:overflowPunct/>
        <w:topLinePunct w:val="0"/>
        <w:autoSpaceDE/>
        <w:autoSpaceDN/>
        <w:bidi w:val="0"/>
        <w:adjustRightInd w:val="0"/>
        <w:snapToGrid w:val="0"/>
        <w:spacing w:line="360" w:lineRule="auto"/>
        <w:ind w:right="0" w:firstLine="560" w:firstLineChars="200"/>
        <w:textAlignment w:val="auto"/>
        <w:rPr>
          <w:color w:val="auto"/>
          <w:szCs w:val="28"/>
        </w:rPr>
      </w:pPr>
      <w:bookmarkStart w:id="38" w:name="_Toc11152"/>
      <w:r>
        <w:rPr>
          <w:szCs w:val="28"/>
        </w:rPr>
        <w:t>经演练推演</w:t>
      </w:r>
      <w:r>
        <w:rPr>
          <w:color w:val="auto"/>
          <w:szCs w:val="28"/>
        </w:rPr>
        <w:t>，发现以下问题：</w:t>
      </w:r>
      <w:bookmarkEnd w:id="38"/>
    </w:p>
    <w:p>
      <w:pPr>
        <w:pageBreakBefore w:val="0"/>
        <w:kinsoku/>
        <w:wordWrap/>
        <w:overflowPunct/>
        <w:topLinePunct w:val="0"/>
        <w:autoSpaceDE/>
        <w:autoSpaceDN/>
        <w:bidi w:val="0"/>
        <w:adjustRightInd w:val="0"/>
        <w:snapToGrid w:val="0"/>
        <w:spacing w:line="360" w:lineRule="auto"/>
        <w:ind w:right="0" w:firstLine="560" w:firstLineChars="200"/>
        <w:textAlignment w:val="auto"/>
        <w:rPr>
          <w:color w:val="auto"/>
          <w:szCs w:val="28"/>
        </w:rPr>
      </w:pPr>
      <w:r>
        <w:rPr>
          <w:color w:val="auto"/>
          <w:szCs w:val="28"/>
        </w:rPr>
        <w:t>企业未与附近企业及村民达成救援约定。</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color w:val="auto"/>
          <w:szCs w:val="28"/>
        </w:rPr>
      </w:pPr>
      <w:r>
        <w:rPr>
          <w:color w:val="auto"/>
          <w:szCs w:val="28"/>
        </w:rPr>
        <w:t>建议企业与附近企业及村民达成救援约定。</w:t>
      </w:r>
    </w:p>
    <w:p>
      <w:pPr>
        <w:keepNext/>
        <w:keepLines/>
        <w:pageBreakBefore w:val="0"/>
        <w:tabs>
          <w:tab w:val="left" w:pos="432"/>
        </w:tabs>
        <w:kinsoku/>
        <w:wordWrap/>
        <w:overflowPunct/>
        <w:topLinePunct w:val="0"/>
        <w:autoSpaceDE/>
        <w:autoSpaceDN/>
        <w:bidi w:val="0"/>
        <w:adjustRightInd w:val="0"/>
        <w:snapToGrid w:val="0"/>
        <w:spacing w:line="360" w:lineRule="auto"/>
        <w:ind w:right="0"/>
        <w:textAlignment w:val="auto"/>
        <w:outlineLvl w:val="0"/>
        <w:rPr>
          <w:b/>
          <w:color w:val="auto"/>
          <w:kern w:val="0"/>
          <w:szCs w:val="28"/>
        </w:rPr>
      </w:pPr>
      <w:bookmarkStart w:id="39" w:name="_Toc11532"/>
      <w:bookmarkStart w:id="40" w:name="_Toc47448359"/>
      <w:r>
        <w:rPr>
          <w:b/>
          <w:color w:val="auto"/>
          <w:kern w:val="0"/>
          <w:szCs w:val="28"/>
        </w:rPr>
        <w:t>八、评审情况说明</w:t>
      </w:r>
      <w:bookmarkEnd w:id="39"/>
      <w:bookmarkEnd w:id="40"/>
    </w:p>
    <w:bookmarkEnd w:id="34"/>
    <w:bookmarkEnd w:id="35"/>
    <w:p>
      <w:pPr>
        <w:pageBreakBefore w:val="0"/>
        <w:kinsoku/>
        <w:wordWrap/>
        <w:overflowPunct/>
        <w:topLinePunct w:val="0"/>
        <w:autoSpaceDE/>
        <w:autoSpaceDN/>
        <w:bidi w:val="0"/>
        <w:adjustRightInd w:val="0"/>
        <w:snapToGrid w:val="0"/>
        <w:spacing w:line="360" w:lineRule="auto"/>
        <w:ind w:right="0" w:firstLine="560" w:firstLineChars="200"/>
        <w:textAlignment w:val="auto"/>
        <w:rPr>
          <w:color w:val="auto"/>
          <w:szCs w:val="28"/>
        </w:rPr>
      </w:pPr>
      <w:r>
        <w:rPr>
          <w:color w:val="auto"/>
          <w:szCs w:val="28"/>
        </w:rPr>
        <w:t>2022年</w:t>
      </w:r>
      <w:r>
        <w:rPr>
          <w:rFonts w:hint="eastAsia"/>
          <w:color w:val="auto"/>
          <w:szCs w:val="28"/>
          <w:lang w:val="en-US" w:eastAsia="zh-CN"/>
        </w:rPr>
        <w:t>10</w:t>
      </w:r>
      <w:r>
        <w:rPr>
          <w:color w:val="auto"/>
          <w:szCs w:val="28"/>
        </w:rPr>
        <w:t>月</w:t>
      </w:r>
      <w:r>
        <w:rPr>
          <w:rFonts w:hint="eastAsia"/>
          <w:color w:val="auto"/>
          <w:szCs w:val="28"/>
          <w:lang w:val="en-US" w:eastAsia="zh-CN"/>
        </w:rPr>
        <w:t>25</w:t>
      </w:r>
      <w:r>
        <w:rPr>
          <w:color w:val="auto"/>
          <w:szCs w:val="28"/>
        </w:rPr>
        <w:t>日我公司各部门主要负责人对突发环境事件应急预案进行了内部评审，并提出了个人意见及建议。</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color w:val="auto"/>
          <w:szCs w:val="28"/>
        </w:rPr>
      </w:pPr>
      <w:r>
        <w:rPr>
          <w:color w:val="auto"/>
          <w:szCs w:val="28"/>
        </w:rPr>
        <w:t>2022年</w:t>
      </w:r>
      <w:r>
        <w:rPr>
          <w:rFonts w:hint="eastAsia"/>
          <w:color w:val="auto"/>
          <w:szCs w:val="28"/>
          <w:lang w:val="en-US" w:eastAsia="zh-CN"/>
        </w:rPr>
        <w:t>1</w:t>
      </w:r>
      <w:bookmarkStart w:id="41" w:name="_GoBack"/>
      <w:bookmarkEnd w:id="41"/>
      <w:r>
        <w:rPr>
          <w:rFonts w:hint="eastAsia"/>
          <w:color w:val="auto"/>
          <w:szCs w:val="28"/>
          <w:lang w:val="en-US" w:eastAsia="zh-CN"/>
        </w:rPr>
        <w:t>0</w:t>
      </w:r>
      <w:r>
        <w:rPr>
          <w:color w:val="auto"/>
          <w:szCs w:val="28"/>
        </w:rPr>
        <w:t>月</w:t>
      </w:r>
      <w:r>
        <w:rPr>
          <w:rFonts w:hint="eastAsia"/>
          <w:color w:val="auto"/>
          <w:szCs w:val="28"/>
          <w:lang w:val="en-US" w:eastAsia="zh-CN"/>
        </w:rPr>
        <w:t>31</w:t>
      </w:r>
      <w:r>
        <w:rPr>
          <w:color w:val="auto"/>
          <w:szCs w:val="28"/>
        </w:rPr>
        <w:t>日，我公司邀请3名应急管理专家，对</w:t>
      </w:r>
      <w:r>
        <w:rPr>
          <w:rFonts w:hint="eastAsia"/>
          <w:color w:val="auto"/>
          <w:szCs w:val="28"/>
          <w:lang w:eastAsia="zh-CN"/>
        </w:rPr>
        <w:t>咸阳泾渭新区康达水泥制品销售有限公司</w:t>
      </w:r>
      <w:r>
        <w:rPr>
          <w:color w:val="auto"/>
          <w:szCs w:val="28"/>
        </w:rPr>
        <w:t>突发环境事件应急预案进行了</w:t>
      </w:r>
      <w:r>
        <w:rPr>
          <w:rFonts w:hint="eastAsia"/>
          <w:color w:val="auto"/>
          <w:szCs w:val="28"/>
          <w:lang w:val="en-US" w:eastAsia="zh-CN"/>
        </w:rPr>
        <w:t>函</w:t>
      </w:r>
      <w:r>
        <w:rPr>
          <w:color w:val="auto"/>
          <w:szCs w:val="28"/>
        </w:rPr>
        <w:t>审，专家组审核通过并形成评审意见。</w:t>
      </w:r>
    </w:p>
    <w:p>
      <w:pPr>
        <w:pageBreakBefore w:val="0"/>
        <w:kinsoku/>
        <w:wordWrap/>
        <w:overflowPunct/>
        <w:topLinePunct w:val="0"/>
        <w:autoSpaceDE/>
        <w:autoSpaceDN/>
        <w:bidi w:val="0"/>
        <w:adjustRightInd w:val="0"/>
        <w:snapToGrid w:val="0"/>
        <w:spacing w:line="360" w:lineRule="auto"/>
        <w:ind w:right="0" w:firstLine="560" w:firstLineChars="200"/>
        <w:textAlignment w:val="auto"/>
        <w:rPr>
          <w:szCs w:val="28"/>
        </w:rPr>
      </w:pPr>
      <w:r>
        <w:rPr>
          <w:color w:val="auto"/>
          <w:szCs w:val="28"/>
        </w:rPr>
        <w:t>我公司突发环境事件应急预案修改完善后，自单位</w:t>
      </w:r>
      <w:r>
        <w:rPr>
          <w:szCs w:val="28"/>
        </w:rPr>
        <w:t>负责人签字批准之日起实施。</w:t>
      </w:r>
    </w:p>
    <w:p>
      <w:pPr>
        <w:pageBreakBefore w:val="0"/>
        <w:kinsoku/>
        <w:wordWrap/>
        <w:overflowPunct/>
        <w:topLinePunct w:val="0"/>
        <w:autoSpaceDE/>
        <w:autoSpaceDN/>
        <w:bidi w:val="0"/>
        <w:adjustRightInd w:val="0"/>
        <w:snapToGrid w:val="0"/>
        <w:spacing w:line="360" w:lineRule="auto"/>
        <w:ind w:right="0"/>
        <w:textAlignment w:val="auto"/>
        <w:rPr>
          <w:szCs w:val="28"/>
        </w:rPr>
      </w:pPr>
    </w:p>
    <w:p>
      <w:pPr>
        <w:pageBreakBefore w:val="0"/>
        <w:kinsoku/>
        <w:wordWrap/>
        <w:overflowPunct/>
        <w:topLinePunct w:val="0"/>
        <w:autoSpaceDE/>
        <w:autoSpaceDN/>
        <w:bidi w:val="0"/>
        <w:adjustRightInd w:val="0"/>
        <w:snapToGrid w:val="0"/>
        <w:spacing w:line="360" w:lineRule="auto"/>
        <w:ind w:right="0"/>
        <w:textAlignment w:val="auto"/>
      </w:pPr>
    </w:p>
    <w:sectPr>
      <w:footerReference r:id="rId12"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8</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10"/>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8</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both"/>
      <w:rPr>
        <w:rFonts w:hint="default" w:ascii="仿宋" w:hAnsi="仿宋" w:eastAsia="仿宋" w:cs="仿宋"/>
        <w:sz w:val="18"/>
        <w:szCs w:val="18"/>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1Y2ZjMmIzZTdmNmYwYjA3MGM2ZDNhMjdmYzQyYTQifQ=="/>
  </w:docVars>
  <w:rsids>
    <w:rsidRoot w:val="00376923"/>
    <w:rsid w:val="00240A91"/>
    <w:rsid w:val="00376923"/>
    <w:rsid w:val="00910F6D"/>
    <w:rsid w:val="00E262F1"/>
    <w:rsid w:val="00F8012E"/>
    <w:rsid w:val="01BC48F7"/>
    <w:rsid w:val="110F7B9B"/>
    <w:rsid w:val="119B5144"/>
    <w:rsid w:val="137F2229"/>
    <w:rsid w:val="15EA284C"/>
    <w:rsid w:val="176A32C5"/>
    <w:rsid w:val="1B9922E9"/>
    <w:rsid w:val="1C617A6E"/>
    <w:rsid w:val="1D595583"/>
    <w:rsid w:val="1FC451BC"/>
    <w:rsid w:val="20493E6A"/>
    <w:rsid w:val="24771AB9"/>
    <w:rsid w:val="24811168"/>
    <w:rsid w:val="273644BF"/>
    <w:rsid w:val="36F7420B"/>
    <w:rsid w:val="3959731F"/>
    <w:rsid w:val="44A818BD"/>
    <w:rsid w:val="465E07C8"/>
    <w:rsid w:val="47052C7D"/>
    <w:rsid w:val="4BF40BA5"/>
    <w:rsid w:val="5DE12CC9"/>
    <w:rsid w:val="5EA10200"/>
    <w:rsid w:val="63AB70AE"/>
    <w:rsid w:val="66DB3D4C"/>
    <w:rsid w:val="750134A3"/>
    <w:rsid w:val="753A3D86"/>
    <w:rsid w:val="77B40C1E"/>
    <w:rsid w:val="789A3445"/>
    <w:rsid w:val="7A9B7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仿宋" w:cs="Times New Roman"/>
      <w:kern w:val="2"/>
      <w:sz w:val="28"/>
      <w:szCs w:val="24"/>
      <w:lang w:val="en-US" w:eastAsia="zh-CN" w:bidi="ar-SA"/>
    </w:rPr>
  </w:style>
  <w:style w:type="paragraph" w:styleId="3">
    <w:name w:val="heading 3"/>
    <w:basedOn w:val="1"/>
    <w:next w:val="1"/>
    <w:qFormat/>
    <w:uiPriority w:val="0"/>
    <w:pPr>
      <w:keepNext/>
      <w:keepLines/>
      <w:outlineLvl w:val="2"/>
    </w:pPr>
    <w:rPr>
      <w:b/>
      <w:bCs/>
      <w:szCs w:val="32"/>
    </w:rPr>
  </w:style>
  <w:style w:type="paragraph" w:styleId="4">
    <w:name w:val="heading 4"/>
    <w:basedOn w:val="1"/>
    <w:next w:val="1"/>
    <w:qFormat/>
    <w:uiPriority w:val="0"/>
    <w:pPr>
      <w:spacing w:line="360" w:lineRule="auto"/>
      <w:outlineLvl w:val="3"/>
    </w:pPr>
    <w:rPr>
      <w:b/>
      <w:bCs/>
      <w:iCs/>
      <w:sz w:val="24"/>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正文 + 仿宋_GB2312"/>
    <w:basedOn w:val="1"/>
    <w:qFormat/>
    <w:uiPriority w:val="0"/>
    <w:pPr>
      <w:tabs>
        <w:tab w:val="left" w:pos="2020"/>
      </w:tabs>
      <w:adjustRightInd w:val="0"/>
      <w:snapToGrid w:val="0"/>
      <w:spacing w:line="300" w:lineRule="auto"/>
    </w:pPr>
    <w:rPr>
      <w:rFonts w:ascii="仿宋_GB2312"/>
      <w:snapToGrid/>
      <w:kern w:val="2"/>
      <w:sz w:val="28"/>
      <w:szCs w:val="24"/>
    </w:rPr>
  </w:style>
  <w:style w:type="paragraph" w:styleId="5">
    <w:name w:val="Normal Indent"/>
    <w:basedOn w:val="1"/>
    <w:next w:val="6"/>
    <w:link w:val="27"/>
    <w:qFormat/>
    <w:uiPriority w:val="0"/>
    <w:pPr>
      <w:ind w:firstLine="420"/>
    </w:pPr>
    <w:rPr>
      <w:rFonts w:eastAsia="宋体" w:cstheme="minorBidi"/>
      <w:sz w:val="21"/>
    </w:rPr>
  </w:style>
  <w:style w:type="paragraph" w:customStyle="1" w:styleId="6">
    <w:name w:val="2007正文"/>
    <w:qFormat/>
    <w:uiPriority w:val="0"/>
    <w:pPr>
      <w:spacing w:line="500" w:lineRule="exact"/>
      <w:ind w:firstLine="560" w:firstLineChars="200"/>
      <w:jc w:val="both"/>
    </w:pPr>
    <w:rPr>
      <w:rFonts w:ascii="Times New Roman" w:hAnsi="Times New Roman" w:eastAsia="仿宋_GB2312" w:cs="Times New Roman"/>
      <w:kern w:val="2"/>
      <w:sz w:val="28"/>
      <w:szCs w:val="22"/>
      <w:lang w:val="en-GB" w:eastAsia="zh-CN" w:bidi="ar-SA"/>
    </w:rPr>
  </w:style>
  <w:style w:type="paragraph" w:styleId="7">
    <w:name w:val="annotation text"/>
    <w:basedOn w:val="1"/>
    <w:link w:val="24"/>
    <w:semiHidden/>
    <w:unhideWhenUsed/>
    <w:qFormat/>
    <w:uiPriority w:val="99"/>
    <w:pPr>
      <w:jc w:val="left"/>
    </w:pPr>
  </w:style>
  <w:style w:type="paragraph" w:styleId="8">
    <w:name w:val="Body Text"/>
    <w:basedOn w:val="1"/>
    <w:link w:val="21"/>
    <w:semiHidden/>
    <w:unhideWhenUsed/>
    <w:qFormat/>
    <w:uiPriority w:val="99"/>
    <w:pPr>
      <w:spacing w:after="120"/>
    </w:pPr>
  </w:style>
  <w:style w:type="paragraph" w:styleId="9">
    <w:name w:val="Balloon Text"/>
    <w:basedOn w:val="1"/>
    <w:link w:val="26"/>
    <w:semiHidden/>
    <w:unhideWhenUsed/>
    <w:qFormat/>
    <w:uiPriority w:val="99"/>
    <w:pPr>
      <w:spacing w:line="240" w:lineRule="auto"/>
    </w:pPr>
    <w:rPr>
      <w:sz w:val="18"/>
      <w:szCs w:val="18"/>
    </w:rPr>
  </w:style>
  <w:style w:type="paragraph" w:styleId="10">
    <w:name w:val="footer"/>
    <w:basedOn w:val="1"/>
    <w:link w:val="19"/>
    <w:unhideWhenUsed/>
    <w:qFormat/>
    <w:uiPriority w:val="99"/>
    <w:pPr>
      <w:tabs>
        <w:tab w:val="center" w:pos="4153"/>
        <w:tab w:val="right" w:pos="8306"/>
      </w:tabs>
      <w:snapToGrid w:val="0"/>
      <w:spacing w:line="240" w:lineRule="auto"/>
      <w:jc w:val="left"/>
    </w:pPr>
    <w:rPr>
      <w:rFonts w:asciiTheme="minorHAnsi" w:hAnsiTheme="minorHAnsi" w:eastAsiaTheme="minorEastAsia" w:cstheme="minorBidi"/>
      <w:sz w:val="18"/>
      <w:szCs w:val="18"/>
    </w:rPr>
  </w:style>
  <w:style w:type="paragraph" w:styleId="11">
    <w:name w:val="header"/>
    <w:basedOn w:val="1"/>
    <w:link w:val="18"/>
    <w:unhideWhenUsed/>
    <w:qFormat/>
    <w:uiPriority w:val="99"/>
    <w:pPr>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paragraph" w:styleId="12">
    <w:name w:val="Normal (Web)"/>
    <w:basedOn w:val="1"/>
    <w:link w:val="20"/>
    <w:qFormat/>
    <w:uiPriority w:val="0"/>
    <w:pPr>
      <w:widowControl/>
      <w:spacing w:before="100" w:beforeAutospacing="1" w:after="100" w:afterAutospacing="1"/>
      <w:jc w:val="left"/>
    </w:pPr>
    <w:rPr>
      <w:rFonts w:ascii="宋体" w:hAnsi="宋体" w:cs="宋体"/>
      <w:sz w:val="24"/>
    </w:rPr>
  </w:style>
  <w:style w:type="paragraph" w:styleId="13">
    <w:name w:val="annotation subject"/>
    <w:basedOn w:val="7"/>
    <w:next w:val="7"/>
    <w:link w:val="25"/>
    <w:semiHidden/>
    <w:unhideWhenUsed/>
    <w:qFormat/>
    <w:uiPriority w:val="99"/>
    <w:rPr>
      <w:b/>
      <w:bCs/>
    </w:rPr>
  </w:style>
  <w:style w:type="paragraph" w:styleId="14">
    <w:name w:val="Body Text First Indent"/>
    <w:basedOn w:val="8"/>
    <w:link w:val="22"/>
    <w:qFormat/>
    <w:uiPriority w:val="0"/>
    <w:pPr>
      <w:ind w:firstLine="420" w:firstLineChars="100"/>
    </w:pPr>
    <w:rPr>
      <w:rFonts w:eastAsia="宋体" w:asciiTheme="minorHAnsi" w:hAnsiTheme="minorHAnsi" w:cstheme="minorBidi"/>
      <w:sz w:val="21"/>
    </w:rPr>
  </w:style>
  <w:style w:type="character" w:styleId="17">
    <w:name w:val="annotation reference"/>
    <w:basedOn w:val="16"/>
    <w:semiHidden/>
    <w:unhideWhenUsed/>
    <w:qFormat/>
    <w:uiPriority w:val="99"/>
    <w:rPr>
      <w:sz w:val="21"/>
      <w:szCs w:val="21"/>
    </w:rPr>
  </w:style>
  <w:style w:type="character" w:customStyle="1" w:styleId="18">
    <w:name w:val="页眉 Char"/>
    <w:basedOn w:val="16"/>
    <w:link w:val="11"/>
    <w:qFormat/>
    <w:uiPriority w:val="99"/>
    <w:rPr>
      <w:sz w:val="18"/>
      <w:szCs w:val="18"/>
    </w:rPr>
  </w:style>
  <w:style w:type="character" w:customStyle="1" w:styleId="19">
    <w:name w:val="页脚 Char"/>
    <w:basedOn w:val="16"/>
    <w:link w:val="10"/>
    <w:qFormat/>
    <w:uiPriority w:val="99"/>
    <w:rPr>
      <w:sz w:val="18"/>
      <w:szCs w:val="18"/>
    </w:rPr>
  </w:style>
  <w:style w:type="character" w:customStyle="1" w:styleId="20">
    <w:name w:val="普通(网站) Char1"/>
    <w:link w:val="12"/>
    <w:qFormat/>
    <w:locked/>
    <w:uiPriority w:val="0"/>
    <w:rPr>
      <w:rFonts w:ascii="宋体" w:hAnsi="宋体" w:eastAsia="仿宋" w:cs="宋体"/>
      <w:sz w:val="24"/>
      <w:szCs w:val="24"/>
    </w:rPr>
  </w:style>
  <w:style w:type="character" w:customStyle="1" w:styleId="21">
    <w:name w:val="正文文本 Char"/>
    <w:basedOn w:val="16"/>
    <w:link w:val="8"/>
    <w:semiHidden/>
    <w:qFormat/>
    <w:uiPriority w:val="99"/>
    <w:rPr>
      <w:rFonts w:ascii="Times New Roman" w:hAnsi="Times New Roman" w:eastAsia="仿宋" w:cs="Times New Roman"/>
      <w:sz w:val="28"/>
      <w:szCs w:val="24"/>
    </w:rPr>
  </w:style>
  <w:style w:type="character" w:customStyle="1" w:styleId="22">
    <w:name w:val="正文首行缩进 Char"/>
    <w:basedOn w:val="21"/>
    <w:link w:val="14"/>
    <w:qFormat/>
    <w:uiPriority w:val="0"/>
    <w:rPr>
      <w:rFonts w:ascii="Times New Roman" w:hAnsi="Times New Roman" w:eastAsia="宋体" w:cs="Times New Roman"/>
      <w:sz w:val="28"/>
      <w:szCs w:val="24"/>
    </w:rPr>
  </w:style>
  <w:style w:type="paragraph" w:customStyle="1" w:styleId="23">
    <w:name w:val="p0"/>
    <w:basedOn w:val="1"/>
    <w:qFormat/>
    <w:uiPriority w:val="0"/>
    <w:pPr>
      <w:widowControl/>
    </w:pPr>
    <w:rPr>
      <w:kern w:val="0"/>
      <w:szCs w:val="21"/>
    </w:rPr>
  </w:style>
  <w:style w:type="character" w:customStyle="1" w:styleId="24">
    <w:name w:val="批注文字 Char"/>
    <w:basedOn w:val="16"/>
    <w:link w:val="7"/>
    <w:semiHidden/>
    <w:qFormat/>
    <w:uiPriority w:val="99"/>
    <w:rPr>
      <w:rFonts w:ascii="Times New Roman" w:hAnsi="Times New Roman" w:eastAsia="仿宋" w:cs="Times New Roman"/>
      <w:sz w:val="28"/>
      <w:szCs w:val="24"/>
    </w:rPr>
  </w:style>
  <w:style w:type="character" w:customStyle="1" w:styleId="25">
    <w:name w:val="批注主题 Char"/>
    <w:basedOn w:val="24"/>
    <w:link w:val="13"/>
    <w:semiHidden/>
    <w:qFormat/>
    <w:uiPriority w:val="99"/>
    <w:rPr>
      <w:rFonts w:ascii="Times New Roman" w:hAnsi="Times New Roman" w:eastAsia="仿宋" w:cs="Times New Roman"/>
      <w:b/>
      <w:bCs/>
      <w:sz w:val="28"/>
      <w:szCs w:val="24"/>
    </w:rPr>
  </w:style>
  <w:style w:type="character" w:customStyle="1" w:styleId="26">
    <w:name w:val="批注框文本 Char"/>
    <w:basedOn w:val="16"/>
    <w:link w:val="9"/>
    <w:semiHidden/>
    <w:qFormat/>
    <w:uiPriority w:val="99"/>
    <w:rPr>
      <w:rFonts w:ascii="Times New Roman" w:hAnsi="Times New Roman" w:eastAsia="仿宋" w:cs="Times New Roman"/>
      <w:sz w:val="18"/>
      <w:szCs w:val="18"/>
    </w:rPr>
  </w:style>
  <w:style w:type="character" w:customStyle="1" w:styleId="27">
    <w:name w:val="正文缩进 Char"/>
    <w:link w:val="5"/>
    <w:qFormat/>
    <w:uiPriority w:val="0"/>
    <w:rPr>
      <w:rFonts w:ascii="Times New Roman" w:hAnsi="Times New Roman" w:eastAsia="宋体"/>
      <w:szCs w:val="24"/>
    </w:rPr>
  </w:style>
  <w:style w:type="paragraph" w:customStyle="1" w:styleId="28">
    <w:name w:val="WPSOffice手动目录 1"/>
    <w:qFormat/>
    <w:uiPriority w:val="0"/>
    <w:pPr>
      <w:ind w:leftChars="0"/>
    </w:pPr>
    <w:rPr>
      <w:rFonts w:asciiTheme="minorHAnsi" w:hAnsiTheme="minorHAnsi" w:eastAsiaTheme="minorEastAsia" w:cstheme="minorBidi"/>
      <w:sz w:val="20"/>
      <w:szCs w:val="20"/>
    </w:rPr>
  </w:style>
  <w:style w:type="paragraph" w:customStyle="1" w:styleId="29">
    <w:name w:val="Default1"/>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2675</Words>
  <Characters>2924</Characters>
  <Lines>24</Lines>
  <Paragraphs>6</Paragraphs>
  <TotalTime>17</TotalTime>
  <ScaleCrop>false</ScaleCrop>
  <LinksUpToDate>false</LinksUpToDate>
  <CharactersWithSpaces>2958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2022-02-25T09:34:00Z</dcterms:created>
  <dc:creator>Administrator</dc:creator>
  <cp:lastModifiedBy>Cherish_S</cp:lastModifiedBy>
  <dcterms:modified xsi:type="dcterms:W3CDTF">2022-11-03T02:59:13Z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60A7354610A84C43803E668BC9D9B6F2</vt:lpwstr>
  </property>
</Properties>
</file>