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eastAsia="仿宋"/>
          <w:color w:val="auto"/>
          <w:kern w:val="2"/>
          <w:szCs w:val="44"/>
          <w:lang w:val="zh-CN"/>
        </w:rPr>
      </w:pPr>
      <w:bookmarkStart w:id="2" w:name="_GoBack"/>
      <w:r>
        <w:rPr>
          <w:rFonts w:eastAsia="仿宋"/>
          <w:b/>
          <w:bCs/>
          <w:color w:val="auto"/>
          <w:sz w:val="30"/>
          <w:szCs w:val="30"/>
          <w:shd w:val="clear" w:color="auto" w:fill="FFFFFF"/>
        </w:rPr>
        <w:t>预案编号</w:t>
      </w:r>
      <w:r>
        <w:rPr>
          <w:rFonts w:hint="eastAsia"/>
          <w:b/>
          <w:bCs/>
          <w:color w:val="auto"/>
          <w:sz w:val="30"/>
          <w:szCs w:val="30"/>
          <w:shd w:val="clear" w:color="auto" w:fill="FFFFFF"/>
          <w:lang w:val="en-US" w:eastAsia="zh-CN"/>
        </w:rPr>
        <w:t>:</w:t>
      </w:r>
      <w:r>
        <w:rPr>
          <w:rFonts w:hint="eastAsia" w:ascii="Times New Roman" w:hAnsi="Times New Roman" w:cs="Times New Roman"/>
          <w:b/>
          <w:bCs/>
          <w:color w:val="auto"/>
          <w:sz w:val="30"/>
          <w:szCs w:val="30"/>
          <w:shd w:val="clear" w:color="auto" w:fill="FFFFFF"/>
          <w:lang w:val="en-US" w:eastAsia="zh-CN"/>
        </w:rPr>
        <w:t>STSMJYZ</w:t>
      </w:r>
      <w:r>
        <w:rPr>
          <w:rFonts w:hint="eastAsia"/>
          <w:b/>
          <w:bCs/>
          <w:color w:val="auto"/>
          <w:sz w:val="30"/>
          <w:szCs w:val="30"/>
          <w:shd w:val="clear" w:color="auto" w:fill="FFFFFF"/>
          <w:lang w:val="en-US" w:eastAsia="zh-CN"/>
        </w:rPr>
        <w:t>-</w:t>
      </w:r>
      <w:r>
        <w:rPr>
          <w:rFonts w:eastAsia="仿宋"/>
          <w:b/>
          <w:bCs/>
          <w:color w:val="auto"/>
          <w:sz w:val="30"/>
          <w:szCs w:val="30"/>
          <w:shd w:val="clear" w:color="auto" w:fill="FFFFFF"/>
        </w:rPr>
        <w:t>HJ</w:t>
      </w:r>
      <w:r>
        <w:rPr>
          <w:rFonts w:hint="eastAsia" w:eastAsia="仿宋"/>
          <w:b/>
          <w:bCs/>
          <w:color w:val="auto"/>
          <w:sz w:val="30"/>
          <w:szCs w:val="30"/>
          <w:shd w:val="clear" w:color="auto" w:fill="FFFFFF"/>
        </w:rPr>
        <w:t>ZY</w:t>
      </w:r>
      <w:r>
        <w:rPr>
          <w:rFonts w:hint="eastAsia"/>
          <w:b/>
          <w:bCs/>
          <w:color w:val="auto"/>
          <w:sz w:val="30"/>
          <w:szCs w:val="30"/>
          <w:shd w:val="clear" w:color="auto" w:fill="FFFFFF"/>
          <w:lang w:val="en-US" w:eastAsia="zh-CN"/>
        </w:rPr>
        <w:t>-</w:t>
      </w:r>
      <w:r>
        <w:rPr>
          <w:rFonts w:hint="default" w:ascii="Times New Roman" w:hAnsi="Times New Roman" w:cs="Times New Roman"/>
          <w:b/>
          <w:bCs/>
          <w:color w:val="auto"/>
          <w:sz w:val="30"/>
          <w:szCs w:val="30"/>
          <w:shd w:val="clear" w:color="auto" w:fill="FFFFFF"/>
          <w:lang w:val="en-US" w:eastAsia="zh-CN"/>
        </w:rPr>
        <w:t>202</w:t>
      </w:r>
      <w:r>
        <w:rPr>
          <w:rFonts w:hint="eastAsia" w:ascii="Times New Roman" w:hAnsi="Times New Roman" w:cs="Times New Roman"/>
          <w:b/>
          <w:bCs/>
          <w:color w:val="auto"/>
          <w:sz w:val="30"/>
          <w:szCs w:val="30"/>
          <w:shd w:val="clear" w:color="auto" w:fill="FFFFFF"/>
          <w:lang w:val="en-US" w:eastAsia="zh-CN"/>
        </w:rPr>
        <w:t>2</w:t>
      </w:r>
      <w:r>
        <w:rPr>
          <w:rFonts w:eastAsia="仿宋"/>
          <w:b/>
          <w:bCs/>
          <w:color w:val="auto"/>
          <w:sz w:val="30"/>
          <w:szCs w:val="30"/>
          <w:shd w:val="clear" w:color="auto" w:fill="FFFFFF"/>
        </w:rPr>
        <w:t xml:space="preserve">                                    版本号</w:t>
      </w:r>
      <w:r>
        <w:rPr>
          <w:rFonts w:hint="eastAsia"/>
          <w:b/>
          <w:bCs/>
          <w:color w:val="auto"/>
          <w:sz w:val="30"/>
          <w:szCs w:val="30"/>
          <w:shd w:val="clear" w:color="auto" w:fill="FFFFFF"/>
          <w:lang w:val="en-US" w:eastAsia="zh-CN"/>
        </w:rPr>
        <w:t>:第二版</w:t>
      </w:r>
    </w:p>
    <w:p>
      <w:pPr>
        <w:rPr>
          <w:color w:val="auto"/>
          <w:lang w:val="zh-CN"/>
        </w:rPr>
      </w:pPr>
    </w:p>
    <w:p>
      <w:pPr>
        <w:pStyle w:val="2"/>
        <w:rPr>
          <w:color w:val="auto"/>
          <w:lang w:val="zh-CN"/>
        </w:rPr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360" w:lineRule="auto"/>
        <w:jc w:val="center"/>
        <w:textAlignment w:val="auto"/>
        <w:rPr>
          <w:rFonts w:hint="eastAsia" w:eastAsia="仿宋"/>
          <w:color w:val="auto"/>
          <w:szCs w:val="44"/>
          <w:lang w:eastAsia="zh-CN"/>
        </w:rPr>
      </w:pPr>
      <w:r>
        <w:rPr>
          <w:rFonts w:hint="eastAsia" w:eastAsia="仿宋"/>
          <w:color w:val="auto"/>
          <w:szCs w:val="44"/>
          <w:lang w:eastAsia="zh-CN"/>
        </w:rPr>
        <w:t>咸阳顺天商贸有限公司加油站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eastAsia="仿宋"/>
          <w:color w:val="auto"/>
          <w:kern w:val="2"/>
          <w:szCs w:val="44"/>
          <w:lang w:val="zh-CN"/>
        </w:rPr>
      </w:pPr>
      <w:r>
        <w:rPr>
          <w:rFonts w:hint="eastAsia" w:eastAsia="仿宋"/>
          <w:color w:val="auto"/>
          <w:kern w:val="2"/>
          <w:szCs w:val="44"/>
          <w:lang w:val="zh-CN"/>
        </w:rPr>
        <w:t>突发环境</w:t>
      </w:r>
      <w:r>
        <w:rPr>
          <w:rFonts w:hint="eastAsia" w:eastAsia="仿宋"/>
          <w:color w:val="auto"/>
          <w:kern w:val="2"/>
          <w:szCs w:val="44"/>
          <w:lang w:val="en-US" w:eastAsia="zh-CN"/>
        </w:rPr>
        <w:t>事件</w:t>
      </w:r>
      <w:r>
        <w:rPr>
          <w:rFonts w:hint="eastAsia" w:eastAsia="仿宋"/>
          <w:color w:val="auto"/>
          <w:kern w:val="2"/>
          <w:szCs w:val="44"/>
          <w:lang w:val="zh-CN"/>
        </w:rPr>
        <w:t>应</w:t>
      </w:r>
      <w:r>
        <w:rPr>
          <w:rFonts w:eastAsia="仿宋"/>
          <w:color w:val="auto"/>
          <w:kern w:val="2"/>
          <w:szCs w:val="44"/>
          <w:lang w:val="zh-CN"/>
        </w:rPr>
        <w:t>急资源调查报告</w:t>
      </w:r>
    </w:p>
    <w:p>
      <w:pPr>
        <w:pStyle w:val="2"/>
        <w:jc w:val="center"/>
        <w:rPr>
          <w:rFonts w:ascii="Times New Roman" w:hAnsi="Times New Roman" w:eastAsia="仿宋"/>
          <w:color w:val="auto"/>
          <w:sz w:val="44"/>
          <w:szCs w:val="44"/>
          <w:lang w:val="zh-CN"/>
        </w:rPr>
      </w:pPr>
      <w:r>
        <w:rPr>
          <w:rFonts w:hint="eastAsia" w:ascii="Times New Roman" w:hAnsi="Times New Roman" w:eastAsia="仿宋"/>
          <w:color w:val="auto"/>
          <w:sz w:val="44"/>
          <w:szCs w:val="44"/>
          <w:lang w:val="zh-CN"/>
        </w:rPr>
        <w:t>（第四部分）</w:t>
      </w:r>
    </w:p>
    <w:p>
      <w:pPr>
        <w:rPr>
          <w:rFonts w:eastAsia="楷体_GB2312"/>
          <w:b/>
          <w:color w:val="auto"/>
          <w:sz w:val="30"/>
          <w:szCs w:val="30"/>
        </w:rPr>
      </w:pPr>
    </w:p>
    <w:p>
      <w:pPr>
        <w:pStyle w:val="2"/>
        <w:rPr>
          <w:rFonts w:ascii="Times New Roman" w:hAnsi="Times New Roman" w:eastAsia="楷体_GB2312"/>
          <w:color w:val="auto"/>
          <w:sz w:val="30"/>
          <w:szCs w:val="30"/>
        </w:rPr>
      </w:pPr>
    </w:p>
    <w:p>
      <w:pPr>
        <w:rPr>
          <w:rFonts w:eastAsia="楷体_GB2312"/>
          <w:b/>
          <w:color w:val="auto"/>
          <w:sz w:val="30"/>
          <w:szCs w:val="30"/>
        </w:rPr>
      </w:pPr>
    </w:p>
    <w:p>
      <w:pPr>
        <w:pStyle w:val="2"/>
        <w:rPr>
          <w:rFonts w:ascii="Times New Roman" w:hAnsi="Times New Roman" w:eastAsia="楷体_GB2312"/>
          <w:color w:val="auto"/>
          <w:sz w:val="30"/>
          <w:szCs w:val="30"/>
        </w:rPr>
      </w:pPr>
    </w:p>
    <w:p>
      <w:pPr>
        <w:rPr>
          <w:rFonts w:eastAsia="楷体_GB2312"/>
          <w:b/>
          <w:color w:val="auto"/>
          <w:sz w:val="30"/>
          <w:szCs w:val="30"/>
        </w:rPr>
      </w:pPr>
    </w:p>
    <w:p>
      <w:pPr>
        <w:rPr>
          <w:color w:val="auto"/>
        </w:rPr>
      </w:pPr>
    </w:p>
    <w:p>
      <w:pPr>
        <w:pStyle w:val="7"/>
        <w:rPr>
          <w:color w:val="auto"/>
        </w:rPr>
      </w:pPr>
    </w:p>
    <w:p>
      <w:pPr>
        <w:pStyle w:val="14"/>
        <w:ind w:left="0" w:leftChars="0" w:firstLine="0" w:firstLineChars="0"/>
        <w:rPr>
          <w:color w:val="auto"/>
        </w:rPr>
      </w:pPr>
    </w:p>
    <w:p>
      <w:pPr>
        <w:rPr>
          <w:color w:val="auto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eastAsia="仿宋"/>
          <w:b/>
          <w:bCs/>
          <w:color w:val="auto"/>
          <w:sz w:val="28"/>
          <w:szCs w:val="28"/>
          <w:lang w:eastAsia="zh-CN"/>
        </w:rPr>
        <w:t>咸阳顺天商贸有限公司加油站</w:t>
      </w:r>
    </w:p>
    <w:p>
      <w:pPr>
        <w:adjustRightInd w:val="0"/>
        <w:snapToGrid w:val="0"/>
        <w:spacing w:line="360" w:lineRule="auto"/>
        <w:jc w:val="center"/>
        <w:rPr>
          <w:b/>
          <w:bCs/>
          <w:color w:val="auto"/>
          <w:szCs w:val="28"/>
        </w:rPr>
      </w:pPr>
      <w:r>
        <w:rPr>
          <w:rFonts w:hint="eastAsia" w:eastAsia="仿宋"/>
          <w:b/>
          <w:bCs/>
          <w:color w:val="auto"/>
          <w:sz w:val="28"/>
          <w:szCs w:val="28"/>
        </w:rPr>
        <w:t>2022年0</w:t>
      </w:r>
      <w:r>
        <w:rPr>
          <w:rFonts w:hint="eastAsia" w:eastAsia="仿宋"/>
          <w:b/>
          <w:bCs/>
          <w:color w:val="auto"/>
          <w:sz w:val="28"/>
          <w:szCs w:val="28"/>
          <w:lang w:val="en-US" w:eastAsia="zh-CN"/>
        </w:rPr>
        <w:t>8</w:t>
      </w:r>
      <w:r>
        <w:rPr>
          <w:rFonts w:hint="eastAsia" w:eastAsia="仿宋"/>
          <w:b/>
          <w:bCs/>
          <w:color w:val="auto"/>
          <w:sz w:val="28"/>
          <w:szCs w:val="28"/>
        </w:rPr>
        <w:t>月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eastAsia="楷体_GB2312"/>
          <w:b/>
          <w:color w:val="auto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eastAsia="楷体_GB2312"/>
          <w:b/>
          <w:color w:val="auto"/>
          <w:sz w:val="30"/>
          <w:szCs w:val="30"/>
        </w:rPr>
      </w:pPr>
      <w:r>
        <w:rPr>
          <w:rFonts w:eastAsia="楷体_GB2312"/>
          <w:b/>
          <w:color w:val="auto"/>
          <w:sz w:val="30"/>
          <w:szCs w:val="30"/>
        </w:rPr>
        <w:t>调查概要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"/>
          <w:color w:val="auto"/>
          <w:sz w:val="28"/>
          <w:szCs w:val="24"/>
        </w:rPr>
      </w:pPr>
      <w:r>
        <w:rPr>
          <w:rFonts w:eastAsia="仿宋"/>
          <w:color w:val="auto"/>
          <w:sz w:val="28"/>
          <w:szCs w:val="24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"/>
          <w:color w:val="auto"/>
          <w:sz w:val="28"/>
          <w:szCs w:val="24"/>
        </w:rPr>
      </w:pPr>
      <w:r>
        <w:rPr>
          <w:rFonts w:eastAsia="仿宋"/>
          <w:color w:val="auto"/>
          <w:sz w:val="28"/>
          <w:szCs w:val="24"/>
        </w:rPr>
        <w:t>20</w:t>
      </w:r>
      <w:r>
        <w:rPr>
          <w:rFonts w:hint="eastAsia" w:eastAsia="仿宋"/>
          <w:color w:val="auto"/>
          <w:sz w:val="28"/>
          <w:szCs w:val="24"/>
        </w:rPr>
        <w:t>22</w:t>
      </w:r>
      <w:r>
        <w:rPr>
          <w:rFonts w:eastAsia="仿宋"/>
          <w:color w:val="auto"/>
          <w:sz w:val="28"/>
          <w:szCs w:val="24"/>
        </w:rPr>
        <w:t>年</w:t>
      </w:r>
      <w:r>
        <w:rPr>
          <w:rFonts w:hint="eastAsia" w:eastAsia="仿宋"/>
          <w:color w:val="auto"/>
          <w:sz w:val="28"/>
          <w:szCs w:val="24"/>
          <w:lang w:val="en-US" w:eastAsia="zh-CN"/>
        </w:rPr>
        <w:t>6</w:t>
      </w:r>
      <w:r>
        <w:rPr>
          <w:rFonts w:eastAsia="仿宋"/>
          <w:color w:val="auto"/>
          <w:sz w:val="28"/>
          <w:szCs w:val="24"/>
        </w:rPr>
        <w:t>月</w:t>
      </w:r>
      <w:r>
        <w:rPr>
          <w:rFonts w:hint="eastAsia" w:eastAsia="仿宋"/>
          <w:color w:val="auto"/>
          <w:sz w:val="28"/>
          <w:szCs w:val="24"/>
          <w:lang w:val="en-US" w:eastAsia="zh-CN"/>
        </w:rPr>
        <w:t>1</w:t>
      </w:r>
      <w:r>
        <w:rPr>
          <w:rFonts w:eastAsia="仿宋"/>
          <w:color w:val="auto"/>
          <w:sz w:val="28"/>
          <w:szCs w:val="24"/>
        </w:rPr>
        <w:t>日至20</w:t>
      </w:r>
      <w:r>
        <w:rPr>
          <w:rFonts w:hint="eastAsia" w:eastAsia="仿宋"/>
          <w:color w:val="auto"/>
          <w:sz w:val="28"/>
          <w:szCs w:val="24"/>
        </w:rPr>
        <w:t>22</w:t>
      </w:r>
      <w:r>
        <w:rPr>
          <w:rFonts w:eastAsia="仿宋"/>
          <w:color w:val="auto"/>
          <w:sz w:val="28"/>
          <w:szCs w:val="24"/>
        </w:rPr>
        <w:t>年</w:t>
      </w:r>
      <w:r>
        <w:rPr>
          <w:rFonts w:hint="eastAsia" w:eastAsia="仿宋"/>
          <w:color w:val="auto"/>
          <w:sz w:val="28"/>
          <w:szCs w:val="24"/>
          <w:lang w:val="en-US" w:eastAsia="zh-CN"/>
        </w:rPr>
        <w:t>6</w:t>
      </w:r>
      <w:r>
        <w:rPr>
          <w:rFonts w:eastAsia="仿宋"/>
          <w:color w:val="auto"/>
          <w:sz w:val="28"/>
          <w:szCs w:val="24"/>
        </w:rPr>
        <w:t>月</w:t>
      </w:r>
      <w:r>
        <w:rPr>
          <w:rFonts w:hint="eastAsia" w:eastAsia="仿宋"/>
          <w:color w:val="auto"/>
          <w:sz w:val="28"/>
          <w:szCs w:val="24"/>
          <w:lang w:val="en-US" w:eastAsia="zh-CN"/>
        </w:rPr>
        <w:t>30</w:t>
      </w:r>
      <w:r>
        <w:rPr>
          <w:rFonts w:eastAsia="仿宋"/>
          <w:color w:val="auto"/>
          <w:sz w:val="28"/>
          <w:szCs w:val="24"/>
        </w:rPr>
        <w:t>日，对本加油站范围内的环境</w:t>
      </w:r>
      <w:r>
        <w:rPr>
          <w:rFonts w:hint="eastAsia" w:eastAsia="仿宋"/>
          <w:color w:val="auto"/>
          <w:sz w:val="28"/>
          <w:szCs w:val="24"/>
        </w:rPr>
        <w:t>应急</w:t>
      </w:r>
      <w:r>
        <w:rPr>
          <w:rFonts w:eastAsia="仿宋"/>
          <w:color w:val="auto"/>
          <w:sz w:val="28"/>
          <w:szCs w:val="24"/>
        </w:rPr>
        <w:t>资源进行了摸底，查清了加油站存储的环境应急资源的种类、数量和存储位置，便于突发环境事件时调用。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eastAsia="楷体_GB2312"/>
          <w:b/>
          <w:color w:val="auto"/>
          <w:sz w:val="30"/>
          <w:szCs w:val="30"/>
        </w:rPr>
      </w:pPr>
      <w:r>
        <w:rPr>
          <w:rFonts w:eastAsia="楷体_GB2312"/>
          <w:b/>
          <w:color w:val="auto"/>
          <w:sz w:val="30"/>
          <w:szCs w:val="30"/>
        </w:rPr>
        <w:t>调查过程及数据核实</w:t>
      </w:r>
    </w:p>
    <w:p>
      <w:pPr>
        <w:spacing w:line="360" w:lineRule="auto"/>
        <w:ind w:firstLine="560" w:firstLineChars="200"/>
        <w:rPr>
          <w:rFonts w:eastAsia="仿宋"/>
          <w:color w:val="auto"/>
          <w:sz w:val="28"/>
          <w:szCs w:val="22"/>
        </w:rPr>
      </w:pPr>
      <w:r>
        <w:rPr>
          <w:rFonts w:eastAsia="仿宋"/>
          <w:color w:val="auto"/>
          <w:sz w:val="28"/>
          <w:szCs w:val="22"/>
        </w:rPr>
        <w:t>调查启动：202</w:t>
      </w:r>
      <w:r>
        <w:rPr>
          <w:rFonts w:hint="eastAsia" w:eastAsia="仿宋"/>
          <w:color w:val="auto"/>
          <w:sz w:val="28"/>
          <w:szCs w:val="22"/>
        </w:rPr>
        <w:t>2</w:t>
      </w:r>
      <w:r>
        <w:rPr>
          <w:rFonts w:eastAsia="仿宋"/>
          <w:color w:val="auto"/>
          <w:sz w:val="28"/>
          <w:szCs w:val="22"/>
        </w:rPr>
        <w:t>年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6</w:t>
      </w:r>
      <w:r>
        <w:rPr>
          <w:rFonts w:eastAsia="仿宋"/>
          <w:color w:val="auto"/>
          <w:sz w:val="28"/>
          <w:szCs w:val="22"/>
        </w:rPr>
        <w:t>月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1</w:t>
      </w:r>
      <w:r>
        <w:rPr>
          <w:rFonts w:eastAsia="仿宋"/>
          <w:color w:val="auto"/>
          <w:sz w:val="28"/>
          <w:szCs w:val="22"/>
        </w:rPr>
        <w:t>日，加油站通知各部门负责人准时参加筹备会，明确时间、地点和相关材料，应急资源调查工作正式启动；</w:t>
      </w:r>
    </w:p>
    <w:p>
      <w:pPr>
        <w:pStyle w:val="31"/>
        <w:rPr>
          <w:rFonts w:ascii="Times New Roman" w:hAnsi="Times New Roman" w:eastAsia="仿宋" w:cs="Times New Roman"/>
          <w:color w:val="auto"/>
          <w:sz w:val="28"/>
          <w:szCs w:val="22"/>
        </w:rPr>
      </w:pPr>
      <w:r>
        <w:rPr>
          <w:rFonts w:ascii="Times New Roman" w:eastAsia="仿宋" w:cs="Times New Roman"/>
          <w:color w:val="auto"/>
          <w:sz w:val="28"/>
          <w:szCs w:val="22"/>
        </w:rPr>
        <w:t>调查动员：</w:t>
      </w:r>
      <w:r>
        <w:rPr>
          <w:rFonts w:ascii="Times New Roman" w:hAnsi="Times New Roman" w:eastAsia="仿宋" w:cs="Times New Roman"/>
          <w:color w:val="auto"/>
          <w:sz w:val="28"/>
          <w:szCs w:val="22"/>
        </w:rPr>
        <w:t>202</w:t>
      </w:r>
      <w:r>
        <w:rPr>
          <w:rFonts w:hint="eastAsia" w:ascii="Times New Roman" w:hAnsi="Times New Roman" w:eastAsia="仿宋" w:cs="Times New Roman"/>
          <w:color w:val="auto"/>
          <w:sz w:val="28"/>
          <w:szCs w:val="22"/>
        </w:rPr>
        <w:t>2</w:t>
      </w:r>
      <w:r>
        <w:rPr>
          <w:rFonts w:ascii="Times New Roman" w:eastAsia="仿宋" w:cs="Times New Roman"/>
          <w:color w:val="auto"/>
          <w:sz w:val="28"/>
          <w:szCs w:val="22"/>
        </w:rPr>
        <w:t>年</w:t>
      </w:r>
      <w:r>
        <w:rPr>
          <w:rFonts w:hint="eastAsia" w:ascii="Times New Roman" w:hAnsi="Times New Roman" w:eastAsia="仿宋" w:cs="Times New Roman"/>
          <w:color w:val="auto"/>
          <w:sz w:val="28"/>
          <w:szCs w:val="22"/>
          <w:lang w:val="en-US" w:eastAsia="zh-CN"/>
        </w:rPr>
        <w:t>6</w:t>
      </w:r>
      <w:r>
        <w:rPr>
          <w:rFonts w:ascii="Times New Roman" w:eastAsia="仿宋" w:cs="Times New Roman"/>
          <w:color w:val="auto"/>
          <w:sz w:val="28"/>
          <w:szCs w:val="22"/>
        </w:rPr>
        <w:t>月</w:t>
      </w:r>
      <w:r>
        <w:rPr>
          <w:rFonts w:hint="eastAsia" w:ascii="Times New Roman" w:hAnsi="Times New Roman" w:eastAsia="仿宋" w:cs="Times New Roman"/>
          <w:color w:val="auto"/>
          <w:sz w:val="28"/>
          <w:szCs w:val="22"/>
          <w:lang w:val="en-US" w:eastAsia="zh-CN"/>
        </w:rPr>
        <w:t>5</w:t>
      </w:r>
      <w:r>
        <w:rPr>
          <w:rFonts w:ascii="Times New Roman" w:eastAsia="仿宋" w:cs="Times New Roman"/>
          <w:color w:val="auto"/>
          <w:sz w:val="28"/>
          <w:szCs w:val="22"/>
        </w:rPr>
        <w:t>日，</w:t>
      </w:r>
      <w:r>
        <w:rPr>
          <w:rFonts w:ascii="Times New Roman" w:hAnsi="Times New Roman" w:eastAsia="仿宋" w:cs="Times New Roman"/>
          <w:color w:val="auto"/>
          <w:sz w:val="28"/>
          <w:szCs w:val="22"/>
        </w:rPr>
        <w:t>总指挥</w:t>
      </w:r>
      <w:r>
        <w:rPr>
          <w:rFonts w:hint="eastAsia" w:ascii="Times New Roman" w:hAnsi="Times New Roman" w:eastAsia="仿宋" w:cs="Times New Roman"/>
          <w:color w:val="auto"/>
          <w:sz w:val="28"/>
          <w:szCs w:val="22"/>
          <w:lang w:val="en-US" w:eastAsia="zh-CN"/>
        </w:rPr>
        <w:t>陈虎主持</w:t>
      </w:r>
      <w:r>
        <w:rPr>
          <w:rFonts w:ascii="Times New Roman" w:hAnsi="Times New Roman" w:eastAsia="仿宋" w:cs="Times New Roman"/>
          <w:color w:val="auto"/>
          <w:sz w:val="28"/>
          <w:szCs w:val="22"/>
        </w:rPr>
        <w:t>调查筹备会，各部门负责人参加，会议</w:t>
      </w:r>
      <w:r>
        <w:rPr>
          <w:rFonts w:eastAsia="仿宋"/>
          <w:color w:val="auto"/>
          <w:sz w:val="28"/>
          <w:szCs w:val="22"/>
        </w:rPr>
        <w:t>决定调查分为内部与外部两个方向进行，外部主要更新监测加油站、主管部门的相关信息；内部分为人力资源、物质资源、资金三部分，由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周伟忠</w:t>
      </w:r>
      <w:r>
        <w:rPr>
          <w:rFonts w:eastAsia="仿宋"/>
          <w:color w:val="auto"/>
          <w:sz w:val="28"/>
          <w:szCs w:val="22"/>
        </w:rPr>
        <w:t>统筹负责；</w:t>
      </w:r>
    </w:p>
    <w:p>
      <w:pPr>
        <w:spacing w:line="360" w:lineRule="auto"/>
        <w:ind w:firstLine="560" w:firstLineChars="200"/>
        <w:rPr>
          <w:rFonts w:eastAsia="仿宋"/>
          <w:color w:val="auto"/>
          <w:sz w:val="28"/>
          <w:szCs w:val="22"/>
        </w:rPr>
      </w:pPr>
      <w:r>
        <w:rPr>
          <w:rFonts w:eastAsia="仿宋"/>
          <w:color w:val="auto"/>
          <w:sz w:val="28"/>
          <w:szCs w:val="22"/>
        </w:rPr>
        <w:t>调查培训：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周伟忠</w:t>
      </w:r>
      <w:r>
        <w:rPr>
          <w:rFonts w:eastAsia="仿宋"/>
          <w:color w:val="auto"/>
          <w:sz w:val="28"/>
          <w:szCs w:val="22"/>
        </w:rPr>
        <w:t>向各部门负责人、各调查小组传达调查的相关详细情况，安排部署各小组的工作。各小组、部门负责人根据小组、部门的具体情况，分配人员、定制计划；</w:t>
      </w:r>
    </w:p>
    <w:p>
      <w:pPr>
        <w:spacing w:line="360" w:lineRule="auto"/>
        <w:ind w:firstLine="560" w:firstLineChars="200"/>
        <w:rPr>
          <w:rFonts w:eastAsia="仿宋"/>
          <w:color w:val="auto"/>
          <w:sz w:val="28"/>
          <w:szCs w:val="22"/>
        </w:rPr>
      </w:pPr>
      <w:r>
        <w:rPr>
          <w:rFonts w:eastAsia="仿宋"/>
          <w:color w:val="auto"/>
          <w:sz w:val="28"/>
          <w:szCs w:val="22"/>
        </w:rPr>
        <w:t>数据采集：各小组、部门按照安排部署开展工作，对各自生产范围内的应急物资资源展开清查、登记，汇总成表，20</w:t>
      </w:r>
      <w:r>
        <w:rPr>
          <w:rFonts w:hint="eastAsia" w:eastAsia="仿宋"/>
          <w:color w:val="auto"/>
          <w:sz w:val="28"/>
          <w:szCs w:val="22"/>
        </w:rPr>
        <w:t>22</w:t>
      </w:r>
      <w:r>
        <w:rPr>
          <w:rFonts w:eastAsia="仿宋"/>
          <w:color w:val="auto"/>
          <w:sz w:val="28"/>
          <w:szCs w:val="22"/>
        </w:rPr>
        <w:t>年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6</w:t>
      </w:r>
      <w:r>
        <w:rPr>
          <w:rFonts w:eastAsia="仿宋"/>
          <w:color w:val="auto"/>
          <w:sz w:val="28"/>
          <w:szCs w:val="22"/>
        </w:rPr>
        <w:t>月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10</w:t>
      </w:r>
      <w:r>
        <w:rPr>
          <w:rFonts w:eastAsia="仿宋"/>
          <w:color w:val="auto"/>
          <w:sz w:val="28"/>
          <w:szCs w:val="22"/>
        </w:rPr>
        <w:t>日，各部门按照要求对各自所保管的物质资源进行汇总并向小组、部门负责人汇报；20</w:t>
      </w:r>
      <w:r>
        <w:rPr>
          <w:rFonts w:hint="eastAsia" w:eastAsia="仿宋"/>
          <w:color w:val="auto"/>
          <w:sz w:val="28"/>
          <w:szCs w:val="22"/>
        </w:rPr>
        <w:t>22</w:t>
      </w:r>
      <w:r>
        <w:rPr>
          <w:rFonts w:eastAsia="仿宋"/>
          <w:color w:val="auto"/>
          <w:sz w:val="28"/>
          <w:szCs w:val="22"/>
        </w:rPr>
        <w:t>年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6</w:t>
      </w:r>
      <w:r>
        <w:rPr>
          <w:rFonts w:eastAsia="仿宋"/>
          <w:color w:val="auto"/>
          <w:sz w:val="28"/>
          <w:szCs w:val="22"/>
        </w:rPr>
        <w:t>月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15</w:t>
      </w:r>
      <w:r>
        <w:rPr>
          <w:rFonts w:eastAsia="仿宋"/>
          <w:color w:val="auto"/>
          <w:sz w:val="28"/>
          <w:szCs w:val="22"/>
        </w:rPr>
        <w:t>日，加油站对资金完成拨付，设立应急专款；20</w:t>
      </w:r>
      <w:r>
        <w:rPr>
          <w:rFonts w:hint="eastAsia" w:eastAsia="仿宋"/>
          <w:color w:val="auto"/>
          <w:sz w:val="28"/>
          <w:szCs w:val="22"/>
        </w:rPr>
        <w:t>22</w:t>
      </w:r>
      <w:r>
        <w:rPr>
          <w:rFonts w:eastAsia="仿宋"/>
          <w:color w:val="auto"/>
          <w:sz w:val="28"/>
          <w:szCs w:val="22"/>
        </w:rPr>
        <w:t>年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6</w:t>
      </w:r>
      <w:r>
        <w:rPr>
          <w:rFonts w:eastAsia="仿宋"/>
          <w:color w:val="auto"/>
          <w:sz w:val="28"/>
          <w:szCs w:val="22"/>
        </w:rPr>
        <w:t>月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20</w:t>
      </w:r>
      <w:r>
        <w:rPr>
          <w:rFonts w:eastAsia="仿宋"/>
          <w:color w:val="auto"/>
          <w:sz w:val="28"/>
          <w:szCs w:val="22"/>
        </w:rPr>
        <w:t>日，加油站应急小组完成重新架构，梳理各应急小组人员向</w:t>
      </w:r>
      <w:r>
        <w:rPr>
          <w:rFonts w:hint="eastAsia" w:eastAsia="仿宋"/>
          <w:color w:val="auto"/>
          <w:sz w:val="28"/>
          <w:szCs w:val="22"/>
        </w:rPr>
        <w:t>总</w:t>
      </w:r>
      <w:r>
        <w:rPr>
          <w:rFonts w:eastAsia="仿宋"/>
          <w:color w:val="auto"/>
          <w:sz w:val="28"/>
          <w:szCs w:val="22"/>
        </w:rPr>
        <w:t>指挥汇报；2</w:t>
      </w:r>
      <w:r>
        <w:rPr>
          <w:rFonts w:hint="eastAsia" w:eastAsia="仿宋"/>
          <w:color w:val="auto"/>
          <w:sz w:val="28"/>
          <w:szCs w:val="22"/>
        </w:rPr>
        <w:t>022</w:t>
      </w:r>
      <w:r>
        <w:rPr>
          <w:rFonts w:eastAsia="仿宋"/>
          <w:color w:val="auto"/>
          <w:sz w:val="28"/>
          <w:szCs w:val="22"/>
        </w:rPr>
        <w:t>年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6</w:t>
      </w:r>
      <w:r>
        <w:rPr>
          <w:rFonts w:eastAsia="仿宋"/>
          <w:color w:val="auto"/>
          <w:sz w:val="28"/>
          <w:szCs w:val="22"/>
        </w:rPr>
        <w:t>月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25</w:t>
      </w:r>
      <w:r>
        <w:rPr>
          <w:rFonts w:eastAsia="仿宋"/>
          <w:color w:val="auto"/>
          <w:sz w:val="28"/>
          <w:szCs w:val="22"/>
        </w:rPr>
        <w:t>日，</w:t>
      </w:r>
      <w:r>
        <w:rPr>
          <w:rFonts w:hint="eastAsia" w:eastAsia="仿宋"/>
          <w:color w:val="auto"/>
          <w:sz w:val="28"/>
          <w:szCs w:val="22"/>
        </w:rPr>
        <w:t>总</w:t>
      </w:r>
      <w:r>
        <w:rPr>
          <w:rFonts w:eastAsia="仿宋"/>
          <w:color w:val="auto"/>
          <w:sz w:val="28"/>
          <w:szCs w:val="22"/>
        </w:rPr>
        <w:t>指挥将物资资源、资金、人力资源向总指挥汇报。</w:t>
      </w:r>
    </w:p>
    <w:p>
      <w:pPr>
        <w:spacing w:line="360" w:lineRule="auto"/>
        <w:ind w:firstLine="560" w:firstLineChars="200"/>
        <w:rPr>
          <w:rFonts w:eastAsia="仿宋"/>
          <w:color w:val="auto"/>
          <w:sz w:val="28"/>
          <w:szCs w:val="22"/>
        </w:rPr>
      </w:pPr>
      <w:r>
        <w:rPr>
          <w:rFonts w:eastAsia="仿宋"/>
          <w:color w:val="auto"/>
          <w:sz w:val="28"/>
          <w:szCs w:val="22"/>
        </w:rPr>
        <w:t>调查数据分析：</w:t>
      </w:r>
      <w:r>
        <w:rPr>
          <w:rFonts w:hint="eastAsia" w:eastAsia="仿宋"/>
          <w:color w:val="auto"/>
          <w:sz w:val="28"/>
          <w:szCs w:val="22"/>
        </w:rPr>
        <w:t>总</w:t>
      </w:r>
      <w:r>
        <w:rPr>
          <w:rFonts w:eastAsia="仿宋"/>
          <w:color w:val="auto"/>
          <w:sz w:val="28"/>
          <w:szCs w:val="22"/>
        </w:rPr>
        <w:t>指挥主持，各小组、各部分负责人参加，对人力、资金、物资资源进行核对，财务部门对专项资金做简单汇报，应急机构对人员最后确认，外部资源调查上报更新资料；</w:t>
      </w:r>
    </w:p>
    <w:p>
      <w:pPr>
        <w:spacing w:line="360" w:lineRule="auto"/>
        <w:ind w:firstLine="560" w:firstLineChars="200"/>
        <w:rPr>
          <w:rFonts w:eastAsia="仿宋"/>
          <w:color w:val="auto"/>
          <w:sz w:val="28"/>
          <w:szCs w:val="22"/>
        </w:rPr>
      </w:pPr>
      <w:r>
        <w:rPr>
          <w:rFonts w:eastAsia="仿宋"/>
          <w:color w:val="auto"/>
          <w:sz w:val="28"/>
          <w:szCs w:val="22"/>
        </w:rPr>
        <w:t>调查报告编制：总指挥主持，编制小组汇总编制资料，邀请外部加油站协助。20</w:t>
      </w:r>
      <w:r>
        <w:rPr>
          <w:rFonts w:hint="eastAsia" w:eastAsia="仿宋"/>
          <w:color w:val="auto"/>
          <w:sz w:val="28"/>
          <w:szCs w:val="22"/>
        </w:rPr>
        <w:t>22</w:t>
      </w:r>
      <w:r>
        <w:rPr>
          <w:rFonts w:eastAsia="仿宋"/>
          <w:color w:val="auto"/>
          <w:sz w:val="28"/>
          <w:szCs w:val="22"/>
        </w:rPr>
        <w:t>年</w:t>
      </w:r>
      <w:r>
        <w:rPr>
          <w:rFonts w:hint="eastAsia" w:eastAsia="仿宋"/>
          <w:color w:val="auto"/>
          <w:sz w:val="28"/>
          <w:szCs w:val="22"/>
        </w:rPr>
        <w:t>6</w:t>
      </w:r>
      <w:r>
        <w:rPr>
          <w:rFonts w:eastAsia="仿宋"/>
          <w:color w:val="auto"/>
          <w:sz w:val="28"/>
          <w:szCs w:val="22"/>
        </w:rPr>
        <w:t>月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30日</w:t>
      </w:r>
      <w:r>
        <w:rPr>
          <w:rFonts w:eastAsia="仿宋"/>
          <w:color w:val="auto"/>
          <w:sz w:val="28"/>
          <w:szCs w:val="22"/>
        </w:rPr>
        <w:t>，总指挥审核签字，资料下发各部门，相关资料进行备案，调查完成。</w:t>
      </w:r>
    </w:p>
    <w:p>
      <w:pPr>
        <w:spacing w:line="360" w:lineRule="auto"/>
        <w:ind w:firstLine="560" w:firstLineChars="200"/>
        <w:rPr>
          <w:rFonts w:eastAsia="仿宋"/>
          <w:color w:val="auto"/>
          <w:sz w:val="28"/>
          <w:szCs w:val="22"/>
        </w:rPr>
      </w:pPr>
      <w:r>
        <w:rPr>
          <w:rFonts w:eastAsia="仿宋"/>
          <w:color w:val="auto"/>
          <w:sz w:val="28"/>
          <w:szCs w:val="22"/>
        </w:rPr>
        <w:t>质量控制措施：</w:t>
      </w:r>
      <w:r>
        <w:rPr>
          <w:rFonts w:hint="eastAsia" w:ascii="宋体" w:hAnsi="宋体" w:eastAsia="宋体" w:cs="宋体"/>
          <w:color w:val="auto"/>
          <w:sz w:val="28"/>
          <w:szCs w:val="22"/>
        </w:rPr>
        <w:t>①</w:t>
      </w:r>
      <w:r>
        <w:rPr>
          <w:rFonts w:eastAsia="仿宋"/>
          <w:color w:val="auto"/>
          <w:sz w:val="28"/>
          <w:szCs w:val="22"/>
        </w:rPr>
        <w:t>事前控制:做好培训工作，明确调查的目的和标准；专人负责，各自分工，负责人对调查结果负责；明确自己调查的方向和区域；合理安排进度。</w:t>
      </w:r>
      <w:r>
        <w:rPr>
          <w:rFonts w:hint="eastAsia" w:ascii="宋体" w:hAnsi="宋体" w:eastAsia="宋体" w:cs="宋体"/>
          <w:color w:val="auto"/>
          <w:sz w:val="28"/>
          <w:szCs w:val="22"/>
        </w:rPr>
        <w:t>②</w:t>
      </w:r>
      <w:r>
        <w:rPr>
          <w:rFonts w:eastAsia="仿宋"/>
          <w:color w:val="auto"/>
          <w:sz w:val="28"/>
          <w:szCs w:val="22"/>
        </w:rPr>
        <w:t>事中控制：严格按照标准、安排开展工作；按时上报调查结果，负责人对结果进行检核。</w:t>
      </w:r>
      <w:r>
        <w:rPr>
          <w:rFonts w:hint="eastAsia" w:ascii="宋体" w:hAnsi="宋体" w:eastAsia="宋体" w:cs="宋体"/>
          <w:color w:val="auto"/>
          <w:sz w:val="28"/>
          <w:szCs w:val="22"/>
        </w:rPr>
        <w:t>③</w:t>
      </w:r>
      <w:r>
        <w:rPr>
          <w:rFonts w:eastAsia="仿宋"/>
          <w:color w:val="auto"/>
          <w:sz w:val="28"/>
          <w:szCs w:val="22"/>
        </w:rPr>
        <w:t>事后控制：对调查成果进行抽检；对区域重叠、重复统计的、漏记的进行再次核查。</w:t>
      </w:r>
    </w:p>
    <w:p>
      <w:pPr>
        <w:spacing w:line="360" w:lineRule="auto"/>
        <w:ind w:firstLine="560" w:firstLineChars="200"/>
        <w:rPr>
          <w:rFonts w:eastAsia="仿宋"/>
          <w:color w:val="auto"/>
          <w:sz w:val="28"/>
          <w:szCs w:val="22"/>
        </w:rPr>
      </w:pPr>
      <w:r>
        <w:rPr>
          <w:rFonts w:eastAsia="仿宋"/>
          <w:color w:val="auto"/>
          <w:sz w:val="28"/>
          <w:szCs w:val="22"/>
        </w:rPr>
        <w:t>调查结果：经过调查明确了加油站内部、外部应急资源，精简了应急机构。</w:t>
      </w:r>
    </w:p>
    <w:p>
      <w:pPr>
        <w:spacing w:line="360" w:lineRule="auto"/>
        <w:ind w:firstLine="560" w:firstLineChars="200"/>
        <w:rPr>
          <w:rFonts w:eastAsia="仿宋"/>
          <w:color w:val="auto"/>
          <w:sz w:val="28"/>
          <w:szCs w:val="22"/>
        </w:rPr>
      </w:pPr>
      <w:r>
        <w:rPr>
          <w:rFonts w:eastAsia="仿宋"/>
          <w:color w:val="auto"/>
          <w:sz w:val="28"/>
          <w:szCs w:val="22"/>
        </w:rPr>
        <w:t>3.调查结果与结论</w:t>
      </w:r>
    </w:p>
    <w:p>
      <w:pPr>
        <w:spacing w:line="360" w:lineRule="auto"/>
        <w:ind w:firstLine="560" w:firstLineChars="200"/>
        <w:rPr>
          <w:rFonts w:eastAsia="仿宋"/>
          <w:color w:val="auto"/>
          <w:sz w:val="28"/>
          <w:szCs w:val="22"/>
        </w:rPr>
      </w:pPr>
      <w:r>
        <w:rPr>
          <w:rFonts w:eastAsia="仿宋"/>
          <w:color w:val="auto"/>
          <w:sz w:val="28"/>
          <w:szCs w:val="22"/>
        </w:rPr>
        <w:t>《</w:t>
      </w:r>
      <w:r>
        <w:rPr>
          <w:rFonts w:hint="eastAsia" w:eastAsia="仿宋"/>
          <w:color w:val="auto"/>
          <w:sz w:val="28"/>
          <w:szCs w:val="22"/>
          <w:lang w:eastAsia="zh-CN"/>
        </w:rPr>
        <w:t>咸阳顺天商贸有限公司加油站</w:t>
      </w:r>
      <w:r>
        <w:rPr>
          <w:rFonts w:eastAsia="仿宋"/>
          <w:color w:val="auto"/>
          <w:sz w:val="28"/>
          <w:szCs w:val="22"/>
        </w:rPr>
        <w:t>突发环境事件风险评估报告》评定加油站风险等级为</w:t>
      </w:r>
      <w:r>
        <w:rPr>
          <w:rFonts w:hint="eastAsia" w:eastAsia="仿宋"/>
          <w:color w:val="auto"/>
          <w:sz w:val="28"/>
          <w:szCs w:val="22"/>
        </w:rPr>
        <w:t>一般环境风险等级</w:t>
      </w:r>
      <w:r>
        <w:rPr>
          <w:rFonts w:eastAsia="仿宋"/>
          <w:color w:val="auto"/>
          <w:sz w:val="28"/>
          <w:szCs w:val="22"/>
        </w:rPr>
        <w:t>。本次应急资源调查从“人、财、物”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>
      <w:pPr>
        <w:spacing w:line="360" w:lineRule="auto"/>
        <w:ind w:firstLine="560" w:firstLineChars="200"/>
        <w:rPr>
          <w:rFonts w:eastAsia="仿宋"/>
          <w:color w:val="auto"/>
          <w:sz w:val="28"/>
          <w:szCs w:val="22"/>
        </w:rPr>
      </w:pPr>
      <w:r>
        <w:rPr>
          <w:rFonts w:eastAsia="仿宋"/>
          <w:color w:val="auto"/>
          <w:sz w:val="28"/>
          <w:szCs w:val="22"/>
        </w:rPr>
        <w:t>应急资源事关重大，加油站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加油站申请特殊补助；专项资金专人管理，不得挪作它用。</w:t>
      </w:r>
    </w:p>
    <w:p>
      <w:pPr>
        <w:numPr>
          <w:ilvl w:val="0"/>
          <w:numId w:val="3"/>
        </w:numPr>
        <w:adjustRightInd w:val="0"/>
        <w:snapToGrid w:val="0"/>
        <w:spacing w:line="240" w:lineRule="auto"/>
        <w:rPr>
          <w:rFonts w:eastAsia="楷体_GB2312"/>
          <w:b/>
          <w:color w:val="auto"/>
          <w:sz w:val="30"/>
          <w:szCs w:val="30"/>
        </w:rPr>
      </w:pPr>
      <w:r>
        <w:rPr>
          <w:rFonts w:hint="eastAsia" w:eastAsia="楷体_GB2312"/>
          <w:b/>
          <w:color w:val="auto"/>
          <w:sz w:val="30"/>
          <w:szCs w:val="30"/>
        </w:rPr>
        <w:t>资源调查结论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textAlignment w:val="auto"/>
        <w:rPr>
          <w:rFonts w:hint="eastAsia" w:eastAsia="仿宋" w:cs="Times New Roman"/>
          <w:color w:val="auto"/>
          <w:sz w:val="28"/>
          <w:szCs w:val="28"/>
          <w:lang w:eastAsia="zh-CN"/>
        </w:rPr>
      </w:pPr>
      <w:r>
        <w:rPr>
          <w:rFonts w:hint="eastAsia" w:eastAsia="仿宋"/>
          <w:color w:val="auto"/>
          <w:sz w:val="28"/>
          <w:szCs w:val="22"/>
        </w:rPr>
        <w:t>根据资源调查结果可知，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本加油站</w:t>
      </w:r>
      <w:r>
        <w:rPr>
          <w:rFonts w:hint="eastAsia" w:eastAsia="仿宋"/>
          <w:color w:val="auto"/>
          <w:sz w:val="28"/>
          <w:szCs w:val="22"/>
        </w:rPr>
        <w:t>环境</w:t>
      </w:r>
      <w:r>
        <w:rPr>
          <w:rFonts w:hint="eastAsia" w:eastAsia="仿宋"/>
          <w:color w:val="auto"/>
          <w:sz w:val="28"/>
          <w:szCs w:val="22"/>
          <w:lang w:val="en-US" w:eastAsia="zh-CN"/>
        </w:rPr>
        <w:t>应急</w:t>
      </w:r>
      <w:r>
        <w:rPr>
          <w:rFonts w:hint="eastAsia" w:eastAsia="仿宋"/>
          <w:color w:val="auto"/>
          <w:sz w:val="28"/>
          <w:szCs w:val="22"/>
        </w:rPr>
        <w:t>物资基本符合要求，</w:t>
      </w:r>
      <w:r>
        <w:rPr>
          <w:rFonts w:hint="eastAsia" w:eastAsia="仿宋" w:cs="Times New Roman"/>
          <w:color w:val="auto"/>
          <w:sz w:val="28"/>
          <w:szCs w:val="28"/>
          <w:lang w:eastAsia="zh-CN"/>
        </w:rPr>
        <w:t>所储备的应急资源可以满足突发环境事件应急需要。</w:t>
      </w:r>
    </w:p>
    <w:p>
      <w:pPr>
        <w:pStyle w:val="14"/>
        <w:ind w:left="0" w:firstLine="560"/>
        <w:rPr>
          <w:rFonts w:eastAsia="仿宋"/>
          <w:color w:val="auto"/>
          <w:sz w:val="28"/>
          <w:szCs w:val="22"/>
        </w:rPr>
      </w:pPr>
    </w:p>
    <w:p>
      <w:pPr>
        <w:adjustRightInd w:val="0"/>
        <w:snapToGrid w:val="0"/>
        <w:spacing w:line="360" w:lineRule="auto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eastAsia="楷体_GB2312"/>
          <w:b/>
          <w:color w:val="auto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rPr>
          <w:b/>
          <w:color w:val="auto"/>
          <w:sz w:val="24"/>
          <w:szCs w:val="24"/>
        </w:rPr>
      </w:pPr>
      <w:r>
        <w:rPr>
          <w:rFonts w:eastAsia="楷体_GB2312"/>
          <w:b/>
          <w:color w:val="auto"/>
          <w:sz w:val="30"/>
          <w:szCs w:val="30"/>
        </w:rPr>
        <w:t>4.调查报告的附件</w:t>
      </w:r>
    </w:p>
    <w:p>
      <w:pPr>
        <w:spacing w:line="360" w:lineRule="auto"/>
        <w:jc w:val="center"/>
        <w:outlineLvl w:val="0"/>
        <w:rPr>
          <w:rFonts w:eastAsia="仿宋"/>
          <w:b/>
          <w:color w:val="auto"/>
          <w:sz w:val="24"/>
          <w:szCs w:val="24"/>
        </w:rPr>
      </w:pPr>
      <w:bookmarkStart w:id="0" w:name="_Toc24969"/>
      <w:bookmarkStart w:id="1" w:name="_Toc3054_WPSOffice_Level1"/>
      <w:r>
        <w:rPr>
          <w:rFonts w:hint="eastAsia" w:eastAsia="仿宋"/>
          <w:b/>
          <w:color w:val="auto"/>
          <w:sz w:val="24"/>
          <w:szCs w:val="24"/>
        </w:rPr>
        <w:t>环境应急资源调查报告表</w:t>
      </w:r>
      <w:bookmarkEnd w:id="0"/>
      <w:bookmarkEnd w:id="1"/>
    </w:p>
    <w:tbl>
      <w:tblPr>
        <w:tblStyle w:val="15"/>
        <w:tblW w:w="84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2561"/>
        <w:gridCol w:w="1980"/>
        <w:gridCol w:w="21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1" w:hRule="atLeast"/>
          <w:jc w:val="center"/>
        </w:trPr>
        <w:tc>
          <w:tcPr>
            <w:tcW w:w="846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4"/>
              </w:numPr>
              <w:spacing w:line="360" w:lineRule="auto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调查概述</w:t>
            </w:r>
          </w:p>
          <w:p>
            <w:pPr>
              <w:spacing w:line="360" w:lineRule="auto"/>
              <w:ind w:firstLine="420" w:firstLineChars="200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在任何活动中都有可能发生事故，尤其是随着现代化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医药</w:t>
            </w:r>
            <w:r>
              <w:rPr>
                <w:rFonts w:eastAsia="仿宋"/>
                <w:color w:val="auto"/>
                <w:sz w:val="21"/>
                <w:szCs w:val="21"/>
              </w:rPr>
              <w:t>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应急资源调查报告可以更好的核查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公司</w:t>
            </w:r>
            <w:r>
              <w:rPr>
                <w:rFonts w:eastAsia="仿宋"/>
                <w:color w:val="auto"/>
                <w:sz w:val="21"/>
                <w:szCs w:val="21"/>
              </w:rPr>
              <w:t>应急资源和救援队伍，查找应急处理程序漏洞，使得在发生突发环境事件后能够及时获得应急所需人员、设备、药剂等资源，把突发环境事件及时消除，确保对环境影响降到最低。</w:t>
            </w:r>
          </w:p>
          <w:p>
            <w:pPr>
              <w:spacing w:line="360" w:lineRule="auto"/>
              <w:ind w:firstLine="420" w:firstLineChars="200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</w:rPr>
              <w:t>202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日至202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日，对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本公司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内的环境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应急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资源进行了摸底，查清了单位存储的环境应急资源的种类、数量和存储位置，便于突发环境事件时调用。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left="0" w:leftChars="0" w:firstLine="210" w:firstLineChars="100"/>
              <w:jc w:val="both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调查开始时间</w:t>
            </w:r>
          </w:p>
        </w:tc>
        <w:tc>
          <w:tcPr>
            <w:tcW w:w="25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20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eastAsia="仿宋"/>
                <w:color w:val="auto"/>
                <w:sz w:val="21"/>
                <w:szCs w:val="21"/>
              </w:rPr>
              <w:t>日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left="0" w:leftChars="0" w:firstLine="210" w:firstLineChars="100"/>
              <w:jc w:val="both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调查结束时间</w:t>
            </w:r>
          </w:p>
        </w:tc>
        <w:tc>
          <w:tcPr>
            <w:tcW w:w="21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left="0" w:leftChars="0" w:firstLine="210" w:firstLineChars="100"/>
              <w:jc w:val="both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20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eastAsia="仿宋"/>
                <w:color w:val="auto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left="0" w:leftChars="0" w:firstLine="0" w:firstLineChars="0"/>
              <w:jc w:val="both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调查负责人姓名</w:t>
            </w:r>
          </w:p>
        </w:tc>
        <w:tc>
          <w:tcPr>
            <w:tcW w:w="25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eastAsia="仿宋"/>
                <w:color w:val="auto"/>
                <w:sz w:val="21"/>
                <w:szCs w:val="21"/>
                <w:lang w:val="en-US" w:eastAsia="zh-CN"/>
              </w:rPr>
              <w:t>周伟忠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left="0" w:leftChars="0" w:firstLine="210" w:firstLineChars="100"/>
              <w:jc w:val="both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调查联系人/电话</w:t>
            </w:r>
          </w:p>
        </w:tc>
        <w:tc>
          <w:tcPr>
            <w:tcW w:w="21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13992833810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  <w:jc w:val="center"/>
        </w:trPr>
        <w:tc>
          <w:tcPr>
            <w:tcW w:w="1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调查过程</w:t>
            </w:r>
          </w:p>
        </w:tc>
        <w:tc>
          <w:tcPr>
            <w:tcW w:w="666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20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eastAsia="仿宋"/>
                <w:color w:val="auto"/>
                <w:sz w:val="21"/>
                <w:szCs w:val="21"/>
              </w:rPr>
              <w:t>日，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公司</w:t>
            </w:r>
            <w:r>
              <w:rPr>
                <w:rFonts w:eastAsia="仿宋"/>
                <w:color w:val="auto"/>
                <w:sz w:val="21"/>
                <w:szCs w:val="21"/>
              </w:rPr>
              <w:t>通知各部分负责人准时参加筹备会，明确时间、地点和相关材料，应急资源调查工作正式启动；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总指挥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陈虎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主持调查筹备会，副指挥及各部门负责人参加，会议决定调查分为内部与外部两个方向进行，外部主要更新监测单位、主管部门的相关信息；内部分为人力资源、物质资源、资金三部分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2.调查结果（调查结果如果为“有”，应附相应调查表）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ind w:left="0" w:leftChars="0" w:firstLine="210" w:firstLineChars="100"/>
              <w:jc w:val="left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应急资源情况</w:t>
            </w:r>
          </w:p>
        </w:tc>
        <w:tc>
          <w:tcPr>
            <w:tcW w:w="666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资源品种：</w:t>
            </w:r>
            <w:r>
              <w:rPr>
                <w:rFonts w:hint="eastAsia" w:eastAsia="仿宋"/>
                <w:color w:val="auto"/>
                <w:sz w:val="21"/>
                <w:szCs w:val="21"/>
                <w:u w:val="single"/>
                <w:lang w:val="en-US" w:eastAsia="zh-CN"/>
              </w:rPr>
              <w:t>14</w:t>
            </w:r>
            <w:r>
              <w:rPr>
                <w:rFonts w:eastAsia="仿宋"/>
                <w:color w:val="auto"/>
                <w:sz w:val="21"/>
                <w:szCs w:val="21"/>
              </w:rPr>
              <w:t>种；</w:t>
            </w:r>
          </w:p>
          <w:p>
            <w:pPr>
              <w:adjustRightInd w:val="0"/>
              <w:snapToGrid w:val="0"/>
              <w:spacing w:line="288" w:lineRule="auto"/>
              <w:jc w:val="left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是否有外部环境应急支持单位：</w:t>
            </w:r>
            <w:r>
              <w:rPr>
                <w:rFonts w:eastAsia="仿宋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color w:val="auto"/>
                <w:sz w:val="21"/>
                <w:szCs w:val="21"/>
              </w:rPr>
              <w:t>有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，</w:t>
            </w:r>
            <w:r>
              <w:rPr>
                <w:rFonts w:hint="eastAsia" w:eastAsia="仿宋"/>
                <w:color w:val="auto"/>
                <w:sz w:val="21"/>
                <w:szCs w:val="21"/>
                <w:u w:val="single"/>
                <w:lang w:val="en-US" w:eastAsia="zh-CN"/>
              </w:rPr>
              <w:t>13</w:t>
            </w:r>
            <w:r>
              <w:rPr>
                <w:rFonts w:eastAsia="仿宋"/>
                <w:color w:val="auto"/>
                <w:sz w:val="21"/>
                <w:szCs w:val="21"/>
              </w:rPr>
              <w:t>家；</w:t>
            </w:r>
            <w:r>
              <w:rPr>
                <w:rFonts w:eastAsia="仿宋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eastAsia="仿宋"/>
                <w:color w:val="auto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3.调查质量控制与管理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846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是否进行了调查信息审核：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有；□无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是否建立了调查信息档案：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有；□无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是否建立了调查更新机制：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有；□无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ascii="黑体" w:hAnsi="黑体" w:eastAsia="黑体"/>
                <w:color w:val="auto"/>
                <w:sz w:val="21"/>
                <w:szCs w:val="21"/>
              </w:rPr>
              <w:t>4.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资源储备与应急需求匹配的分析结论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□完全满足；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满足；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基本满足；□不能满足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/>
                <w:color w:val="auto"/>
                <w:sz w:val="21"/>
                <w:szCs w:val="21"/>
              </w:rPr>
              <w:t>5.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附件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2" w:hRule="atLeast"/>
          <w:jc w:val="center"/>
        </w:trPr>
        <w:tc>
          <w:tcPr>
            <w:tcW w:w="846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93" w:beforeLines="30" w:line="288" w:lineRule="auto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一般包括以下附件：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附件一</w:t>
            </w:r>
            <w:r>
              <w:rPr>
                <w:rFonts w:hint="eastAsia"/>
                <w:b/>
                <w:color w:val="auto"/>
                <w:sz w:val="21"/>
                <w:szCs w:val="21"/>
                <w:lang w:val="en-US" w:eastAsia="zh-CN"/>
              </w:rPr>
              <w:t xml:space="preserve">                    现有</w:t>
            </w:r>
            <w:r>
              <w:rPr>
                <w:rFonts w:hint="eastAsia"/>
                <w:b/>
                <w:color w:val="auto"/>
                <w:sz w:val="21"/>
                <w:szCs w:val="21"/>
              </w:rPr>
              <w:t>环境应急资源/信息汇总表</w:t>
            </w:r>
          </w:p>
          <w:tbl>
            <w:tblPr>
              <w:tblStyle w:val="16"/>
              <w:tblW w:w="8318" w:type="dxa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71"/>
              <w:gridCol w:w="1172"/>
              <w:gridCol w:w="1055"/>
              <w:gridCol w:w="773"/>
              <w:gridCol w:w="1416"/>
              <w:gridCol w:w="1084"/>
              <w:gridCol w:w="906"/>
              <w:gridCol w:w="1441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18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both"/>
                    <w:rPr>
                      <w:rFonts w:hint="default" w:ascii="Times New Roman" w:hAnsi="Times New Roman" w:eastAsia="仿宋" w:cs="Times New Roman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color w:val="auto"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both"/>
                    <w:rPr>
                      <w:rFonts w:hint="default" w:ascii="Times New Roman" w:hAnsi="Times New Roman" w:eastAsia="仿宋" w:cs="Times New Roman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color w:val="auto"/>
                      <w:sz w:val="21"/>
                      <w:szCs w:val="21"/>
                    </w:rPr>
                    <w:t>应急物资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210" w:firstLineChars="100"/>
                    <w:jc w:val="both"/>
                    <w:rPr>
                      <w:rFonts w:hint="eastAsia" w:ascii="Times New Roman" w:hAnsi="Times New Roman" w:eastAsia="仿宋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规格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both"/>
                    <w:rPr>
                      <w:rFonts w:hint="default" w:ascii="Times New Roman" w:hAnsi="Times New Roman" w:eastAsia="仿宋" w:cs="Times New Roman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color w:val="auto"/>
                      <w:sz w:val="21"/>
                      <w:szCs w:val="21"/>
                    </w:rPr>
                    <w:t>数量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210" w:firstLineChars="100"/>
                    <w:jc w:val="both"/>
                    <w:rPr>
                      <w:rFonts w:hint="default" w:ascii="Times New Roman" w:hAnsi="Times New Roman" w:eastAsia="仿宋" w:cs="Times New Roman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color w:val="auto"/>
                      <w:sz w:val="21"/>
                      <w:szCs w:val="21"/>
                    </w:rPr>
                    <w:t>存放位置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both"/>
                    <w:rPr>
                      <w:rFonts w:hint="eastAsia" w:ascii="Times New Roman" w:hAnsi="Times New Roman" w:eastAsia="仿宋" w:cs="Times New Roman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有效性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both"/>
                    <w:rPr>
                      <w:rFonts w:hint="default" w:ascii="Times New Roman" w:hAnsi="Times New Roman" w:eastAsia="仿宋" w:cs="Times New Roman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color w:val="auto"/>
                      <w:sz w:val="21"/>
                      <w:szCs w:val="21"/>
                    </w:rPr>
                    <w:t>负责人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210" w:firstLineChars="100"/>
                    <w:jc w:val="both"/>
                    <w:rPr>
                      <w:rFonts w:hint="default" w:ascii="Times New Roman" w:hAnsi="Times New Roman" w:eastAsia="仿宋" w:cs="Times New Roman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color w:val="auto"/>
                      <w:sz w:val="21"/>
                      <w:szCs w:val="21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推车式干粉灭火器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35kg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3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油罐区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2023年4月15日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手提式干粉灭火器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4kg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16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加油机、配电</w:t>
                  </w:r>
                </w:p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房、营业厅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2023年4月15日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灭火毯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1.5×1.5m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2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油罐区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有效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沙池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m</w:t>
                  </w: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vertAlign w:val="superscript"/>
                      <w:lang w:val="en-US" w:eastAsia="zh-CN" w:bidi="en-US"/>
                    </w:rPr>
                    <w:t>3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1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油罐区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有效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消防锨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个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4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油罐区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有效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消防桶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0.5m</w:t>
                  </w: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vertAlign w:val="superscript"/>
                      <w:lang w:val="en-US" w:eastAsia="zh-CN" w:bidi="en-US"/>
                    </w:rPr>
                    <w:t>3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4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油罐区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有效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  <w:t>7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感烟探测器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/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若干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/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有效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火灾报警器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/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若干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/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有效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一次性手套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/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若干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储物室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有效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安全帽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/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若干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储物室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有效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应急照明灯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/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若干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/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有效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扩音器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/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2 个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储物室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有效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  <w:t>13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吸油毡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/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若干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储物室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有效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47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line="240" w:lineRule="auto"/>
                    <w:ind w:left="0" w:leftChars="0" w:firstLine="0" w:firstLineChars="0"/>
                    <w:jc w:val="center"/>
                    <w:rPr>
                      <w:rFonts w:hint="default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  <w:t>14</w:t>
                  </w:r>
                </w:p>
              </w:tc>
              <w:tc>
                <w:tcPr>
                  <w:tcW w:w="1172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事故应急收集桶</w:t>
                  </w:r>
                </w:p>
              </w:tc>
              <w:tc>
                <w:tcPr>
                  <w:tcW w:w="1055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/</w:t>
                  </w:r>
                </w:p>
              </w:tc>
              <w:tc>
                <w:tcPr>
                  <w:tcW w:w="77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若干</w:t>
                  </w:r>
                </w:p>
              </w:tc>
              <w:tc>
                <w:tcPr>
                  <w:tcW w:w="141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储物室</w:t>
                  </w:r>
                </w:p>
              </w:tc>
              <w:tc>
                <w:tcPr>
                  <w:tcW w:w="1084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有效</w:t>
                  </w:r>
                </w:p>
              </w:tc>
              <w:tc>
                <w:tcPr>
                  <w:tcW w:w="906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44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</w:tbl>
          <w:p>
            <w:pPr>
              <w:pStyle w:val="4"/>
              <w:ind w:left="0" w:leftChars="0" w:firstLine="0" w:firstLineChars="0"/>
              <w:rPr>
                <w:rFonts w:hint="eastAsia"/>
                <w:b/>
                <w:color w:val="auto"/>
                <w:sz w:val="21"/>
                <w:szCs w:val="21"/>
              </w:rPr>
            </w:pP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left"/>
              <w:textAlignment w:val="auto"/>
              <w:rPr>
                <w:rFonts w:eastAsia="仿宋"/>
                <w:b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b/>
                <w:color w:val="auto"/>
                <w:sz w:val="21"/>
                <w:szCs w:val="21"/>
              </w:rPr>
              <w:t>附件二</w:t>
            </w:r>
            <w:r>
              <w:rPr>
                <w:rFonts w:hint="eastAsia" w:eastAsia="仿宋"/>
                <w:b/>
                <w:color w:val="auto"/>
                <w:sz w:val="21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eastAsia="仿宋"/>
                <w:b/>
                <w:color w:val="auto"/>
                <w:sz w:val="21"/>
                <w:szCs w:val="21"/>
              </w:rPr>
              <w:t>应急机构负责人及</w:t>
            </w:r>
            <w:r>
              <w:rPr>
                <w:rFonts w:eastAsia="仿宋"/>
                <w:b/>
                <w:color w:val="auto"/>
                <w:sz w:val="21"/>
                <w:szCs w:val="21"/>
              </w:rPr>
              <w:t>通讯方式</w:t>
            </w:r>
          </w:p>
          <w:tbl>
            <w:tblPr>
              <w:tblStyle w:val="15"/>
              <w:tblW w:w="8328" w:type="dxa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99"/>
              <w:gridCol w:w="1445"/>
              <w:gridCol w:w="1412"/>
              <w:gridCol w:w="1515"/>
              <w:gridCol w:w="2257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97" w:hRule="atLeast"/>
                <w:jc w:val="center"/>
              </w:trPr>
              <w:tc>
                <w:tcPr>
                  <w:tcW w:w="3144" w:type="dxa"/>
                  <w:gridSpan w:val="2"/>
                  <w:tcBorders>
                    <w:top w:val="single" w:color="auto" w:sz="12" w:space="0"/>
                  </w:tcBorders>
                  <w:noWrap w:val="0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auto"/>
                      <w:sz w:val="21"/>
                      <w:szCs w:val="21"/>
                    </w:rPr>
                    <w:t>应急救援小组</w:t>
                  </w:r>
                </w:p>
              </w:tc>
              <w:tc>
                <w:tcPr>
                  <w:tcW w:w="1412" w:type="dxa"/>
                  <w:tcBorders>
                    <w:top w:val="single" w:color="auto" w:sz="12" w:space="0"/>
                  </w:tcBorders>
                  <w:noWrap w:val="0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auto"/>
                      <w:sz w:val="21"/>
                      <w:szCs w:val="21"/>
                    </w:rPr>
                    <w:t>姓名</w:t>
                  </w:r>
                </w:p>
              </w:tc>
              <w:tc>
                <w:tcPr>
                  <w:tcW w:w="1515" w:type="dxa"/>
                  <w:tcBorders>
                    <w:top w:val="single" w:color="auto" w:sz="12" w:space="0"/>
                  </w:tcBorders>
                  <w:noWrap w:val="0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auto"/>
                      <w:sz w:val="21"/>
                      <w:szCs w:val="21"/>
                    </w:rPr>
                    <w:t>职务</w:t>
                  </w:r>
                </w:p>
              </w:tc>
              <w:tc>
                <w:tcPr>
                  <w:tcW w:w="2257" w:type="dxa"/>
                  <w:tcBorders>
                    <w:top w:val="single" w:color="auto" w:sz="12" w:space="0"/>
                  </w:tcBorders>
                  <w:noWrap w:val="0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auto"/>
                      <w:sz w:val="21"/>
                      <w:szCs w:val="21"/>
                    </w:rPr>
                    <w:t>联系方式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97" w:hRule="atLeast"/>
                <w:jc w:val="center"/>
              </w:trPr>
              <w:tc>
                <w:tcPr>
                  <w:tcW w:w="1699" w:type="dxa"/>
                  <w:vMerge w:val="restart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</w:rPr>
                    <w:t>应急指挥部</w:t>
                  </w:r>
                </w:p>
              </w:tc>
              <w:tc>
                <w:tcPr>
                  <w:tcW w:w="1445" w:type="dxa"/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总指挥</w:t>
                  </w:r>
                </w:p>
              </w:tc>
              <w:tc>
                <w:tcPr>
                  <w:tcW w:w="1412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244" w:rightChars="0" w:firstLine="0" w:firstLineChars="0"/>
                    <w:jc w:val="center"/>
                    <w:textAlignment w:val="auto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陈虎</w:t>
                  </w:r>
                </w:p>
              </w:tc>
              <w:tc>
                <w:tcPr>
                  <w:tcW w:w="1515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244" w:righ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法定代表人</w:t>
                  </w:r>
                </w:p>
              </w:tc>
              <w:tc>
                <w:tcPr>
                  <w:tcW w:w="2257" w:type="dxa"/>
                  <w:noWrap w:val="0"/>
                  <w:vAlign w:val="center"/>
                </w:tcPr>
                <w:p>
                  <w:pPr>
                    <w:pStyle w:val="35"/>
                    <w:spacing w:before="99" w:line="240" w:lineRule="auto"/>
                    <w:ind w:left="0" w:leftChars="0" w:right="421" w:rightChars="0"/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13909107878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97" w:hRule="atLeast"/>
                <w:jc w:val="center"/>
              </w:trPr>
              <w:tc>
                <w:tcPr>
                  <w:tcW w:w="1699" w:type="dxa"/>
                  <w:vMerge w:val="continue"/>
                  <w:noWrap w:val="0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1445" w:type="dxa"/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副总指挥</w:t>
                  </w:r>
                </w:p>
              </w:tc>
              <w:tc>
                <w:tcPr>
                  <w:tcW w:w="1412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244" w:rightChars="0" w:firstLine="0" w:firstLineChars="0"/>
                    <w:jc w:val="center"/>
                    <w:textAlignment w:val="auto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周伟忠</w:t>
                  </w:r>
                </w:p>
              </w:tc>
              <w:tc>
                <w:tcPr>
                  <w:tcW w:w="1515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244" w:rightChars="0" w:firstLine="0" w:firstLineChars="0"/>
                    <w:jc w:val="center"/>
                    <w:textAlignment w:val="auto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站长</w:t>
                  </w:r>
                </w:p>
              </w:tc>
              <w:tc>
                <w:tcPr>
                  <w:tcW w:w="2257" w:type="dxa"/>
                  <w:noWrap w:val="0"/>
                  <w:vAlign w:val="center"/>
                </w:tcPr>
                <w:p>
                  <w:pPr>
                    <w:pStyle w:val="35"/>
                    <w:spacing w:before="112" w:line="240" w:lineRule="auto"/>
                    <w:ind w:left="0" w:leftChars="0" w:right="421" w:rightChars="0"/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13992833810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97" w:hRule="atLeast"/>
                <w:jc w:val="center"/>
              </w:trPr>
              <w:tc>
                <w:tcPr>
                  <w:tcW w:w="1699" w:type="dxa"/>
                  <w:vMerge w:val="restart"/>
                  <w:noWrap w:val="0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现场处置组</w:t>
                  </w:r>
                </w:p>
              </w:tc>
              <w:tc>
                <w:tcPr>
                  <w:tcW w:w="1445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组长</w:t>
                  </w:r>
                </w:p>
              </w:tc>
              <w:tc>
                <w:tcPr>
                  <w:tcW w:w="1412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244" w:righ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贺丽娟</w:t>
                  </w:r>
                </w:p>
              </w:tc>
              <w:tc>
                <w:tcPr>
                  <w:tcW w:w="1515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244" w:righ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总班长</w:t>
                  </w:r>
                </w:p>
              </w:tc>
              <w:tc>
                <w:tcPr>
                  <w:tcW w:w="2257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420" w:rightChars="0"/>
                    <w:jc w:val="center"/>
                    <w:textAlignment w:val="auto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15336119370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97" w:hRule="atLeast"/>
                <w:jc w:val="center"/>
              </w:trPr>
              <w:tc>
                <w:tcPr>
                  <w:tcW w:w="1699" w:type="dxa"/>
                  <w:vMerge w:val="continue"/>
                  <w:noWrap w:val="0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</w:pPr>
                </w:p>
              </w:tc>
              <w:tc>
                <w:tcPr>
                  <w:tcW w:w="1445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组员</w:t>
                  </w:r>
                </w:p>
              </w:tc>
              <w:tc>
                <w:tcPr>
                  <w:tcW w:w="1412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244" w:rightChars="0" w:firstLine="0" w:firstLineChars="0"/>
                    <w:jc w:val="center"/>
                    <w:textAlignment w:val="auto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李荣景</w:t>
                  </w:r>
                </w:p>
              </w:tc>
              <w:tc>
                <w:tcPr>
                  <w:tcW w:w="1515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244" w:rightChars="0" w:firstLine="0" w:firstLineChars="0"/>
                    <w:jc w:val="center"/>
                    <w:textAlignment w:val="auto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安全员</w:t>
                  </w:r>
                </w:p>
              </w:tc>
              <w:tc>
                <w:tcPr>
                  <w:tcW w:w="2257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420" w:rightChars="0"/>
                    <w:jc w:val="center"/>
                    <w:textAlignment w:val="auto"/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15769298865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97" w:hRule="atLeast"/>
                <w:jc w:val="center"/>
              </w:trPr>
              <w:tc>
                <w:tcPr>
                  <w:tcW w:w="1699" w:type="dxa"/>
                  <w:noWrap w:val="0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应急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保障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组</w:t>
                  </w:r>
                </w:p>
              </w:tc>
              <w:tc>
                <w:tcPr>
                  <w:tcW w:w="1445" w:type="dxa"/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组长</w:t>
                  </w:r>
                </w:p>
              </w:tc>
              <w:tc>
                <w:tcPr>
                  <w:tcW w:w="1412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244" w:rightChars="0" w:firstLine="0" w:firstLineChars="0"/>
                    <w:jc w:val="center"/>
                    <w:textAlignment w:val="auto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边佳慧</w:t>
                  </w:r>
                </w:p>
              </w:tc>
              <w:tc>
                <w:tcPr>
                  <w:tcW w:w="1515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244" w:rightChars="0" w:firstLine="0" w:firstLineChars="0"/>
                    <w:jc w:val="center"/>
                    <w:textAlignment w:val="auto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收银员</w:t>
                  </w:r>
                </w:p>
              </w:tc>
              <w:tc>
                <w:tcPr>
                  <w:tcW w:w="2257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363" w:rightChars="0" w:firstLine="210" w:firstLineChars="100"/>
                    <w:jc w:val="both"/>
                    <w:textAlignment w:val="auto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15570923583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97" w:hRule="atLeast"/>
                <w:jc w:val="center"/>
              </w:trPr>
              <w:tc>
                <w:tcPr>
                  <w:tcW w:w="1699" w:type="dxa"/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left="0" w:leftChars="0" w:firstLine="0" w:firstLine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应急监测组</w:t>
                  </w:r>
                </w:p>
              </w:tc>
              <w:tc>
                <w:tcPr>
                  <w:tcW w:w="1445" w:type="dxa"/>
                  <w:noWrap w:val="0"/>
                  <w:vAlign w:val="center"/>
                </w:tcPr>
                <w:p>
                  <w:pPr>
                    <w:widowControl/>
                    <w:spacing w:line="240" w:lineRule="auto"/>
                    <w:ind w:firstLine="0" w:firstLineChars="0"/>
                    <w:jc w:val="center"/>
                    <w:textAlignment w:val="center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组长</w:t>
                  </w:r>
                </w:p>
              </w:tc>
              <w:tc>
                <w:tcPr>
                  <w:tcW w:w="1412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244" w:rightChars="0" w:firstLine="0" w:firstLineChars="0"/>
                    <w:jc w:val="center"/>
                    <w:textAlignment w:val="auto"/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张晓清</w:t>
                  </w:r>
                </w:p>
              </w:tc>
              <w:tc>
                <w:tcPr>
                  <w:tcW w:w="1515" w:type="dxa"/>
                  <w:noWrap w:val="0"/>
                  <w:vAlign w:val="center"/>
                </w:tcPr>
                <w:p>
                  <w:pPr>
                    <w:pStyle w:val="35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line="240" w:lineRule="auto"/>
                    <w:ind w:left="0" w:leftChars="0" w:right="244" w:righ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  <w:t>副站长</w:t>
                  </w:r>
                </w:p>
              </w:tc>
              <w:tc>
                <w:tcPr>
                  <w:tcW w:w="2257" w:type="dxa"/>
                  <w:noWrap w:val="0"/>
                  <w:vAlign w:val="center"/>
                </w:tcPr>
                <w:p>
                  <w:pPr>
                    <w:pStyle w:val="35"/>
                    <w:spacing w:before="139" w:line="240" w:lineRule="auto"/>
                    <w:ind w:left="0" w:leftChars="0" w:right="361" w:rightChars="0"/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kern w:val="0"/>
                      <w:sz w:val="21"/>
                      <w:szCs w:val="21"/>
                      <w:lang w:val="en-US" w:eastAsia="zh-CN" w:bidi="en-US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  <w:t>15505944440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97" w:hRule="atLeast"/>
                <w:jc w:val="center"/>
              </w:trPr>
              <w:tc>
                <w:tcPr>
                  <w:tcW w:w="8328" w:type="dxa"/>
                  <w:gridSpan w:val="5"/>
                  <w:noWrap w:val="0"/>
                  <w:vAlign w:val="center"/>
                </w:tcPr>
                <w:p>
                  <w:pPr>
                    <w:pStyle w:val="35"/>
                    <w:spacing w:before="139" w:line="240" w:lineRule="auto"/>
                    <w:ind w:left="0" w:leftChars="0" w:right="361" w:rightChars="0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color w:val="auto"/>
                      <w:sz w:val="21"/>
                      <w:szCs w:val="21"/>
                    </w:rPr>
                    <w:t>应急指挥部 24 小时联系电话：029-33124703</w:t>
                  </w:r>
                </w:p>
              </w:tc>
            </w:tr>
          </w:tbl>
          <w:p>
            <w:pPr>
              <w:spacing w:line="360" w:lineRule="auto"/>
              <w:ind w:left="0" w:leftChars="0" w:firstLine="0" w:firstLineChars="0"/>
              <w:jc w:val="both"/>
              <w:rPr>
                <w:rFonts w:eastAsia="仿宋"/>
                <w:b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b/>
                <w:color w:val="auto"/>
                <w:sz w:val="21"/>
                <w:szCs w:val="21"/>
              </w:rPr>
              <w:t>附件三</w:t>
            </w:r>
            <w:r>
              <w:rPr>
                <w:rFonts w:hint="eastAsia"/>
                <w:b/>
                <w:color w:val="auto"/>
                <w:sz w:val="21"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eastAsia" w:eastAsia="仿宋"/>
                <w:b/>
                <w:color w:val="auto"/>
                <w:sz w:val="21"/>
                <w:szCs w:val="21"/>
              </w:rPr>
              <w:t>外部救援单位</w:t>
            </w:r>
            <w:r>
              <w:rPr>
                <w:rFonts w:eastAsia="仿宋"/>
                <w:b/>
                <w:color w:val="auto"/>
                <w:sz w:val="21"/>
                <w:szCs w:val="21"/>
              </w:rPr>
              <w:t>通讯方式</w:t>
            </w:r>
          </w:p>
          <w:tbl>
            <w:tblPr>
              <w:tblStyle w:val="15"/>
              <w:tblW w:w="8302" w:type="dxa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0"/>
              <w:gridCol w:w="3743"/>
              <w:gridCol w:w="314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41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374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西咸新区管委会</w:t>
                  </w:r>
                </w:p>
              </w:tc>
              <w:tc>
                <w:tcPr>
                  <w:tcW w:w="314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029-33186800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41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374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西咸新区秦汉新城管委会</w:t>
                  </w:r>
                </w:p>
              </w:tc>
              <w:tc>
                <w:tcPr>
                  <w:tcW w:w="314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029-33185000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41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374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西安市生态环境局</w:t>
                  </w:r>
                </w:p>
              </w:tc>
              <w:tc>
                <w:tcPr>
                  <w:tcW w:w="314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029-86787866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41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374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西安市环境监测站</w:t>
                  </w:r>
                </w:p>
              </w:tc>
              <w:tc>
                <w:tcPr>
                  <w:tcW w:w="314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029-85910101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41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374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西安市生态环境局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分局</w:t>
                  </w:r>
                </w:p>
              </w:tc>
              <w:tc>
                <w:tcPr>
                  <w:tcW w:w="314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029-33585034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41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374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生态环境局（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秦汉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）工作部</w:t>
                  </w:r>
                </w:p>
              </w:tc>
              <w:tc>
                <w:tcPr>
                  <w:tcW w:w="314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029</w:t>
                  </w: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-331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85030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41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7</w:t>
                  </w:r>
                </w:p>
              </w:tc>
              <w:tc>
                <w:tcPr>
                  <w:tcW w:w="374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西咸新区秦汉新城消防大队</w:t>
                  </w:r>
                </w:p>
              </w:tc>
              <w:tc>
                <w:tcPr>
                  <w:tcW w:w="314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119/029-33185703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41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374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color w:val="auto"/>
                    </w:rPr>
                    <w:fldChar w:fldCharType="begin"/>
                  </w:r>
                  <w:r>
                    <w:rPr>
                      <w:color w:val="auto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color w:val="auto"/>
                    </w:rPr>
                    <w:fldChar w:fldCharType="separate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西咸新区秦汉新城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安全</w:t>
                  </w: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fldChar w:fldCharType="end"/>
                  </w:r>
                  <w:r>
                    <w:rPr>
                      <w:rFonts w:hint="eastAsia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监管部</w:t>
                  </w:r>
                </w:p>
              </w:tc>
              <w:tc>
                <w:tcPr>
                  <w:tcW w:w="314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fldChar w:fldCharType="begin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fldChar w:fldCharType="separate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110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fldChar w:fldCharType="end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/029- 33185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21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41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9</w:t>
                  </w:r>
                </w:p>
              </w:tc>
              <w:tc>
                <w:tcPr>
                  <w:tcW w:w="374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eastAsia="zh-CN"/>
                    </w:rPr>
                    <w:t>陕西</w:t>
                  </w: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  <w:t>博润检测服务</w:t>
                  </w: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eastAsia="zh-CN"/>
                    </w:rPr>
                    <w:t>有限公司</w:t>
                  </w:r>
                </w:p>
              </w:tc>
              <w:tc>
                <w:tcPr>
                  <w:tcW w:w="314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15291390446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41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10</w:t>
                  </w:r>
                </w:p>
              </w:tc>
              <w:tc>
                <w:tcPr>
                  <w:tcW w:w="374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  <w:t>陕西绿林环保科技有限公司</w:t>
                  </w:r>
                </w:p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  <w:t>（危废单位）</w:t>
                  </w:r>
                </w:p>
              </w:tc>
              <w:tc>
                <w:tcPr>
                  <w:tcW w:w="314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13098133888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41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11</w:t>
                  </w:r>
                </w:p>
              </w:tc>
              <w:tc>
                <w:tcPr>
                  <w:tcW w:w="374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ind w:firstLine="420" w:firstLineChars="200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咸阳路桥工程公司</w:t>
                  </w:r>
                </w:p>
              </w:tc>
              <w:tc>
                <w:tcPr>
                  <w:tcW w:w="314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firstLine="840" w:firstLineChars="400"/>
                    <w:jc w:val="both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13809108213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41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12</w:t>
                  </w:r>
                </w:p>
              </w:tc>
              <w:tc>
                <w:tcPr>
                  <w:tcW w:w="374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ind w:firstLine="420" w:firstLineChars="200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医院</w:t>
                  </w:r>
                </w:p>
              </w:tc>
              <w:tc>
                <w:tcPr>
                  <w:tcW w:w="314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120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41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13</w:t>
                  </w:r>
                </w:p>
              </w:tc>
              <w:tc>
                <w:tcPr>
                  <w:tcW w:w="3743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jc w:val="center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环保热线</w:t>
                  </w:r>
                </w:p>
              </w:tc>
              <w:tc>
                <w:tcPr>
                  <w:tcW w:w="314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3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12369</w:t>
                  </w:r>
                </w:p>
              </w:tc>
            </w:tr>
          </w:tbl>
          <w:p>
            <w:pPr>
              <w:pStyle w:val="33"/>
              <w:rPr>
                <w:rFonts w:hint="eastAsia"/>
                <w:b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0" w:leftChars="0" w:firstLine="0" w:firstLineChars="0"/>
              <w:jc w:val="both"/>
              <w:rPr>
                <w:rFonts w:eastAsia="仿宋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lang w:val="en-US" w:eastAsia="zh-CN"/>
              </w:rPr>
              <w:t xml:space="preserve">附件四                 </w:t>
            </w:r>
            <w:r>
              <w:rPr>
                <w:rFonts w:hint="eastAsia"/>
                <w:b/>
                <w:color w:val="auto"/>
                <w:sz w:val="21"/>
                <w:szCs w:val="21"/>
                <w:lang w:eastAsia="zh-CN"/>
              </w:rPr>
              <w:t>环境应急资源管理维护更新制度</w:t>
            </w:r>
          </w:p>
          <w:tbl>
            <w:tblPr>
              <w:tblStyle w:val="15"/>
              <w:tblW w:w="8279" w:type="dxa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7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5" w:hRule="atLeast"/>
                <w:jc w:val="center"/>
              </w:trPr>
              <w:tc>
                <w:tcPr>
                  <w:tcW w:w="8279" w:type="dxa"/>
                  <w:noWrap w:val="0"/>
                  <w:vAlign w:val="top"/>
                </w:tcPr>
                <w:p>
                  <w:pPr>
                    <w:pStyle w:val="34"/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hint="eastAsia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应急物资储备的品种包括：灭火器、防护服、灭火器等。</w:t>
                  </w:r>
                </w:p>
                <w:p>
                  <w:pPr>
                    <w:pStyle w:val="34"/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hint="default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应急物资储备数量由站长根据应急预案要求及实际需要配置，科学合理确定物资储备的种类、方式和数量，加强实物储备。</w:t>
                  </w:r>
                </w:p>
                <w:p>
                  <w:pPr>
                    <w:pStyle w:val="34"/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hint="eastAsia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库房管理员负责应急物资的保管、维修、使用和管理。</w:t>
                  </w:r>
                </w:p>
                <w:p>
                  <w:pPr>
                    <w:pStyle w:val="34"/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hint="default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站长负责制定应急物资储备的具体管理制度，坚持“谁主管，谁负责”的原则，做到“专业管理，保障急需、专物专用”。库房管理员负责应急物资的管理、保养、维护和发放，应急物资严禁任何人私自用于日常使用，只有发生突发事故方能使用。</w:t>
                  </w:r>
                </w:p>
                <w:p>
                  <w:pPr>
                    <w:pStyle w:val="34"/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hint="eastAsia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库房管理员负责制定应急物资的保管、维护、补充、更新、调用、归还、接受等制度，严格执行，加强指导，强化督查，确保应急物资不变质、不变坏、不移用。</w:t>
                  </w:r>
                </w:p>
                <w:p>
                  <w:pPr>
                    <w:pStyle w:val="34"/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hint="default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已消耗的应急物资要在规定的时间内，按消耗物资的规格、数量、质量由库房提出申请，行政部审核后重新购置。</w:t>
                  </w:r>
                </w:p>
                <w:p>
                  <w:pPr>
                    <w:pStyle w:val="34"/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hint="default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站长和库房负责对应急物资的申请、采购、储备、管理等环节的监督和检查，对管理混乱、冒领、挪用应急物资等问题，依法依规严肃查处。</w:t>
                  </w:r>
                </w:p>
              </w:tc>
            </w:tr>
          </w:tbl>
          <w:p>
            <w:pPr>
              <w:adjustRightInd w:val="0"/>
              <w:snapToGrid w:val="0"/>
              <w:rPr>
                <w:rFonts w:hint="default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b/>
          <w:color w:val="auto"/>
          <w:sz w:val="24"/>
          <w:szCs w:val="24"/>
        </w:rPr>
      </w:pPr>
    </w:p>
    <w:p>
      <w:pPr>
        <w:rPr>
          <w:b/>
          <w:color w:val="auto"/>
          <w:sz w:val="24"/>
          <w:szCs w:val="24"/>
        </w:rPr>
      </w:pPr>
    </w:p>
    <w:bookmarkEnd w:id="2"/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91547"/>
    <w:multiLevelType w:val="singleLevel"/>
    <w:tmpl w:val="A87915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79B435"/>
    <w:multiLevelType w:val="singleLevel"/>
    <w:tmpl w:val="C379B435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F7CCE716"/>
    <w:multiLevelType w:val="singleLevel"/>
    <w:tmpl w:val="F7CCE7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8AF5F9B"/>
    <w:multiLevelType w:val="singleLevel"/>
    <w:tmpl w:val="F8AF5F9B"/>
    <w:lvl w:ilvl="0" w:tentative="0">
      <w:start w:val="1"/>
      <w:numFmt w:val="bullet"/>
      <w:pStyle w:val="6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4">
    <w:nsid w:val="30171CF2"/>
    <w:multiLevelType w:val="singleLevel"/>
    <w:tmpl w:val="30171C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TBjMzBmY2NkODQzNWUwY2FjOGRmZjU0ZTNkOTM3MGQifQ=="/>
  </w:docVars>
  <w:rsids>
    <w:rsidRoot w:val="0068427A"/>
    <w:rsid w:val="000003C9"/>
    <w:rsid w:val="0000545D"/>
    <w:rsid w:val="00013C74"/>
    <w:rsid w:val="000326FF"/>
    <w:rsid w:val="00033E5E"/>
    <w:rsid w:val="0003754A"/>
    <w:rsid w:val="00047F36"/>
    <w:rsid w:val="00076E93"/>
    <w:rsid w:val="00077763"/>
    <w:rsid w:val="00083B01"/>
    <w:rsid w:val="0009371B"/>
    <w:rsid w:val="000A261F"/>
    <w:rsid w:val="000B10B3"/>
    <w:rsid w:val="000B15DC"/>
    <w:rsid w:val="000D47F0"/>
    <w:rsid w:val="00103C3D"/>
    <w:rsid w:val="001413CC"/>
    <w:rsid w:val="00166F5A"/>
    <w:rsid w:val="001B3384"/>
    <w:rsid w:val="001B4A56"/>
    <w:rsid w:val="00210EC1"/>
    <w:rsid w:val="0022188D"/>
    <w:rsid w:val="00233144"/>
    <w:rsid w:val="00272F8C"/>
    <w:rsid w:val="00273401"/>
    <w:rsid w:val="002A1E0B"/>
    <w:rsid w:val="002D1CB1"/>
    <w:rsid w:val="002D487E"/>
    <w:rsid w:val="002F3968"/>
    <w:rsid w:val="00301E89"/>
    <w:rsid w:val="003339D2"/>
    <w:rsid w:val="00333A98"/>
    <w:rsid w:val="003802C2"/>
    <w:rsid w:val="003932CA"/>
    <w:rsid w:val="004309B4"/>
    <w:rsid w:val="00507F61"/>
    <w:rsid w:val="00554B4E"/>
    <w:rsid w:val="005A75E0"/>
    <w:rsid w:val="0064610A"/>
    <w:rsid w:val="00654BD5"/>
    <w:rsid w:val="00660033"/>
    <w:rsid w:val="0068427A"/>
    <w:rsid w:val="00694125"/>
    <w:rsid w:val="00726188"/>
    <w:rsid w:val="00771F90"/>
    <w:rsid w:val="00776A1E"/>
    <w:rsid w:val="00790683"/>
    <w:rsid w:val="007C44A1"/>
    <w:rsid w:val="007E61D4"/>
    <w:rsid w:val="007F71E5"/>
    <w:rsid w:val="00800303"/>
    <w:rsid w:val="00812715"/>
    <w:rsid w:val="00815828"/>
    <w:rsid w:val="00850109"/>
    <w:rsid w:val="00857B69"/>
    <w:rsid w:val="00881862"/>
    <w:rsid w:val="008A2222"/>
    <w:rsid w:val="008C67FE"/>
    <w:rsid w:val="008E74A1"/>
    <w:rsid w:val="00913BC8"/>
    <w:rsid w:val="0093181A"/>
    <w:rsid w:val="009512F5"/>
    <w:rsid w:val="009C1F3B"/>
    <w:rsid w:val="009E7BC3"/>
    <w:rsid w:val="00A57ED7"/>
    <w:rsid w:val="00A60F8F"/>
    <w:rsid w:val="00AB6CD5"/>
    <w:rsid w:val="00AC5A20"/>
    <w:rsid w:val="00AF489E"/>
    <w:rsid w:val="00B077DB"/>
    <w:rsid w:val="00B31906"/>
    <w:rsid w:val="00B47D6F"/>
    <w:rsid w:val="00B6475D"/>
    <w:rsid w:val="00B84327"/>
    <w:rsid w:val="00BC4D19"/>
    <w:rsid w:val="00BD2967"/>
    <w:rsid w:val="00BD7560"/>
    <w:rsid w:val="00C114A5"/>
    <w:rsid w:val="00C20BA2"/>
    <w:rsid w:val="00C2347E"/>
    <w:rsid w:val="00C50F12"/>
    <w:rsid w:val="00C97F30"/>
    <w:rsid w:val="00CE7C57"/>
    <w:rsid w:val="00D149F7"/>
    <w:rsid w:val="00D71107"/>
    <w:rsid w:val="00DB7361"/>
    <w:rsid w:val="00DC32D1"/>
    <w:rsid w:val="00DE04BA"/>
    <w:rsid w:val="00E15E37"/>
    <w:rsid w:val="00E24D02"/>
    <w:rsid w:val="00E27CEB"/>
    <w:rsid w:val="00E36492"/>
    <w:rsid w:val="00E373AC"/>
    <w:rsid w:val="00E37F8B"/>
    <w:rsid w:val="00E538E6"/>
    <w:rsid w:val="00E727B7"/>
    <w:rsid w:val="00EC7B36"/>
    <w:rsid w:val="00ED0371"/>
    <w:rsid w:val="00ED1B13"/>
    <w:rsid w:val="00EF1CC0"/>
    <w:rsid w:val="00EF56F7"/>
    <w:rsid w:val="00FE4726"/>
    <w:rsid w:val="00FF0D70"/>
    <w:rsid w:val="01612FFA"/>
    <w:rsid w:val="01C54728"/>
    <w:rsid w:val="01FE12B9"/>
    <w:rsid w:val="04EC1E2F"/>
    <w:rsid w:val="06A702FC"/>
    <w:rsid w:val="06A905A2"/>
    <w:rsid w:val="078111D3"/>
    <w:rsid w:val="0868491D"/>
    <w:rsid w:val="08E60713"/>
    <w:rsid w:val="09016473"/>
    <w:rsid w:val="0A6842D0"/>
    <w:rsid w:val="0AE51761"/>
    <w:rsid w:val="0BBE4CEF"/>
    <w:rsid w:val="0C08674C"/>
    <w:rsid w:val="0D243A29"/>
    <w:rsid w:val="0DA5797D"/>
    <w:rsid w:val="0E551804"/>
    <w:rsid w:val="103C1C91"/>
    <w:rsid w:val="1258574B"/>
    <w:rsid w:val="1303142B"/>
    <w:rsid w:val="13611370"/>
    <w:rsid w:val="13FE69A1"/>
    <w:rsid w:val="15802E15"/>
    <w:rsid w:val="15CE4632"/>
    <w:rsid w:val="163A7E23"/>
    <w:rsid w:val="169F3029"/>
    <w:rsid w:val="173D7210"/>
    <w:rsid w:val="17EE74E0"/>
    <w:rsid w:val="1858708A"/>
    <w:rsid w:val="190D4735"/>
    <w:rsid w:val="195D4BE0"/>
    <w:rsid w:val="19CD73EF"/>
    <w:rsid w:val="19F93196"/>
    <w:rsid w:val="1A6C6995"/>
    <w:rsid w:val="1B0B23A1"/>
    <w:rsid w:val="1B6133DD"/>
    <w:rsid w:val="1B9C64CF"/>
    <w:rsid w:val="1C1E1D91"/>
    <w:rsid w:val="1C3077E7"/>
    <w:rsid w:val="1C96390F"/>
    <w:rsid w:val="1D72799A"/>
    <w:rsid w:val="1DB13729"/>
    <w:rsid w:val="1F2B2F1F"/>
    <w:rsid w:val="201A64AC"/>
    <w:rsid w:val="203E32AB"/>
    <w:rsid w:val="214146A5"/>
    <w:rsid w:val="21EA55B1"/>
    <w:rsid w:val="220E5EE2"/>
    <w:rsid w:val="24690125"/>
    <w:rsid w:val="246E22D2"/>
    <w:rsid w:val="24843928"/>
    <w:rsid w:val="2487466E"/>
    <w:rsid w:val="26352831"/>
    <w:rsid w:val="26E2621B"/>
    <w:rsid w:val="27525AE6"/>
    <w:rsid w:val="27EF79D0"/>
    <w:rsid w:val="285861CA"/>
    <w:rsid w:val="29693FCD"/>
    <w:rsid w:val="29E001BB"/>
    <w:rsid w:val="2A1D3E38"/>
    <w:rsid w:val="2B7D5E68"/>
    <w:rsid w:val="2BDB5C96"/>
    <w:rsid w:val="2D89574A"/>
    <w:rsid w:val="2E4C168F"/>
    <w:rsid w:val="2E922CD1"/>
    <w:rsid w:val="2EBE1BDD"/>
    <w:rsid w:val="2F062525"/>
    <w:rsid w:val="2FD30076"/>
    <w:rsid w:val="30116E04"/>
    <w:rsid w:val="30403002"/>
    <w:rsid w:val="30D37E45"/>
    <w:rsid w:val="31116DAB"/>
    <w:rsid w:val="326E6078"/>
    <w:rsid w:val="32E30556"/>
    <w:rsid w:val="34203C77"/>
    <w:rsid w:val="34CA4CAF"/>
    <w:rsid w:val="3585623C"/>
    <w:rsid w:val="35DE1563"/>
    <w:rsid w:val="35E27403"/>
    <w:rsid w:val="36280283"/>
    <w:rsid w:val="363305E6"/>
    <w:rsid w:val="36DF4610"/>
    <w:rsid w:val="3A217E73"/>
    <w:rsid w:val="3AE67581"/>
    <w:rsid w:val="3B420BB6"/>
    <w:rsid w:val="3D6A6205"/>
    <w:rsid w:val="3E5E5F89"/>
    <w:rsid w:val="3E957FFA"/>
    <w:rsid w:val="3EB47508"/>
    <w:rsid w:val="421E46DD"/>
    <w:rsid w:val="4226261D"/>
    <w:rsid w:val="42A7440F"/>
    <w:rsid w:val="42F80640"/>
    <w:rsid w:val="44D55E10"/>
    <w:rsid w:val="45272881"/>
    <w:rsid w:val="45EB7D9E"/>
    <w:rsid w:val="460042C4"/>
    <w:rsid w:val="46610E28"/>
    <w:rsid w:val="467F69CE"/>
    <w:rsid w:val="46A43EC2"/>
    <w:rsid w:val="47417827"/>
    <w:rsid w:val="4A7504FC"/>
    <w:rsid w:val="4B201A81"/>
    <w:rsid w:val="4B980DC3"/>
    <w:rsid w:val="4BA6457A"/>
    <w:rsid w:val="4C5B39BE"/>
    <w:rsid w:val="4C9F5A02"/>
    <w:rsid w:val="4F310701"/>
    <w:rsid w:val="504D7BBC"/>
    <w:rsid w:val="505820B1"/>
    <w:rsid w:val="510C2B8E"/>
    <w:rsid w:val="51600E14"/>
    <w:rsid w:val="516D3725"/>
    <w:rsid w:val="53065BD8"/>
    <w:rsid w:val="53083982"/>
    <w:rsid w:val="553C4693"/>
    <w:rsid w:val="557049F3"/>
    <w:rsid w:val="55ED3CDE"/>
    <w:rsid w:val="56A92124"/>
    <w:rsid w:val="56FD750F"/>
    <w:rsid w:val="57AF256B"/>
    <w:rsid w:val="58041EFC"/>
    <w:rsid w:val="594554D5"/>
    <w:rsid w:val="59D32A19"/>
    <w:rsid w:val="5A45639B"/>
    <w:rsid w:val="5B1B21BB"/>
    <w:rsid w:val="5B9E5287"/>
    <w:rsid w:val="5BD975B7"/>
    <w:rsid w:val="5D211CF2"/>
    <w:rsid w:val="5E4D3949"/>
    <w:rsid w:val="5E5B7FB0"/>
    <w:rsid w:val="5FC60CEF"/>
    <w:rsid w:val="5FDE65C0"/>
    <w:rsid w:val="60562EDE"/>
    <w:rsid w:val="6071736A"/>
    <w:rsid w:val="60B43540"/>
    <w:rsid w:val="61026896"/>
    <w:rsid w:val="611E25DE"/>
    <w:rsid w:val="621166CF"/>
    <w:rsid w:val="624D4635"/>
    <w:rsid w:val="62B05F4C"/>
    <w:rsid w:val="66061CF7"/>
    <w:rsid w:val="666D606B"/>
    <w:rsid w:val="689855F5"/>
    <w:rsid w:val="69651E95"/>
    <w:rsid w:val="698E76AE"/>
    <w:rsid w:val="6A3E45AF"/>
    <w:rsid w:val="6A8F6731"/>
    <w:rsid w:val="6BC91A2F"/>
    <w:rsid w:val="6C35294A"/>
    <w:rsid w:val="6D610FF4"/>
    <w:rsid w:val="6ECE1671"/>
    <w:rsid w:val="6F1D22EE"/>
    <w:rsid w:val="726444EE"/>
    <w:rsid w:val="7368466C"/>
    <w:rsid w:val="74985842"/>
    <w:rsid w:val="76150009"/>
    <w:rsid w:val="769D3E02"/>
    <w:rsid w:val="76ED50C7"/>
    <w:rsid w:val="784917EA"/>
    <w:rsid w:val="79805AD0"/>
    <w:rsid w:val="7CD442F6"/>
    <w:rsid w:val="7E3F13B3"/>
    <w:rsid w:val="7EE57AFA"/>
    <w:rsid w:val="7EFD5193"/>
    <w:rsid w:val="7F3D4AC7"/>
    <w:rsid w:val="7FC2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qFormat="1"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  <w:rPr>
      <w:rFonts w:ascii="宋体" w:hAnsi="等线" w:cs="Times New Roman"/>
      <w:sz w:val="28"/>
      <w:szCs w:val="22"/>
    </w:rPr>
  </w:style>
  <w:style w:type="paragraph" w:styleId="5">
    <w:name w:val="Body Text"/>
    <w:basedOn w:val="1"/>
    <w:next w:val="6"/>
    <w:qFormat/>
    <w:uiPriority w:val="0"/>
  </w:style>
  <w:style w:type="paragraph" w:styleId="6">
    <w:name w:val="List Bullet 5"/>
    <w:basedOn w:val="1"/>
    <w:qFormat/>
    <w:uiPriority w:val="0"/>
    <w:pPr>
      <w:numPr>
        <w:ilvl w:val="0"/>
        <w:numId w:val="1"/>
      </w:numPr>
    </w:pPr>
  </w:style>
  <w:style w:type="paragraph" w:styleId="7">
    <w:name w:val="Body Text Indent"/>
    <w:basedOn w:val="1"/>
    <w:next w:val="8"/>
    <w:qFormat/>
    <w:uiPriority w:val="99"/>
    <w:pPr>
      <w:spacing w:after="120"/>
      <w:ind w:left="420"/>
    </w:pPr>
    <w:rPr>
      <w:szCs w:val="24"/>
    </w:rPr>
  </w:style>
  <w:style w:type="paragraph" w:styleId="8">
    <w:name w:val="Body Text First Indent"/>
    <w:basedOn w:val="5"/>
    <w:next w:val="9"/>
    <w:qFormat/>
    <w:uiPriority w:val="0"/>
    <w:pPr>
      <w:ind w:firstLine="420" w:firstLineChars="100"/>
    </w:pPr>
  </w:style>
  <w:style w:type="paragraph" w:styleId="9">
    <w:name w:val="table of figures"/>
    <w:basedOn w:val="1"/>
    <w:next w:val="1"/>
    <w:unhideWhenUsed/>
    <w:qFormat/>
    <w:uiPriority w:val="99"/>
  </w:style>
  <w:style w:type="paragraph" w:styleId="10">
    <w:name w:val="Balloon Text"/>
    <w:basedOn w:val="1"/>
    <w:link w:val="29"/>
    <w:qFormat/>
    <w:uiPriority w:val="0"/>
    <w:rPr>
      <w:sz w:val="18"/>
      <w:szCs w:val="18"/>
    </w:rPr>
  </w:style>
  <w:style w:type="paragraph" w:styleId="11">
    <w:name w:val="footer"/>
    <w:basedOn w:val="1"/>
    <w:link w:val="2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</w:rPr>
  </w:style>
  <w:style w:type="paragraph" w:styleId="14">
    <w:name w:val="Body Text First Indent 2"/>
    <w:basedOn w:val="7"/>
    <w:next w:val="1"/>
    <w:unhideWhenUsed/>
    <w:qFormat/>
    <w:uiPriority w:val="99"/>
    <w:pPr>
      <w:ind w:firstLine="420" w:firstLineChars="200"/>
    </w:pPr>
    <w:rPr>
      <w:rFonts w:eastAsia="宋体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basedOn w:val="17"/>
    <w:qFormat/>
    <w:uiPriority w:val="0"/>
    <w:rPr>
      <w:b/>
      <w:sz w:val="24"/>
      <w:szCs w:val="24"/>
    </w:rPr>
  </w:style>
  <w:style w:type="character" w:styleId="19">
    <w:name w:val="FollowedHyperlink"/>
    <w:basedOn w:val="17"/>
    <w:qFormat/>
    <w:uiPriority w:val="0"/>
    <w:rPr>
      <w:color w:val="333333"/>
      <w:u w:val="none"/>
    </w:rPr>
  </w:style>
  <w:style w:type="character" w:styleId="20">
    <w:name w:val="Emphasis"/>
    <w:basedOn w:val="17"/>
    <w:qFormat/>
    <w:uiPriority w:val="0"/>
    <w:rPr>
      <w:color w:val="CC0000"/>
      <w:sz w:val="24"/>
      <w:szCs w:val="24"/>
    </w:rPr>
  </w:style>
  <w:style w:type="character" w:styleId="21">
    <w:name w:val="Hyperlink"/>
    <w:basedOn w:val="17"/>
    <w:qFormat/>
    <w:uiPriority w:val="0"/>
    <w:rPr>
      <w:color w:val="333333"/>
      <w:u w:val="none"/>
    </w:rPr>
  </w:style>
  <w:style w:type="character" w:styleId="22">
    <w:name w:val="HTML Cite"/>
    <w:basedOn w:val="17"/>
    <w:qFormat/>
    <w:uiPriority w:val="0"/>
    <w:rPr>
      <w:sz w:val="24"/>
      <w:szCs w:val="24"/>
    </w:rPr>
  </w:style>
  <w:style w:type="paragraph" w:customStyle="1" w:styleId="23">
    <w:name w:val="正文文本缩进1"/>
    <w:basedOn w:val="1"/>
    <w:qFormat/>
    <w:uiPriority w:val="0"/>
    <w:pPr>
      <w:adjustRightInd w:val="0"/>
      <w:snapToGrid w:val="0"/>
      <w:spacing w:line="360" w:lineRule="auto"/>
      <w:ind w:firstLine="560" w:firstLineChars="200"/>
    </w:pPr>
    <w:rPr>
      <w:sz w:val="28"/>
    </w:rPr>
  </w:style>
  <w:style w:type="paragraph" w:customStyle="1" w:styleId="24">
    <w:name w:val="Body Text Indent1"/>
    <w:basedOn w:val="1"/>
    <w:qFormat/>
    <w:uiPriority w:val="0"/>
    <w:pPr>
      <w:adjustRightInd w:val="0"/>
      <w:snapToGrid w:val="0"/>
      <w:spacing w:line="360" w:lineRule="auto"/>
      <w:ind w:firstLine="560" w:firstLineChars="200"/>
    </w:pPr>
    <w:rPr>
      <w:sz w:val="28"/>
    </w:rPr>
  </w:style>
  <w:style w:type="paragraph" w:customStyle="1" w:styleId="25">
    <w:name w:val="_Style 1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6">
    <w:name w:val="_Style 1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7">
    <w:name w:val="页眉 Char"/>
    <w:basedOn w:val="17"/>
    <w:link w:val="12"/>
    <w:qFormat/>
    <w:uiPriority w:val="99"/>
    <w:rPr>
      <w:rFonts w:eastAsia="仿宋_GB2312"/>
      <w:kern w:val="2"/>
      <w:sz w:val="18"/>
      <w:szCs w:val="18"/>
    </w:rPr>
  </w:style>
  <w:style w:type="character" w:customStyle="1" w:styleId="28">
    <w:name w:val="页脚 Char"/>
    <w:basedOn w:val="17"/>
    <w:link w:val="11"/>
    <w:qFormat/>
    <w:uiPriority w:val="0"/>
    <w:rPr>
      <w:rFonts w:eastAsia="仿宋_GB2312"/>
      <w:kern w:val="2"/>
      <w:sz w:val="18"/>
      <w:szCs w:val="18"/>
    </w:rPr>
  </w:style>
  <w:style w:type="character" w:customStyle="1" w:styleId="29">
    <w:name w:val="批注框文本 Char"/>
    <w:basedOn w:val="17"/>
    <w:link w:val="10"/>
    <w:qFormat/>
    <w:uiPriority w:val="0"/>
    <w:rPr>
      <w:rFonts w:eastAsia="仿宋_GB2312"/>
      <w:kern w:val="2"/>
      <w:sz w:val="18"/>
      <w:szCs w:val="18"/>
    </w:rPr>
  </w:style>
  <w:style w:type="paragraph" w:customStyle="1" w:styleId="30">
    <w:name w:val="表"/>
    <w:basedOn w:val="1"/>
    <w:qFormat/>
    <w:uiPriority w:val="0"/>
    <w:rPr>
      <w:rFonts w:eastAsia="宋体"/>
      <w:kern w:val="0"/>
      <w:sz w:val="24"/>
    </w:rPr>
  </w:style>
  <w:style w:type="paragraph" w:customStyle="1" w:styleId="31">
    <w:name w:val="正文1"/>
    <w:qFormat/>
    <w:uiPriority w:val="0"/>
    <w:pPr>
      <w:jc w:val="both"/>
    </w:pPr>
    <w:rPr>
      <w:rFonts w:ascii="仿宋" w:hAnsi="仿宋" w:eastAsia="宋体" w:cs="宋体"/>
      <w:kern w:val="2"/>
      <w:sz w:val="21"/>
      <w:szCs w:val="21"/>
      <w:lang w:val="en-US" w:eastAsia="zh-CN" w:bidi="ar-SA"/>
    </w:rPr>
  </w:style>
  <w:style w:type="paragraph" w:customStyle="1" w:styleId="32">
    <w:name w:val="表头"/>
    <w:basedOn w:val="1"/>
    <w:qFormat/>
    <w:uiPriority w:val="0"/>
    <w:pPr>
      <w:adjustRightInd w:val="0"/>
      <w:spacing w:line="240" w:lineRule="auto"/>
      <w:ind w:firstLine="482" w:firstLineChars="200"/>
      <w:jc w:val="center"/>
    </w:pPr>
    <w:rPr>
      <w:b/>
      <w:kern w:val="0"/>
      <w:sz w:val="24"/>
      <w:szCs w:val="28"/>
    </w:rPr>
  </w:style>
  <w:style w:type="paragraph" w:customStyle="1" w:styleId="3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Times New Roman"/>
      <w:color w:val="000000"/>
      <w:sz w:val="24"/>
      <w:szCs w:val="22"/>
      <w:lang w:val="en-US" w:eastAsia="zh-CN" w:bidi="ar-SA"/>
    </w:rPr>
  </w:style>
  <w:style w:type="paragraph" w:customStyle="1" w:styleId="34">
    <w:name w:val="表格文字"/>
    <w:basedOn w:val="1"/>
    <w:next w:val="1"/>
    <w:qFormat/>
    <w:uiPriority w:val="0"/>
    <w:pPr>
      <w:widowControl/>
      <w:snapToGrid w:val="0"/>
      <w:spacing w:line="240" w:lineRule="auto"/>
      <w:jc w:val="center"/>
    </w:pPr>
    <w:rPr>
      <w:rFonts w:cs="Times New Roman"/>
      <w:bCs/>
      <w:sz w:val="21"/>
    </w:rPr>
  </w:style>
  <w:style w:type="paragraph" w:customStyle="1" w:styleId="35">
    <w:name w:val="Table Paragraph"/>
    <w:basedOn w:val="1"/>
    <w:qFormat/>
    <w:uiPriority w:val="1"/>
    <w:pPr>
      <w:spacing w:before="18"/>
      <w:ind w:left="264"/>
      <w:jc w:val="center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817F72-AE4A-44B1-9F16-6833566E13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3360</Words>
  <Characters>3827</Characters>
  <Lines>20</Lines>
  <Paragraphs>5</Paragraphs>
  <TotalTime>2</TotalTime>
  <ScaleCrop>false</ScaleCrop>
  <LinksUpToDate>false</LinksUpToDate>
  <CharactersWithSpaces>3946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2020-10-23T07:23:00Z</dcterms:created>
  <dc:creator>think</dc:creator>
  <cp:lastModifiedBy>开心</cp:lastModifiedBy>
  <dcterms:modified xsi:type="dcterms:W3CDTF">2022-08-26T01:30:49Z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ECE38CEB272D42EB863252D9580530F5</vt:lpwstr>
  </property>
</Properties>
</file>