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52B0" w14:textId="77777777" w:rsidR="00010F9D" w:rsidRDefault="003F6307">
      <w:pPr>
        <w:pStyle w:val="Default"/>
        <w:jc w:val="both"/>
        <w:rPr>
          <w:rFonts w:ascii="Times New Roman" w:eastAsia="仿宋" w:hAnsi="仿宋" w:cs="Times New Roman"/>
          <w:bCs/>
          <w:color w:val="000000" w:themeColor="text1"/>
          <w:sz w:val="30"/>
          <w:szCs w:val="30"/>
        </w:rPr>
      </w:pPr>
      <w:r>
        <w:rPr>
          <w:rFonts w:ascii="Times New Roman" w:eastAsia="仿宋" w:hAnsi="仿宋" w:cs="Times New Roman" w:hint="eastAsia"/>
          <w:bCs/>
          <w:color w:val="000000" w:themeColor="text1"/>
          <w:sz w:val="30"/>
          <w:szCs w:val="30"/>
        </w:rPr>
        <w:t xml:space="preserve">                                          </w:t>
      </w:r>
    </w:p>
    <w:p w14:paraId="4964DCE3" w14:textId="77777777" w:rsidR="00010F9D" w:rsidRDefault="00010F9D">
      <w:pPr>
        <w:pStyle w:val="Default"/>
        <w:jc w:val="both"/>
        <w:rPr>
          <w:rFonts w:ascii="Times New Roman" w:eastAsia="仿宋" w:hAnsi="仿宋" w:cs="Times New Roman"/>
          <w:bCs/>
          <w:color w:val="000000" w:themeColor="text1"/>
          <w:sz w:val="30"/>
          <w:szCs w:val="30"/>
        </w:rPr>
      </w:pPr>
    </w:p>
    <w:p w14:paraId="3D7ADE16" w14:textId="77777777" w:rsidR="00010F9D" w:rsidRDefault="00010F9D">
      <w:pPr>
        <w:pStyle w:val="Default"/>
        <w:jc w:val="both"/>
        <w:rPr>
          <w:rFonts w:ascii="Times New Roman" w:eastAsia="仿宋" w:hAnsi="仿宋" w:cs="Times New Roman"/>
          <w:bCs/>
          <w:color w:val="000000" w:themeColor="text1"/>
          <w:sz w:val="30"/>
          <w:szCs w:val="30"/>
        </w:rPr>
      </w:pPr>
    </w:p>
    <w:p w14:paraId="2DA6C1DE" w14:textId="77777777" w:rsidR="00010F9D" w:rsidRDefault="00010F9D">
      <w:pPr>
        <w:spacing w:line="280" w:lineRule="exact"/>
        <w:ind w:firstLineChars="0" w:firstLine="0"/>
        <w:rPr>
          <w:color w:val="000000" w:themeColor="text1"/>
          <w:szCs w:val="28"/>
        </w:rPr>
      </w:pPr>
    </w:p>
    <w:p w14:paraId="71682D40" w14:textId="34D1D897" w:rsidR="00010F9D" w:rsidRDefault="00C24735">
      <w:pPr>
        <w:spacing w:line="240" w:lineRule="auto"/>
        <w:ind w:right="84" w:firstLineChars="0" w:firstLine="0"/>
        <w:jc w:val="center"/>
        <w:rPr>
          <w:rFonts w:hAnsi="仿宋"/>
          <w:b/>
          <w:bCs/>
          <w:color w:val="000000" w:themeColor="text1"/>
          <w:sz w:val="52"/>
          <w:szCs w:val="52"/>
        </w:rPr>
      </w:pPr>
      <w:r>
        <w:rPr>
          <w:rFonts w:hAnsi="仿宋" w:hint="eastAsia"/>
          <w:b/>
          <w:bCs/>
          <w:color w:val="000000" w:themeColor="text1"/>
          <w:sz w:val="52"/>
          <w:szCs w:val="52"/>
        </w:rPr>
        <w:t>陕西安程合创设备有限公司</w:t>
      </w:r>
    </w:p>
    <w:p w14:paraId="449CD4A7" w14:textId="77777777" w:rsidR="00010F9D" w:rsidRDefault="003F6307">
      <w:pPr>
        <w:spacing w:line="240" w:lineRule="auto"/>
        <w:ind w:right="84" w:firstLineChars="0" w:firstLine="0"/>
        <w:jc w:val="center"/>
        <w:rPr>
          <w:b/>
          <w:bCs/>
          <w:color w:val="000000" w:themeColor="text1"/>
          <w:spacing w:val="1"/>
          <w:sz w:val="52"/>
          <w:szCs w:val="52"/>
        </w:rPr>
      </w:pPr>
      <w:r>
        <w:rPr>
          <w:rFonts w:hAnsi="仿宋"/>
          <w:b/>
          <w:bCs/>
          <w:color w:val="000000" w:themeColor="text1"/>
          <w:spacing w:val="1"/>
          <w:sz w:val="52"/>
          <w:szCs w:val="52"/>
          <w:lang w:val="zh-TW"/>
        </w:rPr>
        <w:t>突发环境事件应急预案编制说明</w:t>
      </w:r>
    </w:p>
    <w:p w14:paraId="4F96F3CB" w14:textId="77777777" w:rsidR="00010F9D" w:rsidRDefault="00010F9D">
      <w:pPr>
        <w:spacing w:line="440" w:lineRule="exact"/>
        <w:ind w:firstLineChars="0" w:firstLine="0"/>
        <w:jc w:val="center"/>
        <w:rPr>
          <w:color w:val="000000" w:themeColor="text1"/>
          <w:sz w:val="44"/>
          <w:szCs w:val="44"/>
        </w:rPr>
      </w:pPr>
    </w:p>
    <w:p w14:paraId="6D138683" w14:textId="77777777" w:rsidR="00010F9D" w:rsidRDefault="00010F9D">
      <w:pPr>
        <w:spacing w:line="440" w:lineRule="exact"/>
        <w:ind w:firstLineChars="0" w:firstLine="0"/>
        <w:jc w:val="center"/>
        <w:rPr>
          <w:color w:val="000000" w:themeColor="text1"/>
          <w:sz w:val="44"/>
          <w:szCs w:val="44"/>
        </w:rPr>
      </w:pPr>
    </w:p>
    <w:p w14:paraId="211C52A4" w14:textId="77777777" w:rsidR="00010F9D" w:rsidRDefault="00010F9D">
      <w:pPr>
        <w:spacing w:line="440" w:lineRule="exact"/>
        <w:ind w:firstLineChars="0" w:firstLine="0"/>
        <w:jc w:val="center"/>
        <w:rPr>
          <w:color w:val="000000" w:themeColor="text1"/>
          <w:sz w:val="44"/>
          <w:szCs w:val="44"/>
        </w:rPr>
      </w:pPr>
    </w:p>
    <w:p w14:paraId="569B2B94" w14:textId="77777777" w:rsidR="00010F9D" w:rsidRDefault="00010F9D">
      <w:pPr>
        <w:spacing w:line="440" w:lineRule="exact"/>
        <w:ind w:firstLineChars="0" w:firstLine="0"/>
        <w:jc w:val="center"/>
        <w:rPr>
          <w:color w:val="000000" w:themeColor="text1"/>
          <w:sz w:val="44"/>
          <w:szCs w:val="44"/>
        </w:rPr>
      </w:pPr>
    </w:p>
    <w:p w14:paraId="19E3A9FB" w14:textId="77777777" w:rsidR="00010F9D" w:rsidRDefault="00010F9D">
      <w:pPr>
        <w:spacing w:line="440" w:lineRule="exact"/>
        <w:ind w:firstLineChars="0" w:firstLine="0"/>
        <w:jc w:val="center"/>
        <w:rPr>
          <w:color w:val="000000" w:themeColor="text1"/>
          <w:sz w:val="44"/>
          <w:szCs w:val="44"/>
        </w:rPr>
      </w:pPr>
    </w:p>
    <w:p w14:paraId="4DFCB429" w14:textId="77777777" w:rsidR="00010F9D" w:rsidRDefault="00010F9D">
      <w:pPr>
        <w:spacing w:line="440" w:lineRule="exact"/>
        <w:ind w:firstLineChars="0" w:firstLine="0"/>
        <w:jc w:val="center"/>
        <w:rPr>
          <w:color w:val="000000" w:themeColor="text1"/>
          <w:sz w:val="44"/>
          <w:szCs w:val="44"/>
        </w:rPr>
      </w:pPr>
    </w:p>
    <w:p w14:paraId="729868A6" w14:textId="77777777" w:rsidR="00010F9D" w:rsidRDefault="00010F9D">
      <w:pPr>
        <w:spacing w:line="440" w:lineRule="exact"/>
        <w:ind w:firstLineChars="0" w:firstLine="0"/>
        <w:jc w:val="center"/>
        <w:rPr>
          <w:color w:val="000000" w:themeColor="text1"/>
          <w:sz w:val="44"/>
          <w:szCs w:val="44"/>
        </w:rPr>
      </w:pPr>
    </w:p>
    <w:p w14:paraId="5BF3ADC0" w14:textId="77777777" w:rsidR="00010F9D" w:rsidRDefault="00010F9D">
      <w:pPr>
        <w:spacing w:line="440" w:lineRule="exact"/>
        <w:ind w:firstLineChars="0" w:firstLine="0"/>
        <w:jc w:val="center"/>
        <w:rPr>
          <w:color w:val="000000" w:themeColor="text1"/>
          <w:sz w:val="44"/>
          <w:szCs w:val="44"/>
        </w:rPr>
      </w:pPr>
    </w:p>
    <w:p w14:paraId="2E5D8BEC" w14:textId="77777777" w:rsidR="00010F9D" w:rsidRDefault="00010F9D">
      <w:pPr>
        <w:spacing w:line="440" w:lineRule="exact"/>
        <w:ind w:firstLineChars="0" w:firstLine="0"/>
        <w:jc w:val="center"/>
        <w:rPr>
          <w:color w:val="000000" w:themeColor="text1"/>
          <w:sz w:val="44"/>
          <w:szCs w:val="44"/>
        </w:rPr>
      </w:pPr>
    </w:p>
    <w:p w14:paraId="55CDA929" w14:textId="77777777" w:rsidR="00010F9D" w:rsidRDefault="00010F9D">
      <w:pPr>
        <w:spacing w:line="440" w:lineRule="exact"/>
        <w:ind w:firstLineChars="0" w:firstLine="0"/>
        <w:jc w:val="center"/>
        <w:rPr>
          <w:color w:val="000000" w:themeColor="text1"/>
          <w:sz w:val="44"/>
          <w:szCs w:val="44"/>
        </w:rPr>
      </w:pPr>
    </w:p>
    <w:p w14:paraId="4DDF6E39" w14:textId="77777777" w:rsidR="00010F9D" w:rsidRDefault="00010F9D">
      <w:pPr>
        <w:spacing w:line="440" w:lineRule="exact"/>
        <w:ind w:firstLineChars="0" w:firstLine="0"/>
        <w:jc w:val="center"/>
        <w:rPr>
          <w:color w:val="000000" w:themeColor="text1"/>
          <w:sz w:val="44"/>
          <w:szCs w:val="44"/>
        </w:rPr>
      </w:pPr>
    </w:p>
    <w:p w14:paraId="0F9462DE" w14:textId="77777777" w:rsidR="00010F9D" w:rsidRDefault="00010F9D">
      <w:pPr>
        <w:spacing w:line="440" w:lineRule="exact"/>
        <w:ind w:firstLineChars="0" w:firstLine="0"/>
        <w:jc w:val="center"/>
        <w:rPr>
          <w:color w:val="000000" w:themeColor="text1"/>
          <w:sz w:val="44"/>
          <w:szCs w:val="44"/>
        </w:rPr>
      </w:pPr>
    </w:p>
    <w:p w14:paraId="4AA1902D" w14:textId="77777777" w:rsidR="00010F9D" w:rsidRDefault="00010F9D">
      <w:pPr>
        <w:spacing w:line="440" w:lineRule="exact"/>
        <w:ind w:firstLineChars="0" w:firstLine="0"/>
        <w:jc w:val="center"/>
        <w:rPr>
          <w:color w:val="000000" w:themeColor="text1"/>
          <w:sz w:val="44"/>
          <w:szCs w:val="44"/>
        </w:rPr>
      </w:pPr>
    </w:p>
    <w:p w14:paraId="3324EAA9" w14:textId="77777777" w:rsidR="00010F9D" w:rsidRDefault="00010F9D">
      <w:pPr>
        <w:spacing w:line="440" w:lineRule="exact"/>
        <w:ind w:firstLineChars="0" w:firstLine="0"/>
        <w:jc w:val="center"/>
        <w:rPr>
          <w:color w:val="000000" w:themeColor="text1"/>
          <w:sz w:val="44"/>
          <w:szCs w:val="44"/>
        </w:rPr>
      </w:pPr>
    </w:p>
    <w:p w14:paraId="2A4B26D8" w14:textId="77777777" w:rsidR="00010F9D" w:rsidRDefault="00010F9D">
      <w:pPr>
        <w:spacing w:line="440" w:lineRule="exact"/>
        <w:ind w:firstLineChars="0" w:firstLine="0"/>
        <w:jc w:val="center"/>
        <w:rPr>
          <w:color w:val="000000" w:themeColor="text1"/>
          <w:sz w:val="44"/>
          <w:szCs w:val="44"/>
        </w:rPr>
      </w:pPr>
    </w:p>
    <w:p w14:paraId="201DF0F5" w14:textId="77777777" w:rsidR="00010F9D" w:rsidRDefault="00010F9D">
      <w:pPr>
        <w:spacing w:line="440" w:lineRule="exact"/>
        <w:ind w:firstLineChars="0" w:firstLine="0"/>
        <w:rPr>
          <w:color w:val="000000" w:themeColor="text1"/>
          <w:sz w:val="44"/>
          <w:szCs w:val="44"/>
        </w:rPr>
      </w:pPr>
    </w:p>
    <w:p w14:paraId="37B19B3B" w14:textId="4756145D" w:rsidR="00010F9D" w:rsidRDefault="00C24735">
      <w:pPr>
        <w:ind w:firstLine="883"/>
        <w:jc w:val="center"/>
        <w:rPr>
          <w:rFonts w:ascii="仿宋" w:hAnsi="仿宋" w:cs="仿宋"/>
          <w:b/>
          <w:bCs/>
          <w:sz w:val="44"/>
          <w:szCs w:val="44"/>
        </w:rPr>
      </w:pPr>
      <w:r>
        <w:rPr>
          <w:rFonts w:ascii="仿宋" w:hAnsi="仿宋" w:cs="仿宋" w:hint="eastAsia"/>
          <w:b/>
          <w:bCs/>
          <w:sz w:val="44"/>
          <w:szCs w:val="44"/>
        </w:rPr>
        <w:t>陕西安程合创设备有限公司</w:t>
      </w:r>
    </w:p>
    <w:p w14:paraId="339CF110" w14:textId="7E736C1C" w:rsidR="00010F9D" w:rsidRDefault="003F6307">
      <w:pPr>
        <w:ind w:firstLine="723"/>
        <w:jc w:val="center"/>
        <w:rPr>
          <w:color w:val="000000"/>
          <w:sz w:val="44"/>
          <w:szCs w:val="44"/>
        </w:rPr>
        <w:sectPr w:rsidR="00010F9D">
          <w:headerReference w:type="default" r:id="rId7"/>
          <w:pgSz w:w="11906" w:h="16838"/>
          <w:pgMar w:top="1134" w:right="1418" w:bottom="1134" w:left="1418" w:header="851" w:footer="992" w:gutter="0"/>
          <w:pgNumType w:start="1"/>
          <w:cols w:space="720"/>
          <w:titlePg/>
          <w:docGrid w:type="lines" w:linePitch="312"/>
        </w:sectPr>
      </w:pPr>
      <w:r>
        <w:rPr>
          <w:b/>
          <w:sz w:val="36"/>
          <w:szCs w:val="36"/>
        </w:rPr>
        <w:t>202</w:t>
      </w:r>
      <w:r>
        <w:rPr>
          <w:rFonts w:hint="eastAsia"/>
          <w:b/>
          <w:sz w:val="36"/>
          <w:szCs w:val="36"/>
        </w:rPr>
        <w:t>2</w:t>
      </w:r>
      <w:r>
        <w:rPr>
          <w:b/>
          <w:sz w:val="36"/>
          <w:szCs w:val="36"/>
        </w:rPr>
        <w:t>年</w:t>
      </w:r>
      <w:r w:rsidR="00976D89">
        <w:rPr>
          <w:b/>
          <w:sz w:val="36"/>
          <w:szCs w:val="36"/>
        </w:rPr>
        <w:t>4</w:t>
      </w:r>
      <w:r>
        <w:rPr>
          <w:b/>
          <w:sz w:val="36"/>
          <w:szCs w:val="36"/>
        </w:rPr>
        <w:t>月</w:t>
      </w:r>
    </w:p>
    <w:p w14:paraId="26D8C95B" w14:textId="77777777" w:rsidR="00010F9D" w:rsidRDefault="00010F9D">
      <w:pPr>
        <w:spacing w:line="240" w:lineRule="auto"/>
        <w:ind w:firstLineChars="0" w:firstLine="0"/>
        <w:rPr>
          <w:rFonts w:ascii="宋体" w:eastAsia="宋体" w:hAnsi="宋体"/>
          <w:sz w:val="32"/>
          <w:szCs w:val="32"/>
        </w:rPr>
      </w:pPr>
    </w:p>
    <w:p w14:paraId="65B17A07" w14:textId="77777777" w:rsidR="00010F9D" w:rsidRDefault="003F6307">
      <w:pPr>
        <w:spacing w:line="240" w:lineRule="auto"/>
        <w:ind w:firstLineChars="0" w:firstLine="0"/>
        <w:jc w:val="center"/>
        <w:rPr>
          <w:rFonts w:ascii="宋体" w:eastAsia="宋体" w:hAnsi="宋体"/>
          <w:sz w:val="32"/>
          <w:szCs w:val="32"/>
        </w:rPr>
      </w:pPr>
      <w:r>
        <w:rPr>
          <w:rFonts w:ascii="宋体" w:eastAsia="宋体" w:hAnsi="宋体"/>
          <w:sz w:val="32"/>
          <w:szCs w:val="32"/>
        </w:rPr>
        <w:t>目</w:t>
      </w:r>
      <w:r>
        <w:rPr>
          <w:rFonts w:ascii="宋体" w:eastAsia="宋体" w:hAnsi="宋体" w:hint="eastAsia"/>
          <w:sz w:val="32"/>
          <w:szCs w:val="32"/>
        </w:rPr>
        <w:t xml:space="preserve">   </w:t>
      </w:r>
      <w:r>
        <w:rPr>
          <w:rFonts w:ascii="宋体" w:eastAsia="宋体" w:hAnsi="宋体"/>
          <w:sz w:val="32"/>
          <w:szCs w:val="32"/>
        </w:rPr>
        <w:t>录</w:t>
      </w:r>
      <w:r>
        <w:rPr>
          <w:rFonts w:ascii="宋体" w:eastAsia="宋体" w:hAnsi="宋体" w:hint="eastAsia"/>
          <w:sz w:val="32"/>
          <w:szCs w:val="32"/>
        </w:rPr>
        <w:t xml:space="preserve">  </w:t>
      </w:r>
    </w:p>
    <w:p w14:paraId="64A353CE" w14:textId="77777777" w:rsidR="00010F9D" w:rsidRDefault="00010F9D">
      <w:pPr>
        <w:pStyle w:val="Default"/>
      </w:pPr>
    </w:p>
    <w:p w14:paraId="68D2E9F0" w14:textId="77777777" w:rsidR="00010F9D" w:rsidRDefault="00010F9D">
      <w:pPr>
        <w:pStyle w:val="Default"/>
      </w:pPr>
    </w:p>
    <w:p w14:paraId="7E658FCC" w14:textId="77777777" w:rsidR="00010F9D" w:rsidRDefault="003F6307">
      <w:pPr>
        <w:pStyle w:val="TOC1"/>
        <w:tabs>
          <w:tab w:val="right" w:leader="dot" w:pos="8306"/>
        </w:tabs>
        <w:ind w:firstLine="560"/>
      </w:pPr>
      <w:r>
        <w:fldChar w:fldCharType="begin"/>
      </w:r>
      <w:r>
        <w:instrText xml:space="preserve">TOC \o "1-3" \h \u </w:instrText>
      </w:r>
      <w:r>
        <w:fldChar w:fldCharType="separate"/>
      </w:r>
      <w:hyperlink w:anchor="_Toc1021" w:history="1">
        <w:r>
          <w:t>一、预案基本情况</w:t>
        </w:r>
        <w:r>
          <w:tab/>
        </w:r>
        <w:r>
          <w:fldChar w:fldCharType="begin"/>
        </w:r>
        <w:r>
          <w:instrText xml:space="preserve"> PAGEREF _Toc1021 \h </w:instrText>
        </w:r>
        <w:r>
          <w:fldChar w:fldCharType="separate"/>
        </w:r>
        <w:r>
          <w:t>1</w:t>
        </w:r>
        <w:r>
          <w:fldChar w:fldCharType="end"/>
        </w:r>
      </w:hyperlink>
    </w:p>
    <w:p w14:paraId="194A8FBB" w14:textId="77777777" w:rsidR="00010F9D" w:rsidRDefault="000C6BAC">
      <w:pPr>
        <w:pStyle w:val="TOC1"/>
        <w:tabs>
          <w:tab w:val="right" w:leader="dot" w:pos="8306"/>
        </w:tabs>
        <w:ind w:firstLine="560"/>
      </w:pPr>
      <w:hyperlink w:anchor="_Toc28001" w:history="1">
        <w:r w:rsidR="003F6307">
          <w:t>二、应急预案编制过程</w:t>
        </w:r>
        <w:r w:rsidR="003F6307">
          <w:tab/>
        </w:r>
        <w:r w:rsidR="003F6307">
          <w:fldChar w:fldCharType="begin"/>
        </w:r>
        <w:r w:rsidR="003F6307">
          <w:instrText xml:space="preserve"> PAGEREF _Toc28001 \h </w:instrText>
        </w:r>
        <w:r w:rsidR="003F6307">
          <w:fldChar w:fldCharType="separate"/>
        </w:r>
        <w:r w:rsidR="003F6307">
          <w:t>1</w:t>
        </w:r>
        <w:r w:rsidR="003F6307">
          <w:fldChar w:fldCharType="end"/>
        </w:r>
      </w:hyperlink>
    </w:p>
    <w:p w14:paraId="5C78ADE8" w14:textId="77777777" w:rsidR="00010F9D" w:rsidRDefault="000C6BAC">
      <w:pPr>
        <w:pStyle w:val="TOC1"/>
        <w:tabs>
          <w:tab w:val="right" w:leader="dot" w:pos="8306"/>
        </w:tabs>
        <w:ind w:firstLine="560"/>
      </w:pPr>
      <w:hyperlink w:anchor="_Toc3704" w:history="1">
        <w:r w:rsidR="003F6307">
          <w:t>四、编制依据</w:t>
        </w:r>
        <w:r w:rsidR="003F6307">
          <w:tab/>
        </w:r>
        <w:r w:rsidR="003F6307">
          <w:fldChar w:fldCharType="begin"/>
        </w:r>
        <w:r w:rsidR="003F6307">
          <w:instrText xml:space="preserve"> PAGEREF _Toc3704 \h </w:instrText>
        </w:r>
        <w:r w:rsidR="003F6307">
          <w:fldChar w:fldCharType="separate"/>
        </w:r>
        <w:r w:rsidR="003F6307">
          <w:t>4</w:t>
        </w:r>
        <w:r w:rsidR="003F6307">
          <w:fldChar w:fldCharType="end"/>
        </w:r>
      </w:hyperlink>
    </w:p>
    <w:p w14:paraId="1CB4873B" w14:textId="77777777" w:rsidR="00010F9D" w:rsidRDefault="000C6BAC">
      <w:pPr>
        <w:pStyle w:val="TOC1"/>
        <w:tabs>
          <w:tab w:val="right" w:leader="dot" w:pos="8306"/>
        </w:tabs>
        <w:ind w:firstLine="560"/>
      </w:pPr>
      <w:hyperlink w:anchor="_Toc28443" w:history="1">
        <w:r w:rsidR="003F6307">
          <w:t>五、应急预案的主要内容</w:t>
        </w:r>
        <w:r w:rsidR="003F6307">
          <w:tab/>
        </w:r>
        <w:r w:rsidR="003F6307">
          <w:fldChar w:fldCharType="begin"/>
        </w:r>
        <w:r w:rsidR="003F6307">
          <w:instrText xml:space="preserve"> PAGEREF _Toc28443 \h </w:instrText>
        </w:r>
        <w:r w:rsidR="003F6307">
          <w:fldChar w:fldCharType="separate"/>
        </w:r>
        <w:r w:rsidR="003F6307">
          <w:t>4</w:t>
        </w:r>
        <w:r w:rsidR="003F6307">
          <w:fldChar w:fldCharType="end"/>
        </w:r>
      </w:hyperlink>
    </w:p>
    <w:p w14:paraId="54B4B621" w14:textId="77777777" w:rsidR="00010F9D" w:rsidRDefault="000C6BAC">
      <w:pPr>
        <w:pStyle w:val="TOC1"/>
        <w:tabs>
          <w:tab w:val="right" w:leader="dot" w:pos="8306"/>
        </w:tabs>
        <w:ind w:firstLine="560"/>
      </w:pPr>
      <w:hyperlink w:anchor="_Toc11886" w:history="1">
        <w:r w:rsidR="003F6307">
          <w:t>六、企业内部征求意见情况、企业内审情况</w:t>
        </w:r>
        <w:r w:rsidR="003F6307">
          <w:tab/>
        </w:r>
        <w:r w:rsidR="003F6307">
          <w:fldChar w:fldCharType="begin"/>
        </w:r>
        <w:r w:rsidR="003F6307">
          <w:instrText xml:space="preserve"> PAGEREF _Toc11886 \h </w:instrText>
        </w:r>
        <w:r w:rsidR="003F6307">
          <w:fldChar w:fldCharType="separate"/>
        </w:r>
        <w:r w:rsidR="003F6307">
          <w:t>6</w:t>
        </w:r>
        <w:r w:rsidR="003F6307">
          <w:fldChar w:fldCharType="end"/>
        </w:r>
      </w:hyperlink>
    </w:p>
    <w:p w14:paraId="33BBE5B5" w14:textId="77777777" w:rsidR="00010F9D" w:rsidRDefault="003F6307">
      <w:pPr>
        <w:pStyle w:val="1"/>
        <w:ind w:firstLine="643"/>
      </w:pPr>
      <w:r>
        <w:fldChar w:fldCharType="end"/>
      </w:r>
    </w:p>
    <w:p w14:paraId="4A6822CD" w14:textId="77777777" w:rsidR="00010F9D" w:rsidRDefault="00010F9D">
      <w:pPr>
        <w:pStyle w:val="1"/>
        <w:ind w:firstLine="643"/>
      </w:pPr>
    </w:p>
    <w:p w14:paraId="180BE858" w14:textId="77777777" w:rsidR="00010F9D" w:rsidRDefault="00010F9D">
      <w:pPr>
        <w:pStyle w:val="1"/>
        <w:ind w:firstLine="643"/>
      </w:pPr>
    </w:p>
    <w:p w14:paraId="1BDD3197" w14:textId="77777777" w:rsidR="00010F9D" w:rsidRDefault="00010F9D">
      <w:pPr>
        <w:ind w:firstLine="560"/>
      </w:pPr>
    </w:p>
    <w:p w14:paraId="0FC43B7C" w14:textId="77777777" w:rsidR="00010F9D" w:rsidRDefault="00010F9D">
      <w:pPr>
        <w:pStyle w:val="Default"/>
      </w:pPr>
    </w:p>
    <w:p w14:paraId="762ABE6A" w14:textId="77777777" w:rsidR="00010F9D" w:rsidRDefault="00010F9D">
      <w:pPr>
        <w:pStyle w:val="Default"/>
      </w:pPr>
    </w:p>
    <w:p w14:paraId="60D7D574" w14:textId="77777777" w:rsidR="00010F9D" w:rsidRDefault="00010F9D">
      <w:pPr>
        <w:pStyle w:val="Default"/>
      </w:pPr>
    </w:p>
    <w:p w14:paraId="5324A12D" w14:textId="77777777" w:rsidR="00010F9D" w:rsidRDefault="00010F9D">
      <w:pPr>
        <w:pStyle w:val="Default"/>
      </w:pPr>
    </w:p>
    <w:p w14:paraId="3F48139D" w14:textId="77777777" w:rsidR="00010F9D" w:rsidRDefault="00010F9D">
      <w:pPr>
        <w:pStyle w:val="Default"/>
      </w:pPr>
    </w:p>
    <w:p w14:paraId="4B2546D3" w14:textId="77777777" w:rsidR="00010F9D" w:rsidRDefault="00010F9D">
      <w:pPr>
        <w:pStyle w:val="Default"/>
      </w:pPr>
    </w:p>
    <w:p w14:paraId="701AEFDB" w14:textId="77777777" w:rsidR="00010F9D" w:rsidRDefault="00010F9D">
      <w:pPr>
        <w:pStyle w:val="Default"/>
      </w:pPr>
    </w:p>
    <w:p w14:paraId="54709147" w14:textId="77777777" w:rsidR="00010F9D" w:rsidRDefault="00010F9D">
      <w:pPr>
        <w:pStyle w:val="Default"/>
      </w:pPr>
    </w:p>
    <w:p w14:paraId="7D824035" w14:textId="77777777" w:rsidR="00010F9D" w:rsidRDefault="00010F9D">
      <w:pPr>
        <w:pStyle w:val="Default"/>
      </w:pPr>
    </w:p>
    <w:p w14:paraId="08E63548" w14:textId="77777777" w:rsidR="00010F9D" w:rsidRDefault="00010F9D">
      <w:pPr>
        <w:pStyle w:val="Default"/>
      </w:pPr>
    </w:p>
    <w:p w14:paraId="0296C0BC" w14:textId="77777777" w:rsidR="00010F9D" w:rsidRDefault="00010F9D">
      <w:pPr>
        <w:pStyle w:val="1"/>
        <w:ind w:firstLine="643"/>
        <w:sectPr w:rsidR="00010F9D">
          <w:footerReference w:type="default" r:id="rId8"/>
          <w:pgSz w:w="11906" w:h="16838"/>
          <w:pgMar w:top="1440" w:right="1800" w:bottom="1440" w:left="1800" w:header="851" w:footer="992" w:gutter="0"/>
          <w:pgNumType w:start="1"/>
          <w:cols w:space="425"/>
          <w:docGrid w:type="lines" w:linePitch="312"/>
        </w:sectPr>
      </w:pPr>
    </w:p>
    <w:p w14:paraId="6C6C9AE6" w14:textId="77777777" w:rsidR="00010F9D" w:rsidRDefault="003F6307">
      <w:pPr>
        <w:pStyle w:val="1"/>
        <w:ind w:firstLine="643"/>
      </w:pPr>
      <w:bookmarkStart w:id="0" w:name="_Toc1021"/>
      <w:r>
        <w:lastRenderedPageBreak/>
        <w:t>一、预案基本情况</w:t>
      </w:r>
      <w:bookmarkEnd w:id="0"/>
    </w:p>
    <w:p w14:paraId="1D7F6903" w14:textId="0A20BC6D" w:rsidR="00010F9D" w:rsidRDefault="003F6307">
      <w:pPr>
        <w:ind w:firstLine="560"/>
      </w:pPr>
      <w:r>
        <w:t>单位名称：</w:t>
      </w:r>
      <w:r w:rsidR="00C24735">
        <w:rPr>
          <w:rFonts w:hint="eastAsia"/>
        </w:rPr>
        <w:t>陕西安程合创设备有限公司</w:t>
      </w:r>
    </w:p>
    <w:p w14:paraId="3BEC6172" w14:textId="0D6B6E48" w:rsidR="00010F9D" w:rsidRDefault="003F6307">
      <w:pPr>
        <w:ind w:firstLine="560"/>
      </w:pPr>
      <w:r>
        <w:t>法定代表人：</w:t>
      </w:r>
      <w:r w:rsidR="00C24735" w:rsidRPr="00C24735">
        <w:rPr>
          <w:rFonts w:hint="eastAsia"/>
        </w:rPr>
        <w:t>任志壮</w:t>
      </w:r>
    </w:p>
    <w:p w14:paraId="76632595" w14:textId="5D06E5C9" w:rsidR="00010F9D" w:rsidRDefault="003F6307">
      <w:pPr>
        <w:ind w:firstLine="560"/>
      </w:pPr>
      <w:r>
        <w:t>联</w:t>
      </w:r>
      <w:r>
        <w:rPr>
          <w:rFonts w:hint="eastAsia"/>
        </w:rPr>
        <w:t xml:space="preserve">  </w:t>
      </w:r>
      <w:r>
        <w:t>系</w:t>
      </w:r>
      <w:r>
        <w:rPr>
          <w:rFonts w:hint="eastAsia"/>
        </w:rPr>
        <w:t xml:space="preserve">  </w:t>
      </w:r>
      <w:r>
        <w:t>人：</w:t>
      </w:r>
      <w:r w:rsidR="00C24735">
        <w:rPr>
          <w:rFonts w:hint="eastAsia"/>
        </w:rPr>
        <w:t>王飞</w:t>
      </w:r>
    </w:p>
    <w:p w14:paraId="54A5B6CB" w14:textId="4510885A" w:rsidR="00010F9D" w:rsidRDefault="003F6307">
      <w:pPr>
        <w:ind w:firstLine="560"/>
      </w:pPr>
      <w:r>
        <w:t>联系方式：</w:t>
      </w:r>
      <w:r w:rsidR="00C24735">
        <w:t>13997838433</w:t>
      </w:r>
    </w:p>
    <w:p w14:paraId="27C58D14" w14:textId="77777777" w:rsidR="00C24735" w:rsidRDefault="003F6307">
      <w:pPr>
        <w:ind w:firstLine="560"/>
      </w:pPr>
      <w:r>
        <w:t>单位所在地：</w:t>
      </w:r>
      <w:r w:rsidR="00C24735" w:rsidRPr="00C24735">
        <w:rPr>
          <w:rFonts w:hint="eastAsia"/>
        </w:rPr>
        <w:t>陕西省西咸新区秦汉新城周陵街办周康路</w:t>
      </w:r>
      <w:r w:rsidR="00C24735" w:rsidRPr="00C24735">
        <w:rPr>
          <w:rFonts w:hint="eastAsia"/>
        </w:rPr>
        <w:t>966</w:t>
      </w:r>
      <w:r w:rsidR="00C24735" w:rsidRPr="00C24735">
        <w:rPr>
          <w:rFonts w:hint="eastAsia"/>
        </w:rPr>
        <w:t>号</w:t>
      </w:r>
    </w:p>
    <w:p w14:paraId="00BDDEB3" w14:textId="6BB8124D" w:rsidR="00010F9D" w:rsidRDefault="003F6307">
      <w:pPr>
        <w:ind w:firstLine="560"/>
      </w:pPr>
      <w:r>
        <w:t>行业类别：</w:t>
      </w:r>
      <w:r w:rsidR="00C24735" w:rsidRPr="00C24735">
        <w:rPr>
          <w:rFonts w:hint="eastAsia"/>
        </w:rPr>
        <w:t>C3511</w:t>
      </w:r>
      <w:r w:rsidR="00C24735" w:rsidRPr="00C24735">
        <w:rPr>
          <w:rFonts w:hint="eastAsia"/>
        </w:rPr>
        <w:t>矿山机械制造</w:t>
      </w:r>
      <w:r>
        <w:t>；</w:t>
      </w:r>
    </w:p>
    <w:p w14:paraId="0F1520D1" w14:textId="290351AA" w:rsidR="00010F9D" w:rsidRDefault="003F6307">
      <w:pPr>
        <w:ind w:firstLine="560"/>
      </w:pPr>
      <w:r>
        <w:t>占地面积：</w:t>
      </w:r>
      <w:r w:rsidR="00A374FE" w:rsidRPr="00A374FE">
        <w:t>40023.79</w:t>
      </w:r>
      <w:r>
        <w:t>m</w:t>
      </w:r>
      <w:r>
        <w:rPr>
          <w:rFonts w:hint="eastAsia"/>
          <w:vertAlign w:val="superscript"/>
        </w:rPr>
        <w:t>2</w:t>
      </w:r>
      <w:r>
        <w:rPr>
          <w:lang w:val="zh-CN"/>
        </w:rPr>
        <w:t>；</w:t>
      </w:r>
    </w:p>
    <w:p w14:paraId="3898B6B6" w14:textId="28E9EF20" w:rsidR="00010F9D" w:rsidRDefault="003F6307">
      <w:pPr>
        <w:ind w:firstLine="560"/>
      </w:pPr>
      <w:r>
        <w:t>为预防和减少突发环境事件的发生，控制、减轻和消除突发事件引起的危害及造成的损失，规范突发事件预防和</w:t>
      </w:r>
      <w:r>
        <w:rPr>
          <w:rFonts w:hint="eastAsia"/>
        </w:rPr>
        <w:t>应急</w:t>
      </w:r>
      <w:r>
        <w:t>响应活动，保护</w:t>
      </w:r>
      <w:r w:rsidR="00C24735">
        <w:rPr>
          <w:rFonts w:hint="eastAsia"/>
        </w:rPr>
        <w:t>陕西安程合创设备有限公司</w:t>
      </w:r>
      <w:r>
        <w:t>及相关各方人员的生命和财产安全，保护环境，保障社会公共安全，维护社会稳定，使</w:t>
      </w:r>
      <w:r>
        <w:rPr>
          <w:rFonts w:hint="eastAsia"/>
        </w:rPr>
        <w:t>该单位</w:t>
      </w:r>
      <w:r>
        <w:t>对重特大突发事件能够快速反应、有效控制和妥善处理，能预防和减少伴随的环境影响，尽快修复和重建损毁设施，恢复正常生产生活秩序，特制定本预案。</w:t>
      </w:r>
    </w:p>
    <w:p w14:paraId="55A63FB7" w14:textId="77777777" w:rsidR="00010F9D" w:rsidRDefault="003F6307">
      <w:pPr>
        <w:pStyle w:val="1"/>
        <w:ind w:firstLine="643"/>
      </w:pPr>
      <w:bookmarkStart w:id="1" w:name="_Toc1272_WPSOffice_Level1"/>
      <w:bookmarkStart w:id="2" w:name="_Toc28001"/>
      <w:r>
        <w:t>二、应急预案编制过程</w:t>
      </w:r>
      <w:bookmarkEnd w:id="1"/>
      <w:bookmarkEnd w:id="2"/>
    </w:p>
    <w:p w14:paraId="65E73EAC" w14:textId="77777777" w:rsidR="00010F9D" w:rsidRDefault="003F6307">
      <w:pPr>
        <w:ind w:firstLine="560"/>
      </w:pPr>
      <w:bookmarkStart w:id="3" w:name="_Toc10526_WPSOffice_Level2"/>
      <w:r>
        <w:t>1</w:t>
      </w:r>
      <w:r>
        <w:t>、现场考察及资料调研</w:t>
      </w:r>
      <w:bookmarkEnd w:id="3"/>
    </w:p>
    <w:p w14:paraId="735C3B9A" w14:textId="3170A995" w:rsidR="00010F9D" w:rsidRDefault="003F6307">
      <w:pPr>
        <w:ind w:firstLine="560"/>
      </w:pPr>
      <w:r>
        <w:t>结合公司的实际情况，成立了突发环境事件应急预案编制工作小组，通过开展对</w:t>
      </w:r>
      <w:r w:rsidR="00C24735">
        <w:rPr>
          <w:rFonts w:hint="eastAsia"/>
        </w:rPr>
        <w:t>陕西安程合创设备有限公司</w:t>
      </w:r>
      <w:r>
        <w:t>的地理位置、周边环境敏感目标、生产工艺、环保措施、突发环境事件应急物资储备情况等进行了现场考察，并收集相关工艺、应急物资储备</w:t>
      </w:r>
      <w:r>
        <w:rPr>
          <w:rFonts w:hint="eastAsia"/>
        </w:rPr>
        <w:t>台账</w:t>
      </w:r>
      <w:r>
        <w:t>、环境影响评价报告、企业排污许可等资料，组织相关专业人员编写此预案。</w:t>
      </w:r>
    </w:p>
    <w:p w14:paraId="34676B19" w14:textId="77777777" w:rsidR="00010F9D" w:rsidRDefault="003F6307">
      <w:pPr>
        <w:ind w:firstLine="560"/>
      </w:pPr>
      <w:r>
        <w:t>工作小组仔细排查和分析评估危险源，掌握了厂区附近企业、居民区等</w:t>
      </w:r>
      <w:r>
        <w:lastRenderedPageBreak/>
        <w:t>环境敏感点位置，对环境敏感目标及厂区的风险防控措施和管理制度进行全面排查分析与评估；主要针对突发环境风险分析和重大危险源辨识、风险源安全措施、风险源管理以及现场管理等做了详细叙述。</w:t>
      </w:r>
    </w:p>
    <w:p w14:paraId="7E846423" w14:textId="77777777" w:rsidR="00010F9D" w:rsidRDefault="003F6307">
      <w:pPr>
        <w:ind w:firstLine="560"/>
      </w:pPr>
      <w:r>
        <w:t>依据《企业突发环境事件风险分级方法》</w:t>
      </w:r>
      <w:r>
        <w:rPr>
          <w:rFonts w:hint="eastAsia"/>
        </w:rPr>
        <w:t>（</w:t>
      </w:r>
      <w:r>
        <w:t>HJ 941-2018</w:t>
      </w:r>
      <w:r>
        <w:rPr>
          <w:rFonts w:hint="eastAsia"/>
        </w:rPr>
        <w:t>）</w:t>
      </w:r>
      <w:r>
        <w:t>中附录</w:t>
      </w:r>
      <w:r>
        <w:t>A</w:t>
      </w:r>
      <w:r>
        <w:t>突发环境事件风险物质及临界量，对单位涉及的危险</w:t>
      </w:r>
      <w:r>
        <w:rPr>
          <w:rFonts w:hint="eastAsia"/>
        </w:rPr>
        <w:t>物质</w:t>
      </w:r>
      <w:r>
        <w:t>进行识别，公司大气环境风险源临界量比值结果具体见表</w:t>
      </w:r>
      <w:r>
        <w:t>1</w:t>
      </w:r>
      <w:r>
        <w:rPr>
          <w:rFonts w:hint="eastAsia"/>
        </w:rPr>
        <w:t>。</w:t>
      </w:r>
    </w:p>
    <w:p w14:paraId="38028C8D" w14:textId="77777777" w:rsidR="00010F9D" w:rsidRDefault="003F6307">
      <w:pPr>
        <w:autoSpaceDE w:val="0"/>
        <w:autoSpaceDN w:val="0"/>
        <w:ind w:firstLine="482"/>
        <w:jc w:val="center"/>
        <w:rPr>
          <w:rFonts w:ascii="仿宋" w:hAnsi="仿宋" w:cs="仿宋"/>
          <w:b/>
          <w:color w:val="000000"/>
          <w:sz w:val="24"/>
        </w:rPr>
      </w:pPr>
      <w:r>
        <w:rPr>
          <w:rFonts w:ascii="仿宋" w:hAnsi="仿宋" w:cs="仿宋" w:hint="eastAsia"/>
          <w:b/>
          <w:color w:val="000000"/>
          <w:sz w:val="24"/>
        </w:rPr>
        <w:t>表1 涉气环境风险物质与临界量的比值结果</w:t>
      </w:r>
    </w:p>
    <w:tbl>
      <w:tblPr>
        <w:tblW w:w="0" w:type="auto"/>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1866"/>
        <w:gridCol w:w="1507"/>
        <w:gridCol w:w="2071"/>
        <w:gridCol w:w="1196"/>
        <w:gridCol w:w="1354"/>
      </w:tblGrid>
      <w:tr w:rsidR="00010F9D" w14:paraId="067209E2" w14:textId="77777777">
        <w:trPr>
          <w:trHeight w:val="397"/>
          <w:jc w:val="center"/>
        </w:trPr>
        <w:tc>
          <w:tcPr>
            <w:tcW w:w="1866" w:type="dxa"/>
            <w:tcBorders>
              <w:tl2br w:val="nil"/>
              <w:tr2bl w:val="nil"/>
            </w:tcBorders>
            <w:vAlign w:val="center"/>
          </w:tcPr>
          <w:p w14:paraId="54D6BE2F"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物质名称</w:t>
            </w:r>
          </w:p>
        </w:tc>
        <w:tc>
          <w:tcPr>
            <w:tcW w:w="1507" w:type="dxa"/>
            <w:tcBorders>
              <w:tl2br w:val="nil"/>
              <w:tr2bl w:val="nil"/>
            </w:tcBorders>
            <w:vAlign w:val="center"/>
          </w:tcPr>
          <w:p w14:paraId="4D4AFD6C"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临界量（t）</w:t>
            </w:r>
          </w:p>
        </w:tc>
        <w:tc>
          <w:tcPr>
            <w:tcW w:w="2071" w:type="dxa"/>
            <w:tcBorders>
              <w:tl2br w:val="nil"/>
              <w:tr2bl w:val="nil"/>
            </w:tcBorders>
            <w:vAlign w:val="center"/>
          </w:tcPr>
          <w:p w14:paraId="50E8E4BC"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最大储存量（t）</w:t>
            </w:r>
          </w:p>
        </w:tc>
        <w:tc>
          <w:tcPr>
            <w:tcW w:w="1196" w:type="dxa"/>
            <w:tcBorders>
              <w:tl2br w:val="nil"/>
              <w:tr2bl w:val="nil"/>
            </w:tcBorders>
            <w:vAlign w:val="center"/>
          </w:tcPr>
          <w:p w14:paraId="119BEB99"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Q</w:t>
            </w:r>
          </w:p>
        </w:tc>
        <w:tc>
          <w:tcPr>
            <w:tcW w:w="1354" w:type="dxa"/>
            <w:tcBorders>
              <w:tl2br w:val="nil"/>
              <w:tr2bl w:val="nil"/>
            </w:tcBorders>
            <w:vAlign w:val="center"/>
          </w:tcPr>
          <w:p w14:paraId="25AA0441"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是否重大危险源</w:t>
            </w:r>
          </w:p>
        </w:tc>
      </w:tr>
      <w:tr w:rsidR="00010F9D" w14:paraId="40D4A355" w14:textId="77777777">
        <w:trPr>
          <w:trHeight w:val="397"/>
          <w:jc w:val="center"/>
        </w:trPr>
        <w:tc>
          <w:tcPr>
            <w:tcW w:w="1866" w:type="dxa"/>
            <w:tcBorders>
              <w:tl2br w:val="nil"/>
              <w:tr2bl w:val="nil"/>
            </w:tcBorders>
            <w:vAlign w:val="center"/>
          </w:tcPr>
          <w:p w14:paraId="5FF1D587" w14:textId="77777777" w:rsidR="00010F9D" w:rsidRDefault="003F6307" w:rsidP="00BC3F8C">
            <w:pPr>
              <w:pStyle w:val="a6"/>
              <w:jc w:val="center"/>
              <w:rPr>
                <w:rFonts w:ascii="仿宋" w:hAnsi="仿宋" w:cs="仿宋"/>
                <w:color w:val="auto"/>
                <w:sz w:val="21"/>
                <w:szCs w:val="21"/>
              </w:rPr>
            </w:pPr>
            <w:r>
              <w:rPr>
                <w:rFonts w:ascii="仿宋" w:hAnsi="仿宋" w:cs="仿宋" w:hint="eastAsia"/>
                <w:color w:val="auto"/>
                <w:sz w:val="21"/>
                <w:szCs w:val="21"/>
              </w:rPr>
              <w:t>机油</w:t>
            </w:r>
          </w:p>
        </w:tc>
        <w:tc>
          <w:tcPr>
            <w:tcW w:w="1507" w:type="dxa"/>
            <w:tcBorders>
              <w:tl2br w:val="nil"/>
              <w:tr2bl w:val="nil"/>
            </w:tcBorders>
            <w:vAlign w:val="center"/>
          </w:tcPr>
          <w:p w14:paraId="5B997F3F" w14:textId="77777777" w:rsidR="00010F9D" w:rsidRDefault="003F6307" w:rsidP="00BC3F8C">
            <w:pPr>
              <w:pStyle w:val="a6"/>
              <w:jc w:val="center"/>
              <w:rPr>
                <w:rFonts w:ascii="仿宋" w:hAnsi="仿宋" w:cs="仿宋"/>
                <w:color w:val="auto"/>
                <w:sz w:val="21"/>
                <w:szCs w:val="21"/>
                <w:highlight w:val="yellow"/>
              </w:rPr>
            </w:pPr>
            <w:r>
              <w:rPr>
                <w:rFonts w:ascii="仿宋" w:hAnsi="仿宋" w:cs="仿宋" w:hint="eastAsia"/>
                <w:color w:val="auto"/>
                <w:sz w:val="21"/>
                <w:szCs w:val="21"/>
              </w:rPr>
              <w:t>2500</w:t>
            </w:r>
          </w:p>
        </w:tc>
        <w:tc>
          <w:tcPr>
            <w:tcW w:w="2071" w:type="dxa"/>
            <w:tcBorders>
              <w:tl2br w:val="nil"/>
              <w:tr2bl w:val="nil"/>
            </w:tcBorders>
            <w:vAlign w:val="center"/>
          </w:tcPr>
          <w:p w14:paraId="2AB3809C" w14:textId="6A6D42CA" w:rsidR="00010F9D" w:rsidRDefault="000B1B36" w:rsidP="00BC3F8C">
            <w:pPr>
              <w:pStyle w:val="a6"/>
              <w:jc w:val="center"/>
              <w:rPr>
                <w:rFonts w:ascii="仿宋" w:hAnsi="仿宋" w:cs="仿宋"/>
                <w:color w:val="auto"/>
                <w:sz w:val="21"/>
                <w:szCs w:val="21"/>
                <w:highlight w:val="yellow"/>
              </w:rPr>
            </w:pPr>
            <w:r>
              <w:rPr>
                <w:rFonts w:ascii="仿宋" w:hAnsi="仿宋" w:cs="仿宋"/>
                <w:color w:val="auto"/>
                <w:sz w:val="21"/>
                <w:szCs w:val="21"/>
              </w:rPr>
              <w:t>0.3</w:t>
            </w:r>
          </w:p>
        </w:tc>
        <w:tc>
          <w:tcPr>
            <w:tcW w:w="1196" w:type="dxa"/>
            <w:tcBorders>
              <w:tl2br w:val="nil"/>
              <w:tr2bl w:val="nil"/>
            </w:tcBorders>
            <w:vAlign w:val="center"/>
          </w:tcPr>
          <w:p w14:paraId="4359A9A7" w14:textId="1A43696F" w:rsidR="00010F9D"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1</w:t>
            </w:r>
            <w:r>
              <w:rPr>
                <w:rFonts w:ascii="仿宋" w:hAnsi="仿宋" w:cs="仿宋"/>
                <w:sz w:val="21"/>
                <w:szCs w:val="21"/>
              </w:rPr>
              <w:t>.2</w:t>
            </w:r>
            <w:r>
              <w:rPr>
                <w:rFonts w:ascii="仿宋" w:hAnsi="仿宋" w:cs="仿宋" w:hint="eastAsia"/>
                <w:sz w:val="21"/>
                <w:szCs w:val="21"/>
              </w:rPr>
              <w:t>×</w:t>
            </w:r>
            <w:r>
              <w:rPr>
                <w:rFonts w:ascii="仿宋" w:hAnsi="仿宋" w:cs="仿宋"/>
                <w:sz w:val="21"/>
                <w:szCs w:val="21"/>
              </w:rPr>
              <w:t>10</w:t>
            </w:r>
            <w:r w:rsidRPr="00BC3F8C">
              <w:rPr>
                <w:rFonts w:ascii="仿宋" w:hAnsi="仿宋" w:cs="仿宋"/>
                <w:sz w:val="21"/>
                <w:szCs w:val="21"/>
                <w:vertAlign w:val="superscript"/>
              </w:rPr>
              <w:t>-4</w:t>
            </w:r>
          </w:p>
        </w:tc>
        <w:tc>
          <w:tcPr>
            <w:tcW w:w="1354" w:type="dxa"/>
            <w:vMerge w:val="restart"/>
            <w:tcBorders>
              <w:tl2br w:val="nil"/>
              <w:tr2bl w:val="nil"/>
            </w:tcBorders>
            <w:vAlign w:val="center"/>
          </w:tcPr>
          <w:p w14:paraId="61CE425C" w14:textId="77777777" w:rsidR="00010F9D" w:rsidRDefault="003F6307"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否</w:t>
            </w:r>
          </w:p>
        </w:tc>
      </w:tr>
      <w:tr w:rsidR="00010F9D" w14:paraId="49BCB74D" w14:textId="77777777">
        <w:trPr>
          <w:trHeight w:val="397"/>
          <w:jc w:val="center"/>
        </w:trPr>
        <w:tc>
          <w:tcPr>
            <w:tcW w:w="1866" w:type="dxa"/>
            <w:tcBorders>
              <w:tl2br w:val="nil"/>
              <w:tr2bl w:val="nil"/>
            </w:tcBorders>
            <w:vAlign w:val="center"/>
          </w:tcPr>
          <w:p w14:paraId="388ABA89" w14:textId="77777777" w:rsidR="00010F9D" w:rsidRDefault="003F6307" w:rsidP="00BC3F8C">
            <w:pPr>
              <w:pStyle w:val="a6"/>
              <w:jc w:val="center"/>
              <w:rPr>
                <w:rFonts w:ascii="仿宋" w:hAnsi="仿宋" w:cs="仿宋"/>
                <w:color w:val="auto"/>
                <w:sz w:val="21"/>
                <w:szCs w:val="21"/>
              </w:rPr>
            </w:pPr>
            <w:r>
              <w:rPr>
                <w:rFonts w:ascii="仿宋" w:hAnsi="仿宋" w:cs="仿宋" w:hint="eastAsia"/>
                <w:color w:val="auto"/>
                <w:sz w:val="21"/>
                <w:szCs w:val="21"/>
              </w:rPr>
              <w:t>废机油</w:t>
            </w:r>
          </w:p>
        </w:tc>
        <w:tc>
          <w:tcPr>
            <w:tcW w:w="1507" w:type="dxa"/>
            <w:tcBorders>
              <w:tl2br w:val="nil"/>
              <w:tr2bl w:val="nil"/>
            </w:tcBorders>
            <w:vAlign w:val="center"/>
          </w:tcPr>
          <w:p w14:paraId="3D22FEA0" w14:textId="77777777" w:rsidR="00010F9D" w:rsidRDefault="003F6307" w:rsidP="00BC3F8C">
            <w:pPr>
              <w:pStyle w:val="a6"/>
              <w:jc w:val="center"/>
              <w:rPr>
                <w:rFonts w:ascii="仿宋" w:hAnsi="仿宋" w:cs="仿宋"/>
                <w:color w:val="auto"/>
                <w:sz w:val="21"/>
                <w:szCs w:val="21"/>
              </w:rPr>
            </w:pPr>
            <w:r>
              <w:rPr>
                <w:rFonts w:ascii="仿宋" w:hAnsi="仿宋" w:cs="仿宋" w:hint="eastAsia"/>
                <w:color w:val="auto"/>
                <w:sz w:val="21"/>
                <w:szCs w:val="21"/>
              </w:rPr>
              <w:t>2500</w:t>
            </w:r>
          </w:p>
        </w:tc>
        <w:tc>
          <w:tcPr>
            <w:tcW w:w="2071" w:type="dxa"/>
            <w:tcBorders>
              <w:tl2br w:val="nil"/>
              <w:tr2bl w:val="nil"/>
            </w:tcBorders>
            <w:vAlign w:val="center"/>
          </w:tcPr>
          <w:p w14:paraId="028F0656" w14:textId="77E6B780" w:rsidR="00010F9D" w:rsidRDefault="000B1B36" w:rsidP="00BC3F8C">
            <w:pPr>
              <w:pStyle w:val="a6"/>
              <w:jc w:val="center"/>
              <w:rPr>
                <w:rFonts w:ascii="仿宋" w:hAnsi="仿宋" w:cs="仿宋"/>
                <w:color w:val="auto"/>
                <w:sz w:val="21"/>
                <w:szCs w:val="21"/>
              </w:rPr>
            </w:pPr>
            <w:r>
              <w:rPr>
                <w:rFonts w:ascii="仿宋" w:hAnsi="仿宋" w:cs="仿宋"/>
                <w:color w:val="auto"/>
                <w:sz w:val="21"/>
                <w:szCs w:val="21"/>
              </w:rPr>
              <w:t>0.1</w:t>
            </w:r>
          </w:p>
        </w:tc>
        <w:tc>
          <w:tcPr>
            <w:tcW w:w="1196" w:type="dxa"/>
            <w:tcBorders>
              <w:tl2br w:val="nil"/>
              <w:tr2bl w:val="nil"/>
            </w:tcBorders>
            <w:vAlign w:val="center"/>
          </w:tcPr>
          <w:p w14:paraId="43F2CC49" w14:textId="6D638E07" w:rsidR="00010F9D"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.4</w:t>
            </w:r>
            <w:r>
              <w:rPr>
                <w:rFonts w:ascii="仿宋" w:hAnsi="仿宋" w:cs="仿宋" w:hint="eastAsia"/>
                <w:sz w:val="21"/>
                <w:szCs w:val="21"/>
              </w:rPr>
              <w:t>×</w:t>
            </w:r>
            <w:r>
              <w:rPr>
                <w:rFonts w:ascii="仿宋" w:hAnsi="仿宋" w:cs="仿宋"/>
                <w:sz w:val="21"/>
                <w:szCs w:val="21"/>
              </w:rPr>
              <w:t>10</w:t>
            </w:r>
            <w:r w:rsidRPr="00BC3F8C">
              <w:rPr>
                <w:rFonts w:ascii="仿宋" w:hAnsi="仿宋" w:cs="仿宋"/>
                <w:sz w:val="21"/>
                <w:szCs w:val="21"/>
                <w:vertAlign w:val="superscript"/>
              </w:rPr>
              <w:t>-4</w:t>
            </w:r>
          </w:p>
        </w:tc>
        <w:tc>
          <w:tcPr>
            <w:tcW w:w="1354" w:type="dxa"/>
            <w:vMerge/>
            <w:tcBorders>
              <w:tl2br w:val="nil"/>
              <w:tr2bl w:val="nil"/>
            </w:tcBorders>
            <w:vAlign w:val="center"/>
          </w:tcPr>
          <w:p w14:paraId="5493EB75" w14:textId="77777777" w:rsidR="00010F9D" w:rsidRDefault="00010F9D" w:rsidP="00BC3F8C">
            <w:pPr>
              <w:adjustRightInd w:val="0"/>
              <w:snapToGrid w:val="0"/>
              <w:spacing w:line="240" w:lineRule="auto"/>
              <w:ind w:firstLineChars="0" w:firstLine="0"/>
              <w:jc w:val="center"/>
              <w:rPr>
                <w:rFonts w:ascii="仿宋" w:hAnsi="仿宋" w:cs="仿宋"/>
                <w:sz w:val="21"/>
                <w:szCs w:val="21"/>
              </w:rPr>
            </w:pPr>
          </w:p>
        </w:tc>
      </w:tr>
      <w:tr w:rsidR="00010F9D" w14:paraId="6237B503" w14:textId="77777777">
        <w:trPr>
          <w:trHeight w:val="397"/>
          <w:jc w:val="center"/>
        </w:trPr>
        <w:tc>
          <w:tcPr>
            <w:tcW w:w="1866" w:type="dxa"/>
            <w:tcBorders>
              <w:tl2br w:val="nil"/>
              <w:tr2bl w:val="nil"/>
            </w:tcBorders>
            <w:vAlign w:val="center"/>
          </w:tcPr>
          <w:p w14:paraId="67D0EFF8" w14:textId="6224E2EF" w:rsidR="00010F9D" w:rsidRDefault="000B1B36" w:rsidP="00BC3F8C">
            <w:pPr>
              <w:widowControl/>
              <w:spacing w:line="240" w:lineRule="auto"/>
              <w:ind w:firstLineChars="0" w:firstLine="0"/>
              <w:jc w:val="center"/>
              <w:rPr>
                <w:rFonts w:ascii="仿宋" w:hAnsi="仿宋" w:cs="仿宋"/>
                <w:sz w:val="21"/>
                <w:szCs w:val="21"/>
              </w:rPr>
            </w:pPr>
            <w:r>
              <w:rPr>
                <w:rFonts w:ascii="仿宋" w:hAnsi="仿宋" w:cs="仿宋" w:hint="eastAsia"/>
                <w:kern w:val="0"/>
                <w:sz w:val="21"/>
                <w:szCs w:val="21"/>
                <w:lang w:bidi="ar"/>
              </w:rPr>
              <w:t>液压油</w:t>
            </w:r>
          </w:p>
        </w:tc>
        <w:tc>
          <w:tcPr>
            <w:tcW w:w="1507" w:type="dxa"/>
            <w:tcBorders>
              <w:tl2br w:val="nil"/>
              <w:tr2bl w:val="nil"/>
            </w:tcBorders>
            <w:vAlign w:val="center"/>
          </w:tcPr>
          <w:p w14:paraId="5592E59E" w14:textId="77777777" w:rsidR="00010F9D" w:rsidRDefault="003F6307" w:rsidP="00BC3F8C">
            <w:pPr>
              <w:pStyle w:val="a6"/>
              <w:jc w:val="center"/>
              <w:rPr>
                <w:rFonts w:ascii="仿宋" w:hAnsi="仿宋" w:cs="仿宋"/>
                <w:color w:val="auto"/>
                <w:sz w:val="21"/>
                <w:szCs w:val="21"/>
              </w:rPr>
            </w:pPr>
            <w:r>
              <w:rPr>
                <w:rFonts w:ascii="仿宋" w:hAnsi="仿宋" w:cs="仿宋" w:hint="eastAsia"/>
                <w:color w:val="auto"/>
                <w:sz w:val="21"/>
                <w:szCs w:val="21"/>
              </w:rPr>
              <w:t>/</w:t>
            </w:r>
          </w:p>
        </w:tc>
        <w:tc>
          <w:tcPr>
            <w:tcW w:w="2071" w:type="dxa"/>
            <w:tcBorders>
              <w:tl2br w:val="nil"/>
              <w:tr2bl w:val="nil"/>
            </w:tcBorders>
            <w:vAlign w:val="center"/>
          </w:tcPr>
          <w:p w14:paraId="7F7FC725" w14:textId="49A3EB11" w:rsidR="00010F9D" w:rsidRDefault="000B1B36" w:rsidP="00BC3F8C">
            <w:pPr>
              <w:pStyle w:val="a6"/>
              <w:jc w:val="center"/>
              <w:rPr>
                <w:rFonts w:ascii="仿宋" w:hAnsi="仿宋" w:cs="仿宋"/>
                <w:color w:val="auto"/>
                <w:sz w:val="21"/>
                <w:szCs w:val="21"/>
              </w:rPr>
            </w:pPr>
            <w:r>
              <w:rPr>
                <w:rFonts w:ascii="仿宋" w:hAnsi="仿宋" w:cs="仿宋"/>
                <w:color w:val="auto"/>
                <w:sz w:val="21"/>
                <w:szCs w:val="21"/>
              </w:rPr>
              <w:t>0.3</w:t>
            </w:r>
          </w:p>
        </w:tc>
        <w:tc>
          <w:tcPr>
            <w:tcW w:w="1196" w:type="dxa"/>
            <w:tcBorders>
              <w:tl2br w:val="nil"/>
              <w:tr2bl w:val="nil"/>
            </w:tcBorders>
            <w:vAlign w:val="center"/>
          </w:tcPr>
          <w:p w14:paraId="6407D418" w14:textId="2B1A928B" w:rsidR="00010F9D"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w:t>
            </w:r>
          </w:p>
        </w:tc>
        <w:tc>
          <w:tcPr>
            <w:tcW w:w="1354" w:type="dxa"/>
            <w:vMerge/>
            <w:tcBorders>
              <w:tl2br w:val="nil"/>
              <w:tr2bl w:val="nil"/>
            </w:tcBorders>
            <w:vAlign w:val="center"/>
          </w:tcPr>
          <w:p w14:paraId="1B608E16" w14:textId="77777777" w:rsidR="00010F9D" w:rsidRDefault="00010F9D" w:rsidP="00BC3F8C">
            <w:pPr>
              <w:adjustRightInd w:val="0"/>
              <w:snapToGrid w:val="0"/>
              <w:spacing w:line="240" w:lineRule="auto"/>
              <w:ind w:firstLineChars="0" w:firstLine="0"/>
              <w:jc w:val="center"/>
              <w:rPr>
                <w:rFonts w:ascii="仿宋" w:hAnsi="仿宋" w:cs="仿宋"/>
                <w:color w:val="FF0000"/>
                <w:sz w:val="21"/>
                <w:szCs w:val="21"/>
              </w:rPr>
            </w:pPr>
          </w:p>
        </w:tc>
      </w:tr>
      <w:tr w:rsidR="00010F9D" w14:paraId="1D2A21FE" w14:textId="77777777">
        <w:trPr>
          <w:trHeight w:val="397"/>
          <w:jc w:val="center"/>
        </w:trPr>
        <w:tc>
          <w:tcPr>
            <w:tcW w:w="1866" w:type="dxa"/>
            <w:tcBorders>
              <w:tl2br w:val="nil"/>
              <w:tr2bl w:val="nil"/>
            </w:tcBorders>
            <w:vAlign w:val="center"/>
          </w:tcPr>
          <w:p w14:paraId="0E2817D3" w14:textId="38AB71D1" w:rsidR="00010F9D" w:rsidRDefault="003F6307" w:rsidP="00BC3F8C">
            <w:pPr>
              <w:widowControl/>
              <w:spacing w:line="240" w:lineRule="auto"/>
              <w:ind w:firstLineChars="0" w:firstLine="0"/>
              <w:jc w:val="left"/>
              <w:rPr>
                <w:rFonts w:ascii="仿宋" w:hAnsi="仿宋" w:cs="仿宋"/>
                <w:sz w:val="21"/>
                <w:szCs w:val="21"/>
              </w:rPr>
            </w:pPr>
            <w:r>
              <w:rPr>
                <w:rFonts w:ascii="仿宋" w:hAnsi="仿宋" w:cs="仿宋" w:hint="eastAsia"/>
                <w:kern w:val="0"/>
                <w:sz w:val="21"/>
                <w:szCs w:val="21"/>
                <w:lang w:bidi="ar"/>
              </w:rPr>
              <w:t>油漆（</w:t>
            </w:r>
            <w:r w:rsidR="000B1B36">
              <w:rPr>
                <w:rFonts w:ascii="仿宋" w:hAnsi="仿宋" w:cs="仿宋" w:hint="eastAsia"/>
                <w:kern w:val="0"/>
                <w:sz w:val="21"/>
                <w:szCs w:val="21"/>
                <w:lang w:bidi="ar"/>
              </w:rPr>
              <w:t>底漆、面漆、清漆</w:t>
            </w:r>
            <w:r>
              <w:rPr>
                <w:rFonts w:ascii="仿宋" w:hAnsi="仿宋" w:cs="仿宋" w:hint="eastAsia"/>
                <w:kern w:val="0"/>
                <w:sz w:val="21"/>
                <w:szCs w:val="21"/>
                <w:lang w:bidi="ar"/>
              </w:rPr>
              <w:t>）</w:t>
            </w:r>
          </w:p>
        </w:tc>
        <w:tc>
          <w:tcPr>
            <w:tcW w:w="1507" w:type="dxa"/>
            <w:tcBorders>
              <w:tl2br w:val="nil"/>
              <w:tr2bl w:val="nil"/>
            </w:tcBorders>
            <w:vAlign w:val="center"/>
          </w:tcPr>
          <w:p w14:paraId="3326A410" w14:textId="3574B20B" w:rsidR="00010F9D" w:rsidRDefault="003F6307" w:rsidP="00BC3F8C">
            <w:pPr>
              <w:pStyle w:val="a6"/>
              <w:jc w:val="center"/>
              <w:rPr>
                <w:rFonts w:ascii="仿宋" w:hAnsi="仿宋" w:cs="仿宋"/>
                <w:color w:val="auto"/>
                <w:sz w:val="21"/>
                <w:szCs w:val="21"/>
              </w:rPr>
            </w:pPr>
            <w:r>
              <w:rPr>
                <w:rFonts w:ascii="仿宋" w:hAnsi="仿宋" w:cs="仿宋" w:hint="eastAsia"/>
                <w:color w:val="auto"/>
                <w:sz w:val="21"/>
                <w:szCs w:val="21"/>
              </w:rPr>
              <w:t>10</w:t>
            </w:r>
          </w:p>
        </w:tc>
        <w:tc>
          <w:tcPr>
            <w:tcW w:w="2071" w:type="dxa"/>
            <w:tcBorders>
              <w:tl2br w:val="nil"/>
              <w:tr2bl w:val="nil"/>
            </w:tcBorders>
            <w:vAlign w:val="center"/>
          </w:tcPr>
          <w:p w14:paraId="6C70CC4E" w14:textId="6D96CEDF" w:rsidR="00010F9D" w:rsidRDefault="000B1B36" w:rsidP="00BC3F8C">
            <w:pPr>
              <w:pStyle w:val="a6"/>
              <w:jc w:val="center"/>
              <w:rPr>
                <w:rFonts w:ascii="仿宋" w:hAnsi="仿宋" w:cs="仿宋"/>
                <w:color w:val="auto"/>
                <w:sz w:val="21"/>
                <w:szCs w:val="21"/>
              </w:rPr>
            </w:pPr>
            <w:r>
              <w:rPr>
                <w:rFonts w:ascii="仿宋" w:hAnsi="仿宋" w:cs="仿宋"/>
                <w:color w:val="auto"/>
                <w:sz w:val="21"/>
                <w:szCs w:val="21"/>
              </w:rPr>
              <w:t>0.3</w:t>
            </w:r>
          </w:p>
        </w:tc>
        <w:tc>
          <w:tcPr>
            <w:tcW w:w="1196" w:type="dxa"/>
            <w:tcBorders>
              <w:tl2br w:val="nil"/>
              <w:tr2bl w:val="nil"/>
            </w:tcBorders>
            <w:vAlign w:val="center"/>
          </w:tcPr>
          <w:p w14:paraId="3E5ACC04" w14:textId="089A6AED" w:rsidR="00010F9D"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.03</w:t>
            </w:r>
          </w:p>
        </w:tc>
        <w:tc>
          <w:tcPr>
            <w:tcW w:w="1354" w:type="dxa"/>
            <w:vMerge/>
            <w:tcBorders>
              <w:tl2br w:val="nil"/>
              <w:tr2bl w:val="nil"/>
            </w:tcBorders>
            <w:vAlign w:val="center"/>
          </w:tcPr>
          <w:p w14:paraId="3C517CB6" w14:textId="77777777" w:rsidR="00010F9D" w:rsidRDefault="00010F9D" w:rsidP="00BC3F8C">
            <w:pPr>
              <w:adjustRightInd w:val="0"/>
              <w:snapToGrid w:val="0"/>
              <w:spacing w:line="240" w:lineRule="auto"/>
              <w:ind w:firstLineChars="0" w:firstLine="0"/>
              <w:jc w:val="center"/>
              <w:rPr>
                <w:rFonts w:ascii="仿宋" w:hAnsi="仿宋" w:cs="仿宋"/>
                <w:color w:val="FF0000"/>
                <w:sz w:val="21"/>
                <w:szCs w:val="21"/>
              </w:rPr>
            </w:pPr>
          </w:p>
        </w:tc>
      </w:tr>
      <w:tr w:rsidR="00010F9D" w14:paraId="6701E0A4" w14:textId="77777777">
        <w:trPr>
          <w:trHeight w:val="397"/>
          <w:jc w:val="center"/>
        </w:trPr>
        <w:tc>
          <w:tcPr>
            <w:tcW w:w="5444" w:type="dxa"/>
            <w:gridSpan w:val="3"/>
            <w:tcBorders>
              <w:tl2br w:val="nil"/>
              <w:tr2bl w:val="nil"/>
            </w:tcBorders>
            <w:vAlign w:val="center"/>
          </w:tcPr>
          <w:p w14:paraId="7466D8E0" w14:textId="77777777" w:rsidR="00010F9D" w:rsidRDefault="003F6307" w:rsidP="00BC3F8C">
            <w:pPr>
              <w:adjustRightInd w:val="0"/>
              <w:snapToGrid w:val="0"/>
              <w:spacing w:line="240" w:lineRule="auto"/>
              <w:ind w:firstLine="420"/>
              <w:jc w:val="center"/>
              <w:rPr>
                <w:rFonts w:ascii="仿宋" w:hAnsi="仿宋" w:cs="仿宋"/>
                <w:sz w:val="21"/>
                <w:szCs w:val="21"/>
              </w:rPr>
            </w:pPr>
            <w:r>
              <w:rPr>
                <w:rFonts w:ascii="仿宋" w:hAnsi="仿宋" w:cs="仿宋" w:hint="eastAsia"/>
                <w:sz w:val="21"/>
                <w:szCs w:val="21"/>
              </w:rPr>
              <w:t>Q</w:t>
            </w:r>
          </w:p>
        </w:tc>
        <w:tc>
          <w:tcPr>
            <w:tcW w:w="1196" w:type="dxa"/>
            <w:tcBorders>
              <w:tl2br w:val="nil"/>
              <w:tr2bl w:val="nil"/>
            </w:tcBorders>
            <w:vAlign w:val="center"/>
          </w:tcPr>
          <w:p w14:paraId="289AEDC8" w14:textId="0AC8ABB5" w:rsidR="00010F9D"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.03016</w:t>
            </w:r>
          </w:p>
        </w:tc>
        <w:tc>
          <w:tcPr>
            <w:tcW w:w="1354" w:type="dxa"/>
            <w:vMerge/>
            <w:tcBorders>
              <w:tl2br w:val="nil"/>
              <w:tr2bl w:val="nil"/>
            </w:tcBorders>
            <w:vAlign w:val="center"/>
          </w:tcPr>
          <w:p w14:paraId="5AA0D46B" w14:textId="77777777" w:rsidR="00010F9D" w:rsidRDefault="00010F9D" w:rsidP="00BC3F8C">
            <w:pPr>
              <w:adjustRightInd w:val="0"/>
              <w:snapToGrid w:val="0"/>
              <w:spacing w:line="240" w:lineRule="auto"/>
              <w:ind w:firstLine="420"/>
              <w:jc w:val="center"/>
              <w:rPr>
                <w:rFonts w:ascii="仿宋" w:hAnsi="仿宋" w:cs="仿宋"/>
                <w:color w:val="FF0000"/>
                <w:sz w:val="21"/>
                <w:szCs w:val="21"/>
              </w:rPr>
            </w:pPr>
          </w:p>
        </w:tc>
      </w:tr>
    </w:tbl>
    <w:p w14:paraId="4E13D044" w14:textId="77777777" w:rsidR="00010F9D" w:rsidRDefault="003F6307">
      <w:pPr>
        <w:ind w:firstLine="560"/>
      </w:pPr>
      <w:r>
        <w:t>根据表</w:t>
      </w:r>
      <w:r>
        <w:t>1</w:t>
      </w:r>
      <w:r>
        <w:t>，公司大气环境风险物质数量与临界值比值</w:t>
      </w:r>
      <w:r>
        <w:t>Q</w:t>
      </w:r>
      <w:r>
        <w:t>＜</w:t>
      </w:r>
      <w:r>
        <w:t>1</w:t>
      </w:r>
      <w:r>
        <w:t>。</w:t>
      </w:r>
    </w:p>
    <w:p w14:paraId="69298EA0" w14:textId="7E754654" w:rsidR="00010F9D" w:rsidRDefault="003F6307">
      <w:pPr>
        <w:ind w:firstLine="560"/>
      </w:pPr>
      <w:r>
        <w:t>企业涉水风险物质为</w:t>
      </w:r>
      <w:r>
        <w:rPr>
          <w:rFonts w:hint="eastAsia"/>
        </w:rPr>
        <w:t>机油、废</w:t>
      </w:r>
      <w:r>
        <w:t>机油</w:t>
      </w:r>
      <w:r>
        <w:rPr>
          <w:rFonts w:hint="eastAsia"/>
        </w:rPr>
        <w:t>、</w:t>
      </w:r>
      <w:r w:rsidR="000B1B36">
        <w:rPr>
          <w:rFonts w:hint="eastAsia"/>
        </w:rPr>
        <w:t>液压油</w:t>
      </w:r>
      <w:r>
        <w:rPr>
          <w:rFonts w:hint="eastAsia"/>
        </w:rPr>
        <w:t>、油漆</w:t>
      </w:r>
      <w:r>
        <w:t>，具体风险物质与临界量比值结果见表</w:t>
      </w:r>
      <w:r>
        <w:t>2</w:t>
      </w:r>
      <w:r>
        <w:t>。</w:t>
      </w:r>
    </w:p>
    <w:p w14:paraId="481007C6" w14:textId="77777777" w:rsidR="00010F9D" w:rsidRDefault="003F6307">
      <w:pPr>
        <w:autoSpaceDE w:val="0"/>
        <w:autoSpaceDN w:val="0"/>
        <w:ind w:firstLine="482"/>
        <w:jc w:val="center"/>
        <w:rPr>
          <w:rFonts w:ascii="仿宋" w:hAnsi="仿宋" w:cs="仿宋"/>
          <w:b/>
          <w:color w:val="000000"/>
          <w:sz w:val="21"/>
          <w:szCs w:val="21"/>
        </w:rPr>
      </w:pPr>
      <w:r>
        <w:rPr>
          <w:rFonts w:ascii="仿宋" w:hAnsi="仿宋" w:cs="仿宋"/>
          <w:b/>
          <w:color w:val="000000"/>
          <w:sz w:val="24"/>
        </w:rPr>
        <w:t>表2 涉水环境风险物质与临界量的比值结果</w:t>
      </w:r>
    </w:p>
    <w:tbl>
      <w:tblPr>
        <w:tblW w:w="0" w:type="auto"/>
        <w:jc w:val="center"/>
        <w:tblBorders>
          <w:top w:val="thinThickLargeGap" w:sz="24" w:space="0" w:color="auto"/>
          <w:left w:val="thinThickLargeGap" w:sz="24" w:space="0" w:color="auto"/>
          <w:bottom w:val="thickThinLargeGap" w:sz="24" w:space="0" w:color="auto"/>
          <w:right w:val="thickThinLargeGap" w:sz="24" w:space="0" w:color="auto"/>
          <w:insideH w:val="single" w:sz="4" w:space="0" w:color="auto"/>
          <w:insideV w:val="single" w:sz="4" w:space="0" w:color="auto"/>
        </w:tblBorders>
        <w:tblLayout w:type="fixed"/>
        <w:tblLook w:val="04A0" w:firstRow="1" w:lastRow="0" w:firstColumn="1" w:lastColumn="0" w:noHBand="0" w:noVBand="1"/>
      </w:tblPr>
      <w:tblGrid>
        <w:gridCol w:w="2524"/>
        <w:gridCol w:w="709"/>
        <w:gridCol w:w="1842"/>
        <w:gridCol w:w="1565"/>
        <w:gridCol w:w="1354"/>
      </w:tblGrid>
      <w:tr w:rsidR="00010F9D" w14:paraId="475B3FAA" w14:textId="77777777" w:rsidTr="00BC3F8C">
        <w:trPr>
          <w:trHeight w:val="397"/>
          <w:jc w:val="center"/>
        </w:trPr>
        <w:tc>
          <w:tcPr>
            <w:tcW w:w="2524" w:type="dxa"/>
            <w:tcBorders>
              <w:tl2br w:val="nil"/>
              <w:tr2bl w:val="nil"/>
            </w:tcBorders>
            <w:vAlign w:val="center"/>
          </w:tcPr>
          <w:p w14:paraId="2A071544"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物质名称</w:t>
            </w:r>
          </w:p>
        </w:tc>
        <w:tc>
          <w:tcPr>
            <w:tcW w:w="709" w:type="dxa"/>
            <w:tcBorders>
              <w:tl2br w:val="nil"/>
              <w:tr2bl w:val="nil"/>
            </w:tcBorders>
            <w:vAlign w:val="center"/>
          </w:tcPr>
          <w:p w14:paraId="6CC79F7A"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临界量（t）</w:t>
            </w:r>
          </w:p>
        </w:tc>
        <w:tc>
          <w:tcPr>
            <w:tcW w:w="1842" w:type="dxa"/>
            <w:tcBorders>
              <w:tl2br w:val="nil"/>
              <w:tr2bl w:val="nil"/>
            </w:tcBorders>
            <w:vAlign w:val="center"/>
          </w:tcPr>
          <w:p w14:paraId="413DF9FD"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最大储存量（t）</w:t>
            </w:r>
          </w:p>
        </w:tc>
        <w:tc>
          <w:tcPr>
            <w:tcW w:w="1565" w:type="dxa"/>
            <w:tcBorders>
              <w:tl2br w:val="nil"/>
              <w:tr2bl w:val="nil"/>
            </w:tcBorders>
            <w:vAlign w:val="center"/>
          </w:tcPr>
          <w:p w14:paraId="01AC43B1"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Q</w:t>
            </w:r>
          </w:p>
        </w:tc>
        <w:tc>
          <w:tcPr>
            <w:tcW w:w="1354" w:type="dxa"/>
            <w:tcBorders>
              <w:tl2br w:val="nil"/>
              <w:tr2bl w:val="nil"/>
            </w:tcBorders>
            <w:vAlign w:val="center"/>
          </w:tcPr>
          <w:p w14:paraId="48AD9C8A" w14:textId="77777777" w:rsidR="00010F9D" w:rsidRDefault="003F6307" w:rsidP="00BC3F8C">
            <w:pPr>
              <w:adjustRightInd w:val="0"/>
              <w:snapToGrid w:val="0"/>
              <w:spacing w:line="240" w:lineRule="auto"/>
              <w:ind w:firstLineChars="0" w:firstLine="0"/>
              <w:jc w:val="center"/>
              <w:rPr>
                <w:rFonts w:ascii="仿宋" w:hAnsi="仿宋" w:cs="仿宋"/>
                <w:b/>
                <w:bCs/>
                <w:sz w:val="21"/>
                <w:szCs w:val="21"/>
              </w:rPr>
            </w:pPr>
            <w:r>
              <w:rPr>
                <w:rFonts w:ascii="仿宋" w:hAnsi="仿宋" w:cs="仿宋" w:hint="eastAsia"/>
                <w:b/>
                <w:bCs/>
                <w:sz w:val="21"/>
                <w:szCs w:val="21"/>
              </w:rPr>
              <w:t>是否重大危险源</w:t>
            </w:r>
          </w:p>
        </w:tc>
      </w:tr>
      <w:tr w:rsidR="00BC3F8C" w14:paraId="7D99BFEE" w14:textId="77777777" w:rsidTr="00BC3F8C">
        <w:trPr>
          <w:trHeight w:val="397"/>
          <w:jc w:val="center"/>
        </w:trPr>
        <w:tc>
          <w:tcPr>
            <w:tcW w:w="2524" w:type="dxa"/>
            <w:tcBorders>
              <w:tl2br w:val="nil"/>
              <w:tr2bl w:val="nil"/>
            </w:tcBorders>
            <w:vAlign w:val="center"/>
          </w:tcPr>
          <w:p w14:paraId="12A62BF6" w14:textId="74EEE520" w:rsidR="00BC3F8C" w:rsidRDefault="00BC3F8C" w:rsidP="00BC3F8C">
            <w:pPr>
              <w:pStyle w:val="a6"/>
              <w:jc w:val="center"/>
              <w:rPr>
                <w:rFonts w:ascii="仿宋" w:hAnsi="仿宋" w:cs="仿宋"/>
                <w:color w:val="auto"/>
                <w:sz w:val="21"/>
                <w:szCs w:val="21"/>
              </w:rPr>
            </w:pPr>
            <w:r>
              <w:rPr>
                <w:rFonts w:ascii="仿宋" w:hAnsi="仿宋" w:cs="仿宋" w:hint="eastAsia"/>
                <w:color w:val="auto"/>
                <w:sz w:val="21"/>
                <w:szCs w:val="21"/>
              </w:rPr>
              <w:t>机油</w:t>
            </w:r>
          </w:p>
        </w:tc>
        <w:tc>
          <w:tcPr>
            <w:tcW w:w="709" w:type="dxa"/>
            <w:tcBorders>
              <w:tl2br w:val="nil"/>
              <w:tr2bl w:val="nil"/>
            </w:tcBorders>
            <w:vAlign w:val="center"/>
          </w:tcPr>
          <w:p w14:paraId="0BF12F9F" w14:textId="77777777" w:rsidR="00BC3F8C" w:rsidRDefault="00BC3F8C" w:rsidP="00BC3F8C">
            <w:pPr>
              <w:pStyle w:val="a6"/>
              <w:jc w:val="center"/>
              <w:rPr>
                <w:rFonts w:ascii="仿宋" w:hAnsi="仿宋" w:cs="仿宋"/>
                <w:color w:val="auto"/>
                <w:sz w:val="21"/>
                <w:szCs w:val="21"/>
                <w:highlight w:val="yellow"/>
              </w:rPr>
            </w:pPr>
            <w:r>
              <w:rPr>
                <w:rFonts w:ascii="仿宋" w:hAnsi="仿宋" w:cs="仿宋" w:hint="eastAsia"/>
                <w:color w:val="auto"/>
                <w:sz w:val="21"/>
                <w:szCs w:val="21"/>
              </w:rPr>
              <w:t>2500</w:t>
            </w:r>
          </w:p>
        </w:tc>
        <w:tc>
          <w:tcPr>
            <w:tcW w:w="1842" w:type="dxa"/>
            <w:tcBorders>
              <w:tl2br w:val="nil"/>
              <w:tr2bl w:val="nil"/>
            </w:tcBorders>
            <w:vAlign w:val="center"/>
          </w:tcPr>
          <w:p w14:paraId="3EBCA387" w14:textId="7EBF63F2" w:rsidR="00BC3F8C" w:rsidRDefault="00BC3F8C" w:rsidP="00BC3F8C">
            <w:pPr>
              <w:pStyle w:val="a6"/>
              <w:jc w:val="center"/>
              <w:rPr>
                <w:rFonts w:ascii="仿宋" w:hAnsi="仿宋" w:cs="仿宋"/>
                <w:color w:val="auto"/>
                <w:sz w:val="21"/>
                <w:szCs w:val="21"/>
                <w:highlight w:val="yellow"/>
              </w:rPr>
            </w:pPr>
            <w:r>
              <w:rPr>
                <w:rFonts w:ascii="仿宋" w:hAnsi="仿宋" w:cs="仿宋"/>
                <w:color w:val="auto"/>
                <w:sz w:val="21"/>
                <w:szCs w:val="21"/>
              </w:rPr>
              <w:t>0.3</w:t>
            </w:r>
          </w:p>
        </w:tc>
        <w:tc>
          <w:tcPr>
            <w:tcW w:w="1565" w:type="dxa"/>
            <w:tcBorders>
              <w:tl2br w:val="nil"/>
              <w:tr2bl w:val="nil"/>
            </w:tcBorders>
            <w:vAlign w:val="center"/>
          </w:tcPr>
          <w:p w14:paraId="65DA57CB" w14:textId="17AF3D0C"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1</w:t>
            </w:r>
            <w:r>
              <w:rPr>
                <w:rFonts w:ascii="仿宋" w:hAnsi="仿宋" w:cs="仿宋"/>
                <w:sz w:val="21"/>
                <w:szCs w:val="21"/>
              </w:rPr>
              <w:t>.2</w:t>
            </w:r>
            <w:r>
              <w:rPr>
                <w:rFonts w:ascii="仿宋" w:hAnsi="仿宋" w:cs="仿宋" w:hint="eastAsia"/>
                <w:sz w:val="21"/>
                <w:szCs w:val="21"/>
              </w:rPr>
              <w:t>×</w:t>
            </w:r>
            <w:r>
              <w:rPr>
                <w:rFonts w:ascii="仿宋" w:hAnsi="仿宋" w:cs="仿宋"/>
                <w:sz w:val="21"/>
                <w:szCs w:val="21"/>
              </w:rPr>
              <w:t>10</w:t>
            </w:r>
            <w:r w:rsidRPr="00BC3F8C">
              <w:rPr>
                <w:rFonts w:ascii="仿宋" w:hAnsi="仿宋" w:cs="仿宋"/>
                <w:sz w:val="21"/>
                <w:szCs w:val="21"/>
                <w:vertAlign w:val="superscript"/>
              </w:rPr>
              <w:t>-4</w:t>
            </w:r>
          </w:p>
        </w:tc>
        <w:tc>
          <w:tcPr>
            <w:tcW w:w="1354" w:type="dxa"/>
            <w:vMerge w:val="restart"/>
            <w:tcBorders>
              <w:tl2br w:val="nil"/>
              <w:tr2bl w:val="nil"/>
            </w:tcBorders>
            <w:vAlign w:val="center"/>
          </w:tcPr>
          <w:p w14:paraId="0466FA37" w14:textId="77777777"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否</w:t>
            </w:r>
          </w:p>
        </w:tc>
      </w:tr>
      <w:tr w:rsidR="00BC3F8C" w14:paraId="1440BEC9" w14:textId="77777777" w:rsidTr="00BC3F8C">
        <w:trPr>
          <w:trHeight w:val="397"/>
          <w:jc w:val="center"/>
        </w:trPr>
        <w:tc>
          <w:tcPr>
            <w:tcW w:w="2524" w:type="dxa"/>
            <w:tcBorders>
              <w:tl2br w:val="nil"/>
              <w:tr2bl w:val="nil"/>
            </w:tcBorders>
            <w:vAlign w:val="center"/>
          </w:tcPr>
          <w:p w14:paraId="0E651742" w14:textId="1F1D3AB1" w:rsidR="00BC3F8C" w:rsidRDefault="00BC3F8C" w:rsidP="00BC3F8C">
            <w:pPr>
              <w:pStyle w:val="a6"/>
              <w:jc w:val="center"/>
              <w:rPr>
                <w:rFonts w:ascii="仿宋" w:hAnsi="仿宋" w:cs="仿宋"/>
                <w:color w:val="auto"/>
                <w:sz w:val="21"/>
                <w:szCs w:val="21"/>
              </w:rPr>
            </w:pPr>
            <w:r>
              <w:rPr>
                <w:rFonts w:ascii="仿宋" w:hAnsi="仿宋" w:cs="仿宋" w:hint="eastAsia"/>
                <w:color w:val="auto"/>
                <w:sz w:val="21"/>
                <w:szCs w:val="21"/>
              </w:rPr>
              <w:t>废机油</w:t>
            </w:r>
          </w:p>
        </w:tc>
        <w:tc>
          <w:tcPr>
            <w:tcW w:w="709" w:type="dxa"/>
            <w:tcBorders>
              <w:tl2br w:val="nil"/>
              <w:tr2bl w:val="nil"/>
            </w:tcBorders>
            <w:vAlign w:val="center"/>
          </w:tcPr>
          <w:p w14:paraId="5739F3F3" w14:textId="77777777" w:rsidR="00BC3F8C" w:rsidRDefault="00BC3F8C" w:rsidP="00BC3F8C">
            <w:pPr>
              <w:pStyle w:val="a6"/>
              <w:jc w:val="center"/>
              <w:rPr>
                <w:rFonts w:ascii="仿宋" w:hAnsi="仿宋" w:cs="仿宋"/>
                <w:color w:val="auto"/>
                <w:sz w:val="21"/>
                <w:szCs w:val="21"/>
              </w:rPr>
            </w:pPr>
            <w:r>
              <w:rPr>
                <w:rFonts w:ascii="仿宋" w:hAnsi="仿宋" w:cs="仿宋" w:hint="eastAsia"/>
                <w:color w:val="auto"/>
                <w:sz w:val="21"/>
                <w:szCs w:val="21"/>
              </w:rPr>
              <w:t>2500</w:t>
            </w:r>
          </w:p>
        </w:tc>
        <w:tc>
          <w:tcPr>
            <w:tcW w:w="1842" w:type="dxa"/>
            <w:tcBorders>
              <w:tl2br w:val="nil"/>
              <w:tr2bl w:val="nil"/>
            </w:tcBorders>
            <w:vAlign w:val="center"/>
          </w:tcPr>
          <w:p w14:paraId="65509B39" w14:textId="79F7993B" w:rsidR="00BC3F8C" w:rsidRDefault="00BC3F8C" w:rsidP="00BC3F8C">
            <w:pPr>
              <w:pStyle w:val="a6"/>
              <w:jc w:val="center"/>
              <w:rPr>
                <w:rFonts w:ascii="仿宋" w:hAnsi="仿宋" w:cs="仿宋"/>
                <w:color w:val="auto"/>
                <w:sz w:val="21"/>
                <w:szCs w:val="21"/>
              </w:rPr>
            </w:pPr>
            <w:r>
              <w:rPr>
                <w:rFonts w:ascii="仿宋" w:hAnsi="仿宋" w:cs="仿宋"/>
                <w:color w:val="auto"/>
                <w:sz w:val="21"/>
                <w:szCs w:val="21"/>
              </w:rPr>
              <w:t>0.1</w:t>
            </w:r>
          </w:p>
        </w:tc>
        <w:tc>
          <w:tcPr>
            <w:tcW w:w="1565" w:type="dxa"/>
            <w:tcBorders>
              <w:tl2br w:val="nil"/>
              <w:tr2bl w:val="nil"/>
            </w:tcBorders>
            <w:vAlign w:val="center"/>
          </w:tcPr>
          <w:p w14:paraId="605FD3C3" w14:textId="38C5A64A"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.4</w:t>
            </w:r>
            <w:r>
              <w:rPr>
                <w:rFonts w:ascii="仿宋" w:hAnsi="仿宋" w:cs="仿宋" w:hint="eastAsia"/>
                <w:sz w:val="21"/>
                <w:szCs w:val="21"/>
              </w:rPr>
              <w:t>×</w:t>
            </w:r>
            <w:r>
              <w:rPr>
                <w:rFonts w:ascii="仿宋" w:hAnsi="仿宋" w:cs="仿宋"/>
                <w:sz w:val="21"/>
                <w:szCs w:val="21"/>
              </w:rPr>
              <w:t>10</w:t>
            </w:r>
            <w:r w:rsidRPr="00BC3F8C">
              <w:rPr>
                <w:rFonts w:ascii="仿宋" w:hAnsi="仿宋" w:cs="仿宋"/>
                <w:sz w:val="21"/>
                <w:szCs w:val="21"/>
                <w:vertAlign w:val="superscript"/>
              </w:rPr>
              <w:t>-4</w:t>
            </w:r>
          </w:p>
        </w:tc>
        <w:tc>
          <w:tcPr>
            <w:tcW w:w="1354" w:type="dxa"/>
            <w:vMerge/>
            <w:tcBorders>
              <w:tl2br w:val="nil"/>
              <w:tr2bl w:val="nil"/>
            </w:tcBorders>
            <w:vAlign w:val="center"/>
          </w:tcPr>
          <w:p w14:paraId="574BDBEC" w14:textId="77777777" w:rsidR="00BC3F8C" w:rsidRDefault="00BC3F8C" w:rsidP="00BC3F8C">
            <w:pPr>
              <w:adjustRightInd w:val="0"/>
              <w:snapToGrid w:val="0"/>
              <w:spacing w:line="240" w:lineRule="auto"/>
              <w:ind w:firstLineChars="0" w:firstLine="0"/>
              <w:jc w:val="center"/>
              <w:rPr>
                <w:rFonts w:ascii="仿宋" w:hAnsi="仿宋" w:cs="仿宋"/>
                <w:sz w:val="21"/>
                <w:szCs w:val="21"/>
              </w:rPr>
            </w:pPr>
          </w:p>
        </w:tc>
      </w:tr>
      <w:tr w:rsidR="00BC3F8C" w14:paraId="156ECCB1" w14:textId="77777777" w:rsidTr="00BC3F8C">
        <w:trPr>
          <w:trHeight w:val="397"/>
          <w:jc w:val="center"/>
        </w:trPr>
        <w:tc>
          <w:tcPr>
            <w:tcW w:w="2524" w:type="dxa"/>
            <w:tcBorders>
              <w:tl2br w:val="nil"/>
              <w:tr2bl w:val="nil"/>
            </w:tcBorders>
            <w:vAlign w:val="center"/>
          </w:tcPr>
          <w:p w14:paraId="12E3D487" w14:textId="16005C4D" w:rsidR="00BC3F8C" w:rsidRDefault="00BC3F8C" w:rsidP="00BC3F8C">
            <w:pPr>
              <w:widowControl/>
              <w:spacing w:line="240" w:lineRule="auto"/>
              <w:ind w:firstLineChars="0" w:firstLine="0"/>
              <w:jc w:val="center"/>
              <w:rPr>
                <w:rFonts w:ascii="仿宋" w:hAnsi="仿宋" w:cs="仿宋"/>
                <w:sz w:val="21"/>
                <w:szCs w:val="21"/>
              </w:rPr>
            </w:pPr>
            <w:r>
              <w:rPr>
                <w:rFonts w:ascii="仿宋" w:hAnsi="仿宋" w:cs="仿宋" w:hint="eastAsia"/>
                <w:kern w:val="0"/>
                <w:sz w:val="21"/>
                <w:szCs w:val="21"/>
                <w:lang w:bidi="ar"/>
              </w:rPr>
              <w:t>液压油</w:t>
            </w:r>
          </w:p>
        </w:tc>
        <w:tc>
          <w:tcPr>
            <w:tcW w:w="709" w:type="dxa"/>
            <w:tcBorders>
              <w:tl2br w:val="nil"/>
              <w:tr2bl w:val="nil"/>
            </w:tcBorders>
            <w:vAlign w:val="center"/>
          </w:tcPr>
          <w:p w14:paraId="495CF8AA" w14:textId="77777777" w:rsidR="00BC3F8C" w:rsidRDefault="00BC3F8C" w:rsidP="00BC3F8C">
            <w:pPr>
              <w:pStyle w:val="a6"/>
              <w:jc w:val="center"/>
              <w:rPr>
                <w:rFonts w:ascii="仿宋" w:hAnsi="仿宋" w:cs="仿宋"/>
                <w:color w:val="auto"/>
                <w:sz w:val="21"/>
                <w:szCs w:val="21"/>
              </w:rPr>
            </w:pPr>
            <w:r>
              <w:rPr>
                <w:rFonts w:ascii="仿宋" w:hAnsi="仿宋" w:cs="仿宋" w:hint="eastAsia"/>
                <w:color w:val="auto"/>
                <w:sz w:val="21"/>
                <w:szCs w:val="21"/>
              </w:rPr>
              <w:t>/</w:t>
            </w:r>
          </w:p>
        </w:tc>
        <w:tc>
          <w:tcPr>
            <w:tcW w:w="1842" w:type="dxa"/>
            <w:tcBorders>
              <w:tl2br w:val="nil"/>
              <w:tr2bl w:val="nil"/>
            </w:tcBorders>
            <w:vAlign w:val="center"/>
          </w:tcPr>
          <w:p w14:paraId="0EBC5F63" w14:textId="64C52D45" w:rsidR="00BC3F8C" w:rsidRDefault="00BC3F8C" w:rsidP="00BC3F8C">
            <w:pPr>
              <w:pStyle w:val="a6"/>
              <w:jc w:val="center"/>
              <w:rPr>
                <w:rFonts w:ascii="仿宋" w:hAnsi="仿宋" w:cs="仿宋"/>
                <w:color w:val="auto"/>
                <w:sz w:val="21"/>
                <w:szCs w:val="21"/>
              </w:rPr>
            </w:pPr>
            <w:r>
              <w:rPr>
                <w:rFonts w:ascii="仿宋" w:hAnsi="仿宋" w:cs="仿宋"/>
                <w:color w:val="auto"/>
                <w:sz w:val="21"/>
                <w:szCs w:val="21"/>
              </w:rPr>
              <w:t>0.3</w:t>
            </w:r>
          </w:p>
        </w:tc>
        <w:tc>
          <w:tcPr>
            <w:tcW w:w="1565" w:type="dxa"/>
            <w:tcBorders>
              <w:tl2br w:val="nil"/>
              <w:tr2bl w:val="nil"/>
            </w:tcBorders>
            <w:vAlign w:val="center"/>
          </w:tcPr>
          <w:p w14:paraId="6BA41355" w14:textId="11892FD0"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w:t>
            </w:r>
          </w:p>
        </w:tc>
        <w:tc>
          <w:tcPr>
            <w:tcW w:w="1354" w:type="dxa"/>
            <w:vMerge/>
            <w:tcBorders>
              <w:tl2br w:val="nil"/>
              <w:tr2bl w:val="nil"/>
            </w:tcBorders>
            <w:vAlign w:val="center"/>
          </w:tcPr>
          <w:p w14:paraId="108690D4" w14:textId="77777777" w:rsidR="00BC3F8C" w:rsidRDefault="00BC3F8C" w:rsidP="00BC3F8C">
            <w:pPr>
              <w:adjustRightInd w:val="0"/>
              <w:snapToGrid w:val="0"/>
              <w:spacing w:line="240" w:lineRule="auto"/>
              <w:ind w:firstLineChars="0" w:firstLine="0"/>
              <w:jc w:val="center"/>
              <w:rPr>
                <w:rFonts w:ascii="仿宋" w:hAnsi="仿宋" w:cs="仿宋"/>
                <w:color w:val="FF0000"/>
                <w:sz w:val="21"/>
                <w:szCs w:val="21"/>
              </w:rPr>
            </w:pPr>
          </w:p>
        </w:tc>
      </w:tr>
      <w:tr w:rsidR="00BC3F8C" w14:paraId="448B0533" w14:textId="77777777" w:rsidTr="00BC3F8C">
        <w:trPr>
          <w:trHeight w:val="397"/>
          <w:jc w:val="center"/>
        </w:trPr>
        <w:tc>
          <w:tcPr>
            <w:tcW w:w="2524" w:type="dxa"/>
            <w:tcBorders>
              <w:tl2br w:val="nil"/>
              <w:tr2bl w:val="nil"/>
            </w:tcBorders>
            <w:vAlign w:val="center"/>
          </w:tcPr>
          <w:p w14:paraId="56AF5434" w14:textId="396DDB1D" w:rsidR="00BC3F8C" w:rsidRDefault="00BC3F8C" w:rsidP="00BC3F8C">
            <w:pPr>
              <w:widowControl/>
              <w:spacing w:line="240" w:lineRule="auto"/>
              <w:ind w:firstLineChars="0" w:firstLine="0"/>
              <w:jc w:val="left"/>
              <w:rPr>
                <w:rFonts w:ascii="仿宋" w:hAnsi="仿宋" w:cs="仿宋"/>
                <w:sz w:val="21"/>
                <w:szCs w:val="21"/>
              </w:rPr>
            </w:pPr>
            <w:r>
              <w:rPr>
                <w:rFonts w:ascii="仿宋" w:hAnsi="仿宋" w:cs="仿宋" w:hint="eastAsia"/>
                <w:kern w:val="0"/>
                <w:sz w:val="21"/>
                <w:szCs w:val="21"/>
                <w:lang w:bidi="ar"/>
              </w:rPr>
              <w:t>油漆（底漆、面漆、清漆）</w:t>
            </w:r>
          </w:p>
        </w:tc>
        <w:tc>
          <w:tcPr>
            <w:tcW w:w="709" w:type="dxa"/>
            <w:tcBorders>
              <w:tl2br w:val="nil"/>
              <w:tr2bl w:val="nil"/>
            </w:tcBorders>
            <w:vAlign w:val="center"/>
          </w:tcPr>
          <w:p w14:paraId="1F3E27AF" w14:textId="032E23DB" w:rsidR="00BC3F8C" w:rsidRDefault="00BC3F8C" w:rsidP="00BC3F8C">
            <w:pPr>
              <w:pStyle w:val="a6"/>
              <w:jc w:val="center"/>
              <w:rPr>
                <w:rFonts w:ascii="仿宋" w:hAnsi="仿宋" w:cs="仿宋"/>
                <w:color w:val="auto"/>
                <w:sz w:val="21"/>
                <w:szCs w:val="21"/>
              </w:rPr>
            </w:pPr>
            <w:r>
              <w:rPr>
                <w:rFonts w:ascii="仿宋" w:hAnsi="仿宋" w:cs="仿宋" w:hint="eastAsia"/>
                <w:color w:val="auto"/>
                <w:sz w:val="21"/>
                <w:szCs w:val="21"/>
              </w:rPr>
              <w:t>10</w:t>
            </w:r>
          </w:p>
        </w:tc>
        <w:tc>
          <w:tcPr>
            <w:tcW w:w="1842" w:type="dxa"/>
            <w:tcBorders>
              <w:tl2br w:val="nil"/>
              <w:tr2bl w:val="nil"/>
            </w:tcBorders>
            <w:vAlign w:val="center"/>
          </w:tcPr>
          <w:p w14:paraId="2E85216B" w14:textId="2AA259FA" w:rsidR="00BC3F8C" w:rsidRDefault="00BC3F8C" w:rsidP="00BC3F8C">
            <w:pPr>
              <w:pStyle w:val="a6"/>
              <w:jc w:val="center"/>
              <w:rPr>
                <w:rFonts w:ascii="仿宋" w:hAnsi="仿宋" w:cs="仿宋"/>
                <w:color w:val="auto"/>
                <w:sz w:val="21"/>
                <w:szCs w:val="21"/>
              </w:rPr>
            </w:pPr>
            <w:r>
              <w:rPr>
                <w:rFonts w:ascii="仿宋" w:hAnsi="仿宋" w:cs="仿宋"/>
                <w:color w:val="auto"/>
                <w:sz w:val="21"/>
                <w:szCs w:val="21"/>
              </w:rPr>
              <w:t>0.3</w:t>
            </w:r>
          </w:p>
        </w:tc>
        <w:tc>
          <w:tcPr>
            <w:tcW w:w="1565" w:type="dxa"/>
            <w:tcBorders>
              <w:tl2br w:val="nil"/>
              <w:tr2bl w:val="nil"/>
            </w:tcBorders>
            <w:vAlign w:val="center"/>
          </w:tcPr>
          <w:p w14:paraId="445FCC3B" w14:textId="56FC0A9D"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.03</w:t>
            </w:r>
          </w:p>
        </w:tc>
        <w:tc>
          <w:tcPr>
            <w:tcW w:w="1354" w:type="dxa"/>
            <w:vMerge/>
            <w:tcBorders>
              <w:tl2br w:val="nil"/>
              <w:tr2bl w:val="nil"/>
            </w:tcBorders>
            <w:vAlign w:val="center"/>
          </w:tcPr>
          <w:p w14:paraId="2A2ABC6A" w14:textId="77777777" w:rsidR="00BC3F8C" w:rsidRDefault="00BC3F8C" w:rsidP="00BC3F8C">
            <w:pPr>
              <w:adjustRightInd w:val="0"/>
              <w:snapToGrid w:val="0"/>
              <w:spacing w:line="240" w:lineRule="auto"/>
              <w:ind w:firstLineChars="0" w:firstLine="0"/>
              <w:jc w:val="center"/>
              <w:rPr>
                <w:rFonts w:ascii="仿宋" w:hAnsi="仿宋" w:cs="仿宋"/>
                <w:color w:val="FF0000"/>
                <w:sz w:val="21"/>
                <w:szCs w:val="21"/>
              </w:rPr>
            </w:pPr>
          </w:p>
        </w:tc>
      </w:tr>
      <w:tr w:rsidR="00BC3F8C" w14:paraId="7F6E98DB" w14:textId="77777777" w:rsidTr="00BC3F8C">
        <w:trPr>
          <w:trHeight w:val="397"/>
          <w:jc w:val="center"/>
        </w:trPr>
        <w:tc>
          <w:tcPr>
            <w:tcW w:w="5075" w:type="dxa"/>
            <w:gridSpan w:val="3"/>
            <w:tcBorders>
              <w:tl2br w:val="nil"/>
              <w:tr2bl w:val="nil"/>
            </w:tcBorders>
            <w:vAlign w:val="center"/>
          </w:tcPr>
          <w:p w14:paraId="24535570" w14:textId="77777777" w:rsidR="00BC3F8C" w:rsidRDefault="00BC3F8C" w:rsidP="00BC3F8C">
            <w:pPr>
              <w:adjustRightInd w:val="0"/>
              <w:snapToGrid w:val="0"/>
              <w:spacing w:line="240" w:lineRule="auto"/>
              <w:ind w:firstLine="420"/>
              <w:jc w:val="center"/>
              <w:rPr>
                <w:rFonts w:ascii="仿宋" w:hAnsi="仿宋" w:cs="仿宋"/>
                <w:sz w:val="21"/>
                <w:szCs w:val="21"/>
              </w:rPr>
            </w:pPr>
            <w:r>
              <w:rPr>
                <w:rFonts w:ascii="仿宋" w:hAnsi="仿宋" w:cs="仿宋" w:hint="eastAsia"/>
                <w:sz w:val="21"/>
                <w:szCs w:val="21"/>
              </w:rPr>
              <w:t>Q</w:t>
            </w:r>
          </w:p>
        </w:tc>
        <w:tc>
          <w:tcPr>
            <w:tcW w:w="1565" w:type="dxa"/>
            <w:tcBorders>
              <w:tl2br w:val="nil"/>
              <w:tr2bl w:val="nil"/>
            </w:tcBorders>
            <w:vAlign w:val="center"/>
          </w:tcPr>
          <w:p w14:paraId="2C017059" w14:textId="262BA4E4" w:rsidR="00BC3F8C" w:rsidRDefault="00BC3F8C" w:rsidP="00BC3F8C">
            <w:pPr>
              <w:adjustRightInd w:val="0"/>
              <w:snapToGrid w:val="0"/>
              <w:spacing w:line="240" w:lineRule="auto"/>
              <w:ind w:firstLineChars="0" w:firstLine="0"/>
              <w:jc w:val="center"/>
              <w:rPr>
                <w:rFonts w:ascii="仿宋" w:hAnsi="仿宋" w:cs="仿宋"/>
                <w:sz w:val="21"/>
                <w:szCs w:val="21"/>
              </w:rPr>
            </w:pPr>
            <w:r>
              <w:rPr>
                <w:rFonts w:ascii="仿宋" w:hAnsi="仿宋" w:cs="仿宋" w:hint="eastAsia"/>
                <w:sz w:val="21"/>
                <w:szCs w:val="21"/>
              </w:rPr>
              <w:t>0</w:t>
            </w:r>
            <w:r>
              <w:rPr>
                <w:rFonts w:ascii="仿宋" w:hAnsi="仿宋" w:cs="仿宋"/>
                <w:sz w:val="21"/>
                <w:szCs w:val="21"/>
              </w:rPr>
              <w:t>.03016</w:t>
            </w:r>
          </w:p>
        </w:tc>
        <w:tc>
          <w:tcPr>
            <w:tcW w:w="1354" w:type="dxa"/>
            <w:vMerge/>
            <w:tcBorders>
              <w:tl2br w:val="nil"/>
              <w:tr2bl w:val="nil"/>
            </w:tcBorders>
            <w:vAlign w:val="center"/>
          </w:tcPr>
          <w:p w14:paraId="4E3FC4D2" w14:textId="77777777" w:rsidR="00BC3F8C" w:rsidRDefault="00BC3F8C" w:rsidP="00BC3F8C">
            <w:pPr>
              <w:adjustRightInd w:val="0"/>
              <w:snapToGrid w:val="0"/>
              <w:spacing w:line="240" w:lineRule="auto"/>
              <w:ind w:firstLine="420"/>
              <w:jc w:val="center"/>
              <w:rPr>
                <w:rFonts w:ascii="仿宋" w:hAnsi="仿宋" w:cs="仿宋"/>
                <w:color w:val="FF0000"/>
                <w:sz w:val="21"/>
                <w:szCs w:val="21"/>
              </w:rPr>
            </w:pPr>
          </w:p>
        </w:tc>
      </w:tr>
    </w:tbl>
    <w:p w14:paraId="50EB1154" w14:textId="77777777" w:rsidR="00010F9D" w:rsidRDefault="003F6307">
      <w:pPr>
        <w:ind w:firstLine="560"/>
      </w:pPr>
      <w:r>
        <w:t>根据表</w:t>
      </w:r>
      <w:r>
        <w:t>2</w:t>
      </w:r>
      <w:r>
        <w:t>，涉水物质环境风险物质数量与临界值比值</w:t>
      </w:r>
      <w:r>
        <w:t>Q</w:t>
      </w:r>
      <w:r>
        <w:t>＜</w:t>
      </w:r>
      <w:r>
        <w:t>1</w:t>
      </w:r>
      <w:r>
        <w:t>。</w:t>
      </w:r>
    </w:p>
    <w:p w14:paraId="6504A273" w14:textId="77777777" w:rsidR="00010F9D" w:rsidRDefault="003F6307">
      <w:pPr>
        <w:ind w:firstLine="560"/>
      </w:pPr>
      <w:bookmarkStart w:id="4" w:name="_Toc920_WPSOffice_Level2"/>
      <w:r>
        <w:lastRenderedPageBreak/>
        <w:t>2</w:t>
      </w:r>
      <w:r>
        <w:t>、风险评估报告编制</w:t>
      </w:r>
      <w:bookmarkEnd w:id="4"/>
    </w:p>
    <w:p w14:paraId="7DD8F4EF" w14:textId="41A52B03" w:rsidR="00010F9D" w:rsidRDefault="003F6307">
      <w:pPr>
        <w:ind w:firstLine="560"/>
      </w:pPr>
      <w:r>
        <w:t>在上述现场考察和资料收集的基础上，编制完成《</w:t>
      </w:r>
      <w:r w:rsidR="00C24735">
        <w:rPr>
          <w:rFonts w:hint="eastAsia"/>
        </w:rPr>
        <w:t>陕西安程合创设备有限公司</w:t>
      </w:r>
      <w:r>
        <w:t>的突发环境事件风险评估报告》，作为突发环境事件应急预案的技术资料。</w:t>
      </w:r>
    </w:p>
    <w:p w14:paraId="073968E4" w14:textId="77777777" w:rsidR="00010F9D" w:rsidRDefault="003F6307">
      <w:pPr>
        <w:ind w:firstLine="560"/>
      </w:pPr>
      <w:bookmarkStart w:id="5" w:name="_Toc27029_WPSOffice_Level2"/>
      <w:r>
        <w:t>3</w:t>
      </w:r>
      <w:r>
        <w:t>、环境应急资源调查报告编制</w:t>
      </w:r>
      <w:bookmarkEnd w:id="5"/>
    </w:p>
    <w:p w14:paraId="4079B43E" w14:textId="784DA00B" w:rsidR="00010F9D" w:rsidRDefault="003F6307">
      <w:pPr>
        <w:ind w:firstLine="560"/>
      </w:pPr>
      <w:r>
        <w:t>实地现场考察厂区各个区域、周边的突发环境事件应急物资储备情况，确定对应的应急救援队伍情况，成立应急预案编制小组，由应急指挥部总指挥、副总指挥、各组组长和组员；经上述工作准备后，编制完成《</w:t>
      </w:r>
      <w:r w:rsidR="00C24735">
        <w:rPr>
          <w:rFonts w:hint="eastAsia"/>
        </w:rPr>
        <w:t>陕西安程合创设备有限公司</w:t>
      </w:r>
      <w:r>
        <w:t>环境应急资源调查报告》，作为突发环境事件应急预案的支撑资料。</w:t>
      </w:r>
    </w:p>
    <w:p w14:paraId="180477F5" w14:textId="77777777" w:rsidR="00010F9D" w:rsidRDefault="003F6307">
      <w:pPr>
        <w:ind w:firstLine="560"/>
      </w:pPr>
      <w:bookmarkStart w:id="6" w:name="_Toc14546_WPSOffice_Level2"/>
      <w:r>
        <w:t>4</w:t>
      </w:r>
      <w:r>
        <w:t>、应急预案编制</w:t>
      </w:r>
      <w:bookmarkEnd w:id="6"/>
    </w:p>
    <w:p w14:paraId="7E7AA5C7" w14:textId="3C3A2639" w:rsidR="00010F9D" w:rsidRDefault="003F6307">
      <w:pPr>
        <w:ind w:firstLine="560"/>
      </w:pPr>
      <w:r>
        <w:t>根据现场考察、收集资料，结合《</w:t>
      </w:r>
      <w:r w:rsidR="00C24735">
        <w:rPr>
          <w:rFonts w:hint="eastAsia"/>
        </w:rPr>
        <w:t>陕西安程合创设备有限公司</w:t>
      </w:r>
      <w:r>
        <w:t>突发环境事件风险评估报告》和《</w:t>
      </w:r>
      <w:r w:rsidR="00C24735">
        <w:rPr>
          <w:rFonts w:hint="eastAsia"/>
        </w:rPr>
        <w:t>陕西安程合创设备有限公司</w:t>
      </w:r>
      <w:r>
        <w:t>环境应急资源调查报告》，编制完成《</w:t>
      </w:r>
      <w:r w:rsidR="00C24735">
        <w:rPr>
          <w:rFonts w:hint="eastAsia"/>
        </w:rPr>
        <w:t>陕西安程合创设备有限公司</w:t>
      </w:r>
      <w:r>
        <w:rPr>
          <w:rFonts w:hint="eastAsia"/>
        </w:rPr>
        <w:t>突发环境事件应急预案</w:t>
      </w:r>
      <w:r>
        <w:t>》。</w:t>
      </w:r>
    </w:p>
    <w:p w14:paraId="4236B0D7" w14:textId="77777777" w:rsidR="00010F9D" w:rsidRDefault="003F6307">
      <w:pPr>
        <w:ind w:firstLine="562"/>
        <w:rPr>
          <w:b/>
          <w:bCs/>
        </w:rPr>
      </w:pPr>
      <w:bookmarkStart w:id="7" w:name="_Toc25392_WPSOffice_Level1"/>
      <w:r>
        <w:rPr>
          <w:b/>
          <w:bCs/>
        </w:rPr>
        <w:t>三、应急预案的原则</w:t>
      </w:r>
      <w:bookmarkEnd w:id="7"/>
    </w:p>
    <w:p w14:paraId="472AF129" w14:textId="77777777" w:rsidR="00010F9D" w:rsidRDefault="003F6307">
      <w:pPr>
        <w:ind w:firstLine="560"/>
      </w:pPr>
      <w:r>
        <w:t>根据突发环境事件处置的经验，体现救人第一、以人为本的原则；体现</w:t>
      </w:r>
      <w:r>
        <w:rPr>
          <w:rFonts w:hint="eastAsia"/>
        </w:rPr>
        <w:t>“</w:t>
      </w:r>
      <w:r>
        <w:t>救环境</w:t>
      </w:r>
      <w:r>
        <w:rPr>
          <w:rFonts w:hint="eastAsia"/>
        </w:rPr>
        <w:t>”</w:t>
      </w:r>
      <w:r>
        <w:t>优先于救财物，即环境优先的原则；体现先期处置、防止危害扩大的原则；体现快速响应、科学应急的原则；体现应急工作与岗位职责相结合的原则；体现预警即响应原则等。</w:t>
      </w:r>
    </w:p>
    <w:p w14:paraId="55728F8E" w14:textId="77777777" w:rsidR="00010F9D" w:rsidRDefault="003F6307">
      <w:pPr>
        <w:pStyle w:val="1"/>
        <w:ind w:firstLine="643"/>
      </w:pPr>
      <w:bookmarkStart w:id="8" w:name="_Toc3704"/>
      <w:bookmarkStart w:id="9" w:name="_Toc2244_WPSOffice_Level1"/>
      <w:r>
        <w:t>四、编制依据</w:t>
      </w:r>
      <w:bookmarkEnd w:id="8"/>
      <w:bookmarkEnd w:id="9"/>
    </w:p>
    <w:p w14:paraId="26FA1660" w14:textId="7A97404D" w:rsidR="00010F9D" w:rsidRDefault="003F6307">
      <w:pPr>
        <w:ind w:firstLine="560"/>
      </w:pPr>
      <w:r>
        <w:t>依据《中华人民共和国环境保护法》、《企业突发环境事件风险分级方法</w:t>
      </w:r>
      <w:r>
        <w:t xml:space="preserve"> </w:t>
      </w:r>
      <w:r>
        <w:t>》、《危险化学品重大危险源辨识》和省、市政府有关规定、文件及会议</w:t>
      </w:r>
      <w:r>
        <w:lastRenderedPageBreak/>
        <w:t>精神。我们根据相关法律、法规、标准、规定的相关要求，结合本单位的实际情况和生产工艺特点，修订完善了《</w:t>
      </w:r>
      <w:r w:rsidR="00492375">
        <w:rPr>
          <w:rFonts w:hint="eastAsia"/>
        </w:rPr>
        <w:t>陕西安程合创设备有限公司</w:t>
      </w:r>
      <w:r>
        <w:rPr>
          <w:rFonts w:hint="eastAsia"/>
        </w:rPr>
        <w:t>突发环境事件应急预案</w:t>
      </w:r>
      <w:r>
        <w:t>》（</w:t>
      </w:r>
      <w:r>
        <w:t>202</w:t>
      </w:r>
      <w:r>
        <w:rPr>
          <w:rFonts w:hint="eastAsia"/>
        </w:rPr>
        <w:t>2</w:t>
      </w:r>
      <w:r>
        <w:t>年版）。</w:t>
      </w:r>
    </w:p>
    <w:p w14:paraId="633927E8" w14:textId="77777777" w:rsidR="00010F9D" w:rsidRDefault="003F6307">
      <w:pPr>
        <w:pStyle w:val="1"/>
        <w:ind w:firstLine="643"/>
      </w:pPr>
      <w:bookmarkStart w:id="10" w:name="_Toc9009_WPSOffice_Level1"/>
      <w:bookmarkStart w:id="11" w:name="_Toc28443"/>
      <w:r>
        <w:t>五、应急预案的主要内容</w:t>
      </w:r>
      <w:bookmarkEnd w:id="10"/>
      <w:bookmarkEnd w:id="11"/>
    </w:p>
    <w:p w14:paraId="22BCD09D" w14:textId="77777777" w:rsidR="00010F9D" w:rsidRDefault="003F6307">
      <w:pPr>
        <w:ind w:firstLine="560"/>
      </w:pPr>
      <w:r>
        <w:t>根据《危险化学品名录》、《危险化学品重大危险源辨识》（</w:t>
      </w:r>
      <w:r>
        <w:t>GB18218-2014</w:t>
      </w:r>
      <w:r>
        <w:t>）和《企业突发环境事件风险分级方法》</w:t>
      </w:r>
      <w:r>
        <w:rPr>
          <w:rFonts w:hint="eastAsia"/>
        </w:rPr>
        <w:t>（</w:t>
      </w:r>
      <w:r>
        <w:t>HJ 941-2018</w:t>
      </w:r>
      <w:r>
        <w:rPr>
          <w:rFonts w:hint="eastAsia"/>
        </w:rPr>
        <w:t>）</w:t>
      </w:r>
      <w:r>
        <w:t>中附录</w:t>
      </w:r>
      <w:r>
        <w:t>A</w:t>
      </w:r>
      <w:r>
        <w:t>突发环境事件风险物质及临界量的相关要求，在辨识和评估公司危险化学品及危险废物在储存和使用过程中潜在的重大危险、事件类型、发生的可能性及发生过程、事件后果及影响严重程度的基础上，编制突发环境事件应急预案。针对具体设施、场所和环境，对应急机构与其职责、人员、技术、装备、设施（备）、物资、救援行动及其指挥与协调等方面预先做出科学有效的计划和具体安排，明确在突发环境事件发生前、过程中及结束后，谁负责做什么，何时做，以及相应的策略和资源准备等。</w:t>
      </w:r>
    </w:p>
    <w:p w14:paraId="409BEF00" w14:textId="2D083DFA" w:rsidR="00010F9D" w:rsidRDefault="003F6307">
      <w:pPr>
        <w:ind w:firstLine="560"/>
      </w:pPr>
      <w:r>
        <w:t>通过对公司储存的危险化学品及产生的中间产物进行研究分析，编制公司《</w:t>
      </w:r>
      <w:r w:rsidR="00C24735">
        <w:rPr>
          <w:rFonts w:hint="eastAsia"/>
        </w:rPr>
        <w:t>陕西安程合创设备有限公司</w:t>
      </w:r>
      <w:r>
        <w:rPr>
          <w:rFonts w:hint="eastAsia"/>
        </w:rPr>
        <w:t>突发环境事件应急预案</w:t>
      </w:r>
      <w:r>
        <w:t>》。</w:t>
      </w:r>
    </w:p>
    <w:p w14:paraId="392CB648" w14:textId="77777777" w:rsidR="00010F9D" w:rsidRDefault="003F6307">
      <w:pPr>
        <w:ind w:firstLine="560"/>
      </w:pPr>
      <w:r>
        <w:t>应急预案内容主要包括：</w:t>
      </w:r>
    </w:p>
    <w:p w14:paraId="0359B57C" w14:textId="77777777" w:rsidR="00010F9D" w:rsidRDefault="003F6307">
      <w:pPr>
        <w:ind w:firstLine="560"/>
      </w:pPr>
      <w:r>
        <w:t>1</w:t>
      </w:r>
      <w:r>
        <w:t>、企业的概况、周边环境状况、环境敏感点等：</w:t>
      </w:r>
    </w:p>
    <w:p w14:paraId="23941AE8" w14:textId="77777777" w:rsidR="00010F9D" w:rsidRDefault="003F6307">
      <w:pPr>
        <w:ind w:firstLine="560"/>
      </w:pPr>
      <w:r>
        <w:t>2</w:t>
      </w:r>
      <w:r>
        <w:t>、企业环境风险评价；</w:t>
      </w:r>
    </w:p>
    <w:p w14:paraId="03D90D5A" w14:textId="77777777" w:rsidR="00010F9D" w:rsidRDefault="003F6307">
      <w:pPr>
        <w:ind w:firstLine="560"/>
      </w:pPr>
      <w:r>
        <w:t>3</w:t>
      </w:r>
      <w:r>
        <w:t>、应急物资的储备情况，针对单位危险源数量和性质，复核储备的应急物资品名和基本储量；</w:t>
      </w:r>
    </w:p>
    <w:p w14:paraId="38E1EBB8" w14:textId="77777777" w:rsidR="00010F9D" w:rsidRDefault="003F6307">
      <w:pPr>
        <w:ind w:firstLine="560"/>
      </w:pPr>
      <w:r>
        <w:t>4</w:t>
      </w:r>
      <w:r>
        <w:t>、应急救援机构、应急物资保障、当地政府相关部门和企业内部人员的联系方式等。重大安全危险源各项预案已经</w:t>
      </w:r>
      <w:r>
        <w:rPr>
          <w:rFonts w:hint="eastAsia"/>
        </w:rPr>
        <w:t>涉及</w:t>
      </w:r>
      <w:r>
        <w:t>以上内容，突发环境应急预</w:t>
      </w:r>
      <w:r>
        <w:lastRenderedPageBreak/>
        <w:t>案中遵照安全预案执行。</w:t>
      </w:r>
    </w:p>
    <w:p w14:paraId="4E1CCA42" w14:textId="66610A7D" w:rsidR="00010F9D" w:rsidRDefault="003F6307">
      <w:pPr>
        <w:ind w:firstLine="560"/>
      </w:pPr>
      <w:r>
        <w:t>结合上述内容，经对环境风险源进行了仔细排查和分析评估，</w:t>
      </w:r>
      <w:r w:rsidR="00C24735">
        <w:rPr>
          <w:rFonts w:hint="eastAsia"/>
        </w:rPr>
        <w:t>陕西安程合创设备有限公司</w:t>
      </w:r>
      <w:r>
        <w:rPr>
          <w:rFonts w:hint="eastAsia"/>
        </w:rPr>
        <w:t>突发环境事件应急预案</w:t>
      </w:r>
      <w:r>
        <w:t>主要突发环境事件为：</w:t>
      </w:r>
    </w:p>
    <w:p w14:paraId="41882CB4" w14:textId="77777777" w:rsidR="00010F9D" w:rsidRDefault="003F6307">
      <w:pPr>
        <w:ind w:firstLine="562"/>
        <w:rPr>
          <w:b/>
          <w:bCs/>
        </w:rPr>
      </w:pPr>
      <w:bookmarkStart w:id="12" w:name="_Toc1757_WPSOffice_Level1"/>
      <w:r>
        <w:rPr>
          <w:b/>
          <w:bCs/>
        </w:rPr>
        <w:t>（</w:t>
      </w:r>
      <w:r>
        <w:rPr>
          <w:b/>
          <w:bCs/>
        </w:rPr>
        <w:t>1</w:t>
      </w:r>
      <w:r>
        <w:rPr>
          <w:rFonts w:hint="eastAsia"/>
          <w:b/>
          <w:bCs/>
        </w:rPr>
        <w:t>）环保设施故障引起的污染物超标排放事故</w:t>
      </w:r>
    </w:p>
    <w:p w14:paraId="2027D05B" w14:textId="77777777" w:rsidR="00010F9D" w:rsidRDefault="003F6307">
      <w:pPr>
        <w:ind w:firstLine="560"/>
      </w:pPr>
      <w:r>
        <w:rPr>
          <w:rFonts w:hint="eastAsia"/>
        </w:rPr>
        <w:t>公司运营</w:t>
      </w:r>
      <w:r>
        <w:t>过程中环保设施发生故障、化粪池等发生损坏，</w:t>
      </w:r>
      <w:r>
        <w:rPr>
          <w:rFonts w:hint="eastAsia"/>
        </w:rPr>
        <w:t>导致的各种污染物超标排放，污染周围环境的大气、土壤、地表水和</w:t>
      </w:r>
      <w:r>
        <w:t>地下水。</w:t>
      </w:r>
      <w:r>
        <w:t xml:space="preserve"> </w:t>
      </w:r>
    </w:p>
    <w:p w14:paraId="3270FA2B" w14:textId="77777777" w:rsidR="00010F9D" w:rsidRDefault="003F6307">
      <w:pPr>
        <w:ind w:firstLine="562"/>
        <w:rPr>
          <w:b/>
          <w:bCs/>
        </w:rPr>
      </w:pPr>
      <w:r>
        <w:rPr>
          <w:b/>
          <w:bCs/>
        </w:rPr>
        <w:t>（</w:t>
      </w:r>
      <w:r>
        <w:rPr>
          <w:b/>
          <w:bCs/>
        </w:rPr>
        <w:t>2</w:t>
      </w:r>
      <w:r>
        <w:rPr>
          <w:rFonts w:hint="eastAsia"/>
          <w:b/>
          <w:bCs/>
        </w:rPr>
        <w:t>）危废间泄漏事故</w:t>
      </w:r>
    </w:p>
    <w:p w14:paraId="333A058F" w14:textId="77777777" w:rsidR="00010F9D" w:rsidRDefault="003F6307">
      <w:pPr>
        <w:ind w:firstLine="560"/>
      </w:pPr>
      <w:r>
        <w:t>公司运营过程中产生的危险废弃物主要为项目维修车辆时产生</w:t>
      </w:r>
      <w:r>
        <w:rPr>
          <w:rFonts w:hint="eastAsia"/>
        </w:rPr>
        <w:t>的废过滤棉、废活性炭、废机油、废含油抹布手套、废铅酸电池等经分类收集后，暂存于危废暂存间。危废暂存间存储的废机油、废含油废弃物，均使用托盘放置，定期交由资质单位及时统一处置。若由于容器自身老化或人为失误造成泄漏，可能引起物质泄漏，引起地表水水质污染、沉淀下渗。会对土壤及地下水环境造成长期影响。</w:t>
      </w:r>
    </w:p>
    <w:p w14:paraId="53F412CB" w14:textId="77777777" w:rsidR="00010F9D" w:rsidRDefault="003F6307">
      <w:pPr>
        <w:ind w:firstLine="562"/>
        <w:rPr>
          <w:b/>
          <w:bCs/>
        </w:rPr>
      </w:pPr>
      <w:r>
        <w:rPr>
          <w:b/>
          <w:bCs/>
        </w:rPr>
        <w:t>（</w:t>
      </w:r>
      <w:r>
        <w:rPr>
          <w:b/>
          <w:bCs/>
        </w:rPr>
        <w:t>3</w:t>
      </w:r>
      <w:r>
        <w:rPr>
          <w:rFonts w:hint="eastAsia"/>
          <w:b/>
          <w:bCs/>
        </w:rPr>
        <w:t>）原辅料泄漏事件</w:t>
      </w:r>
      <w:r>
        <w:rPr>
          <w:rFonts w:hint="eastAsia"/>
          <w:b/>
          <w:bCs/>
        </w:rPr>
        <w:t xml:space="preserve"> </w:t>
      </w:r>
    </w:p>
    <w:p w14:paraId="5581D966" w14:textId="77777777" w:rsidR="00010F9D" w:rsidRDefault="003F6307">
      <w:pPr>
        <w:ind w:firstLine="560"/>
      </w:pPr>
      <w:r>
        <w:t>公司主要涉及的原辅料为油漆、机油。该项目生产过程</w:t>
      </w:r>
      <w:r>
        <w:rPr>
          <w:rFonts w:hint="eastAsia"/>
        </w:rPr>
        <w:t>中，生产区有可能发生原料的泄漏事故。油漆桶、机油桶破裂均能发生泄露会导致油类物质流出库外，会对周围的地表水、地下水和土壤环境造成污染。</w:t>
      </w:r>
      <w:r>
        <w:rPr>
          <w:rFonts w:hint="eastAsia"/>
        </w:rPr>
        <w:t xml:space="preserve"> </w:t>
      </w:r>
    </w:p>
    <w:p w14:paraId="717E0E38" w14:textId="77777777" w:rsidR="00010F9D" w:rsidRDefault="003F6307">
      <w:pPr>
        <w:ind w:firstLine="562"/>
        <w:rPr>
          <w:b/>
          <w:bCs/>
        </w:rPr>
      </w:pPr>
      <w:r>
        <w:rPr>
          <w:b/>
          <w:bCs/>
        </w:rPr>
        <w:t>（</w:t>
      </w:r>
      <w:r>
        <w:rPr>
          <w:b/>
          <w:bCs/>
        </w:rPr>
        <w:t>4</w:t>
      </w:r>
      <w:r>
        <w:rPr>
          <w:rFonts w:hint="eastAsia"/>
          <w:b/>
          <w:bCs/>
        </w:rPr>
        <w:t>）火灾事故</w:t>
      </w:r>
    </w:p>
    <w:p w14:paraId="0BF47754" w14:textId="77777777" w:rsidR="00010F9D" w:rsidRDefault="003F6307">
      <w:pPr>
        <w:ind w:firstLine="560"/>
      </w:pPr>
      <w:r>
        <w:t>公司生产区主要涉及的原辅料为机油、废机油。机油、废机油属</w:t>
      </w:r>
      <w:r>
        <w:rPr>
          <w:rFonts w:hint="eastAsia"/>
        </w:rPr>
        <w:t>于易燃易爆，遇明火、高能、蒸汽或空气能引起燃烧爆炸事故。如果在生产场所有火源存在，就可能造成火灾爆炸事故的发生，因此在生产管理中应重视火源的诱发因素。火灾事故一旦发生，产生的二氧化碳、一氧化碳等污染物会对</w:t>
      </w:r>
      <w:r>
        <w:rPr>
          <w:rFonts w:hint="eastAsia"/>
        </w:rPr>
        <w:lastRenderedPageBreak/>
        <w:t>大气环境造成较大影响，火灾爆炸事故还有可能破坏地面防渗层，导致原料、产品、污废水泄漏事故等事故的发生，从而造成二次污染。</w:t>
      </w:r>
      <w:r>
        <w:rPr>
          <w:rFonts w:hint="eastAsia"/>
        </w:rPr>
        <w:t xml:space="preserve"> </w:t>
      </w:r>
    </w:p>
    <w:p w14:paraId="3C928418" w14:textId="77777777" w:rsidR="00010F9D" w:rsidRDefault="003F6307">
      <w:pPr>
        <w:pStyle w:val="1"/>
        <w:ind w:firstLine="643"/>
      </w:pPr>
      <w:bookmarkStart w:id="13" w:name="_Toc11886"/>
      <w:r>
        <w:t>六、企业内部征求意见情况、企业内审情况</w:t>
      </w:r>
      <w:bookmarkEnd w:id="12"/>
      <w:bookmarkEnd w:id="13"/>
    </w:p>
    <w:p w14:paraId="5BE2577F" w14:textId="4C486576" w:rsidR="00010F9D" w:rsidRDefault="003F6307">
      <w:pPr>
        <w:ind w:firstLine="560"/>
      </w:pPr>
      <w:r>
        <w:t>20</w:t>
      </w:r>
      <w:r>
        <w:rPr>
          <w:rFonts w:hint="eastAsia"/>
        </w:rPr>
        <w:t>22</w:t>
      </w:r>
      <w:r>
        <w:t>年</w:t>
      </w:r>
      <w:r w:rsidR="000B1B36">
        <w:t>3</w:t>
      </w:r>
      <w:r>
        <w:t>月</w:t>
      </w:r>
      <w:r w:rsidR="000B1B36">
        <w:t>28</w:t>
      </w:r>
      <w:r>
        <w:t>日，由本企业</w:t>
      </w:r>
      <w:r>
        <w:rPr>
          <w:rFonts w:hint="eastAsia"/>
        </w:rPr>
        <w:t>负责人</w:t>
      </w:r>
      <w:r>
        <w:t>组织，相关生产技术人员、周边企业代表、突发环境事件应急预案编制人员等参加了关于本预案的征求意见建议会议，与会人员充分发表了意见和看法，经认真讨论，汇总意见有</w:t>
      </w:r>
      <w:r>
        <w:rPr>
          <w:rFonts w:hint="eastAsia"/>
        </w:rPr>
        <w:t>二</w:t>
      </w:r>
      <w:r>
        <w:t>项</w:t>
      </w:r>
      <w:r>
        <w:rPr>
          <w:rFonts w:hint="eastAsia"/>
        </w:rPr>
        <w:t>，见下表</w:t>
      </w:r>
      <w:r>
        <w:t>：</w:t>
      </w:r>
    </w:p>
    <w:p w14:paraId="15BC7EFF" w14:textId="77777777" w:rsidR="00010F9D" w:rsidRDefault="003F6307">
      <w:pPr>
        <w:ind w:firstLine="482"/>
        <w:jc w:val="center"/>
        <w:rPr>
          <w:sz w:val="24"/>
        </w:rPr>
      </w:pPr>
      <w:r>
        <w:rPr>
          <w:rFonts w:hint="eastAsia"/>
          <w:b/>
          <w:bCs/>
          <w:sz w:val="24"/>
        </w:rPr>
        <w:t>征求的</w:t>
      </w:r>
      <w:r>
        <w:rPr>
          <w:b/>
          <w:bCs/>
          <w:sz w:val="24"/>
        </w:rPr>
        <w:t>意见建议清单</w:t>
      </w:r>
    </w:p>
    <w:tbl>
      <w:tblPr>
        <w:tblStyle w:val="a7"/>
        <w:tblW w:w="0" w:type="auto"/>
        <w:jc w:val="center"/>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927"/>
        <w:gridCol w:w="5059"/>
        <w:gridCol w:w="2019"/>
      </w:tblGrid>
      <w:tr w:rsidR="00010F9D" w14:paraId="7AAED4E8" w14:textId="77777777">
        <w:trPr>
          <w:jc w:val="center"/>
        </w:trPr>
        <w:tc>
          <w:tcPr>
            <w:tcW w:w="927" w:type="dxa"/>
            <w:tcBorders>
              <w:tl2br w:val="nil"/>
              <w:tr2bl w:val="nil"/>
            </w:tcBorders>
            <w:vAlign w:val="center"/>
          </w:tcPr>
          <w:p w14:paraId="7B60C4F1" w14:textId="77777777" w:rsidR="00010F9D" w:rsidRDefault="003F6307">
            <w:pPr>
              <w:spacing w:line="240" w:lineRule="auto"/>
              <w:ind w:firstLineChars="0" w:firstLine="0"/>
              <w:jc w:val="center"/>
              <w:rPr>
                <w:b/>
                <w:bCs/>
                <w:sz w:val="21"/>
                <w:szCs w:val="21"/>
              </w:rPr>
            </w:pPr>
            <w:r>
              <w:rPr>
                <w:rFonts w:hint="eastAsia"/>
                <w:b/>
                <w:bCs/>
                <w:sz w:val="21"/>
                <w:szCs w:val="21"/>
              </w:rPr>
              <w:t>序号</w:t>
            </w:r>
          </w:p>
        </w:tc>
        <w:tc>
          <w:tcPr>
            <w:tcW w:w="5059" w:type="dxa"/>
            <w:tcBorders>
              <w:tl2br w:val="nil"/>
              <w:tr2bl w:val="nil"/>
            </w:tcBorders>
            <w:vAlign w:val="center"/>
          </w:tcPr>
          <w:p w14:paraId="4A70449F" w14:textId="77777777" w:rsidR="00010F9D" w:rsidRDefault="003F6307">
            <w:pPr>
              <w:spacing w:line="240" w:lineRule="auto"/>
              <w:ind w:firstLine="422"/>
              <w:jc w:val="center"/>
              <w:rPr>
                <w:b/>
                <w:bCs/>
                <w:sz w:val="21"/>
                <w:szCs w:val="21"/>
              </w:rPr>
            </w:pPr>
            <w:r>
              <w:rPr>
                <w:rFonts w:hint="eastAsia"/>
                <w:b/>
                <w:bCs/>
                <w:sz w:val="21"/>
                <w:szCs w:val="21"/>
              </w:rPr>
              <w:t>意见与建议</w:t>
            </w:r>
          </w:p>
        </w:tc>
        <w:tc>
          <w:tcPr>
            <w:tcW w:w="2019" w:type="dxa"/>
            <w:tcBorders>
              <w:tl2br w:val="nil"/>
              <w:tr2bl w:val="nil"/>
            </w:tcBorders>
            <w:vAlign w:val="center"/>
          </w:tcPr>
          <w:p w14:paraId="5005698B" w14:textId="77777777" w:rsidR="00010F9D" w:rsidRDefault="003F6307">
            <w:pPr>
              <w:spacing w:line="240" w:lineRule="auto"/>
              <w:ind w:firstLineChars="0" w:firstLine="0"/>
              <w:jc w:val="center"/>
              <w:rPr>
                <w:b/>
                <w:bCs/>
                <w:sz w:val="21"/>
                <w:szCs w:val="21"/>
              </w:rPr>
            </w:pPr>
            <w:r>
              <w:rPr>
                <w:rFonts w:hint="eastAsia"/>
                <w:b/>
                <w:bCs/>
                <w:sz w:val="21"/>
                <w:szCs w:val="21"/>
              </w:rPr>
              <w:t>采纳情况</w:t>
            </w:r>
          </w:p>
        </w:tc>
      </w:tr>
      <w:tr w:rsidR="00010F9D" w14:paraId="3F4E868C" w14:textId="77777777">
        <w:trPr>
          <w:trHeight w:val="725"/>
          <w:jc w:val="center"/>
        </w:trPr>
        <w:tc>
          <w:tcPr>
            <w:tcW w:w="927" w:type="dxa"/>
            <w:tcBorders>
              <w:tl2br w:val="nil"/>
              <w:tr2bl w:val="nil"/>
            </w:tcBorders>
            <w:vAlign w:val="center"/>
          </w:tcPr>
          <w:p w14:paraId="202AB933" w14:textId="77777777" w:rsidR="00010F9D" w:rsidRDefault="003F6307">
            <w:pPr>
              <w:spacing w:line="240" w:lineRule="auto"/>
              <w:ind w:firstLineChars="0" w:firstLine="0"/>
              <w:jc w:val="center"/>
              <w:rPr>
                <w:sz w:val="21"/>
                <w:szCs w:val="21"/>
              </w:rPr>
            </w:pPr>
            <w:r>
              <w:rPr>
                <w:rFonts w:hint="eastAsia"/>
                <w:sz w:val="21"/>
                <w:szCs w:val="21"/>
              </w:rPr>
              <w:t>1</w:t>
            </w:r>
          </w:p>
        </w:tc>
        <w:tc>
          <w:tcPr>
            <w:tcW w:w="5059" w:type="dxa"/>
            <w:tcBorders>
              <w:tl2br w:val="nil"/>
              <w:tr2bl w:val="nil"/>
            </w:tcBorders>
            <w:vAlign w:val="center"/>
          </w:tcPr>
          <w:p w14:paraId="220FA92E" w14:textId="77777777" w:rsidR="00010F9D" w:rsidRDefault="003F6307">
            <w:pPr>
              <w:spacing w:line="240" w:lineRule="auto"/>
              <w:ind w:firstLine="420"/>
              <w:jc w:val="center"/>
              <w:rPr>
                <w:sz w:val="21"/>
                <w:szCs w:val="21"/>
              </w:rPr>
            </w:pPr>
            <w:r>
              <w:rPr>
                <w:sz w:val="21"/>
                <w:szCs w:val="21"/>
              </w:rPr>
              <w:t>加强对应急人员的培训，避免在操作中出现问题</w:t>
            </w:r>
          </w:p>
        </w:tc>
        <w:tc>
          <w:tcPr>
            <w:tcW w:w="2019" w:type="dxa"/>
            <w:tcBorders>
              <w:tl2br w:val="nil"/>
              <w:tr2bl w:val="nil"/>
            </w:tcBorders>
            <w:vAlign w:val="center"/>
          </w:tcPr>
          <w:p w14:paraId="4DDA0068" w14:textId="77777777" w:rsidR="00010F9D" w:rsidRDefault="003F6307">
            <w:pPr>
              <w:spacing w:line="240" w:lineRule="auto"/>
              <w:ind w:firstLineChars="0" w:firstLine="0"/>
              <w:jc w:val="center"/>
              <w:rPr>
                <w:sz w:val="21"/>
                <w:szCs w:val="21"/>
              </w:rPr>
            </w:pPr>
            <w:r>
              <w:rPr>
                <w:rFonts w:hint="eastAsia"/>
                <w:sz w:val="21"/>
                <w:szCs w:val="21"/>
              </w:rPr>
              <w:t>采纳</w:t>
            </w:r>
          </w:p>
        </w:tc>
      </w:tr>
      <w:tr w:rsidR="00010F9D" w14:paraId="75E7D76B" w14:textId="77777777">
        <w:trPr>
          <w:trHeight w:val="843"/>
          <w:jc w:val="center"/>
        </w:trPr>
        <w:tc>
          <w:tcPr>
            <w:tcW w:w="927" w:type="dxa"/>
            <w:tcBorders>
              <w:tl2br w:val="nil"/>
              <w:tr2bl w:val="nil"/>
            </w:tcBorders>
            <w:vAlign w:val="center"/>
          </w:tcPr>
          <w:p w14:paraId="428C90DC" w14:textId="77777777" w:rsidR="00010F9D" w:rsidRDefault="003F6307">
            <w:pPr>
              <w:spacing w:line="240" w:lineRule="auto"/>
              <w:ind w:firstLineChars="0" w:firstLine="0"/>
              <w:jc w:val="center"/>
              <w:rPr>
                <w:sz w:val="21"/>
                <w:szCs w:val="21"/>
              </w:rPr>
            </w:pPr>
            <w:r>
              <w:rPr>
                <w:rFonts w:hint="eastAsia"/>
                <w:sz w:val="21"/>
                <w:szCs w:val="21"/>
              </w:rPr>
              <w:t>2</w:t>
            </w:r>
          </w:p>
        </w:tc>
        <w:tc>
          <w:tcPr>
            <w:tcW w:w="5059" w:type="dxa"/>
            <w:tcBorders>
              <w:tl2br w:val="nil"/>
              <w:tr2bl w:val="nil"/>
            </w:tcBorders>
            <w:vAlign w:val="center"/>
          </w:tcPr>
          <w:p w14:paraId="259E2642" w14:textId="77777777" w:rsidR="00010F9D" w:rsidRDefault="003F6307">
            <w:pPr>
              <w:spacing w:line="240" w:lineRule="auto"/>
              <w:ind w:firstLine="420"/>
              <w:jc w:val="center"/>
              <w:rPr>
                <w:sz w:val="21"/>
                <w:szCs w:val="21"/>
              </w:rPr>
            </w:pPr>
            <w:r>
              <w:rPr>
                <w:rFonts w:hint="eastAsia"/>
                <w:sz w:val="21"/>
                <w:szCs w:val="21"/>
              </w:rPr>
              <w:t>针对可能发生的突发环境事件，</w:t>
            </w:r>
            <w:r>
              <w:rPr>
                <w:sz w:val="21"/>
                <w:szCs w:val="21"/>
              </w:rPr>
              <w:t>加强应急演练</w:t>
            </w:r>
          </w:p>
        </w:tc>
        <w:tc>
          <w:tcPr>
            <w:tcW w:w="2019" w:type="dxa"/>
            <w:tcBorders>
              <w:tl2br w:val="nil"/>
              <w:tr2bl w:val="nil"/>
            </w:tcBorders>
            <w:vAlign w:val="center"/>
          </w:tcPr>
          <w:p w14:paraId="3F2E7FC1" w14:textId="77777777" w:rsidR="00010F9D" w:rsidRDefault="003F6307">
            <w:pPr>
              <w:spacing w:line="240" w:lineRule="auto"/>
              <w:ind w:firstLineChars="0" w:firstLine="0"/>
              <w:jc w:val="center"/>
              <w:rPr>
                <w:sz w:val="21"/>
                <w:szCs w:val="21"/>
              </w:rPr>
            </w:pPr>
            <w:r>
              <w:rPr>
                <w:rFonts w:hint="eastAsia"/>
                <w:sz w:val="21"/>
                <w:szCs w:val="21"/>
              </w:rPr>
              <w:t>采纳</w:t>
            </w:r>
          </w:p>
        </w:tc>
      </w:tr>
      <w:tr w:rsidR="00010F9D" w14:paraId="1ADECD8F" w14:textId="77777777">
        <w:trPr>
          <w:trHeight w:val="843"/>
          <w:jc w:val="center"/>
        </w:trPr>
        <w:tc>
          <w:tcPr>
            <w:tcW w:w="927" w:type="dxa"/>
            <w:tcBorders>
              <w:tl2br w:val="nil"/>
              <w:tr2bl w:val="nil"/>
            </w:tcBorders>
            <w:vAlign w:val="center"/>
          </w:tcPr>
          <w:p w14:paraId="5A400893" w14:textId="77777777" w:rsidR="00010F9D" w:rsidRDefault="003F6307">
            <w:pPr>
              <w:spacing w:line="240" w:lineRule="auto"/>
              <w:ind w:firstLineChars="0" w:firstLine="0"/>
              <w:jc w:val="center"/>
              <w:rPr>
                <w:sz w:val="21"/>
                <w:szCs w:val="21"/>
              </w:rPr>
            </w:pPr>
            <w:bookmarkStart w:id="14" w:name="_Toc27911"/>
            <w:r>
              <w:rPr>
                <w:rFonts w:hint="eastAsia"/>
                <w:sz w:val="21"/>
                <w:szCs w:val="21"/>
              </w:rPr>
              <w:t>3</w:t>
            </w:r>
          </w:p>
        </w:tc>
        <w:tc>
          <w:tcPr>
            <w:tcW w:w="5059" w:type="dxa"/>
            <w:tcBorders>
              <w:tl2br w:val="nil"/>
              <w:tr2bl w:val="nil"/>
            </w:tcBorders>
            <w:vAlign w:val="center"/>
          </w:tcPr>
          <w:p w14:paraId="6595CE09" w14:textId="77777777" w:rsidR="00010F9D" w:rsidRDefault="003F6307">
            <w:pPr>
              <w:ind w:firstLine="420"/>
              <w:rPr>
                <w:sz w:val="21"/>
                <w:szCs w:val="21"/>
              </w:rPr>
            </w:pPr>
            <w:r>
              <w:rPr>
                <w:rFonts w:hint="eastAsia"/>
                <w:sz w:val="21"/>
                <w:szCs w:val="21"/>
              </w:rPr>
              <w:t>企业在生产过程中，废气处理设施故障可能对周边环境空气造成影响，企业需保证正常的环保设备运行并加强安全运行维护，一旦出现非正常工况应及时进行维修。</w:t>
            </w:r>
          </w:p>
        </w:tc>
        <w:tc>
          <w:tcPr>
            <w:tcW w:w="2019" w:type="dxa"/>
            <w:tcBorders>
              <w:tl2br w:val="nil"/>
              <w:tr2bl w:val="nil"/>
            </w:tcBorders>
            <w:vAlign w:val="center"/>
          </w:tcPr>
          <w:p w14:paraId="3F0E18EB" w14:textId="77777777" w:rsidR="00010F9D" w:rsidRDefault="003F6307">
            <w:pPr>
              <w:spacing w:line="240" w:lineRule="auto"/>
              <w:ind w:firstLineChars="0" w:firstLine="0"/>
              <w:jc w:val="center"/>
              <w:rPr>
                <w:sz w:val="21"/>
                <w:szCs w:val="21"/>
              </w:rPr>
            </w:pPr>
            <w:r>
              <w:rPr>
                <w:rFonts w:hint="eastAsia"/>
                <w:sz w:val="21"/>
                <w:szCs w:val="21"/>
              </w:rPr>
              <w:t>采纳</w:t>
            </w:r>
          </w:p>
        </w:tc>
      </w:tr>
      <w:tr w:rsidR="00010F9D" w14:paraId="055EF90F" w14:textId="77777777">
        <w:trPr>
          <w:trHeight w:val="843"/>
          <w:jc w:val="center"/>
        </w:trPr>
        <w:tc>
          <w:tcPr>
            <w:tcW w:w="927" w:type="dxa"/>
            <w:tcBorders>
              <w:tl2br w:val="nil"/>
              <w:tr2bl w:val="nil"/>
            </w:tcBorders>
            <w:vAlign w:val="center"/>
          </w:tcPr>
          <w:p w14:paraId="7080A6C9" w14:textId="77777777" w:rsidR="00010F9D" w:rsidRDefault="003F6307">
            <w:pPr>
              <w:spacing w:line="240" w:lineRule="auto"/>
              <w:ind w:firstLineChars="0" w:firstLine="0"/>
              <w:jc w:val="center"/>
              <w:rPr>
                <w:sz w:val="21"/>
                <w:szCs w:val="21"/>
              </w:rPr>
            </w:pPr>
            <w:r>
              <w:rPr>
                <w:rFonts w:hint="eastAsia"/>
                <w:sz w:val="21"/>
                <w:szCs w:val="21"/>
              </w:rPr>
              <w:t>4</w:t>
            </w:r>
          </w:p>
        </w:tc>
        <w:tc>
          <w:tcPr>
            <w:tcW w:w="5059" w:type="dxa"/>
            <w:tcBorders>
              <w:tl2br w:val="nil"/>
              <w:tr2bl w:val="nil"/>
            </w:tcBorders>
            <w:vAlign w:val="center"/>
          </w:tcPr>
          <w:p w14:paraId="128B63EF" w14:textId="77777777" w:rsidR="00010F9D" w:rsidRDefault="003F6307">
            <w:pPr>
              <w:ind w:firstLine="420"/>
              <w:rPr>
                <w:sz w:val="21"/>
                <w:szCs w:val="21"/>
              </w:rPr>
            </w:pPr>
            <w:r>
              <w:rPr>
                <w:rFonts w:hint="eastAsia"/>
                <w:sz w:val="21"/>
                <w:szCs w:val="21"/>
              </w:rPr>
              <w:t>企业运营期间无生产用水，生活污水主要为作业人员生活用水。生活污水经厂区所在园区化粪池处理后由厂区污水管道排入秦汉新城朝阳污水处理厂。</w:t>
            </w:r>
          </w:p>
        </w:tc>
        <w:tc>
          <w:tcPr>
            <w:tcW w:w="2019" w:type="dxa"/>
            <w:tcBorders>
              <w:tl2br w:val="nil"/>
              <w:tr2bl w:val="nil"/>
            </w:tcBorders>
            <w:vAlign w:val="center"/>
          </w:tcPr>
          <w:p w14:paraId="0885857E" w14:textId="77777777" w:rsidR="00010F9D" w:rsidRDefault="003F6307">
            <w:pPr>
              <w:spacing w:line="240" w:lineRule="auto"/>
              <w:ind w:firstLineChars="0" w:firstLine="0"/>
              <w:jc w:val="center"/>
              <w:rPr>
                <w:sz w:val="21"/>
                <w:szCs w:val="21"/>
              </w:rPr>
            </w:pPr>
            <w:r>
              <w:rPr>
                <w:rFonts w:hint="eastAsia"/>
                <w:sz w:val="21"/>
                <w:szCs w:val="21"/>
              </w:rPr>
              <w:t>采纳</w:t>
            </w:r>
          </w:p>
        </w:tc>
      </w:tr>
      <w:tr w:rsidR="00010F9D" w14:paraId="19253292" w14:textId="77777777">
        <w:trPr>
          <w:trHeight w:val="843"/>
          <w:jc w:val="center"/>
        </w:trPr>
        <w:tc>
          <w:tcPr>
            <w:tcW w:w="927" w:type="dxa"/>
            <w:tcBorders>
              <w:tl2br w:val="nil"/>
              <w:tr2bl w:val="nil"/>
            </w:tcBorders>
            <w:vAlign w:val="center"/>
          </w:tcPr>
          <w:p w14:paraId="27857676" w14:textId="77777777" w:rsidR="00010F9D" w:rsidRDefault="003F6307">
            <w:pPr>
              <w:spacing w:line="240" w:lineRule="auto"/>
              <w:ind w:firstLineChars="0" w:firstLine="0"/>
              <w:jc w:val="center"/>
              <w:rPr>
                <w:sz w:val="21"/>
                <w:szCs w:val="21"/>
              </w:rPr>
            </w:pPr>
            <w:r>
              <w:rPr>
                <w:rFonts w:hint="eastAsia"/>
                <w:sz w:val="21"/>
                <w:szCs w:val="21"/>
              </w:rPr>
              <w:t>5</w:t>
            </w:r>
          </w:p>
        </w:tc>
        <w:tc>
          <w:tcPr>
            <w:tcW w:w="5059" w:type="dxa"/>
            <w:tcBorders>
              <w:tl2br w:val="nil"/>
              <w:tr2bl w:val="nil"/>
            </w:tcBorders>
            <w:vAlign w:val="center"/>
          </w:tcPr>
          <w:p w14:paraId="461E67AE" w14:textId="77777777" w:rsidR="00010F9D" w:rsidRDefault="003F6307">
            <w:pPr>
              <w:ind w:firstLine="420"/>
              <w:rPr>
                <w:sz w:val="21"/>
                <w:szCs w:val="21"/>
              </w:rPr>
            </w:pPr>
            <w:r>
              <w:rPr>
                <w:rFonts w:hint="eastAsia"/>
                <w:sz w:val="21"/>
                <w:szCs w:val="21"/>
              </w:rPr>
              <w:t>公司运营过程中产生的危险废弃物主要为项目维修车辆时产生的废过滤棉、废活性炭、废机油、废含油抹布手套、废铅酸电池等经分类收集后，暂存于危废暂存间。危废暂存间存储的废机油、废含油废弃物，均使用托盘放置，定期交由资质单位及时统一处置。</w:t>
            </w:r>
          </w:p>
        </w:tc>
        <w:tc>
          <w:tcPr>
            <w:tcW w:w="2019" w:type="dxa"/>
            <w:tcBorders>
              <w:tl2br w:val="nil"/>
              <w:tr2bl w:val="nil"/>
            </w:tcBorders>
            <w:vAlign w:val="center"/>
          </w:tcPr>
          <w:p w14:paraId="177C5DBF" w14:textId="77777777" w:rsidR="00010F9D" w:rsidRDefault="003F6307">
            <w:pPr>
              <w:spacing w:line="240" w:lineRule="auto"/>
              <w:ind w:firstLineChars="0" w:firstLine="0"/>
              <w:jc w:val="center"/>
              <w:rPr>
                <w:sz w:val="21"/>
                <w:szCs w:val="21"/>
              </w:rPr>
            </w:pPr>
            <w:r>
              <w:rPr>
                <w:rFonts w:hint="eastAsia"/>
                <w:sz w:val="21"/>
                <w:szCs w:val="21"/>
              </w:rPr>
              <w:t>采纳</w:t>
            </w:r>
          </w:p>
        </w:tc>
      </w:tr>
      <w:tr w:rsidR="00010F9D" w14:paraId="1054E1EF" w14:textId="77777777">
        <w:trPr>
          <w:trHeight w:val="843"/>
          <w:jc w:val="center"/>
        </w:trPr>
        <w:tc>
          <w:tcPr>
            <w:tcW w:w="927" w:type="dxa"/>
            <w:tcBorders>
              <w:tl2br w:val="nil"/>
              <w:tr2bl w:val="nil"/>
            </w:tcBorders>
            <w:vAlign w:val="center"/>
          </w:tcPr>
          <w:p w14:paraId="4311B7C5" w14:textId="77777777" w:rsidR="00010F9D" w:rsidRDefault="003F6307">
            <w:pPr>
              <w:spacing w:line="240" w:lineRule="auto"/>
              <w:ind w:firstLineChars="0" w:firstLine="0"/>
              <w:jc w:val="center"/>
              <w:rPr>
                <w:sz w:val="21"/>
                <w:szCs w:val="21"/>
              </w:rPr>
            </w:pPr>
            <w:r>
              <w:rPr>
                <w:rFonts w:hint="eastAsia"/>
                <w:sz w:val="21"/>
                <w:szCs w:val="21"/>
              </w:rPr>
              <w:t>6</w:t>
            </w:r>
          </w:p>
        </w:tc>
        <w:tc>
          <w:tcPr>
            <w:tcW w:w="5059" w:type="dxa"/>
            <w:tcBorders>
              <w:tl2br w:val="nil"/>
              <w:tr2bl w:val="nil"/>
            </w:tcBorders>
            <w:vAlign w:val="center"/>
          </w:tcPr>
          <w:p w14:paraId="19C3EB44" w14:textId="77777777" w:rsidR="00010F9D" w:rsidRDefault="003F6307">
            <w:pPr>
              <w:ind w:firstLine="420"/>
              <w:rPr>
                <w:sz w:val="21"/>
                <w:szCs w:val="21"/>
              </w:rPr>
            </w:pPr>
            <w:r>
              <w:rPr>
                <w:rFonts w:hint="eastAsia"/>
                <w:sz w:val="21"/>
                <w:szCs w:val="21"/>
              </w:rPr>
              <w:t>周边居民及单位对本厂环境保护的无意见。</w:t>
            </w:r>
          </w:p>
        </w:tc>
        <w:tc>
          <w:tcPr>
            <w:tcW w:w="2019" w:type="dxa"/>
            <w:tcBorders>
              <w:tl2br w:val="nil"/>
              <w:tr2bl w:val="nil"/>
            </w:tcBorders>
            <w:vAlign w:val="center"/>
          </w:tcPr>
          <w:p w14:paraId="0C255C5C" w14:textId="77777777" w:rsidR="00010F9D" w:rsidRDefault="003F6307">
            <w:pPr>
              <w:spacing w:line="240" w:lineRule="auto"/>
              <w:ind w:firstLineChars="0" w:firstLine="0"/>
              <w:jc w:val="center"/>
              <w:rPr>
                <w:sz w:val="21"/>
                <w:szCs w:val="21"/>
              </w:rPr>
            </w:pPr>
            <w:r>
              <w:rPr>
                <w:rFonts w:hint="eastAsia"/>
                <w:sz w:val="21"/>
                <w:szCs w:val="21"/>
              </w:rPr>
              <w:t>采纳</w:t>
            </w:r>
          </w:p>
        </w:tc>
      </w:tr>
    </w:tbl>
    <w:p w14:paraId="236C3D42" w14:textId="77777777" w:rsidR="00010F9D" w:rsidRDefault="003F6307">
      <w:pPr>
        <w:ind w:firstLine="560"/>
      </w:pPr>
      <w:r>
        <w:t>组织对预案进行推演</w:t>
      </w:r>
      <w:bookmarkEnd w:id="14"/>
      <w:r>
        <w:rPr>
          <w:rFonts w:hint="eastAsia"/>
        </w:rPr>
        <w:t>。</w:t>
      </w:r>
    </w:p>
    <w:p w14:paraId="0A76BFA2" w14:textId="77777777" w:rsidR="00010F9D" w:rsidRDefault="003F6307">
      <w:pPr>
        <w:ind w:firstLine="560"/>
      </w:pPr>
      <w:r>
        <w:lastRenderedPageBreak/>
        <w:t>为了检验本预案的适用性，本企业按预案内容进行</w:t>
      </w:r>
      <w:r>
        <w:rPr>
          <w:rFonts w:hint="eastAsia"/>
        </w:rPr>
        <w:t>了</w:t>
      </w:r>
      <w:r>
        <w:t>桌面演练。预案编制工作组根据本企业员工、周边可能受影响的居民</w:t>
      </w:r>
      <w:r>
        <w:rPr>
          <w:rFonts w:hint="eastAsia"/>
        </w:rPr>
        <w:t>和企业</w:t>
      </w:r>
      <w:r>
        <w:t>对本预案提出的意见和建议进行了分析，经修改后，对本预案进行了桌面演练，根据演练暴露出的问题，对本预案内容进行了调整。</w:t>
      </w:r>
    </w:p>
    <w:p w14:paraId="08A2553D" w14:textId="77777777" w:rsidR="00010F9D" w:rsidRDefault="003F6307">
      <w:pPr>
        <w:ind w:firstLine="560"/>
      </w:pPr>
      <w:r>
        <w:t>演练过程中暴露的主要问题如下：</w:t>
      </w:r>
    </w:p>
    <w:p w14:paraId="524CD857" w14:textId="77777777" w:rsidR="00010F9D" w:rsidRDefault="003F6307">
      <w:pPr>
        <w:ind w:firstLine="482"/>
        <w:jc w:val="center"/>
        <w:rPr>
          <w:b/>
          <w:bCs/>
          <w:sz w:val="24"/>
        </w:rPr>
      </w:pPr>
      <w:r>
        <w:rPr>
          <w:b/>
          <w:bCs/>
          <w:sz w:val="24"/>
        </w:rPr>
        <w:t>演练暴露问题清单及解决措施</w:t>
      </w:r>
    </w:p>
    <w:tbl>
      <w:tblPr>
        <w:tblStyle w:val="a7"/>
        <w:tblW w:w="0" w:type="auto"/>
        <w:jc w:val="center"/>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756"/>
        <w:gridCol w:w="3491"/>
        <w:gridCol w:w="3791"/>
        <w:gridCol w:w="869"/>
      </w:tblGrid>
      <w:tr w:rsidR="00010F9D" w14:paraId="31E96417" w14:textId="77777777">
        <w:trPr>
          <w:trHeight w:val="537"/>
          <w:jc w:val="center"/>
        </w:trPr>
        <w:tc>
          <w:tcPr>
            <w:tcW w:w="756" w:type="dxa"/>
            <w:tcBorders>
              <w:tl2br w:val="nil"/>
              <w:tr2bl w:val="nil"/>
            </w:tcBorders>
            <w:vAlign w:val="center"/>
          </w:tcPr>
          <w:p w14:paraId="6914706C" w14:textId="77777777" w:rsidR="00010F9D" w:rsidRDefault="003F6307">
            <w:pPr>
              <w:spacing w:line="240" w:lineRule="auto"/>
              <w:ind w:firstLineChars="0" w:firstLine="0"/>
              <w:jc w:val="center"/>
              <w:rPr>
                <w:b/>
                <w:bCs/>
                <w:sz w:val="21"/>
                <w:szCs w:val="21"/>
              </w:rPr>
            </w:pPr>
            <w:r>
              <w:rPr>
                <w:b/>
                <w:bCs/>
                <w:sz w:val="21"/>
                <w:szCs w:val="21"/>
              </w:rPr>
              <w:t>序号</w:t>
            </w:r>
          </w:p>
        </w:tc>
        <w:tc>
          <w:tcPr>
            <w:tcW w:w="3491" w:type="dxa"/>
            <w:tcBorders>
              <w:tl2br w:val="nil"/>
              <w:tr2bl w:val="nil"/>
            </w:tcBorders>
            <w:vAlign w:val="center"/>
          </w:tcPr>
          <w:p w14:paraId="5029D1E0" w14:textId="77777777" w:rsidR="00010F9D" w:rsidRDefault="003F6307">
            <w:pPr>
              <w:spacing w:line="240" w:lineRule="auto"/>
              <w:ind w:firstLineChars="0" w:firstLine="0"/>
              <w:jc w:val="center"/>
              <w:rPr>
                <w:b/>
                <w:bCs/>
                <w:sz w:val="21"/>
                <w:szCs w:val="21"/>
              </w:rPr>
            </w:pPr>
            <w:r>
              <w:rPr>
                <w:b/>
                <w:bCs/>
                <w:sz w:val="21"/>
                <w:szCs w:val="21"/>
              </w:rPr>
              <w:t>暴露问题</w:t>
            </w:r>
          </w:p>
        </w:tc>
        <w:tc>
          <w:tcPr>
            <w:tcW w:w="3791" w:type="dxa"/>
            <w:tcBorders>
              <w:tl2br w:val="nil"/>
              <w:tr2bl w:val="nil"/>
            </w:tcBorders>
            <w:vAlign w:val="center"/>
          </w:tcPr>
          <w:p w14:paraId="6F6554C4" w14:textId="77777777" w:rsidR="00010F9D" w:rsidRDefault="003F6307">
            <w:pPr>
              <w:spacing w:line="240" w:lineRule="auto"/>
              <w:ind w:firstLineChars="0" w:firstLine="0"/>
              <w:jc w:val="center"/>
              <w:rPr>
                <w:b/>
                <w:bCs/>
                <w:sz w:val="21"/>
                <w:szCs w:val="21"/>
              </w:rPr>
            </w:pPr>
            <w:r>
              <w:rPr>
                <w:b/>
                <w:bCs/>
                <w:sz w:val="21"/>
                <w:szCs w:val="21"/>
              </w:rPr>
              <w:t>解决措施</w:t>
            </w:r>
          </w:p>
        </w:tc>
        <w:tc>
          <w:tcPr>
            <w:tcW w:w="869" w:type="dxa"/>
            <w:tcBorders>
              <w:tl2br w:val="nil"/>
              <w:tr2bl w:val="nil"/>
            </w:tcBorders>
            <w:vAlign w:val="center"/>
          </w:tcPr>
          <w:p w14:paraId="1D71CD9B" w14:textId="77777777" w:rsidR="00010F9D" w:rsidRDefault="003F6307">
            <w:pPr>
              <w:spacing w:line="240" w:lineRule="auto"/>
              <w:ind w:firstLineChars="0" w:firstLine="0"/>
              <w:rPr>
                <w:b/>
                <w:bCs/>
                <w:sz w:val="21"/>
                <w:szCs w:val="21"/>
              </w:rPr>
            </w:pPr>
            <w:r>
              <w:rPr>
                <w:b/>
                <w:bCs/>
                <w:sz w:val="21"/>
                <w:szCs w:val="21"/>
              </w:rPr>
              <w:t>备注</w:t>
            </w:r>
          </w:p>
        </w:tc>
      </w:tr>
      <w:tr w:rsidR="00010F9D" w14:paraId="31285075" w14:textId="77777777">
        <w:trPr>
          <w:trHeight w:val="540"/>
          <w:jc w:val="center"/>
        </w:trPr>
        <w:tc>
          <w:tcPr>
            <w:tcW w:w="756" w:type="dxa"/>
            <w:tcBorders>
              <w:tl2br w:val="nil"/>
              <w:tr2bl w:val="nil"/>
            </w:tcBorders>
            <w:vAlign w:val="center"/>
          </w:tcPr>
          <w:p w14:paraId="61B18358" w14:textId="77777777" w:rsidR="00010F9D" w:rsidRDefault="003F6307">
            <w:pPr>
              <w:spacing w:line="240" w:lineRule="auto"/>
              <w:ind w:firstLineChars="0" w:firstLine="0"/>
              <w:jc w:val="center"/>
              <w:rPr>
                <w:sz w:val="21"/>
                <w:szCs w:val="21"/>
              </w:rPr>
            </w:pPr>
            <w:r>
              <w:rPr>
                <w:sz w:val="21"/>
                <w:szCs w:val="21"/>
              </w:rPr>
              <w:t>1</w:t>
            </w:r>
          </w:p>
        </w:tc>
        <w:tc>
          <w:tcPr>
            <w:tcW w:w="3491" w:type="dxa"/>
            <w:tcBorders>
              <w:tl2br w:val="nil"/>
              <w:tr2bl w:val="nil"/>
            </w:tcBorders>
            <w:vAlign w:val="center"/>
          </w:tcPr>
          <w:p w14:paraId="7208C1A0" w14:textId="77777777" w:rsidR="00010F9D" w:rsidRDefault="003F6307">
            <w:pPr>
              <w:spacing w:line="240" w:lineRule="auto"/>
              <w:ind w:firstLineChars="0" w:firstLine="0"/>
              <w:rPr>
                <w:sz w:val="21"/>
                <w:szCs w:val="21"/>
              </w:rPr>
            </w:pPr>
            <w:r>
              <w:rPr>
                <w:sz w:val="21"/>
                <w:szCs w:val="21"/>
              </w:rPr>
              <w:t>个别人员使用灭火器不熟练。</w:t>
            </w:r>
          </w:p>
        </w:tc>
        <w:tc>
          <w:tcPr>
            <w:tcW w:w="3791" w:type="dxa"/>
            <w:tcBorders>
              <w:tl2br w:val="nil"/>
              <w:tr2bl w:val="nil"/>
            </w:tcBorders>
            <w:vAlign w:val="center"/>
          </w:tcPr>
          <w:p w14:paraId="54F8FE3A" w14:textId="77777777" w:rsidR="00010F9D" w:rsidRDefault="003F6307">
            <w:pPr>
              <w:spacing w:line="240" w:lineRule="auto"/>
              <w:ind w:firstLineChars="0" w:firstLine="0"/>
              <w:rPr>
                <w:sz w:val="21"/>
                <w:szCs w:val="21"/>
              </w:rPr>
            </w:pPr>
            <w:r>
              <w:rPr>
                <w:sz w:val="21"/>
                <w:szCs w:val="21"/>
              </w:rPr>
              <w:t>对员工进行灭火器使用培训。</w:t>
            </w:r>
          </w:p>
        </w:tc>
        <w:tc>
          <w:tcPr>
            <w:tcW w:w="869" w:type="dxa"/>
            <w:tcBorders>
              <w:tl2br w:val="nil"/>
              <w:tr2bl w:val="nil"/>
            </w:tcBorders>
            <w:vAlign w:val="center"/>
          </w:tcPr>
          <w:p w14:paraId="6F3DCE82" w14:textId="77777777" w:rsidR="00010F9D" w:rsidRDefault="00010F9D">
            <w:pPr>
              <w:spacing w:line="240" w:lineRule="auto"/>
              <w:ind w:firstLine="420"/>
              <w:jc w:val="center"/>
              <w:rPr>
                <w:sz w:val="21"/>
                <w:szCs w:val="21"/>
              </w:rPr>
            </w:pPr>
          </w:p>
        </w:tc>
      </w:tr>
      <w:tr w:rsidR="00010F9D" w14:paraId="7EDD4AF5" w14:textId="77777777">
        <w:trPr>
          <w:trHeight w:val="1061"/>
          <w:jc w:val="center"/>
        </w:trPr>
        <w:tc>
          <w:tcPr>
            <w:tcW w:w="756" w:type="dxa"/>
            <w:tcBorders>
              <w:tl2br w:val="nil"/>
              <w:tr2bl w:val="nil"/>
            </w:tcBorders>
            <w:vAlign w:val="center"/>
          </w:tcPr>
          <w:p w14:paraId="72A35C76" w14:textId="77777777" w:rsidR="00010F9D" w:rsidRDefault="003F6307">
            <w:pPr>
              <w:spacing w:line="240" w:lineRule="auto"/>
              <w:ind w:firstLineChars="0" w:firstLine="0"/>
              <w:jc w:val="center"/>
              <w:rPr>
                <w:sz w:val="21"/>
                <w:szCs w:val="21"/>
              </w:rPr>
            </w:pPr>
            <w:r>
              <w:rPr>
                <w:sz w:val="21"/>
                <w:szCs w:val="21"/>
              </w:rPr>
              <w:t>2</w:t>
            </w:r>
          </w:p>
        </w:tc>
        <w:tc>
          <w:tcPr>
            <w:tcW w:w="3491" w:type="dxa"/>
            <w:tcBorders>
              <w:tl2br w:val="nil"/>
              <w:tr2bl w:val="nil"/>
            </w:tcBorders>
            <w:vAlign w:val="center"/>
          </w:tcPr>
          <w:p w14:paraId="001F1168" w14:textId="77777777" w:rsidR="00010F9D" w:rsidRDefault="003F6307">
            <w:pPr>
              <w:spacing w:line="240" w:lineRule="auto"/>
              <w:ind w:firstLineChars="0" w:firstLine="0"/>
              <w:rPr>
                <w:sz w:val="21"/>
                <w:szCs w:val="21"/>
              </w:rPr>
            </w:pPr>
            <w:r>
              <w:rPr>
                <w:rFonts w:hint="eastAsia"/>
                <w:sz w:val="21"/>
                <w:szCs w:val="21"/>
              </w:rPr>
              <w:t>事故发生时，预案汇报体系运转不顺畅</w:t>
            </w:r>
          </w:p>
        </w:tc>
        <w:tc>
          <w:tcPr>
            <w:tcW w:w="3791" w:type="dxa"/>
            <w:tcBorders>
              <w:tl2br w:val="nil"/>
              <w:tr2bl w:val="nil"/>
            </w:tcBorders>
            <w:vAlign w:val="center"/>
          </w:tcPr>
          <w:p w14:paraId="42EB840B" w14:textId="77777777" w:rsidR="00010F9D" w:rsidRDefault="003F6307">
            <w:pPr>
              <w:spacing w:line="240" w:lineRule="auto"/>
              <w:ind w:firstLineChars="0" w:firstLine="0"/>
              <w:rPr>
                <w:sz w:val="21"/>
                <w:szCs w:val="21"/>
              </w:rPr>
            </w:pPr>
            <w:r>
              <w:rPr>
                <w:sz w:val="21"/>
                <w:szCs w:val="21"/>
              </w:rPr>
              <w:t>在预案中明确了外部报告时限，负责人熟悉预案并严格按照预案内容进行外部报告。</w:t>
            </w:r>
          </w:p>
        </w:tc>
        <w:tc>
          <w:tcPr>
            <w:tcW w:w="869" w:type="dxa"/>
            <w:tcBorders>
              <w:tl2br w:val="nil"/>
              <w:tr2bl w:val="nil"/>
            </w:tcBorders>
            <w:vAlign w:val="center"/>
          </w:tcPr>
          <w:p w14:paraId="60357BDA" w14:textId="77777777" w:rsidR="00010F9D" w:rsidRDefault="00010F9D">
            <w:pPr>
              <w:spacing w:line="240" w:lineRule="auto"/>
              <w:ind w:firstLine="420"/>
              <w:jc w:val="center"/>
              <w:rPr>
                <w:sz w:val="21"/>
                <w:szCs w:val="21"/>
              </w:rPr>
            </w:pPr>
          </w:p>
        </w:tc>
      </w:tr>
    </w:tbl>
    <w:p w14:paraId="0A91A75F" w14:textId="2891B314" w:rsidR="00010F9D" w:rsidRDefault="003F6307">
      <w:pPr>
        <w:ind w:firstLine="560"/>
        <w:textAlignment w:val="baseline"/>
        <w:rPr>
          <w:rFonts w:ascii="仿宋" w:hAnsi="仿宋"/>
          <w:color w:val="000000"/>
          <w:szCs w:val="28"/>
        </w:rPr>
      </w:pPr>
      <w:r>
        <w:rPr>
          <w:rFonts w:ascii="仿宋" w:hAnsi="仿宋"/>
          <w:color w:val="000000"/>
          <w:szCs w:val="28"/>
        </w:rPr>
        <w:t>20</w:t>
      </w:r>
      <w:r>
        <w:rPr>
          <w:rFonts w:ascii="仿宋" w:hAnsi="仿宋" w:hint="eastAsia"/>
          <w:color w:val="000000"/>
          <w:szCs w:val="28"/>
        </w:rPr>
        <w:t>22</w:t>
      </w:r>
      <w:r>
        <w:rPr>
          <w:rFonts w:ascii="仿宋" w:hAnsi="仿宋"/>
          <w:color w:val="000000"/>
          <w:szCs w:val="28"/>
        </w:rPr>
        <w:t>年</w:t>
      </w:r>
      <w:r w:rsidR="000B1B36">
        <w:rPr>
          <w:rFonts w:ascii="仿宋" w:hAnsi="仿宋"/>
          <w:color w:val="000000"/>
          <w:szCs w:val="28"/>
        </w:rPr>
        <w:t>4</w:t>
      </w:r>
      <w:r>
        <w:rPr>
          <w:rFonts w:ascii="仿宋" w:hAnsi="仿宋"/>
          <w:color w:val="000000"/>
          <w:szCs w:val="28"/>
        </w:rPr>
        <w:t>月</w:t>
      </w:r>
      <w:r w:rsidR="000B1B36">
        <w:rPr>
          <w:rFonts w:ascii="仿宋" w:hAnsi="仿宋"/>
          <w:color w:val="000000"/>
          <w:szCs w:val="28"/>
        </w:rPr>
        <w:t>20</w:t>
      </w:r>
      <w:r>
        <w:rPr>
          <w:rFonts w:ascii="仿宋" w:hAnsi="仿宋" w:hint="eastAsia"/>
          <w:color w:val="000000"/>
          <w:szCs w:val="28"/>
        </w:rPr>
        <w:t>日</w:t>
      </w:r>
      <w:r>
        <w:rPr>
          <w:rFonts w:ascii="仿宋" w:hAnsi="仿宋"/>
          <w:color w:val="000000"/>
          <w:szCs w:val="28"/>
        </w:rPr>
        <w:t>，按《企业事业单位突发环境事件应急预案》的要求，编制组完成了环境风险评估报告、环境应急资源调查报告和突发环境事件应急预案初稿。通过汇总基本完成了《</w:t>
      </w:r>
      <w:r w:rsidR="00C24735">
        <w:rPr>
          <w:rFonts w:ascii="仿宋" w:hAnsi="仿宋" w:hint="eastAsia"/>
          <w:color w:val="000000"/>
          <w:szCs w:val="28"/>
        </w:rPr>
        <w:t>陕西安程合创设备有限公司</w:t>
      </w:r>
      <w:r>
        <w:rPr>
          <w:rFonts w:ascii="仿宋" w:hAnsi="仿宋" w:hint="eastAsia"/>
          <w:color w:val="000000"/>
          <w:szCs w:val="28"/>
        </w:rPr>
        <w:t>突发</w:t>
      </w:r>
      <w:r>
        <w:rPr>
          <w:rFonts w:hint="eastAsia"/>
          <w:szCs w:val="28"/>
        </w:rPr>
        <w:t>环境事件应急预案</w:t>
      </w:r>
      <w:r>
        <w:rPr>
          <w:rFonts w:ascii="仿宋" w:hAnsi="仿宋"/>
          <w:color w:val="000000"/>
          <w:szCs w:val="28"/>
        </w:rPr>
        <w:t>》编制工作，</w:t>
      </w:r>
      <w:r>
        <w:rPr>
          <w:rFonts w:ascii="仿宋" w:hAnsi="仿宋" w:hint="eastAsia"/>
          <w:color w:val="000000"/>
          <w:szCs w:val="28"/>
        </w:rPr>
        <w:t>本公司</w:t>
      </w:r>
      <w:r>
        <w:rPr>
          <w:rFonts w:ascii="仿宋" w:hAnsi="仿宋"/>
          <w:color w:val="000000"/>
          <w:szCs w:val="28"/>
        </w:rPr>
        <w:t>邀请相关专家对该应急预案进行了技术评估。</w:t>
      </w:r>
    </w:p>
    <w:p w14:paraId="10CE9F7D" w14:textId="1387F084" w:rsidR="00010F9D" w:rsidRDefault="003F6307">
      <w:pPr>
        <w:ind w:firstLine="560"/>
        <w:rPr>
          <w:rFonts w:ascii="仿宋" w:hAnsi="仿宋"/>
          <w:color w:val="000000"/>
          <w:szCs w:val="28"/>
        </w:rPr>
      </w:pPr>
      <w:r>
        <w:rPr>
          <w:rFonts w:ascii="仿宋" w:hAnsi="仿宋"/>
          <w:color w:val="000000"/>
          <w:szCs w:val="28"/>
        </w:rPr>
        <w:t>20</w:t>
      </w:r>
      <w:r>
        <w:rPr>
          <w:rFonts w:ascii="仿宋" w:hAnsi="仿宋" w:hint="eastAsia"/>
          <w:color w:val="000000"/>
          <w:szCs w:val="28"/>
        </w:rPr>
        <w:t>22</w:t>
      </w:r>
      <w:r>
        <w:rPr>
          <w:rFonts w:ascii="仿宋" w:hAnsi="仿宋"/>
          <w:color w:val="000000"/>
          <w:szCs w:val="28"/>
        </w:rPr>
        <w:t>年</w:t>
      </w:r>
      <w:r w:rsidR="00BC3F8C">
        <w:rPr>
          <w:rFonts w:ascii="仿宋" w:hAnsi="仿宋"/>
          <w:color w:val="000000"/>
          <w:szCs w:val="28"/>
        </w:rPr>
        <w:t>4</w:t>
      </w:r>
      <w:r>
        <w:rPr>
          <w:rFonts w:ascii="仿宋" w:hAnsi="仿宋"/>
          <w:color w:val="000000"/>
          <w:szCs w:val="28"/>
        </w:rPr>
        <w:t>月</w:t>
      </w:r>
      <w:r w:rsidR="00BC3F8C">
        <w:rPr>
          <w:rFonts w:ascii="仿宋" w:hAnsi="仿宋"/>
          <w:color w:val="000000"/>
          <w:szCs w:val="28"/>
        </w:rPr>
        <w:t>22</w:t>
      </w:r>
      <w:r>
        <w:rPr>
          <w:rFonts w:ascii="仿宋" w:hAnsi="仿宋" w:hint="eastAsia"/>
          <w:color w:val="000000"/>
          <w:szCs w:val="28"/>
        </w:rPr>
        <w:t>日</w:t>
      </w:r>
      <w:r>
        <w:rPr>
          <w:rFonts w:ascii="仿宋" w:hAnsi="仿宋"/>
          <w:color w:val="000000"/>
          <w:szCs w:val="28"/>
        </w:rPr>
        <w:t>，编制组按照技术评估意见进行了认真修改完善，完成了《</w:t>
      </w:r>
      <w:r w:rsidR="00C24735">
        <w:rPr>
          <w:rFonts w:ascii="仿宋" w:hAnsi="仿宋" w:hint="eastAsia"/>
          <w:color w:val="000000"/>
          <w:szCs w:val="28"/>
        </w:rPr>
        <w:t>陕西安程合创设备有限公司</w:t>
      </w:r>
      <w:r>
        <w:rPr>
          <w:rFonts w:hint="eastAsia"/>
          <w:szCs w:val="28"/>
        </w:rPr>
        <w:t>突发环境事件应急预案</w:t>
      </w:r>
      <w:r>
        <w:rPr>
          <w:rFonts w:ascii="仿宋" w:hAnsi="仿宋"/>
          <w:color w:val="000000"/>
          <w:szCs w:val="28"/>
        </w:rPr>
        <w:t>》的编制工作，可作为</w:t>
      </w:r>
      <w:r w:rsidR="00C24735">
        <w:rPr>
          <w:rFonts w:ascii="仿宋" w:hAnsi="仿宋" w:hint="eastAsia"/>
          <w:color w:val="000000"/>
          <w:szCs w:val="28"/>
        </w:rPr>
        <w:t>陕西安程合创设备有限公司</w:t>
      </w:r>
      <w:r>
        <w:rPr>
          <w:rFonts w:ascii="仿宋" w:hAnsi="仿宋"/>
          <w:color w:val="000000"/>
          <w:szCs w:val="28"/>
        </w:rPr>
        <w:t>突发环境事件应急备案的文件。</w:t>
      </w:r>
    </w:p>
    <w:p w14:paraId="61C925D2" w14:textId="77777777" w:rsidR="00010F9D" w:rsidRPr="00BC3F8C" w:rsidRDefault="003F6307">
      <w:pPr>
        <w:widowControl/>
        <w:ind w:firstLine="560"/>
        <w:jc w:val="left"/>
        <w:rPr>
          <w:rFonts w:eastAsia="华文仿宋"/>
          <w:szCs w:val="28"/>
        </w:rPr>
      </w:pPr>
      <w:r>
        <w:rPr>
          <w:rFonts w:eastAsia="华文仿宋"/>
          <w:szCs w:val="28"/>
        </w:rPr>
        <w:t>预案编制组根据评审专家组的修改意见对该预案进行修改完善后，由本公司负责人签字发布后</w:t>
      </w:r>
      <w:r>
        <w:rPr>
          <w:rFonts w:eastAsia="华文仿宋"/>
          <w:szCs w:val="28"/>
        </w:rPr>
        <w:t>20</w:t>
      </w:r>
      <w:r>
        <w:rPr>
          <w:rFonts w:eastAsia="华文仿宋"/>
          <w:szCs w:val="28"/>
        </w:rPr>
        <w:t>个工作日内</w:t>
      </w:r>
      <w:r w:rsidRPr="00BC3F8C">
        <w:rPr>
          <w:rFonts w:eastAsia="华文仿宋"/>
          <w:szCs w:val="28"/>
        </w:rPr>
        <w:t>报秦汉新城生态</w:t>
      </w:r>
      <w:r w:rsidRPr="00BC3F8C">
        <w:rPr>
          <w:rFonts w:eastAsia="华文仿宋" w:hint="eastAsia"/>
          <w:szCs w:val="28"/>
        </w:rPr>
        <w:t>环境局备</w:t>
      </w:r>
      <w:r w:rsidRPr="00BC3F8C">
        <w:rPr>
          <w:rFonts w:eastAsia="华文仿宋"/>
          <w:szCs w:val="28"/>
        </w:rPr>
        <w:t>案。</w:t>
      </w:r>
    </w:p>
    <w:p w14:paraId="1D2F1C64" w14:textId="4DC579A7" w:rsidR="00010F9D" w:rsidRDefault="003F6307" w:rsidP="00BC3F8C">
      <w:pPr>
        <w:ind w:firstLine="560"/>
        <w:textAlignment w:val="baseline"/>
      </w:pPr>
      <w:r>
        <w:rPr>
          <w:rFonts w:ascii="仿宋" w:hAnsi="仿宋"/>
          <w:color w:val="000000"/>
          <w:szCs w:val="28"/>
        </w:rPr>
        <w:t>在编制过程中，得到</w:t>
      </w:r>
      <w:r w:rsidR="00C24735">
        <w:rPr>
          <w:rFonts w:ascii="仿宋" w:hAnsi="仿宋" w:hint="eastAsia"/>
          <w:color w:val="000000"/>
          <w:szCs w:val="28"/>
        </w:rPr>
        <w:t>陕西安程合创设备有限公司</w:t>
      </w:r>
      <w:r>
        <w:rPr>
          <w:rFonts w:ascii="仿宋" w:hAnsi="仿宋" w:hint="eastAsia"/>
          <w:color w:val="000000"/>
          <w:szCs w:val="28"/>
        </w:rPr>
        <w:t>全体</w:t>
      </w:r>
      <w:r>
        <w:rPr>
          <w:rFonts w:ascii="仿宋" w:hAnsi="仿宋"/>
          <w:color w:val="000000"/>
          <w:szCs w:val="28"/>
        </w:rPr>
        <w:t>职工、</w:t>
      </w:r>
      <w:r>
        <w:rPr>
          <w:rFonts w:ascii="仿宋" w:hAnsi="仿宋" w:cs="仿宋"/>
          <w:color w:val="000000"/>
          <w:kern w:val="0"/>
          <w:sz w:val="30"/>
          <w:szCs w:val="30"/>
          <w:lang w:bidi="ar"/>
        </w:rPr>
        <w:t>秦汉新城生态</w:t>
      </w:r>
      <w:r>
        <w:rPr>
          <w:rFonts w:ascii="仿宋" w:hAnsi="仿宋" w:cs="仿宋" w:hint="eastAsia"/>
          <w:color w:val="000000"/>
          <w:kern w:val="0"/>
          <w:sz w:val="30"/>
          <w:szCs w:val="30"/>
          <w:lang w:bidi="ar"/>
        </w:rPr>
        <w:t>环境局</w:t>
      </w:r>
      <w:r>
        <w:rPr>
          <w:rFonts w:ascii="仿宋" w:hAnsi="仿宋"/>
          <w:color w:val="000000"/>
          <w:szCs w:val="28"/>
        </w:rPr>
        <w:t>等以及特邀专家、技术人员的大力支持和帮助，再次一并表示感谢。</w:t>
      </w:r>
    </w:p>
    <w:sectPr w:rsidR="00010F9D">
      <w:footerReference w:type="default" r:id="rId9"/>
      <w:pgSz w:w="11906" w:h="16838"/>
      <w:pgMar w:top="1417" w:right="1134" w:bottom="1134" w:left="158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B4B8C" w14:textId="77777777" w:rsidR="000C6BAC" w:rsidRDefault="000C6BAC">
      <w:pPr>
        <w:spacing w:line="240" w:lineRule="auto"/>
        <w:ind w:firstLine="560"/>
      </w:pPr>
      <w:r>
        <w:separator/>
      </w:r>
    </w:p>
  </w:endnote>
  <w:endnote w:type="continuationSeparator" w:id="0">
    <w:p w14:paraId="36D44F78" w14:textId="77777777" w:rsidR="000C6BAC" w:rsidRDefault="000C6BAC">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C8A1" w14:textId="77777777" w:rsidR="00010F9D" w:rsidRDefault="00010F9D">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C3B7" w14:textId="77777777" w:rsidR="00010F9D" w:rsidRDefault="003F6307">
    <w:pPr>
      <w:pStyle w:val="a4"/>
      <w:ind w:firstLine="360"/>
    </w:pPr>
    <w:r>
      <w:rPr>
        <w:noProof/>
      </w:rPr>
      <mc:AlternateContent>
        <mc:Choice Requires="wps">
          <w:drawing>
            <wp:anchor distT="0" distB="0" distL="114300" distR="114300" simplePos="0" relativeHeight="251659264" behindDoc="0" locked="0" layoutInCell="1" allowOverlap="1" wp14:anchorId="7461D7CB" wp14:editId="68A08AEB">
              <wp:simplePos x="0" y="0"/>
              <wp:positionH relativeFrom="margin">
                <wp:posOffset>2300605</wp:posOffset>
              </wp:positionH>
              <wp:positionV relativeFrom="paragraph">
                <wp:posOffset>57785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D3513F" w14:textId="77777777" w:rsidR="00010F9D" w:rsidRDefault="003F6307">
                          <w:pPr>
                            <w:pStyle w:val="a4"/>
                            <w:ind w:firstLine="420"/>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61D7CB" id="_x0000_t202" coordsize="21600,21600" o:spt="202" path="m,l,21600r21600,l21600,xe">
              <v:stroke joinstyle="miter"/>
              <v:path gradientshapeok="t" o:connecttype="rect"/>
            </v:shapetype>
            <v:shape id="文本框 3" o:spid="_x0000_s1026" type="#_x0000_t202" style="position:absolute;left:0;text-align:left;margin-left:181.15pt;margin-top:4.5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" filled="f" stroked="f" strokeweight=".5pt">
              <v:textbox style="mso-fit-shape-to-text:t" inset="0,0,0,0">
                <w:txbxContent>
                  <w:p w14:paraId="17D3513F" w14:textId="77777777" w:rsidR="00010F9D" w:rsidRDefault="003F6307">
                    <w:pPr>
                      <w:pStyle w:val="a4"/>
                      <w:ind w:firstLine="420"/>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71FE4318" wp14:editId="4260D4DF">
              <wp:simplePos x="0" y="0"/>
              <wp:positionH relativeFrom="column">
                <wp:posOffset>635</wp:posOffset>
              </wp:positionH>
              <wp:positionV relativeFrom="paragraph">
                <wp:posOffset>19685</wp:posOffset>
              </wp:positionV>
              <wp:extent cx="5273675" cy="0"/>
              <wp:effectExtent l="0" t="0" r="0" b="0"/>
              <wp:wrapNone/>
              <wp:docPr id="1" name="直接连接符 1"/>
              <wp:cNvGraphicFramePr/>
              <a:graphic xmlns:a="http://schemas.openxmlformats.org/drawingml/2006/main">
                <a:graphicData uri="http://schemas.microsoft.com/office/word/2010/wordprocessingShape">
                  <wps:wsp>
                    <wps:cNvCnPr/>
                    <wps:spPr>
                      <a:xfrm>
                        <a:off x="1143635" y="9785350"/>
                        <a:ext cx="5273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5C7F5D"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55pt" to="415.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" strokecolor="black [32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BE9AF" w14:textId="77777777" w:rsidR="000C6BAC" w:rsidRDefault="000C6BAC">
      <w:pPr>
        <w:ind w:firstLine="560"/>
      </w:pPr>
      <w:r>
        <w:separator/>
      </w:r>
    </w:p>
  </w:footnote>
  <w:footnote w:type="continuationSeparator" w:id="0">
    <w:p w14:paraId="14CC3A69" w14:textId="77777777" w:rsidR="000C6BAC" w:rsidRDefault="000C6BAC">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71E1F" w14:textId="68F2C617" w:rsidR="00010F9D" w:rsidRDefault="00C24735">
    <w:pPr>
      <w:pStyle w:val="a5"/>
      <w:pBdr>
        <w:bottom w:val="single" w:sz="4" w:space="1" w:color="auto"/>
      </w:pBdr>
      <w:ind w:firstLine="360"/>
    </w:pPr>
    <w:r>
      <w:rPr>
        <w:rFonts w:hint="eastAsia"/>
      </w:rPr>
      <w:t>陕西安程合创设备有限公司</w:t>
    </w:r>
    <w:r w:rsidR="003F6307">
      <w:rPr>
        <w:rFonts w:hint="eastAsia"/>
      </w:rPr>
      <w:t xml:space="preserve">                                    </w:t>
    </w:r>
    <w:r w:rsidR="003F6307">
      <w:rPr>
        <w:rFonts w:hint="eastAsia"/>
      </w:rPr>
      <w:t>突发环境事件应急预案编制说明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9942D62"/>
    <w:rsid w:val="00010F9D"/>
    <w:rsid w:val="000B1B36"/>
    <w:rsid w:val="000C6BAC"/>
    <w:rsid w:val="003F6307"/>
    <w:rsid w:val="00492375"/>
    <w:rsid w:val="00976D89"/>
    <w:rsid w:val="00A374FE"/>
    <w:rsid w:val="00BC3F8C"/>
    <w:rsid w:val="00C24735"/>
    <w:rsid w:val="00F20348"/>
    <w:rsid w:val="055572FF"/>
    <w:rsid w:val="0AEA5798"/>
    <w:rsid w:val="0C1F1206"/>
    <w:rsid w:val="0CF25E68"/>
    <w:rsid w:val="0DB51C32"/>
    <w:rsid w:val="0E763956"/>
    <w:rsid w:val="10823826"/>
    <w:rsid w:val="11032B65"/>
    <w:rsid w:val="1132356C"/>
    <w:rsid w:val="11FD2E5C"/>
    <w:rsid w:val="13063EA7"/>
    <w:rsid w:val="146D0B1E"/>
    <w:rsid w:val="1472341B"/>
    <w:rsid w:val="15186A08"/>
    <w:rsid w:val="174816FD"/>
    <w:rsid w:val="17702AC1"/>
    <w:rsid w:val="177863F8"/>
    <w:rsid w:val="18387630"/>
    <w:rsid w:val="18CC3491"/>
    <w:rsid w:val="1AFA5920"/>
    <w:rsid w:val="1E9B7313"/>
    <w:rsid w:val="1F920386"/>
    <w:rsid w:val="20093755"/>
    <w:rsid w:val="218A047C"/>
    <w:rsid w:val="22250BF1"/>
    <w:rsid w:val="23A128D5"/>
    <w:rsid w:val="256007D2"/>
    <w:rsid w:val="28DE6F23"/>
    <w:rsid w:val="28FA23B4"/>
    <w:rsid w:val="29EE7EF6"/>
    <w:rsid w:val="2B171718"/>
    <w:rsid w:val="2BF37651"/>
    <w:rsid w:val="2C436EC0"/>
    <w:rsid w:val="2C5534CC"/>
    <w:rsid w:val="2DD717BC"/>
    <w:rsid w:val="2F250528"/>
    <w:rsid w:val="2FEC710D"/>
    <w:rsid w:val="31381BB2"/>
    <w:rsid w:val="313C7924"/>
    <w:rsid w:val="31662F22"/>
    <w:rsid w:val="31DF6D64"/>
    <w:rsid w:val="31E211E5"/>
    <w:rsid w:val="31E86F5A"/>
    <w:rsid w:val="355A348F"/>
    <w:rsid w:val="35611058"/>
    <w:rsid w:val="399756AF"/>
    <w:rsid w:val="3A0F4DB8"/>
    <w:rsid w:val="3AE77A4D"/>
    <w:rsid w:val="3D1D0E7A"/>
    <w:rsid w:val="40A65ADD"/>
    <w:rsid w:val="40FD0C40"/>
    <w:rsid w:val="43B02074"/>
    <w:rsid w:val="45DB5E2C"/>
    <w:rsid w:val="475E24FF"/>
    <w:rsid w:val="48D23D35"/>
    <w:rsid w:val="48D90F7C"/>
    <w:rsid w:val="49EF2AD4"/>
    <w:rsid w:val="4B6D3EE7"/>
    <w:rsid w:val="4BCF5981"/>
    <w:rsid w:val="4C2A5EF6"/>
    <w:rsid w:val="4C831596"/>
    <w:rsid w:val="4EBB7A6F"/>
    <w:rsid w:val="50F42EBE"/>
    <w:rsid w:val="53564D54"/>
    <w:rsid w:val="53C953AC"/>
    <w:rsid w:val="591F1D70"/>
    <w:rsid w:val="595E3DFA"/>
    <w:rsid w:val="5C1E3E09"/>
    <w:rsid w:val="5D5C5615"/>
    <w:rsid w:val="5E0970A6"/>
    <w:rsid w:val="5EF17263"/>
    <w:rsid w:val="61DB4D6E"/>
    <w:rsid w:val="6232039E"/>
    <w:rsid w:val="634E07EA"/>
    <w:rsid w:val="64243F39"/>
    <w:rsid w:val="663F44BE"/>
    <w:rsid w:val="6A3A15FC"/>
    <w:rsid w:val="6C9F11FE"/>
    <w:rsid w:val="6D585AED"/>
    <w:rsid w:val="6FD44A65"/>
    <w:rsid w:val="707666DD"/>
    <w:rsid w:val="70945F25"/>
    <w:rsid w:val="737A5923"/>
    <w:rsid w:val="75395626"/>
    <w:rsid w:val="77D50F68"/>
    <w:rsid w:val="79942D62"/>
    <w:rsid w:val="7D0812BA"/>
    <w:rsid w:val="7FBE2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0B800"/>
  <w15:docId w15:val="{475C2EC3-712D-4AF5-9E5F-53894EDA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60" w:lineRule="auto"/>
      <w:ind w:firstLineChars="200" w:firstLine="600"/>
      <w:jc w:val="both"/>
    </w:pPr>
    <w:rPr>
      <w:rFonts w:eastAsia="仿宋"/>
      <w:kern w:val="2"/>
      <w:sz w:val="28"/>
      <w:szCs w:val="24"/>
    </w:rPr>
  </w:style>
  <w:style w:type="paragraph" w:styleId="1">
    <w:name w:val="heading 1"/>
    <w:basedOn w:val="a"/>
    <w:next w:val="a"/>
    <w:qFormat/>
    <w:pPr>
      <w:keepNext/>
      <w:keepLines/>
      <w:jc w:val="left"/>
      <w:outlineLvl w:val="0"/>
    </w:pPr>
    <w:rPr>
      <w:b/>
      <w:kern w:val="44"/>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
    <w:next w:val="a"/>
    <w:uiPriority w:val="99"/>
    <w:unhideWhenUsed/>
    <w:qFormat/>
    <w:pPr>
      <w:ind w:firstLine="420"/>
    </w:pPr>
  </w:style>
  <w:style w:type="paragraph" w:styleId="a3">
    <w:name w:val="annotation text"/>
    <w:basedOn w:val="a"/>
    <w:qFormat/>
    <w:pPr>
      <w:jc w:val="left"/>
    </w:p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a"/>
    <w:next w:val="a"/>
    <w:uiPriority w:val="39"/>
    <w:qFormat/>
    <w:pPr>
      <w:ind w:firstLine="200"/>
    </w:pPr>
    <w:rPr>
      <w:rFonts w:ascii="Calibri" w:hAnsi="Calibri"/>
      <w:szCs w:val="22"/>
    </w:rPr>
  </w:style>
  <w:style w:type="paragraph" w:styleId="a6">
    <w:name w:val="Normal (Web)"/>
    <w:basedOn w:val="a"/>
    <w:qFormat/>
    <w:pPr>
      <w:widowControl/>
      <w:spacing w:before="100" w:beforeAutospacing="1" w:after="100" w:afterAutospacing="1" w:line="240" w:lineRule="auto"/>
      <w:ind w:firstLineChars="0" w:firstLine="0"/>
    </w:pPr>
    <w:rPr>
      <w:rFonts w:ascii="宋体" w:hAnsi="宋体" w:cs="宋体"/>
      <w:color w:val="000000"/>
    </w:rPr>
  </w:style>
  <w:style w:type="table" w:styleId="a7">
    <w:name w:val="Table Grid"/>
    <w:basedOn w:val="a1"/>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10">
    <w:name w:val="列表段落1"/>
    <w:basedOn w:val="a"/>
    <w:qFormat/>
    <w:pPr>
      <w:ind w:firstLine="420"/>
    </w:pPr>
    <w:rPr>
      <w:rFonts w:eastAsia="仿宋_GB231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671</Words>
  <Characters>3828</Characters>
  <Application>Microsoft Office Word</Application>
  <DocSecurity>0</DocSecurity>
  <Lines>31</Lines>
  <Paragraphs>8</Paragraphs>
  <ScaleCrop>false</ScaleCrop>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凌一</dc:creator>
  <cp:lastModifiedBy>lenovo</cp:lastModifiedBy>
  <cp:revision>5</cp:revision>
  <cp:lastPrinted>2021-07-02T02:04:00Z</cp:lastPrinted>
  <dcterms:created xsi:type="dcterms:W3CDTF">2022-04-20T01:47:00Z</dcterms:created>
  <dcterms:modified xsi:type="dcterms:W3CDTF">2022-05-16T09:46:00Z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FAD44678E2604960A0CDCAC4560F7F04</vt:lpwstr>
  </property>
</Properties>
</file>