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widowControl/>
        <w:adjustRightInd w:val="0"/>
        <w:snapToGrid w:val="0"/>
        <w:spacing w:line="360" w:lineRule="auto"/>
        <w:jc w:val="right"/>
        <w:rPr>
          <w:rFonts w:ascii="仿宋" w:hAnsi="仿宋" w:eastAsia="仿宋" w:cs="仿宋"/>
          <w:b/>
          <w:bCs w:val="0"/>
          <w:color w:val="auto"/>
          <w:sz w:val="32"/>
          <w:szCs w:val="32"/>
          <w:highlight w:val="none"/>
        </w:rPr>
      </w:pPr>
      <w:bookmarkStart w:id="39" w:name="_GoBack"/>
      <w:r>
        <w:rPr>
          <w:rFonts w:hint="eastAsia" w:ascii="仿宋" w:hAnsi="仿宋" w:eastAsia="仿宋" w:cs="仿宋"/>
          <w:b/>
          <w:bCs w:val="0"/>
          <w:color w:val="auto"/>
          <w:sz w:val="32"/>
          <w:szCs w:val="32"/>
          <w:highlight w:val="none"/>
        </w:rPr>
        <w:t>预案编号：</w:t>
      </w:r>
      <w:r>
        <w:rPr>
          <w:rFonts w:ascii="Times New Roman" w:eastAsia="仿宋"/>
          <w:b/>
          <w:bCs w:val="0"/>
          <w:color w:val="auto"/>
          <w:sz w:val="30"/>
          <w:szCs w:val="30"/>
          <w:highlight w:val="none"/>
          <w:lang w:val="zh-CN"/>
        </w:rPr>
        <w:t>SXBGJC-HJYA-0</w:t>
      </w:r>
      <w:r>
        <w:rPr>
          <w:rFonts w:hint="eastAsia" w:ascii="Times New Roman" w:eastAsia="仿宋"/>
          <w:b/>
          <w:bCs w:val="0"/>
          <w:color w:val="auto"/>
          <w:sz w:val="30"/>
          <w:szCs w:val="30"/>
          <w:highlight w:val="none"/>
        </w:rPr>
        <w:t>2</w:t>
      </w:r>
      <w:r>
        <w:rPr>
          <w:rFonts w:ascii="Times New Roman" w:eastAsia="仿宋"/>
          <w:b/>
          <w:bCs w:val="0"/>
          <w:color w:val="auto"/>
          <w:sz w:val="30"/>
          <w:szCs w:val="30"/>
          <w:highlight w:val="none"/>
          <w:lang w:val="zh-CN"/>
        </w:rPr>
        <w:t>号</w:t>
      </w:r>
    </w:p>
    <w:p>
      <w:pPr>
        <w:pStyle w:val="33"/>
        <w:widowControl/>
        <w:adjustRightInd w:val="0"/>
        <w:snapToGrid w:val="0"/>
        <w:spacing w:line="360" w:lineRule="auto"/>
        <w:ind w:firstLine="4819" w:firstLineChars="1500"/>
        <w:jc w:val="right"/>
        <w:rPr>
          <w:rFonts w:ascii="Times New Roman" w:eastAsia="仿宋"/>
          <w:b/>
          <w:bCs w:val="0"/>
          <w:color w:val="auto"/>
          <w:sz w:val="30"/>
          <w:szCs w:val="30"/>
          <w:highlight w:val="none"/>
          <w:lang w:val="zh-CN"/>
        </w:rPr>
      </w:pPr>
      <w:r>
        <w:rPr>
          <w:rFonts w:hint="eastAsia" w:ascii="仿宋" w:hAnsi="仿宋" w:eastAsia="仿宋" w:cs="仿宋"/>
          <w:b/>
          <w:bCs w:val="0"/>
          <w:color w:val="auto"/>
          <w:sz w:val="32"/>
          <w:szCs w:val="32"/>
          <w:highlight w:val="none"/>
        </w:rPr>
        <w:t>预案版本号：</w:t>
      </w:r>
      <w:r>
        <w:rPr>
          <w:rFonts w:ascii="Times New Roman" w:eastAsia="仿宋"/>
          <w:b/>
          <w:bCs w:val="0"/>
          <w:color w:val="auto"/>
          <w:sz w:val="30"/>
          <w:szCs w:val="30"/>
          <w:highlight w:val="none"/>
          <w:lang w:val="zh-CN"/>
        </w:rPr>
        <w:t>A/0-20</w:t>
      </w:r>
      <w:r>
        <w:rPr>
          <w:rFonts w:hint="eastAsia" w:ascii="Times New Roman" w:eastAsia="仿宋"/>
          <w:b/>
          <w:bCs w:val="0"/>
          <w:color w:val="auto"/>
          <w:sz w:val="30"/>
          <w:szCs w:val="30"/>
          <w:highlight w:val="none"/>
        </w:rPr>
        <w:t>21</w:t>
      </w:r>
      <w:r>
        <w:rPr>
          <w:rFonts w:ascii="Times New Roman" w:eastAsia="仿宋"/>
          <w:b/>
          <w:bCs w:val="0"/>
          <w:color w:val="auto"/>
          <w:sz w:val="30"/>
          <w:szCs w:val="30"/>
          <w:highlight w:val="none"/>
          <w:lang w:val="zh-CN"/>
        </w:rPr>
        <w:t>-1</w:t>
      </w:r>
      <w:r>
        <w:rPr>
          <w:rFonts w:hint="eastAsia" w:ascii="Times New Roman" w:eastAsia="仿宋"/>
          <w:b/>
          <w:bCs w:val="0"/>
          <w:color w:val="auto"/>
          <w:sz w:val="30"/>
          <w:szCs w:val="30"/>
          <w:highlight w:val="none"/>
          <w:lang w:val="en-US" w:eastAsia="zh-CN"/>
        </w:rPr>
        <w:t>2</w:t>
      </w:r>
    </w:p>
    <w:p>
      <w:pPr>
        <w:pStyle w:val="17"/>
        <w:ind w:left="560" w:hanging="560"/>
        <w:rPr>
          <w:rFonts w:ascii="仿宋" w:hAnsi="仿宋" w:cs="仿宋"/>
          <w:color w:val="auto"/>
          <w:lang w:eastAsia="zh-CN"/>
        </w:rPr>
      </w:pPr>
    </w:p>
    <w:p>
      <w:pPr>
        <w:pStyle w:val="17"/>
        <w:ind w:left="560" w:hanging="560"/>
        <w:rPr>
          <w:rFonts w:ascii="仿宋" w:hAnsi="仿宋" w:cs="仿宋"/>
          <w:color w:val="auto"/>
          <w:lang w:eastAsia="zh-CN"/>
        </w:rPr>
      </w:pPr>
    </w:p>
    <w:p>
      <w:pPr>
        <w:pStyle w:val="4"/>
        <w:ind w:firstLine="0" w:firstLineChars="0"/>
        <w:jc w:val="center"/>
        <w:rPr>
          <w:rFonts w:cs="Times New Roman"/>
          <w:b/>
          <w:bCs/>
          <w:color w:val="auto"/>
          <w:spacing w:val="1"/>
          <w:sz w:val="52"/>
          <w:szCs w:val="52"/>
          <w:lang w:eastAsia="zh-CN"/>
        </w:rPr>
      </w:pPr>
      <w:r>
        <w:rPr>
          <w:rFonts w:cs="Times New Roman"/>
          <w:b/>
          <w:bCs/>
          <w:color w:val="auto"/>
          <w:spacing w:val="1"/>
          <w:sz w:val="52"/>
          <w:szCs w:val="52"/>
          <w:lang w:eastAsia="zh-CN"/>
        </w:rPr>
        <w:t>陕西百固建材有限公司</w:t>
      </w:r>
    </w:p>
    <w:p>
      <w:pPr>
        <w:pStyle w:val="4"/>
        <w:ind w:firstLine="0" w:firstLineChars="0"/>
        <w:jc w:val="center"/>
        <w:rPr>
          <w:rFonts w:ascii="仿宋" w:hAnsi="仿宋" w:cs="仿宋"/>
          <w:b/>
          <w:color w:val="auto"/>
          <w:kern w:val="0"/>
          <w:sz w:val="48"/>
          <w:szCs w:val="48"/>
          <w:lang w:eastAsia="zh-CN"/>
        </w:rPr>
      </w:pPr>
      <w:r>
        <w:rPr>
          <w:rFonts w:hint="eastAsia" w:ascii="仿宋" w:hAnsi="仿宋" w:cs="仿宋"/>
          <w:b/>
          <w:color w:val="auto"/>
          <w:kern w:val="0"/>
          <w:sz w:val="48"/>
          <w:szCs w:val="48"/>
          <w:lang w:eastAsia="zh-CN"/>
        </w:rPr>
        <w:t>突发环境事件应急预案编制说明</w:t>
      </w:r>
    </w:p>
    <w:p>
      <w:pPr>
        <w:pStyle w:val="4"/>
        <w:ind w:firstLine="0" w:firstLineChars="0"/>
        <w:jc w:val="center"/>
        <w:rPr>
          <w:rFonts w:ascii="仿宋" w:hAnsi="仿宋" w:cs="仿宋"/>
          <w:b/>
          <w:bCs/>
          <w:color w:val="auto"/>
          <w:sz w:val="36"/>
          <w:szCs w:val="36"/>
          <w:lang w:eastAsia="zh-CN"/>
        </w:rPr>
      </w:pPr>
    </w:p>
    <w:p>
      <w:pPr>
        <w:ind w:firstLine="0" w:firstLineChars="0"/>
        <w:rPr>
          <w:rFonts w:ascii="仿宋" w:hAnsi="仿宋" w:cs="仿宋"/>
          <w:b/>
          <w:bCs/>
          <w:color w:val="auto"/>
          <w:sz w:val="36"/>
          <w:szCs w:val="36"/>
          <w:lang w:eastAsia="zh-CN"/>
        </w:rPr>
      </w:pPr>
      <w:r>
        <w:rPr>
          <w:rFonts w:ascii="仿宋" w:hAnsi="仿宋" w:cs="仿宋"/>
          <w:b/>
          <w:bCs/>
          <w:color w:val="auto"/>
          <w:sz w:val="36"/>
          <w:szCs w:val="36"/>
          <w:lang w:eastAsia="zh-CN"/>
        </w:rPr>
        <w:drawing>
          <wp:inline distT="0" distB="0" distL="114300" distR="114300">
            <wp:extent cx="5676900" cy="4257675"/>
            <wp:effectExtent l="0" t="0" r="0" b="9525"/>
            <wp:docPr id="1" name="图片 1" descr="C:/Users/Administrator/AppData/Local/Temp/picturecompress_20211129172313/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picturecompress_20211129172313/output_1.jpgoutput_1"/>
                    <pic:cNvPicPr>
                      <a:picLocks noChangeAspect="1"/>
                    </pic:cNvPicPr>
                  </pic:nvPicPr>
                  <pic:blipFill>
                    <a:blip r:embed="rId20"/>
                    <a:stretch>
                      <a:fillRect/>
                    </a:stretch>
                  </pic:blipFill>
                  <pic:spPr>
                    <a:xfrm>
                      <a:off x="0" y="0"/>
                      <a:ext cx="5676900" cy="4257675"/>
                    </a:xfrm>
                    <a:prstGeom prst="rect">
                      <a:avLst/>
                    </a:prstGeom>
                  </pic:spPr>
                </pic:pic>
              </a:graphicData>
            </a:graphic>
          </wp:inline>
        </w:drawing>
      </w:r>
    </w:p>
    <w:p>
      <w:pPr>
        <w:pStyle w:val="36"/>
        <w:adjustRightInd w:val="0"/>
        <w:snapToGrid w:val="0"/>
        <w:spacing w:line="360" w:lineRule="auto"/>
        <w:rPr>
          <w:rFonts w:ascii="仿宋" w:hAnsi="仿宋" w:eastAsia="仿宋" w:cs="仿宋"/>
          <w:b/>
          <w:bCs/>
          <w:color w:val="auto"/>
          <w:sz w:val="36"/>
          <w:szCs w:val="36"/>
        </w:rPr>
      </w:pPr>
    </w:p>
    <w:p>
      <w:pPr>
        <w:pStyle w:val="36"/>
        <w:adjustRightInd w:val="0"/>
        <w:snapToGrid w:val="0"/>
        <w:spacing w:line="360" w:lineRule="auto"/>
        <w:rPr>
          <w:rFonts w:ascii="仿宋" w:hAnsi="仿宋" w:eastAsia="仿宋" w:cs="仿宋"/>
          <w:b/>
          <w:bCs/>
          <w:color w:val="auto"/>
          <w:sz w:val="36"/>
          <w:szCs w:val="36"/>
        </w:rPr>
      </w:pPr>
      <w:r>
        <w:rPr>
          <w:rFonts w:hint="eastAsia" w:ascii="仿宋" w:hAnsi="仿宋" w:eastAsia="仿宋" w:cs="仿宋"/>
          <w:b/>
          <w:bCs/>
          <w:color w:val="auto"/>
          <w:sz w:val="36"/>
          <w:szCs w:val="36"/>
        </w:rPr>
        <w:t>编制单位：陕西百固建材有限公司</w:t>
      </w:r>
    </w:p>
    <w:p>
      <w:pPr>
        <w:pStyle w:val="9"/>
        <w:numPr>
          <w:ilvl w:val="0"/>
          <w:numId w:val="0"/>
        </w:numPr>
        <w:ind w:firstLine="1807" w:firstLineChars="500"/>
        <w:jc w:val="both"/>
        <w:rPr>
          <w:rFonts w:ascii="仿宋" w:hAnsi="仿宋" w:cs="仿宋"/>
          <w:b/>
          <w:bCs/>
          <w:color w:val="auto"/>
          <w:sz w:val="36"/>
          <w:szCs w:val="36"/>
          <w:lang w:eastAsia="zh-CN"/>
        </w:rPr>
      </w:pPr>
      <w:r>
        <w:rPr>
          <w:rFonts w:hint="eastAsia" w:ascii="仿宋" w:hAnsi="仿宋" w:cs="仿宋"/>
          <w:b/>
          <w:bCs/>
          <w:color w:val="auto"/>
          <w:sz w:val="36"/>
          <w:szCs w:val="36"/>
          <w:lang w:eastAsia="zh-CN"/>
        </w:rPr>
        <w:t>编制时间：2021</w:t>
      </w:r>
      <w:r>
        <w:rPr>
          <w:rFonts w:hint="eastAsia" w:ascii="仿宋" w:hAnsi="仿宋" w:cs="仿宋"/>
          <w:b/>
          <w:bCs/>
          <w:color w:val="auto"/>
          <w:sz w:val="36"/>
          <w:szCs w:val="36"/>
          <w:highlight w:val="none"/>
          <w:lang w:eastAsia="zh-CN"/>
        </w:rPr>
        <w:t>年</w:t>
      </w:r>
      <w:r>
        <w:rPr>
          <w:rFonts w:hint="eastAsia" w:ascii="仿宋" w:hAnsi="仿宋" w:cs="仿宋"/>
          <w:b/>
          <w:bCs/>
          <w:color w:val="auto"/>
          <w:sz w:val="36"/>
          <w:szCs w:val="36"/>
          <w:highlight w:val="none"/>
          <w:lang w:val="en-US" w:eastAsia="zh-CN"/>
        </w:rPr>
        <w:t>12</w:t>
      </w:r>
      <w:r>
        <w:rPr>
          <w:rFonts w:hint="eastAsia" w:ascii="仿宋" w:hAnsi="仿宋" w:cs="仿宋"/>
          <w:b/>
          <w:bCs/>
          <w:color w:val="auto"/>
          <w:sz w:val="36"/>
          <w:szCs w:val="36"/>
          <w:highlight w:val="none"/>
          <w:lang w:eastAsia="zh-CN"/>
        </w:rPr>
        <w:t>月</w:t>
      </w:r>
    </w:p>
    <w:p>
      <w:pPr>
        <w:pStyle w:val="2"/>
        <w:ind w:firstLine="560"/>
        <w:rPr>
          <w:rFonts w:ascii="仿宋" w:hAnsi="仿宋" w:cs="仿宋"/>
          <w:color w:val="auto"/>
          <w:lang w:eastAsia="zh-CN"/>
        </w:rPr>
      </w:pPr>
      <w:r>
        <w:rPr>
          <w:rFonts w:hint="eastAsia" w:ascii="仿宋" w:hAnsi="仿宋" w:cs="仿宋"/>
          <w:color w:val="auto"/>
          <w:lang w:eastAsia="zh-CN"/>
        </w:rPr>
        <w:br w:type="page"/>
      </w:r>
    </w:p>
    <w:p>
      <w:pPr>
        <w:pStyle w:val="26"/>
        <w:jc w:val="center"/>
        <w:rPr>
          <w:rFonts w:ascii="仿宋" w:hAnsi="仿宋" w:eastAsia="仿宋" w:cs="仿宋"/>
          <w:b/>
          <w:color w:val="auto"/>
          <w:sz w:val="32"/>
          <w:szCs w:val="32"/>
        </w:rPr>
      </w:pPr>
      <w:r>
        <w:rPr>
          <w:rFonts w:hint="eastAsia" w:ascii="仿宋" w:hAnsi="仿宋" w:eastAsia="仿宋" w:cs="仿宋"/>
          <w:b/>
          <w:color w:val="auto"/>
          <w:sz w:val="32"/>
          <w:szCs w:val="32"/>
        </w:rPr>
        <w:t>目    录</w:t>
      </w:r>
    </w:p>
    <w:sdt>
      <w:sdtPr>
        <w:rPr>
          <w:rFonts w:hint="eastAsia" w:ascii="仿宋" w:hAnsi="仿宋" w:eastAsia="宋体" w:cs="仿宋"/>
          <w:color w:val="auto"/>
          <w:sz w:val="21"/>
          <w:szCs w:val="24"/>
          <w:lang w:eastAsia="zh-CN"/>
        </w:rPr>
        <w:id w:val="147478181"/>
        <w15:color w:val="DBDBDB"/>
        <w:docPartObj>
          <w:docPartGallery w:val="Table of Contents"/>
          <w:docPartUnique/>
        </w:docPartObj>
      </w:sdtPr>
      <w:sdtEndPr>
        <w:rPr>
          <w:rFonts w:hint="eastAsia" w:ascii="仿宋" w:hAnsi="仿宋" w:eastAsia="宋体" w:cs="仿宋"/>
          <w:bCs/>
          <w:color w:val="auto"/>
          <w:sz w:val="24"/>
          <w:szCs w:val="32"/>
          <w:lang w:eastAsia="zh-CN"/>
        </w:rPr>
      </w:sdtEndPr>
      <w:sdtContent>
        <w:p>
          <w:pPr>
            <w:spacing w:line="240" w:lineRule="auto"/>
            <w:ind w:firstLine="0" w:firstLineChars="0"/>
            <w:jc w:val="center"/>
            <w:rPr>
              <w:rFonts w:ascii="仿宋" w:hAnsi="仿宋" w:cs="仿宋"/>
              <w:color w:val="auto"/>
            </w:rPr>
          </w:pPr>
        </w:p>
        <w:p>
          <w:pPr>
            <w:pStyle w:val="16"/>
            <w:tabs>
              <w:tab w:val="right" w:leader="dot" w:pos="9026"/>
            </w:tabs>
            <w:ind w:left="0" w:leftChars="0" w:firstLine="0" w:firstLineChars="0"/>
            <w:rPr>
              <w:b/>
              <w:bCs w:val="0"/>
              <w:color w:val="auto"/>
            </w:rPr>
          </w:pPr>
          <w:r>
            <w:rPr>
              <w:rFonts w:hint="eastAsia" w:ascii="仿宋" w:hAnsi="仿宋" w:cs="仿宋"/>
              <w:bCs/>
              <w:color w:val="auto"/>
              <w:sz w:val="32"/>
              <w:szCs w:val="32"/>
            </w:rPr>
            <w:fldChar w:fldCharType="begin"/>
          </w:r>
          <w:r>
            <w:rPr>
              <w:rFonts w:hint="eastAsia" w:ascii="仿宋" w:hAnsi="仿宋" w:cs="仿宋"/>
              <w:bCs/>
              <w:color w:val="auto"/>
              <w:sz w:val="32"/>
              <w:szCs w:val="32"/>
            </w:rPr>
            <w:instrText xml:space="preserve">TOC \o "1-1" \h \u </w:instrText>
          </w:r>
          <w:r>
            <w:rPr>
              <w:rFonts w:hint="eastAsia" w:ascii="仿宋" w:hAnsi="仿宋" w:cs="仿宋"/>
              <w:bCs/>
              <w:color w:val="auto"/>
              <w:sz w:val="32"/>
              <w:szCs w:val="32"/>
            </w:rPr>
            <w:fldChar w:fldCharType="separate"/>
          </w:r>
          <w:r>
            <w:rPr>
              <w:rFonts w:hint="eastAsia" w:ascii="仿宋" w:hAnsi="仿宋" w:cs="仿宋"/>
              <w:b/>
              <w:bCs w:val="0"/>
              <w:color w:val="auto"/>
              <w:szCs w:val="32"/>
            </w:rPr>
            <w:fldChar w:fldCharType="begin"/>
          </w:r>
          <w:r>
            <w:rPr>
              <w:rFonts w:hint="eastAsia" w:ascii="仿宋" w:hAnsi="仿宋" w:cs="仿宋"/>
              <w:b/>
              <w:bCs w:val="0"/>
              <w:color w:val="auto"/>
              <w:szCs w:val="32"/>
            </w:rPr>
            <w:instrText xml:space="preserve"> HYPERLINK \l _Toc11046 </w:instrText>
          </w:r>
          <w:r>
            <w:rPr>
              <w:rFonts w:hint="eastAsia" w:ascii="仿宋" w:hAnsi="仿宋" w:cs="仿宋"/>
              <w:b/>
              <w:bCs w:val="0"/>
              <w:color w:val="auto"/>
              <w:szCs w:val="32"/>
            </w:rPr>
            <w:fldChar w:fldCharType="separate"/>
          </w:r>
          <w:r>
            <w:rPr>
              <w:rFonts w:hint="eastAsia" w:ascii="仿宋" w:hAnsi="仿宋" w:cs="仿宋"/>
              <w:b/>
              <w:bCs w:val="0"/>
              <w:color w:val="auto"/>
              <w:szCs w:val="36"/>
              <w:highlight w:val="none"/>
              <w:lang w:eastAsia="zh-CN"/>
            </w:rPr>
            <w:t>前    言</w:t>
          </w:r>
          <w:r>
            <w:rPr>
              <w:b/>
              <w:bCs w:val="0"/>
              <w:color w:val="auto"/>
            </w:rPr>
            <w:tab/>
          </w:r>
          <w:r>
            <w:rPr>
              <w:b/>
              <w:bCs w:val="0"/>
              <w:color w:val="auto"/>
            </w:rPr>
            <w:fldChar w:fldCharType="begin"/>
          </w:r>
          <w:r>
            <w:rPr>
              <w:b/>
              <w:bCs w:val="0"/>
              <w:color w:val="auto"/>
            </w:rPr>
            <w:instrText xml:space="preserve"> PAGEREF _Toc11046 \h </w:instrText>
          </w:r>
          <w:r>
            <w:rPr>
              <w:b/>
              <w:bCs w:val="0"/>
              <w:color w:val="auto"/>
            </w:rPr>
            <w:fldChar w:fldCharType="separate"/>
          </w:r>
          <w:r>
            <w:rPr>
              <w:b/>
              <w:bCs w:val="0"/>
              <w:color w:val="auto"/>
            </w:rPr>
            <w:t>1</w:t>
          </w:r>
          <w:r>
            <w:rPr>
              <w:b/>
              <w:bCs w:val="0"/>
              <w:color w:val="auto"/>
            </w:rPr>
            <w:fldChar w:fldCharType="end"/>
          </w:r>
          <w:r>
            <w:rPr>
              <w:rFonts w:hint="eastAsia" w:ascii="仿宋" w:hAnsi="仿宋" w:cs="仿宋"/>
              <w:b/>
              <w:bCs w:val="0"/>
              <w:color w:val="auto"/>
              <w:szCs w:val="32"/>
            </w:rPr>
            <w:fldChar w:fldCharType="end"/>
          </w:r>
        </w:p>
        <w:p>
          <w:pPr>
            <w:pStyle w:val="16"/>
            <w:tabs>
              <w:tab w:val="right" w:leader="dot" w:pos="9026"/>
            </w:tabs>
            <w:ind w:left="0" w:leftChars="0" w:firstLine="0" w:firstLineChars="0"/>
            <w:rPr>
              <w:b/>
              <w:bCs w:val="0"/>
              <w:color w:val="auto"/>
            </w:rPr>
          </w:pPr>
          <w:r>
            <w:rPr>
              <w:rFonts w:hint="eastAsia" w:ascii="仿宋" w:hAnsi="仿宋" w:eastAsia="仿宋" w:cs="仿宋"/>
              <w:b/>
              <w:bCs w:val="0"/>
              <w:color w:val="auto"/>
              <w:szCs w:val="32"/>
            </w:rPr>
            <w:fldChar w:fldCharType="begin"/>
          </w:r>
          <w:r>
            <w:rPr>
              <w:rFonts w:hint="eastAsia" w:ascii="仿宋" w:hAnsi="仿宋" w:eastAsia="仿宋" w:cs="仿宋"/>
              <w:b/>
              <w:bCs w:val="0"/>
              <w:color w:val="auto"/>
              <w:szCs w:val="32"/>
            </w:rPr>
            <w:instrText xml:space="preserve"> HYPERLINK \l _Toc1608 </w:instrText>
          </w:r>
          <w:r>
            <w:rPr>
              <w:rFonts w:hint="eastAsia" w:ascii="仿宋" w:hAnsi="仿宋" w:eastAsia="仿宋" w:cs="仿宋"/>
              <w:b/>
              <w:bCs w:val="0"/>
              <w:color w:val="auto"/>
              <w:szCs w:val="32"/>
            </w:rPr>
            <w:fldChar w:fldCharType="separate"/>
          </w:r>
          <w:r>
            <w:rPr>
              <w:rFonts w:hint="eastAsia" w:ascii="仿宋" w:hAnsi="仿宋" w:cs="仿宋"/>
              <w:b/>
              <w:bCs w:val="0"/>
              <w:color w:val="auto"/>
              <w:szCs w:val="28"/>
              <w:lang w:eastAsia="zh-CN"/>
            </w:rPr>
            <w:t xml:space="preserve">1 </w:t>
          </w:r>
          <w:r>
            <w:rPr>
              <w:rFonts w:hint="eastAsia" w:ascii="仿宋" w:hAnsi="仿宋" w:cs="仿宋"/>
              <w:b/>
              <w:bCs w:val="0"/>
              <w:color w:val="auto"/>
              <w:szCs w:val="28"/>
              <w:lang w:val="en-US" w:eastAsia="zh-CN"/>
            </w:rPr>
            <w:t>回顾性评估</w:t>
          </w:r>
          <w:r>
            <w:rPr>
              <w:b/>
              <w:bCs w:val="0"/>
              <w:color w:val="auto"/>
            </w:rPr>
            <w:tab/>
          </w:r>
          <w:r>
            <w:rPr>
              <w:b/>
              <w:bCs w:val="0"/>
              <w:color w:val="auto"/>
            </w:rPr>
            <w:fldChar w:fldCharType="begin"/>
          </w:r>
          <w:r>
            <w:rPr>
              <w:b/>
              <w:bCs w:val="0"/>
              <w:color w:val="auto"/>
            </w:rPr>
            <w:instrText xml:space="preserve"> PAGEREF _Toc1608 \h </w:instrText>
          </w:r>
          <w:r>
            <w:rPr>
              <w:b/>
              <w:bCs w:val="0"/>
              <w:color w:val="auto"/>
            </w:rPr>
            <w:fldChar w:fldCharType="separate"/>
          </w:r>
          <w:r>
            <w:rPr>
              <w:b/>
              <w:bCs w:val="0"/>
              <w:color w:val="auto"/>
            </w:rPr>
            <w:t>2</w:t>
          </w:r>
          <w:r>
            <w:rPr>
              <w:b/>
              <w:bCs w:val="0"/>
              <w:color w:val="auto"/>
            </w:rPr>
            <w:fldChar w:fldCharType="end"/>
          </w:r>
          <w:r>
            <w:rPr>
              <w:rFonts w:hint="eastAsia" w:ascii="仿宋" w:hAnsi="仿宋" w:eastAsia="仿宋" w:cs="仿宋"/>
              <w:b/>
              <w:bCs w:val="0"/>
              <w:color w:val="auto"/>
              <w:szCs w:val="32"/>
            </w:rPr>
            <w:fldChar w:fldCharType="end"/>
          </w:r>
        </w:p>
        <w:p>
          <w:pPr>
            <w:pStyle w:val="16"/>
            <w:tabs>
              <w:tab w:val="right" w:leader="dot" w:pos="9026"/>
            </w:tabs>
            <w:ind w:left="0" w:leftChars="0" w:firstLine="560" w:firstLineChars="200"/>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_Toc17697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1.1 公司基本情况</w:t>
          </w:r>
          <w:r>
            <w:rPr>
              <w:color w:val="auto"/>
            </w:rPr>
            <w:tab/>
          </w:r>
          <w:r>
            <w:rPr>
              <w:color w:val="auto"/>
            </w:rPr>
            <w:fldChar w:fldCharType="begin"/>
          </w:r>
          <w:r>
            <w:rPr>
              <w:color w:val="auto"/>
            </w:rPr>
            <w:instrText xml:space="preserve"> PAGEREF _Toc17697 \h </w:instrText>
          </w:r>
          <w:r>
            <w:rPr>
              <w:color w:val="auto"/>
            </w:rPr>
            <w:fldChar w:fldCharType="separate"/>
          </w:r>
          <w:r>
            <w:rPr>
              <w:color w:val="auto"/>
            </w:rPr>
            <w:t>2</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_Toc16777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1.2 环境风险</w:t>
          </w:r>
          <w:r>
            <w:rPr>
              <w:color w:val="auto"/>
            </w:rPr>
            <w:tab/>
          </w:r>
          <w:r>
            <w:rPr>
              <w:color w:val="auto"/>
            </w:rPr>
            <w:fldChar w:fldCharType="begin"/>
          </w:r>
          <w:r>
            <w:rPr>
              <w:color w:val="auto"/>
            </w:rPr>
            <w:instrText xml:space="preserve"> PAGEREF _Toc16777 \h </w:instrText>
          </w:r>
          <w:r>
            <w:rPr>
              <w:color w:val="auto"/>
            </w:rPr>
            <w:fldChar w:fldCharType="separate"/>
          </w:r>
          <w:r>
            <w:rPr>
              <w:color w:val="auto"/>
            </w:rPr>
            <w:t>2</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_Toc6387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1.3 应急管理组织体系与职责</w:t>
          </w:r>
          <w:r>
            <w:rPr>
              <w:color w:val="auto"/>
            </w:rPr>
            <w:tab/>
          </w:r>
          <w:r>
            <w:rPr>
              <w:color w:val="auto"/>
            </w:rPr>
            <w:fldChar w:fldCharType="begin"/>
          </w:r>
          <w:r>
            <w:rPr>
              <w:color w:val="auto"/>
            </w:rPr>
            <w:instrText xml:space="preserve"> PAGEREF _Toc6387 \h </w:instrText>
          </w:r>
          <w:r>
            <w:rPr>
              <w:color w:val="auto"/>
            </w:rPr>
            <w:fldChar w:fldCharType="separate"/>
          </w:r>
          <w:r>
            <w:rPr>
              <w:color w:val="auto"/>
            </w:rPr>
            <w:t>3</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_Toc11867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1.4 环境应急机制</w:t>
          </w:r>
          <w:r>
            <w:rPr>
              <w:color w:val="auto"/>
            </w:rPr>
            <w:tab/>
          </w:r>
          <w:r>
            <w:rPr>
              <w:color w:val="auto"/>
            </w:rPr>
            <w:fldChar w:fldCharType="begin"/>
          </w:r>
          <w:r>
            <w:rPr>
              <w:color w:val="auto"/>
            </w:rPr>
            <w:instrText xml:space="preserve"> PAGEREF _Toc11867 \h </w:instrText>
          </w:r>
          <w:r>
            <w:rPr>
              <w:color w:val="auto"/>
            </w:rPr>
            <w:fldChar w:fldCharType="separate"/>
          </w:r>
          <w:r>
            <w:rPr>
              <w:color w:val="auto"/>
            </w:rPr>
            <w:t>3</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_Toc20656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1.5 应急资源</w:t>
          </w:r>
          <w:r>
            <w:rPr>
              <w:color w:val="auto"/>
            </w:rPr>
            <w:tab/>
          </w:r>
          <w:r>
            <w:rPr>
              <w:color w:val="auto"/>
            </w:rPr>
            <w:fldChar w:fldCharType="begin"/>
          </w:r>
          <w:r>
            <w:rPr>
              <w:color w:val="auto"/>
            </w:rPr>
            <w:instrText xml:space="preserve"> PAGEREF _Toc20656 \h </w:instrText>
          </w:r>
          <w:r>
            <w:rPr>
              <w:color w:val="auto"/>
            </w:rPr>
            <w:fldChar w:fldCharType="separate"/>
          </w:r>
          <w:r>
            <w:rPr>
              <w:color w:val="auto"/>
            </w:rPr>
            <w:t>3</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rFonts w:hint="eastAsia" w:eastAsia="仿宋"/>
              <w:color w:val="auto"/>
              <w:lang w:eastAsia="zh-CN"/>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_Toc19191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1.6 应急培训和演练执行情况</w:t>
          </w:r>
          <w:r>
            <w:rPr>
              <w:color w:val="auto"/>
            </w:rPr>
            <w:tab/>
          </w:r>
          <w:r>
            <w:rPr>
              <w:color w:val="auto"/>
            </w:rPr>
            <w:fldChar w:fldCharType="begin"/>
          </w:r>
          <w:r>
            <w:rPr>
              <w:color w:val="auto"/>
            </w:rPr>
            <w:instrText xml:space="preserve"> PAGEREF _Toc19191 \h </w:instrText>
          </w:r>
          <w:r>
            <w:rPr>
              <w:color w:val="auto"/>
            </w:rPr>
            <w:fldChar w:fldCharType="separate"/>
          </w:r>
          <w:r>
            <w:rPr>
              <w:color w:val="auto"/>
            </w:rPr>
            <w:t>4</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_Toc23933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eastAsia="zh-CN"/>
            </w:rPr>
            <w:t>1.7 其他</w:t>
          </w:r>
          <w:r>
            <w:rPr>
              <w:color w:val="auto"/>
            </w:rPr>
            <w:tab/>
          </w:r>
          <w:r>
            <w:rPr>
              <w:color w:val="auto"/>
            </w:rPr>
            <w:fldChar w:fldCharType="begin"/>
          </w:r>
          <w:r>
            <w:rPr>
              <w:color w:val="auto"/>
            </w:rPr>
            <w:instrText xml:space="preserve"> PAGEREF _Toc23933 \h </w:instrText>
          </w:r>
          <w:r>
            <w:rPr>
              <w:color w:val="auto"/>
            </w:rPr>
            <w:fldChar w:fldCharType="separate"/>
          </w:r>
          <w:r>
            <w:rPr>
              <w:color w:val="auto"/>
            </w:rPr>
            <w:t>4</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ind w:left="0" w:leftChars="0" w:firstLine="0" w:firstLineChars="0"/>
            <w:rPr>
              <w:b/>
              <w:bCs/>
              <w:color w:val="auto"/>
            </w:rPr>
          </w:pPr>
          <w:r>
            <w:rPr>
              <w:rFonts w:hint="eastAsia" w:ascii="仿宋" w:hAnsi="仿宋" w:eastAsia="仿宋" w:cs="仿宋"/>
              <w:b/>
              <w:bCs/>
              <w:color w:val="auto"/>
              <w:szCs w:val="32"/>
            </w:rPr>
            <w:fldChar w:fldCharType="begin"/>
          </w:r>
          <w:r>
            <w:rPr>
              <w:rFonts w:hint="eastAsia" w:ascii="仿宋" w:hAnsi="仿宋" w:eastAsia="仿宋" w:cs="仿宋"/>
              <w:b/>
              <w:bCs/>
              <w:color w:val="auto"/>
              <w:szCs w:val="32"/>
            </w:rPr>
            <w:instrText xml:space="preserve"> HYPERLINK \l _Toc29262 </w:instrText>
          </w:r>
          <w:r>
            <w:rPr>
              <w:rFonts w:hint="eastAsia" w:ascii="仿宋" w:hAnsi="仿宋" w:eastAsia="仿宋" w:cs="仿宋"/>
              <w:b/>
              <w:bCs/>
              <w:color w:val="auto"/>
              <w:szCs w:val="32"/>
            </w:rPr>
            <w:fldChar w:fldCharType="separate"/>
          </w:r>
          <w:r>
            <w:rPr>
              <w:rFonts w:hint="eastAsia" w:ascii="仿宋" w:hAnsi="仿宋" w:eastAsia="仿宋" w:cs="仿宋"/>
              <w:b/>
              <w:bCs/>
              <w:color w:val="auto"/>
              <w:szCs w:val="28"/>
              <w:lang w:val="en-US" w:eastAsia="zh-CN"/>
            </w:rPr>
            <w:t xml:space="preserve">2 </w:t>
          </w:r>
          <w:r>
            <w:rPr>
              <w:rFonts w:hint="eastAsia" w:ascii="仿宋" w:hAnsi="仿宋" w:eastAsia="仿宋" w:cs="仿宋"/>
              <w:b/>
              <w:bCs/>
              <w:color w:val="auto"/>
              <w:szCs w:val="28"/>
              <w:lang w:eastAsia="zh-CN"/>
            </w:rPr>
            <w:t>编制过程概述</w:t>
          </w:r>
          <w:r>
            <w:rPr>
              <w:b/>
              <w:bCs/>
              <w:color w:val="auto"/>
            </w:rPr>
            <w:tab/>
          </w:r>
          <w:r>
            <w:rPr>
              <w:b/>
              <w:bCs/>
              <w:color w:val="auto"/>
            </w:rPr>
            <w:fldChar w:fldCharType="begin"/>
          </w:r>
          <w:r>
            <w:rPr>
              <w:b/>
              <w:bCs/>
              <w:color w:val="auto"/>
            </w:rPr>
            <w:instrText xml:space="preserve"> PAGEREF _Toc29262 \h </w:instrText>
          </w:r>
          <w:r>
            <w:rPr>
              <w:b/>
              <w:bCs/>
              <w:color w:val="auto"/>
            </w:rPr>
            <w:fldChar w:fldCharType="separate"/>
          </w:r>
          <w:r>
            <w:rPr>
              <w:b/>
              <w:bCs/>
              <w:color w:val="auto"/>
            </w:rPr>
            <w:t>4</w:t>
          </w:r>
          <w:r>
            <w:rPr>
              <w:b/>
              <w:bCs/>
              <w:color w:val="auto"/>
            </w:rPr>
            <w:fldChar w:fldCharType="end"/>
          </w:r>
          <w:r>
            <w:rPr>
              <w:rFonts w:hint="eastAsia" w:ascii="仿宋" w:hAnsi="仿宋" w:eastAsia="仿宋" w:cs="仿宋"/>
              <w:b/>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_Toc7518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2.1 成立应急预案编制小组</w:t>
          </w:r>
          <w:r>
            <w:rPr>
              <w:color w:val="auto"/>
            </w:rPr>
            <w:tab/>
          </w:r>
          <w:r>
            <w:rPr>
              <w:color w:val="auto"/>
            </w:rPr>
            <w:fldChar w:fldCharType="begin"/>
          </w:r>
          <w:r>
            <w:rPr>
              <w:color w:val="auto"/>
            </w:rPr>
            <w:instrText xml:space="preserve"> PAGEREF _Toc7518 \h </w:instrText>
          </w:r>
          <w:r>
            <w:rPr>
              <w:color w:val="auto"/>
            </w:rPr>
            <w:fldChar w:fldCharType="separate"/>
          </w:r>
          <w:r>
            <w:rPr>
              <w:color w:val="auto"/>
            </w:rPr>
            <w:t>4</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_Toc13204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.2 制定编制计划</w:t>
          </w:r>
          <w:r>
            <w:rPr>
              <w:color w:val="auto"/>
            </w:rPr>
            <w:tab/>
          </w:r>
          <w:r>
            <w:rPr>
              <w:color w:val="auto"/>
            </w:rPr>
            <w:fldChar w:fldCharType="begin"/>
          </w:r>
          <w:r>
            <w:rPr>
              <w:color w:val="auto"/>
            </w:rPr>
            <w:instrText xml:space="preserve"> PAGEREF _Toc13204 \h </w:instrText>
          </w:r>
          <w:r>
            <w:rPr>
              <w:color w:val="auto"/>
            </w:rPr>
            <w:fldChar w:fldCharType="separate"/>
          </w:r>
          <w:r>
            <w:rPr>
              <w:color w:val="auto"/>
            </w:rPr>
            <w:t>4</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_Toc28407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.3 收集资料</w:t>
          </w:r>
          <w:r>
            <w:rPr>
              <w:color w:val="auto"/>
            </w:rPr>
            <w:tab/>
          </w:r>
          <w:r>
            <w:rPr>
              <w:color w:val="auto"/>
            </w:rPr>
            <w:fldChar w:fldCharType="begin"/>
          </w:r>
          <w:r>
            <w:rPr>
              <w:color w:val="auto"/>
            </w:rPr>
            <w:instrText xml:space="preserve"> PAGEREF _Toc28407 \h </w:instrText>
          </w:r>
          <w:r>
            <w:rPr>
              <w:color w:val="auto"/>
            </w:rPr>
            <w:fldChar w:fldCharType="separate"/>
          </w:r>
          <w:r>
            <w:rPr>
              <w:color w:val="auto"/>
            </w:rPr>
            <w:t>5</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_Toc13866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.4 开展环境风险评估和应急资源调查</w:t>
          </w:r>
          <w:r>
            <w:rPr>
              <w:color w:val="auto"/>
            </w:rPr>
            <w:tab/>
          </w:r>
          <w:r>
            <w:rPr>
              <w:color w:val="auto"/>
            </w:rPr>
            <w:fldChar w:fldCharType="begin"/>
          </w:r>
          <w:r>
            <w:rPr>
              <w:color w:val="auto"/>
            </w:rPr>
            <w:instrText xml:space="preserve"> PAGEREF _Toc13866 \h </w:instrText>
          </w:r>
          <w:r>
            <w:rPr>
              <w:color w:val="auto"/>
            </w:rPr>
            <w:fldChar w:fldCharType="separate"/>
          </w:r>
          <w:r>
            <w:rPr>
              <w:color w:val="auto"/>
            </w:rPr>
            <w:t>6</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_Toc23080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.5 编制环境应急预案</w:t>
          </w:r>
          <w:r>
            <w:rPr>
              <w:color w:val="auto"/>
            </w:rPr>
            <w:tab/>
          </w:r>
          <w:r>
            <w:rPr>
              <w:color w:val="auto"/>
            </w:rPr>
            <w:fldChar w:fldCharType="begin"/>
          </w:r>
          <w:r>
            <w:rPr>
              <w:color w:val="auto"/>
            </w:rPr>
            <w:instrText xml:space="preserve"> PAGEREF _Toc23080 \h </w:instrText>
          </w:r>
          <w:r>
            <w:rPr>
              <w:color w:val="auto"/>
            </w:rPr>
            <w:fldChar w:fldCharType="separate"/>
          </w:r>
          <w:r>
            <w:rPr>
              <w:color w:val="auto"/>
            </w:rPr>
            <w:t>7</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_Toc4186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.6 评审和演练环境应急预案</w:t>
          </w:r>
          <w:r>
            <w:rPr>
              <w:color w:val="auto"/>
            </w:rPr>
            <w:tab/>
          </w:r>
          <w:r>
            <w:rPr>
              <w:color w:val="auto"/>
            </w:rPr>
            <w:fldChar w:fldCharType="begin"/>
          </w:r>
          <w:r>
            <w:rPr>
              <w:color w:val="auto"/>
            </w:rPr>
            <w:instrText xml:space="preserve"> PAGEREF _Toc4186 \h </w:instrText>
          </w:r>
          <w:r>
            <w:rPr>
              <w:color w:val="auto"/>
            </w:rPr>
            <w:fldChar w:fldCharType="separate"/>
          </w:r>
          <w:r>
            <w:rPr>
              <w:color w:val="auto"/>
            </w:rPr>
            <w:t>7</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_Toc6770 </w:instrText>
          </w:r>
          <w:r>
            <w:rPr>
              <w:rFonts w:hint="eastAsia" w:ascii="仿宋" w:hAnsi="仿宋" w:eastAsia="仿宋" w:cs="仿宋"/>
              <w:bCs/>
              <w:color w:val="auto"/>
              <w:szCs w:val="32"/>
            </w:rPr>
            <w:fldChar w:fldCharType="separate"/>
          </w:r>
          <w:r>
            <w:rPr>
              <w:rFonts w:hint="eastAsia" w:ascii="仿宋" w:hAnsi="仿宋" w:eastAsia="仿宋" w:cs="仿宋"/>
              <w:color w:val="auto"/>
              <w:szCs w:val="28"/>
              <w:lang w:val="en-US" w:eastAsia="zh-CN"/>
            </w:rPr>
            <w:t>2</w:t>
          </w:r>
          <w:r>
            <w:rPr>
              <w:rFonts w:hint="eastAsia" w:ascii="仿宋" w:hAnsi="仿宋" w:eastAsia="仿宋" w:cs="仿宋"/>
              <w:color w:val="auto"/>
              <w:szCs w:val="28"/>
              <w:lang w:eastAsia="zh-CN"/>
            </w:rPr>
            <w:t>.7 签署发布环境应急预案</w:t>
          </w:r>
          <w:r>
            <w:rPr>
              <w:color w:val="auto"/>
            </w:rPr>
            <w:tab/>
          </w:r>
          <w:r>
            <w:rPr>
              <w:color w:val="auto"/>
            </w:rPr>
            <w:fldChar w:fldCharType="begin"/>
          </w:r>
          <w:r>
            <w:rPr>
              <w:color w:val="auto"/>
            </w:rPr>
            <w:instrText xml:space="preserve"> PAGEREF _Toc6770 \h </w:instrText>
          </w:r>
          <w:r>
            <w:rPr>
              <w:color w:val="auto"/>
            </w:rPr>
            <w:fldChar w:fldCharType="separate"/>
          </w:r>
          <w:r>
            <w:rPr>
              <w:color w:val="auto"/>
            </w:rPr>
            <w:t>7</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ind w:left="0" w:leftChars="0" w:firstLine="0" w:firstLineChars="0"/>
            <w:rPr>
              <w:b/>
              <w:bCs/>
              <w:color w:val="auto"/>
            </w:rPr>
          </w:pPr>
          <w:r>
            <w:rPr>
              <w:rFonts w:hint="eastAsia" w:ascii="仿宋" w:hAnsi="仿宋" w:eastAsia="仿宋" w:cs="仿宋"/>
              <w:b/>
              <w:bCs/>
              <w:color w:val="auto"/>
              <w:szCs w:val="32"/>
            </w:rPr>
            <w:fldChar w:fldCharType="begin"/>
          </w:r>
          <w:r>
            <w:rPr>
              <w:rFonts w:hint="eastAsia" w:ascii="仿宋" w:hAnsi="仿宋" w:eastAsia="仿宋" w:cs="仿宋"/>
              <w:b/>
              <w:bCs/>
              <w:color w:val="auto"/>
              <w:szCs w:val="32"/>
            </w:rPr>
            <w:instrText xml:space="preserve"> HYPERLINK \l _Toc31886 </w:instrText>
          </w:r>
          <w:r>
            <w:rPr>
              <w:rFonts w:hint="eastAsia" w:ascii="仿宋" w:hAnsi="仿宋" w:eastAsia="仿宋" w:cs="仿宋"/>
              <w:b/>
              <w:bCs/>
              <w:color w:val="auto"/>
              <w:szCs w:val="32"/>
            </w:rPr>
            <w:fldChar w:fldCharType="separate"/>
          </w:r>
          <w:r>
            <w:rPr>
              <w:rFonts w:hint="eastAsia" w:ascii="仿宋" w:hAnsi="仿宋" w:eastAsia="仿宋" w:cs="仿宋"/>
              <w:b/>
              <w:bCs/>
              <w:color w:val="auto"/>
              <w:szCs w:val="28"/>
              <w:lang w:val="en-US" w:eastAsia="zh-CN"/>
            </w:rPr>
            <w:t>3</w:t>
          </w:r>
          <w:r>
            <w:rPr>
              <w:rFonts w:hint="eastAsia" w:ascii="仿宋" w:hAnsi="仿宋" w:eastAsia="仿宋" w:cs="仿宋"/>
              <w:b/>
              <w:bCs/>
              <w:color w:val="auto"/>
              <w:szCs w:val="28"/>
              <w:lang w:eastAsia="zh-CN"/>
            </w:rPr>
            <w:t xml:space="preserve"> 重点内容说明</w:t>
          </w:r>
          <w:r>
            <w:rPr>
              <w:b/>
              <w:bCs/>
              <w:color w:val="auto"/>
            </w:rPr>
            <w:tab/>
          </w:r>
          <w:r>
            <w:rPr>
              <w:b/>
              <w:bCs/>
              <w:color w:val="auto"/>
            </w:rPr>
            <w:fldChar w:fldCharType="begin"/>
          </w:r>
          <w:r>
            <w:rPr>
              <w:b/>
              <w:bCs/>
              <w:color w:val="auto"/>
            </w:rPr>
            <w:instrText xml:space="preserve"> PAGEREF _Toc31886 \h </w:instrText>
          </w:r>
          <w:r>
            <w:rPr>
              <w:b/>
              <w:bCs/>
              <w:color w:val="auto"/>
            </w:rPr>
            <w:fldChar w:fldCharType="separate"/>
          </w:r>
          <w:r>
            <w:rPr>
              <w:b/>
              <w:bCs/>
              <w:color w:val="auto"/>
            </w:rPr>
            <w:t>8</w:t>
          </w:r>
          <w:r>
            <w:rPr>
              <w:b/>
              <w:bCs/>
              <w:color w:val="auto"/>
            </w:rPr>
            <w:fldChar w:fldCharType="end"/>
          </w:r>
          <w:r>
            <w:rPr>
              <w:rFonts w:hint="eastAsia" w:ascii="仿宋" w:hAnsi="仿宋" w:eastAsia="仿宋" w:cs="仿宋"/>
              <w:b/>
              <w:bCs/>
              <w:color w:val="auto"/>
              <w:szCs w:val="32"/>
            </w:rPr>
            <w:fldChar w:fldCharType="end"/>
          </w:r>
        </w:p>
        <w:p>
          <w:pPr>
            <w:pStyle w:val="16"/>
            <w:tabs>
              <w:tab w:val="right" w:leader="dot" w:pos="9026"/>
            </w:tabs>
            <w:ind w:left="0" w:leftChars="0" w:firstLine="0" w:firstLineChars="0"/>
            <w:rPr>
              <w:b/>
              <w:bCs/>
              <w:color w:val="auto"/>
            </w:rPr>
          </w:pPr>
          <w:r>
            <w:rPr>
              <w:rFonts w:hint="eastAsia" w:ascii="仿宋" w:hAnsi="仿宋" w:eastAsia="仿宋" w:cs="仿宋"/>
              <w:b/>
              <w:bCs/>
              <w:color w:val="auto"/>
              <w:szCs w:val="32"/>
            </w:rPr>
            <w:fldChar w:fldCharType="begin"/>
          </w:r>
          <w:r>
            <w:rPr>
              <w:rFonts w:hint="eastAsia" w:ascii="仿宋" w:hAnsi="仿宋" w:eastAsia="仿宋" w:cs="仿宋"/>
              <w:b/>
              <w:bCs/>
              <w:color w:val="auto"/>
              <w:szCs w:val="32"/>
            </w:rPr>
            <w:instrText xml:space="preserve"> HYPERLINK \l _Toc449 </w:instrText>
          </w:r>
          <w:r>
            <w:rPr>
              <w:rFonts w:hint="eastAsia" w:ascii="仿宋" w:hAnsi="仿宋" w:eastAsia="仿宋" w:cs="仿宋"/>
              <w:b/>
              <w:bCs/>
              <w:color w:val="auto"/>
              <w:szCs w:val="32"/>
            </w:rPr>
            <w:fldChar w:fldCharType="separate"/>
          </w:r>
          <w:r>
            <w:rPr>
              <w:rFonts w:hint="eastAsia" w:ascii="仿宋" w:hAnsi="仿宋" w:cs="仿宋"/>
              <w:b/>
              <w:bCs/>
              <w:color w:val="auto"/>
              <w:szCs w:val="30"/>
              <w:lang w:val="en-US" w:eastAsia="zh-CN"/>
            </w:rPr>
            <w:t>4</w:t>
          </w:r>
          <w:r>
            <w:rPr>
              <w:rFonts w:hint="eastAsia" w:ascii="仿宋" w:hAnsi="仿宋" w:cs="仿宋"/>
              <w:b/>
              <w:bCs/>
              <w:color w:val="auto"/>
              <w:szCs w:val="30"/>
              <w:lang w:eastAsia="zh-CN"/>
            </w:rPr>
            <w:t xml:space="preserve"> 征求意见及采纳情况说明</w:t>
          </w:r>
          <w:r>
            <w:rPr>
              <w:b/>
              <w:bCs/>
              <w:color w:val="auto"/>
            </w:rPr>
            <w:tab/>
          </w:r>
          <w:r>
            <w:rPr>
              <w:b/>
              <w:bCs/>
              <w:color w:val="auto"/>
            </w:rPr>
            <w:fldChar w:fldCharType="begin"/>
          </w:r>
          <w:r>
            <w:rPr>
              <w:b/>
              <w:bCs/>
              <w:color w:val="auto"/>
            </w:rPr>
            <w:instrText xml:space="preserve"> PAGEREF _Toc449 \h </w:instrText>
          </w:r>
          <w:r>
            <w:rPr>
              <w:b/>
              <w:bCs/>
              <w:color w:val="auto"/>
            </w:rPr>
            <w:fldChar w:fldCharType="separate"/>
          </w:r>
          <w:r>
            <w:rPr>
              <w:b/>
              <w:bCs/>
              <w:color w:val="auto"/>
            </w:rPr>
            <w:t>11</w:t>
          </w:r>
          <w:r>
            <w:rPr>
              <w:b/>
              <w:bCs/>
              <w:color w:val="auto"/>
            </w:rPr>
            <w:fldChar w:fldCharType="end"/>
          </w:r>
          <w:r>
            <w:rPr>
              <w:rFonts w:hint="eastAsia" w:ascii="仿宋" w:hAnsi="仿宋" w:eastAsia="仿宋" w:cs="仿宋"/>
              <w:b/>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_Toc10629 </w:instrText>
          </w:r>
          <w:r>
            <w:rPr>
              <w:rFonts w:hint="eastAsia" w:ascii="仿宋" w:hAnsi="仿宋" w:eastAsia="仿宋" w:cs="仿宋"/>
              <w:bCs/>
              <w:color w:val="auto"/>
              <w:szCs w:val="32"/>
            </w:rPr>
            <w:fldChar w:fldCharType="separate"/>
          </w:r>
          <w:r>
            <w:rPr>
              <w:rFonts w:hint="eastAsia" w:ascii="仿宋" w:hAnsi="仿宋" w:cs="仿宋"/>
              <w:bCs/>
              <w:color w:val="auto"/>
              <w:szCs w:val="30"/>
              <w:lang w:val="en-US" w:eastAsia="zh-CN"/>
            </w:rPr>
            <w:t>4.1 内部评审过程</w:t>
          </w:r>
          <w:r>
            <w:rPr>
              <w:color w:val="auto"/>
            </w:rPr>
            <w:tab/>
          </w:r>
          <w:r>
            <w:rPr>
              <w:color w:val="auto"/>
            </w:rPr>
            <w:fldChar w:fldCharType="begin"/>
          </w:r>
          <w:r>
            <w:rPr>
              <w:color w:val="auto"/>
            </w:rPr>
            <w:instrText xml:space="preserve"> PAGEREF _Toc10629 \h </w:instrText>
          </w:r>
          <w:r>
            <w:rPr>
              <w:color w:val="auto"/>
            </w:rPr>
            <w:fldChar w:fldCharType="separate"/>
          </w:r>
          <w:r>
            <w:rPr>
              <w:color w:val="auto"/>
            </w:rPr>
            <w:t>11</w:t>
          </w:r>
          <w:r>
            <w:rPr>
              <w:color w:val="auto"/>
            </w:rPr>
            <w:fldChar w:fldCharType="end"/>
          </w:r>
          <w:r>
            <w:rPr>
              <w:rFonts w:hint="eastAsia" w:ascii="仿宋" w:hAnsi="仿宋" w:eastAsia="仿宋" w:cs="仿宋"/>
              <w:bCs/>
              <w:color w:val="auto"/>
              <w:szCs w:val="32"/>
            </w:rPr>
            <w:fldChar w:fldCharType="end"/>
          </w:r>
        </w:p>
        <w:p>
          <w:pPr>
            <w:pStyle w:val="16"/>
            <w:tabs>
              <w:tab w:val="right" w:leader="dot" w:pos="9026"/>
            </w:tabs>
            <w:rPr>
              <w:color w:val="auto"/>
            </w:rPr>
          </w:pPr>
          <w:r>
            <w:rPr>
              <w:rFonts w:hint="eastAsia" w:ascii="仿宋" w:hAnsi="仿宋" w:eastAsia="仿宋" w:cs="仿宋"/>
              <w:bCs/>
              <w:color w:val="auto"/>
              <w:szCs w:val="32"/>
            </w:rPr>
            <w:fldChar w:fldCharType="begin"/>
          </w:r>
          <w:r>
            <w:rPr>
              <w:rFonts w:hint="eastAsia" w:ascii="仿宋" w:hAnsi="仿宋" w:eastAsia="仿宋" w:cs="仿宋"/>
              <w:bCs/>
              <w:color w:val="auto"/>
              <w:szCs w:val="32"/>
            </w:rPr>
            <w:instrText xml:space="preserve"> HYPERLINK \l _Toc7758 </w:instrText>
          </w:r>
          <w:r>
            <w:rPr>
              <w:rFonts w:hint="eastAsia" w:ascii="仿宋" w:hAnsi="仿宋" w:eastAsia="仿宋" w:cs="仿宋"/>
              <w:bCs/>
              <w:color w:val="auto"/>
              <w:szCs w:val="32"/>
            </w:rPr>
            <w:fldChar w:fldCharType="separate"/>
          </w:r>
          <w:r>
            <w:rPr>
              <w:rFonts w:hint="eastAsia" w:ascii="仿宋" w:hAnsi="仿宋" w:cs="仿宋"/>
              <w:bCs/>
              <w:color w:val="auto"/>
              <w:szCs w:val="30"/>
              <w:lang w:val="en-US" w:eastAsia="zh-CN"/>
            </w:rPr>
            <w:t>4.2 外部评审过程</w:t>
          </w:r>
          <w:r>
            <w:rPr>
              <w:color w:val="auto"/>
            </w:rPr>
            <w:tab/>
          </w:r>
          <w:r>
            <w:rPr>
              <w:color w:val="auto"/>
            </w:rPr>
            <w:fldChar w:fldCharType="begin"/>
          </w:r>
          <w:r>
            <w:rPr>
              <w:color w:val="auto"/>
            </w:rPr>
            <w:instrText xml:space="preserve"> PAGEREF _Toc7758 \h </w:instrText>
          </w:r>
          <w:r>
            <w:rPr>
              <w:color w:val="auto"/>
            </w:rPr>
            <w:fldChar w:fldCharType="separate"/>
          </w:r>
          <w:r>
            <w:rPr>
              <w:color w:val="auto"/>
            </w:rPr>
            <w:t>11</w:t>
          </w:r>
          <w:r>
            <w:rPr>
              <w:color w:val="auto"/>
            </w:rPr>
            <w:fldChar w:fldCharType="end"/>
          </w:r>
          <w:r>
            <w:rPr>
              <w:rFonts w:hint="eastAsia" w:ascii="仿宋" w:hAnsi="仿宋" w:eastAsia="仿宋" w:cs="仿宋"/>
              <w:bCs/>
              <w:color w:val="auto"/>
              <w:szCs w:val="32"/>
            </w:rPr>
            <w:fldChar w:fldCharType="end"/>
          </w:r>
        </w:p>
        <w:p>
          <w:pPr>
            <w:pStyle w:val="26"/>
            <w:rPr>
              <w:color w:val="auto"/>
            </w:rPr>
          </w:pPr>
          <w:r>
            <w:rPr>
              <w:rFonts w:hint="eastAsia" w:ascii="仿宋" w:hAnsi="仿宋" w:eastAsia="仿宋" w:cs="仿宋"/>
              <w:bCs/>
              <w:color w:val="auto"/>
              <w:szCs w:val="32"/>
            </w:rPr>
            <w:fldChar w:fldCharType="end"/>
          </w:r>
        </w:p>
      </w:sdtContent>
    </w:sdt>
    <w:p>
      <w:pPr>
        <w:pStyle w:val="26"/>
        <w:rPr>
          <w:color w:val="auto"/>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pgNumType w:fmt="upperRoman" w:start="1"/>
          <w:cols w:space="720" w:num="1"/>
          <w:titlePg/>
          <w:docGrid w:linePitch="381" w:charSpace="0"/>
        </w:sectPr>
      </w:pPr>
      <w:r>
        <w:rPr>
          <w:color w:val="auto"/>
          <w:lang w:eastAsia="zh-CN"/>
        </w:rPr>
        <w:tab/>
      </w:r>
    </w:p>
    <w:p>
      <w:pPr>
        <w:widowControl/>
        <w:shd w:val="clear" w:color="auto" w:fill="FFFFFF"/>
        <w:ind w:firstLine="0" w:firstLineChars="0"/>
        <w:jc w:val="center"/>
        <w:textAlignment w:val="baseline"/>
        <w:outlineLvl w:val="0"/>
        <w:rPr>
          <w:rFonts w:ascii="仿宋" w:hAnsi="仿宋" w:cs="仿宋"/>
          <w:b/>
          <w:bCs/>
          <w:color w:val="auto"/>
          <w:sz w:val="36"/>
          <w:szCs w:val="36"/>
          <w:highlight w:val="none"/>
          <w:lang w:eastAsia="zh-CN"/>
        </w:rPr>
      </w:pPr>
      <w:bookmarkStart w:id="0" w:name="_Toc11046"/>
      <w:r>
        <w:rPr>
          <w:rFonts w:hint="eastAsia" w:ascii="仿宋" w:hAnsi="仿宋" w:cs="仿宋"/>
          <w:b/>
          <w:bCs/>
          <w:color w:val="auto"/>
          <w:sz w:val="36"/>
          <w:szCs w:val="36"/>
          <w:highlight w:val="none"/>
          <w:lang w:eastAsia="zh-CN"/>
        </w:rPr>
        <w:t>前    言</w:t>
      </w:r>
      <w:bookmarkEnd w:id="0"/>
    </w:p>
    <w:p>
      <w:pPr>
        <w:widowControl/>
        <w:shd w:val="clear" w:color="auto" w:fill="FFFFFF"/>
        <w:snapToGrid/>
        <w:ind w:firstLine="560"/>
        <w:jc w:val="both"/>
        <w:textAlignment w:val="baseline"/>
        <w:rPr>
          <w:rFonts w:ascii="仿宋" w:hAnsi="仿宋" w:cs="仿宋"/>
          <w:color w:val="auto"/>
          <w:szCs w:val="28"/>
          <w:lang w:eastAsia="zh-CN"/>
        </w:rPr>
      </w:pPr>
      <w:r>
        <w:rPr>
          <w:rFonts w:hint="eastAsia" w:ascii="仿宋" w:hAnsi="仿宋" w:cs="仿宋"/>
          <w:color w:val="auto"/>
          <w:szCs w:val="28"/>
          <w:lang w:eastAsia="zh-CN"/>
        </w:rPr>
        <w:t>我公司在生产过程中涉及润滑油的储存及使用、危险废物的产生及暂存。润滑油、废润滑油具有易燃、泄露等特性。在生产、加工、运输、使用或储存过程中，一旦发生泄漏，很可能引起泄漏、火灾、爆炸等事故，造成环境污染或生态破坏，危及人民群众生命财产安全，影响社会公共秩序。</w:t>
      </w:r>
    </w:p>
    <w:p>
      <w:pPr>
        <w:widowControl/>
        <w:shd w:val="clear" w:color="auto" w:fill="FFFFFF"/>
        <w:snapToGrid/>
        <w:ind w:firstLine="560"/>
        <w:jc w:val="both"/>
        <w:textAlignment w:val="baseline"/>
        <w:rPr>
          <w:rFonts w:ascii="仿宋" w:hAnsi="仿宋" w:cs="宋体"/>
          <w:color w:val="auto"/>
          <w:szCs w:val="28"/>
          <w:lang w:eastAsia="zh-CN"/>
        </w:rPr>
      </w:pPr>
      <w:r>
        <w:rPr>
          <w:rFonts w:hint="eastAsia" w:ascii="仿宋" w:hAnsi="仿宋" w:cs="宋体"/>
          <w:color w:val="auto"/>
          <w:szCs w:val="28"/>
          <w:lang w:eastAsia="zh-CN"/>
        </w:rPr>
        <w:t>《陕西百固建材有限公司突发环境事件应急预案》于2</w:t>
      </w:r>
      <w:r>
        <w:rPr>
          <w:rFonts w:ascii="仿宋" w:hAnsi="仿宋" w:cs="宋体"/>
          <w:color w:val="auto"/>
          <w:szCs w:val="28"/>
          <w:lang w:eastAsia="zh-CN"/>
        </w:rPr>
        <w:t>0</w:t>
      </w:r>
      <w:r>
        <w:rPr>
          <w:rFonts w:hint="eastAsia" w:ascii="仿宋" w:hAnsi="仿宋" w:cs="宋体"/>
          <w:color w:val="auto"/>
          <w:szCs w:val="28"/>
          <w:lang w:eastAsia="zh-CN"/>
        </w:rPr>
        <w:t>18年12月进行首次备案（备</w:t>
      </w:r>
      <w:r>
        <w:rPr>
          <w:rFonts w:hint="eastAsia" w:ascii="仿宋" w:hAnsi="仿宋" w:cs="仿宋"/>
          <w:color w:val="auto"/>
          <w:szCs w:val="28"/>
          <w:lang w:eastAsia="zh-CN"/>
        </w:rPr>
        <w:t>案编号为61123-2018-0038-L，2018年12月26日在秦汉新城生态环境局备案</w:t>
      </w:r>
      <w:r>
        <w:rPr>
          <w:rFonts w:hint="eastAsia" w:ascii="仿宋" w:hAnsi="仿宋" w:cs="宋体"/>
          <w:color w:val="auto"/>
          <w:szCs w:val="28"/>
          <w:lang w:eastAsia="zh-CN"/>
        </w:rPr>
        <w:t>），该应急预案已发布实施。根据《突发环境事件应急预案管理暂行办法》（〔2010〕113号）要求，环境应急预案每三年至少修订一次。</w:t>
      </w:r>
    </w:p>
    <w:p>
      <w:pPr>
        <w:widowControl/>
        <w:shd w:val="clear" w:color="auto" w:fill="FFFFFF"/>
        <w:snapToGrid/>
        <w:ind w:firstLine="560"/>
        <w:jc w:val="both"/>
        <w:textAlignment w:val="baseline"/>
        <w:rPr>
          <w:rFonts w:hint="eastAsia" w:ascii="仿宋" w:hAnsi="仿宋" w:cs="Times New Roman"/>
          <w:color w:val="auto"/>
          <w:szCs w:val="28"/>
          <w:lang w:eastAsia="zh-CN"/>
        </w:rPr>
      </w:pPr>
      <w:r>
        <w:rPr>
          <w:rFonts w:hint="eastAsia" w:ascii="仿宋" w:hAnsi="仿宋" w:cs="宋体"/>
          <w:color w:val="auto"/>
          <w:szCs w:val="28"/>
          <w:lang w:eastAsia="zh-CN"/>
        </w:rPr>
        <w:t>为此，2</w:t>
      </w:r>
      <w:r>
        <w:rPr>
          <w:rFonts w:ascii="仿宋" w:hAnsi="仿宋" w:cs="宋体"/>
          <w:color w:val="auto"/>
          <w:szCs w:val="28"/>
          <w:lang w:eastAsia="zh-CN"/>
        </w:rPr>
        <w:t>021</w:t>
      </w:r>
      <w:r>
        <w:rPr>
          <w:rFonts w:hint="eastAsia" w:ascii="仿宋" w:hAnsi="仿宋" w:cs="宋体"/>
          <w:color w:val="auto"/>
          <w:szCs w:val="28"/>
          <w:lang w:eastAsia="zh-CN"/>
        </w:rPr>
        <w:t>年11月，我公司组织相关技术人员修编《陕西百固建材有限公司突发环境事件应急预案》（本次为第一次修订）</w:t>
      </w:r>
      <w:r>
        <w:rPr>
          <w:rFonts w:hint="eastAsia" w:ascii="仿宋" w:hAnsi="仿宋" w:cs="Times New Roman"/>
          <w:color w:val="auto"/>
          <w:szCs w:val="28"/>
          <w:lang w:eastAsia="zh-CN"/>
        </w:rPr>
        <w:t>，以正确应对突发性环境污染、生态破坏等原因造成的局部或区域环境污染事故，确保事故发生时能快速有效的进行现场应急处理、处置，保护厂区及周边环境、居住区人民的生命、财产安全，防止突发性环境污染事故发生。</w:t>
      </w:r>
    </w:p>
    <w:p>
      <w:pPr>
        <w:ind w:firstLine="560"/>
        <w:jc w:val="both"/>
        <w:rPr>
          <w:rFonts w:ascii="仿宋" w:hAnsi="仿宋" w:cs="仿宋"/>
          <w:color w:val="auto"/>
          <w:szCs w:val="28"/>
          <w:lang w:eastAsia="zh-CN"/>
        </w:rPr>
      </w:pPr>
      <w:r>
        <w:rPr>
          <w:rFonts w:hint="eastAsia" w:ascii="仿宋" w:hAnsi="仿宋" w:cs="仿宋"/>
          <w:color w:val="auto"/>
          <w:szCs w:val="28"/>
          <w:lang w:eastAsia="zh-CN"/>
        </w:rPr>
        <w:t>本文件为</w:t>
      </w:r>
      <w:r>
        <w:rPr>
          <w:rFonts w:hint="eastAsia" w:ascii="仿宋" w:hAnsi="仿宋" w:cs="宋体"/>
          <w:color w:val="auto"/>
          <w:szCs w:val="28"/>
          <w:lang w:eastAsia="zh-CN"/>
        </w:rPr>
        <w:t>陕西百固建材有限公司</w:t>
      </w:r>
      <w:r>
        <w:rPr>
          <w:rFonts w:hint="eastAsia" w:ascii="仿宋" w:hAnsi="仿宋" w:cs="仿宋"/>
          <w:color w:val="auto"/>
          <w:szCs w:val="28"/>
          <w:lang w:eastAsia="zh-CN"/>
        </w:rPr>
        <w:t>突发环境事件应急预案编制说明，主要内容包括：</w:t>
      </w:r>
      <w:r>
        <w:rPr>
          <w:rFonts w:hint="eastAsia" w:ascii="仿宋" w:hAnsi="仿宋" w:cs="宋体"/>
          <w:color w:val="auto"/>
          <w:szCs w:val="28"/>
          <w:lang w:eastAsia="zh-CN"/>
        </w:rPr>
        <w:t>编制过程概述、重点内容说明、征求意见及采纳情况说明</w:t>
      </w:r>
      <w:r>
        <w:rPr>
          <w:rFonts w:hint="eastAsia" w:ascii="仿宋" w:hAnsi="仿宋" w:cs="仿宋"/>
          <w:color w:val="auto"/>
          <w:szCs w:val="28"/>
          <w:lang w:eastAsia="zh-CN"/>
        </w:rPr>
        <w:t>。</w:t>
      </w:r>
    </w:p>
    <w:p>
      <w:pPr>
        <w:ind w:firstLine="560"/>
        <w:rPr>
          <w:rFonts w:ascii="仿宋" w:hAnsi="仿宋" w:cs="仿宋"/>
          <w:color w:val="auto"/>
          <w:szCs w:val="28"/>
          <w:lang w:eastAsia="zh-CN"/>
        </w:rPr>
      </w:pPr>
      <w:r>
        <w:rPr>
          <w:rFonts w:hint="eastAsia" w:ascii="仿宋" w:hAnsi="仿宋" w:cs="仿宋"/>
          <w:color w:val="auto"/>
          <w:szCs w:val="28"/>
          <w:lang w:eastAsia="zh-CN"/>
        </w:rPr>
        <w:br w:type="page"/>
      </w:r>
    </w:p>
    <w:p>
      <w:pPr>
        <w:ind w:firstLine="0" w:firstLineChars="0"/>
        <w:outlineLvl w:val="0"/>
        <w:rPr>
          <w:rFonts w:hint="eastAsia" w:ascii="仿宋" w:hAnsi="仿宋" w:cs="仿宋"/>
          <w:b/>
          <w:color w:val="auto"/>
          <w:szCs w:val="28"/>
          <w:lang w:val="en-US" w:eastAsia="zh-CN"/>
        </w:rPr>
      </w:pPr>
      <w:bookmarkStart w:id="1" w:name="_Toc1608"/>
      <w:r>
        <w:rPr>
          <w:rFonts w:hint="eastAsia" w:ascii="仿宋" w:hAnsi="仿宋" w:cs="仿宋"/>
          <w:b/>
          <w:color w:val="auto"/>
          <w:szCs w:val="28"/>
          <w:lang w:eastAsia="zh-CN"/>
        </w:rPr>
        <w:t xml:space="preserve">1 </w:t>
      </w:r>
      <w:r>
        <w:rPr>
          <w:rFonts w:hint="eastAsia" w:ascii="仿宋" w:hAnsi="仿宋" w:cs="仿宋"/>
          <w:b/>
          <w:color w:val="auto"/>
          <w:szCs w:val="28"/>
          <w:lang w:val="en-US" w:eastAsia="zh-CN"/>
        </w:rPr>
        <w:t>回顾性评估</w:t>
      </w:r>
      <w:bookmarkEnd w:id="1"/>
    </w:p>
    <w:p>
      <w:pPr>
        <w:pStyle w:val="6"/>
        <w:ind w:left="0" w:firstLine="0" w:firstLineChars="0"/>
        <w:rPr>
          <w:rFonts w:hint="eastAsia" w:ascii="仿宋" w:hAnsi="仿宋" w:eastAsia="仿宋" w:cs="仿宋"/>
          <w:color w:val="auto"/>
          <w:sz w:val="28"/>
          <w:szCs w:val="28"/>
          <w:lang w:eastAsia="zh-CN"/>
        </w:rPr>
      </w:pPr>
      <w:bookmarkStart w:id="2" w:name="_Toc17697"/>
      <w:bookmarkStart w:id="3" w:name="_Toc18773"/>
      <w:r>
        <w:rPr>
          <w:rFonts w:hint="eastAsia" w:ascii="仿宋" w:hAnsi="仿宋" w:eastAsia="仿宋" w:cs="仿宋"/>
          <w:color w:val="auto"/>
          <w:sz w:val="28"/>
          <w:szCs w:val="28"/>
          <w:lang w:eastAsia="zh-CN"/>
        </w:rPr>
        <w:t>1.1 公司基本情况</w:t>
      </w:r>
      <w:bookmarkEnd w:id="2"/>
      <w:bookmarkEnd w:id="3"/>
    </w:p>
    <w:p>
      <w:pPr>
        <w:ind w:firstLine="560"/>
        <w:jc w:val="both"/>
        <w:rPr>
          <w:rFonts w:ascii="仿宋" w:hAnsi="仿宋" w:cs="宋体"/>
          <w:color w:val="auto"/>
          <w:szCs w:val="28"/>
          <w:lang w:eastAsia="zh-CN"/>
        </w:rPr>
      </w:pPr>
      <w:r>
        <w:rPr>
          <w:rFonts w:hint="eastAsia" w:ascii="仿宋" w:hAnsi="仿宋" w:cs="宋体"/>
          <w:color w:val="auto"/>
          <w:szCs w:val="28"/>
          <w:lang w:eastAsia="zh-CN"/>
        </w:rPr>
        <w:t>与2</w:t>
      </w:r>
      <w:r>
        <w:rPr>
          <w:rFonts w:ascii="仿宋" w:hAnsi="仿宋" w:cs="宋体"/>
          <w:color w:val="auto"/>
          <w:szCs w:val="28"/>
          <w:lang w:eastAsia="zh-CN"/>
        </w:rPr>
        <w:t>018</w:t>
      </w:r>
      <w:r>
        <w:rPr>
          <w:rFonts w:hint="eastAsia" w:ascii="仿宋" w:hAnsi="仿宋" w:cs="宋体"/>
          <w:color w:val="auto"/>
          <w:szCs w:val="28"/>
          <w:lang w:eastAsia="zh-CN"/>
        </w:rPr>
        <w:t>年修订的应急预案相比，本次修订企业劳动定员发生变化，其他基本信息未发生变化。</w:t>
      </w:r>
    </w:p>
    <w:p>
      <w:pPr>
        <w:pStyle w:val="4"/>
        <w:ind w:firstLine="0" w:firstLineChars="0"/>
        <w:jc w:val="center"/>
        <w:rPr>
          <w:rFonts w:ascii="仿宋" w:hAnsi="仿宋"/>
          <w:b/>
          <w:color w:val="auto"/>
          <w:kern w:val="0"/>
          <w:sz w:val="24"/>
          <w:szCs w:val="24"/>
          <w:lang w:eastAsia="zh-CN"/>
        </w:rPr>
      </w:pPr>
      <w:r>
        <w:rPr>
          <w:rFonts w:hint="eastAsia" w:ascii="仿宋" w:hAnsi="仿宋"/>
          <w:b/>
          <w:color w:val="auto"/>
          <w:kern w:val="0"/>
          <w:sz w:val="24"/>
          <w:szCs w:val="24"/>
          <w:lang w:eastAsia="zh-CN"/>
        </w:rPr>
        <w:t>表1</w:t>
      </w:r>
      <w:r>
        <w:rPr>
          <w:rFonts w:ascii="仿宋" w:hAnsi="仿宋"/>
          <w:b/>
          <w:color w:val="auto"/>
          <w:kern w:val="0"/>
          <w:sz w:val="24"/>
          <w:szCs w:val="24"/>
          <w:lang w:eastAsia="zh-CN"/>
        </w:rPr>
        <w:t xml:space="preserve">-1    </w:t>
      </w:r>
      <w:r>
        <w:rPr>
          <w:rFonts w:hint="eastAsia" w:ascii="仿宋" w:hAnsi="仿宋"/>
          <w:b/>
          <w:color w:val="auto"/>
          <w:kern w:val="0"/>
          <w:sz w:val="24"/>
          <w:szCs w:val="24"/>
          <w:lang w:eastAsia="zh-CN"/>
        </w:rPr>
        <w:t>修订前后公司基本情况变化情况一览表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3020"/>
        <w:gridCol w:w="2881"/>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20"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项目</w:t>
            </w:r>
          </w:p>
        </w:tc>
        <w:tc>
          <w:tcPr>
            <w:tcW w:w="1633"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2</w:t>
            </w:r>
            <w:r>
              <w:rPr>
                <w:rFonts w:ascii="仿宋" w:hAnsi="仿宋"/>
                <w:b/>
                <w:bCs/>
                <w:color w:val="auto"/>
                <w:szCs w:val="21"/>
                <w:lang w:eastAsia="zh-CN"/>
              </w:rPr>
              <w:t>018</w:t>
            </w:r>
            <w:r>
              <w:rPr>
                <w:rFonts w:hint="eastAsia" w:ascii="仿宋" w:hAnsi="仿宋"/>
                <w:b/>
                <w:bCs/>
                <w:color w:val="auto"/>
                <w:szCs w:val="21"/>
                <w:lang w:eastAsia="zh-CN"/>
              </w:rPr>
              <w:t>年修订</w:t>
            </w:r>
          </w:p>
        </w:tc>
        <w:tc>
          <w:tcPr>
            <w:tcW w:w="1558"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本次修订</w:t>
            </w:r>
          </w:p>
        </w:tc>
        <w:tc>
          <w:tcPr>
            <w:tcW w:w="987"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单位名称</w:t>
            </w:r>
          </w:p>
        </w:tc>
        <w:tc>
          <w:tcPr>
            <w:tcW w:w="1633"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s="宋体"/>
                <w:color w:val="auto"/>
                <w:szCs w:val="28"/>
                <w:lang w:eastAsia="zh-CN"/>
              </w:rPr>
              <w:t>陕西百固建材有限公司</w:t>
            </w:r>
          </w:p>
        </w:tc>
        <w:tc>
          <w:tcPr>
            <w:tcW w:w="1558"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s="宋体"/>
                <w:color w:val="auto"/>
                <w:szCs w:val="28"/>
                <w:lang w:eastAsia="zh-CN"/>
              </w:rPr>
              <w:t>陕西百固建材有限公司</w:t>
            </w:r>
          </w:p>
        </w:tc>
        <w:tc>
          <w:tcPr>
            <w:tcW w:w="987"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地理位置</w:t>
            </w:r>
          </w:p>
        </w:tc>
        <w:tc>
          <w:tcPr>
            <w:tcW w:w="1633" w:type="pct"/>
            <w:vAlign w:val="center"/>
          </w:tcPr>
          <w:p>
            <w:pPr>
              <w:pStyle w:val="4"/>
              <w:snapToGrid/>
              <w:spacing w:after="0"/>
              <w:ind w:firstLine="0" w:firstLineChars="0"/>
              <w:jc w:val="center"/>
              <w:rPr>
                <w:rFonts w:hint="eastAsia" w:ascii="仿宋" w:hAnsi="仿宋"/>
                <w:color w:val="auto"/>
                <w:szCs w:val="21"/>
                <w:lang w:eastAsia="zh-CN"/>
              </w:rPr>
            </w:pPr>
            <w:bookmarkStart w:id="4" w:name="_Hlk521919587"/>
            <w:r>
              <w:rPr>
                <w:rFonts w:hint="eastAsia" w:ascii="仿宋" w:hAnsi="仿宋"/>
                <w:color w:val="auto"/>
                <w:szCs w:val="21"/>
                <w:lang w:eastAsia="zh-CN"/>
              </w:rPr>
              <w:t>陕西省西咸新区秦汉新城正阳镇街道办兴隆村一组生产路8号</w:t>
            </w:r>
            <w:bookmarkEnd w:id="4"/>
          </w:p>
        </w:tc>
        <w:tc>
          <w:tcPr>
            <w:tcW w:w="1558" w:type="pct"/>
            <w:vAlign w:val="center"/>
          </w:tcPr>
          <w:p>
            <w:pPr>
              <w:pStyle w:val="4"/>
              <w:snapToGrid/>
              <w:spacing w:after="0"/>
              <w:ind w:firstLine="0" w:firstLineChars="0"/>
              <w:jc w:val="center"/>
              <w:rPr>
                <w:rFonts w:hint="eastAsia" w:ascii="仿宋" w:hAnsi="仿宋"/>
                <w:color w:val="auto"/>
                <w:szCs w:val="21"/>
                <w:lang w:eastAsia="zh-CN"/>
              </w:rPr>
            </w:pPr>
            <w:r>
              <w:rPr>
                <w:rFonts w:hint="eastAsia" w:ascii="仿宋" w:hAnsi="仿宋"/>
                <w:color w:val="auto"/>
                <w:szCs w:val="21"/>
                <w:lang w:eastAsia="zh-CN"/>
              </w:rPr>
              <w:t>陕西省西咸新区秦汉新城正阳镇街道办兴隆村一组生产路8号</w:t>
            </w:r>
          </w:p>
        </w:tc>
        <w:tc>
          <w:tcPr>
            <w:tcW w:w="987"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eastAsia="zh-CN"/>
              </w:rPr>
              <w:t>法定代表人</w:t>
            </w:r>
          </w:p>
        </w:tc>
        <w:tc>
          <w:tcPr>
            <w:tcW w:w="1633" w:type="pct"/>
            <w:vAlign w:val="center"/>
          </w:tcPr>
          <w:p>
            <w:pPr>
              <w:pStyle w:val="4"/>
              <w:snapToGrid/>
              <w:spacing w:after="0"/>
              <w:ind w:firstLine="0" w:firstLineChars="0"/>
              <w:jc w:val="center"/>
              <w:rPr>
                <w:rFonts w:hint="eastAsia" w:ascii="仿宋" w:hAnsi="仿宋" w:cs="宋体"/>
                <w:color w:val="auto"/>
                <w:kern w:val="0"/>
                <w:szCs w:val="21"/>
                <w:lang w:eastAsia="zh-CN" w:bidi="ar"/>
              </w:rPr>
            </w:pPr>
            <w:r>
              <w:rPr>
                <w:rFonts w:hint="eastAsia" w:ascii="仿宋" w:hAnsi="仿宋" w:cs="宋体"/>
                <w:color w:val="auto"/>
                <w:kern w:val="0"/>
                <w:szCs w:val="21"/>
                <w:lang w:val="en-US" w:eastAsia="zh-CN" w:bidi="ar"/>
              </w:rPr>
              <w:t>陈锋</w:t>
            </w:r>
          </w:p>
        </w:tc>
        <w:tc>
          <w:tcPr>
            <w:tcW w:w="1558" w:type="pct"/>
            <w:vAlign w:val="center"/>
          </w:tcPr>
          <w:p>
            <w:pPr>
              <w:pStyle w:val="4"/>
              <w:snapToGrid/>
              <w:spacing w:after="0"/>
              <w:ind w:firstLine="0" w:firstLineChars="0"/>
              <w:jc w:val="center"/>
              <w:rPr>
                <w:rFonts w:hint="eastAsia" w:ascii="仿宋" w:hAnsi="仿宋" w:cs="宋体"/>
                <w:color w:val="auto"/>
                <w:kern w:val="0"/>
                <w:szCs w:val="21"/>
                <w:lang w:eastAsia="zh-CN" w:bidi="ar"/>
              </w:rPr>
            </w:pPr>
            <w:r>
              <w:rPr>
                <w:rFonts w:hint="eastAsia" w:ascii="仿宋" w:hAnsi="仿宋" w:cs="宋体"/>
                <w:color w:val="auto"/>
                <w:kern w:val="0"/>
                <w:szCs w:val="21"/>
                <w:lang w:val="en-US" w:eastAsia="zh-CN" w:bidi="ar"/>
              </w:rPr>
              <w:t>陈锋</w:t>
            </w:r>
          </w:p>
        </w:tc>
        <w:tc>
          <w:tcPr>
            <w:tcW w:w="987" w:type="pct"/>
            <w:vAlign w:val="center"/>
          </w:tcPr>
          <w:p>
            <w:pPr>
              <w:pStyle w:val="4"/>
              <w:snapToGrid/>
              <w:spacing w:after="0"/>
              <w:ind w:firstLine="0" w:firstLineChars="0"/>
              <w:jc w:val="center"/>
              <w:rPr>
                <w:rFonts w:ascii="仿宋" w:hAnsi="仿宋" w:cs="宋体"/>
                <w:color w:val="auto"/>
                <w:kern w:val="0"/>
                <w:szCs w:val="21"/>
                <w:lang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行业类别</w:t>
            </w:r>
          </w:p>
        </w:tc>
        <w:tc>
          <w:tcPr>
            <w:tcW w:w="1633"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val="en-US" w:eastAsia="zh-CN" w:bidi="ar"/>
              </w:rPr>
              <w:t xml:space="preserve">C3021 </w:t>
            </w:r>
            <w:r>
              <w:rPr>
                <w:rFonts w:hint="eastAsia" w:ascii="仿宋" w:hAnsi="仿宋" w:cs="宋体"/>
                <w:color w:val="auto"/>
                <w:kern w:val="0"/>
                <w:szCs w:val="21"/>
                <w:lang w:eastAsia="zh-CN" w:bidi="ar"/>
              </w:rPr>
              <w:t>水泥制品制造</w:t>
            </w:r>
          </w:p>
        </w:tc>
        <w:tc>
          <w:tcPr>
            <w:tcW w:w="1558"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val="en-US" w:eastAsia="zh-CN" w:bidi="ar"/>
              </w:rPr>
              <w:t xml:space="preserve">C3021 </w:t>
            </w:r>
            <w:r>
              <w:rPr>
                <w:rFonts w:hint="eastAsia" w:ascii="仿宋" w:hAnsi="仿宋" w:cs="宋体"/>
                <w:color w:val="auto"/>
                <w:kern w:val="0"/>
                <w:szCs w:val="21"/>
                <w:lang w:eastAsia="zh-CN" w:bidi="ar"/>
              </w:rPr>
              <w:t>水泥制品制造</w:t>
            </w:r>
          </w:p>
        </w:tc>
        <w:tc>
          <w:tcPr>
            <w:tcW w:w="987"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劳动定员及工作制度</w:t>
            </w:r>
          </w:p>
        </w:tc>
        <w:tc>
          <w:tcPr>
            <w:tcW w:w="1633"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w:t>
            </w:r>
            <w:r>
              <w:rPr>
                <w:rFonts w:hint="eastAsia" w:ascii="仿宋" w:hAnsi="仿宋" w:cs="宋体"/>
                <w:color w:val="auto"/>
                <w:kern w:val="0"/>
                <w:szCs w:val="21"/>
                <w:lang w:val="en-US" w:eastAsia="zh-CN" w:bidi="ar"/>
              </w:rPr>
              <w:t>45</w:t>
            </w:r>
            <w:r>
              <w:rPr>
                <w:rFonts w:hint="eastAsia" w:ascii="仿宋" w:hAnsi="仿宋" w:cs="宋体"/>
                <w:color w:val="auto"/>
                <w:kern w:val="0"/>
                <w:szCs w:val="21"/>
                <w:lang w:eastAsia="zh-CN" w:bidi="ar"/>
              </w:rPr>
              <w:t>人，</w:t>
            </w:r>
            <w:r>
              <w:rPr>
                <w:rFonts w:hint="eastAsia" w:ascii="仿宋" w:hAnsi="仿宋" w:cs="宋体"/>
                <w:color w:val="auto"/>
                <w:kern w:val="0"/>
                <w:szCs w:val="21"/>
                <w:lang w:val="en-US" w:eastAsia="zh-CN" w:bidi="ar"/>
              </w:rPr>
              <w:t>252</w:t>
            </w:r>
            <w:r>
              <w:rPr>
                <w:rFonts w:hint="eastAsia" w:ascii="仿宋" w:hAnsi="仿宋" w:cs="宋体"/>
                <w:color w:val="auto"/>
                <w:kern w:val="0"/>
                <w:szCs w:val="21"/>
                <w:lang w:eastAsia="zh-CN" w:bidi="ar"/>
              </w:rPr>
              <w:t>天/年</w:t>
            </w:r>
          </w:p>
        </w:tc>
        <w:tc>
          <w:tcPr>
            <w:tcW w:w="1558"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劳动定员</w:t>
            </w:r>
            <w:r>
              <w:rPr>
                <w:rFonts w:hint="eastAsia" w:ascii="仿宋" w:hAnsi="仿宋" w:cs="宋体"/>
                <w:color w:val="auto"/>
                <w:kern w:val="0"/>
                <w:szCs w:val="21"/>
                <w:lang w:val="en-US" w:eastAsia="zh-CN" w:bidi="ar"/>
              </w:rPr>
              <w:t>65</w:t>
            </w:r>
            <w:r>
              <w:rPr>
                <w:rFonts w:hint="eastAsia" w:ascii="仿宋" w:hAnsi="仿宋" w:cs="宋体"/>
                <w:color w:val="auto"/>
                <w:kern w:val="0"/>
                <w:szCs w:val="21"/>
                <w:lang w:eastAsia="zh-CN" w:bidi="ar"/>
              </w:rPr>
              <w:t>人，</w:t>
            </w:r>
            <w:r>
              <w:rPr>
                <w:rFonts w:hint="eastAsia" w:ascii="仿宋" w:hAnsi="仿宋" w:cs="宋体"/>
                <w:color w:val="auto"/>
                <w:kern w:val="0"/>
                <w:szCs w:val="21"/>
                <w:lang w:val="en-US" w:eastAsia="zh-CN" w:bidi="ar"/>
              </w:rPr>
              <w:t>280</w:t>
            </w:r>
            <w:r>
              <w:rPr>
                <w:rFonts w:hint="eastAsia" w:ascii="仿宋" w:hAnsi="仿宋" w:cs="宋体"/>
                <w:color w:val="auto"/>
                <w:kern w:val="0"/>
                <w:szCs w:val="21"/>
                <w:lang w:eastAsia="zh-CN" w:bidi="ar"/>
              </w:rPr>
              <w:t>天/年</w:t>
            </w:r>
          </w:p>
        </w:tc>
        <w:tc>
          <w:tcPr>
            <w:tcW w:w="987" w:type="pct"/>
            <w:vAlign w:val="center"/>
          </w:tcPr>
          <w:p>
            <w:pPr>
              <w:pStyle w:val="4"/>
              <w:snapToGrid/>
              <w:spacing w:after="0"/>
              <w:ind w:firstLine="0" w:firstLineChars="0"/>
              <w:jc w:val="center"/>
              <w:rPr>
                <w:rFonts w:hint="default" w:ascii="仿宋" w:hAnsi="仿宋" w:cs="宋体"/>
                <w:color w:val="auto"/>
                <w:kern w:val="0"/>
                <w:szCs w:val="21"/>
                <w:lang w:val="en-US" w:eastAsia="zh-CN" w:bidi="ar"/>
              </w:rPr>
            </w:pPr>
            <w:r>
              <w:rPr>
                <w:rFonts w:hint="eastAsia" w:ascii="仿宋" w:hAnsi="仿宋" w:cs="宋体"/>
                <w:color w:val="auto"/>
                <w:kern w:val="0"/>
                <w:szCs w:val="21"/>
                <w:lang w:eastAsia="zh-CN" w:bidi="ar"/>
              </w:rPr>
              <w:t>劳动定员增加</w:t>
            </w:r>
            <w:r>
              <w:rPr>
                <w:rFonts w:hint="eastAsia" w:ascii="仿宋" w:hAnsi="仿宋" w:cs="宋体"/>
                <w:color w:val="auto"/>
                <w:kern w:val="0"/>
                <w:szCs w:val="21"/>
                <w:lang w:val="en-US" w:eastAsia="zh-CN" w:bidi="ar"/>
              </w:rPr>
              <w:t>20</w:t>
            </w:r>
            <w:r>
              <w:rPr>
                <w:rFonts w:hint="eastAsia" w:ascii="仿宋" w:hAnsi="仿宋" w:cs="宋体"/>
                <w:color w:val="auto"/>
                <w:kern w:val="0"/>
                <w:szCs w:val="21"/>
                <w:lang w:eastAsia="zh-CN" w:bidi="ar"/>
              </w:rPr>
              <w:t>人，</w:t>
            </w:r>
            <w:r>
              <w:rPr>
                <w:rFonts w:hint="eastAsia" w:ascii="仿宋" w:hAnsi="仿宋" w:cs="宋体"/>
                <w:color w:val="auto"/>
                <w:kern w:val="0"/>
                <w:szCs w:val="21"/>
                <w:lang w:val="en-US" w:eastAsia="zh-CN" w:bidi="ar"/>
              </w:rPr>
              <w:t>工作时间增加28天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企业规模</w:t>
            </w:r>
          </w:p>
        </w:tc>
        <w:tc>
          <w:tcPr>
            <w:tcW w:w="1633" w:type="pct"/>
            <w:vAlign w:val="center"/>
          </w:tcPr>
          <w:p>
            <w:pPr>
              <w:pStyle w:val="4"/>
              <w:snapToGrid/>
              <w:spacing w:after="0"/>
              <w:ind w:firstLine="0" w:firstLineChars="0"/>
              <w:jc w:val="center"/>
              <w:rPr>
                <w:rFonts w:hint="eastAsia" w:ascii="仿宋" w:hAnsi="仿宋" w:cs="宋体"/>
                <w:color w:val="auto"/>
                <w:kern w:val="0"/>
                <w:szCs w:val="21"/>
                <w:lang w:val="en-US" w:eastAsia="zh-CN" w:bidi="ar"/>
              </w:rPr>
            </w:pPr>
            <w:r>
              <w:rPr>
                <w:rFonts w:hint="eastAsia" w:ascii="仿宋" w:hAnsi="仿宋" w:cs="宋体"/>
                <w:color w:val="auto"/>
                <w:kern w:val="0"/>
                <w:szCs w:val="21"/>
                <w:lang w:val="en-US" w:eastAsia="zh-CN" w:bidi="ar"/>
              </w:rPr>
              <w:t>年产90万m</w:t>
            </w:r>
            <w:r>
              <w:rPr>
                <w:rFonts w:hint="eastAsia" w:ascii="仿宋" w:hAnsi="仿宋" w:cs="宋体"/>
                <w:color w:val="auto"/>
                <w:kern w:val="0"/>
                <w:szCs w:val="21"/>
                <w:vertAlign w:val="superscript"/>
                <w:lang w:val="en-US" w:eastAsia="zh-CN" w:bidi="ar"/>
              </w:rPr>
              <w:t>3</w:t>
            </w:r>
            <w:r>
              <w:rPr>
                <w:rFonts w:hint="eastAsia" w:ascii="仿宋" w:hAnsi="仿宋" w:cs="宋体"/>
                <w:color w:val="auto"/>
                <w:kern w:val="0"/>
                <w:szCs w:val="21"/>
                <w:lang w:val="en-US" w:eastAsia="zh-CN" w:bidi="ar"/>
              </w:rPr>
              <w:t>混凝土</w:t>
            </w:r>
          </w:p>
        </w:tc>
        <w:tc>
          <w:tcPr>
            <w:tcW w:w="1558" w:type="pct"/>
            <w:vAlign w:val="center"/>
          </w:tcPr>
          <w:p>
            <w:pPr>
              <w:pStyle w:val="4"/>
              <w:snapToGrid/>
              <w:spacing w:after="0"/>
              <w:ind w:firstLine="0" w:firstLineChars="0"/>
              <w:jc w:val="center"/>
              <w:rPr>
                <w:rFonts w:hint="eastAsia" w:ascii="仿宋" w:hAnsi="仿宋" w:cs="宋体"/>
                <w:color w:val="auto"/>
                <w:kern w:val="0"/>
                <w:szCs w:val="21"/>
                <w:lang w:val="en-US" w:eastAsia="zh-CN" w:bidi="ar"/>
              </w:rPr>
            </w:pPr>
            <w:r>
              <w:rPr>
                <w:rFonts w:hint="eastAsia" w:ascii="仿宋" w:hAnsi="仿宋" w:cs="宋体"/>
                <w:color w:val="auto"/>
                <w:kern w:val="0"/>
                <w:szCs w:val="21"/>
                <w:lang w:val="en-US" w:eastAsia="zh-CN" w:bidi="ar"/>
              </w:rPr>
              <w:t>年产90万m</w:t>
            </w:r>
            <w:r>
              <w:rPr>
                <w:rFonts w:hint="eastAsia" w:ascii="仿宋" w:hAnsi="仿宋" w:cs="宋体"/>
                <w:color w:val="auto"/>
                <w:kern w:val="0"/>
                <w:szCs w:val="21"/>
                <w:vertAlign w:val="superscript"/>
                <w:lang w:val="en-US" w:eastAsia="zh-CN" w:bidi="ar"/>
              </w:rPr>
              <w:t>3</w:t>
            </w:r>
            <w:r>
              <w:rPr>
                <w:rFonts w:hint="eastAsia" w:ascii="仿宋" w:hAnsi="仿宋" w:cs="宋体"/>
                <w:color w:val="auto"/>
                <w:kern w:val="0"/>
                <w:szCs w:val="21"/>
                <w:lang w:val="en-US" w:eastAsia="zh-CN" w:bidi="ar"/>
              </w:rPr>
              <w:t>混凝土</w:t>
            </w:r>
          </w:p>
        </w:tc>
        <w:tc>
          <w:tcPr>
            <w:tcW w:w="987"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0"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占地面积</w:t>
            </w:r>
          </w:p>
        </w:tc>
        <w:tc>
          <w:tcPr>
            <w:tcW w:w="1633"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6</w:t>
            </w:r>
            <w:r>
              <w:rPr>
                <w:rFonts w:hint="eastAsia" w:ascii="仿宋" w:hAnsi="仿宋" w:cs="宋体"/>
                <w:color w:val="auto"/>
                <w:kern w:val="0"/>
                <w:szCs w:val="21"/>
                <w:lang w:val="en-US" w:eastAsia="zh-CN" w:bidi="ar"/>
              </w:rPr>
              <w:t>2.5</w:t>
            </w:r>
            <w:r>
              <w:rPr>
                <w:rFonts w:hint="eastAsia" w:ascii="仿宋" w:hAnsi="仿宋" w:cs="宋体"/>
                <w:color w:val="auto"/>
                <w:kern w:val="0"/>
                <w:szCs w:val="21"/>
                <w:lang w:eastAsia="zh-CN" w:bidi="ar"/>
              </w:rPr>
              <w:t>亩</w:t>
            </w:r>
          </w:p>
        </w:tc>
        <w:tc>
          <w:tcPr>
            <w:tcW w:w="1558"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6</w:t>
            </w:r>
            <w:r>
              <w:rPr>
                <w:rFonts w:hint="eastAsia" w:ascii="仿宋" w:hAnsi="仿宋" w:cs="宋体"/>
                <w:color w:val="auto"/>
                <w:kern w:val="0"/>
                <w:szCs w:val="21"/>
                <w:lang w:val="en-US" w:eastAsia="zh-CN" w:bidi="ar"/>
              </w:rPr>
              <w:t>2.5</w:t>
            </w:r>
            <w:r>
              <w:rPr>
                <w:rFonts w:hint="eastAsia" w:ascii="仿宋" w:hAnsi="仿宋" w:cs="宋体"/>
                <w:color w:val="auto"/>
                <w:kern w:val="0"/>
                <w:szCs w:val="21"/>
                <w:lang w:eastAsia="zh-CN" w:bidi="ar"/>
              </w:rPr>
              <w:t>亩</w:t>
            </w:r>
          </w:p>
        </w:tc>
        <w:tc>
          <w:tcPr>
            <w:tcW w:w="987" w:type="pct"/>
            <w:vAlign w:val="center"/>
          </w:tcPr>
          <w:p>
            <w:pPr>
              <w:pStyle w:val="4"/>
              <w:snapToGrid/>
              <w:spacing w:after="0"/>
              <w:ind w:firstLine="0" w:firstLineChars="0"/>
              <w:jc w:val="center"/>
              <w:rPr>
                <w:rFonts w:ascii="仿宋" w:hAnsi="仿宋" w:cs="宋体"/>
                <w:color w:val="auto"/>
                <w:kern w:val="0"/>
                <w:szCs w:val="21"/>
                <w:lang w:eastAsia="zh-CN" w:bidi="ar"/>
              </w:rPr>
            </w:pPr>
            <w:r>
              <w:rPr>
                <w:rFonts w:hint="eastAsia" w:ascii="仿宋" w:hAnsi="仿宋" w:cs="宋体"/>
                <w:color w:val="auto"/>
                <w:kern w:val="0"/>
                <w:szCs w:val="21"/>
                <w:lang w:eastAsia="zh-CN" w:bidi="ar"/>
              </w:rPr>
              <w:t>一致</w:t>
            </w:r>
          </w:p>
        </w:tc>
      </w:tr>
    </w:tbl>
    <w:p>
      <w:pPr>
        <w:pStyle w:val="6"/>
        <w:ind w:left="0" w:firstLine="0" w:firstLineChars="0"/>
        <w:rPr>
          <w:rFonts w:hint="eastAsia" w:ascii="仿宋" w:hAnsi="仿宋" w:eastAsia="仿宋" w:cs="仿宋"/>
          <w:color w:val="auto"/>
          <w:sz w:val="28"/>
          <w:szCs w:val="28"/>
          <w:lang w:eastAsia="zh-CN"/>
        </w:rPr>
      </w:pPr>
      <w:bookmarkStart w:id="5" w:name="_Toc11069"/>
      <w:bookmarkStart w:id="6" w:name="_Toc16777"/>
      <w:r>
        <w:rPr>
          <w:rFonts w:hint="eastAsia" w:ascii="仿宋" w:hAnsi="仿宋" w:eastAsia="仿宋" w:cs="仿宋"/>
          <w:color w:val="auto"/>
          <w:sz w:val="28"/>
          <w:szCs w:val="28"/>
          <w:lang w:eastAsia="zh-CN"/>
        </w:rPr>
        <w:t>1.2 环境风险</w:t>
      </w:r>
      <w:bookmarkEnd w:id="5"/>
      <w:bookmarkEnd w:id="6"/>
    </w:p>
    <w:p>
      <w:pPr>
        <w:pStyle w:val="6"/>
        <w:ind w:left="0" w:firstLine="0" w:firstLineChars="0"/>
        <w:rPr>
          <w:rFonts w:hint="eastAsia" w:ascii="仿宋" w:hAnsi="仿宋" w:eastAsia="仿宋" w:cs="仿宋"/>
          <w:color w:val="auto"/>
          <w:sz w:val="28"/>
          <w:szCs w:val="28"/>
          <w:lang w:eastAsia="zh-CN"/>
        </w:rPr>
      </w:pPr>
      <w:bookmarkStart w:id="7" w:name="_Toc25701"/>
      <w:bookmarkStart w:id="8" w:name="_Toc4659"/>
      <w:r>
        <w:rPr>
          <w:rFonts w:hint="eastAsia" w:ascii="仿宋" w:hAnsi="仿宋" w:eastAsia="仿宋" w:cs="仿宋"/>
          <w:color w:val="auto"/>
          <w:sz w:val="28"/>
          <w:szCs w:val="28"/>
          <w:lang w:eastAsia="zh-CN"/>
        </w:rPr>
        <w:t>1.2.1 风险源</w:t>
      </w:r>
      <w:bookmarkEnd w:id="7"/>
      <w:bookmarkEnd w:id="8"/>
    </w:p>
    <w:p>
      <w:pPr>
        <w:pStyle w:val="2"/>
        <w:ind w:firstLine="560"/>
        <w:jc w:val="both"/>
        <w:rPr>
          <w:rFonts w:ascii="仿宋" w:hAnsi="仿宋" w:cs="宋体"/>
          <w:color w:val="auto"/>
          <w:szCs w:val="28"/>
          <w:lang w:eastAsia="zh-CN"/>
        </w:rPr>
      </w:pPr>
      <w:r>
        <w:rPr>
          <w:rFonts w:hint="eastAsia" w:ascii="仿宋" w:hAnsi="仿宋"/>
          <w:color w:val="auto"/>
          <w:lang w:eastAsia="zh-CN"/>
        </w:rPr>
        <w:t>与2</w:t>
      </w:r>
      <w:r>
        <w:rPr>
          <w:rFonts w:ascii="仿宋" w:hAnsi="仿宋"/>
          <w:color w:val="auto"/>
          <w:lang w:eastAsia="zh-CN"/>
        </w:rPr>
        <w:t>018</w:t>
      </w:r>
      <w:r>
        <w:rPr>
          <w:rFonts w:hint="eastAsia" w:ascii="仿宋" w:hAnsi="仿宋"/>
          <w:color w:val="auto"/>
          <w:lang w:eastAsia="zh-CN"/>
        </w:rPr>
        <w:t>年</w:t>
      </w:r>
      <w:r>
        <w:rPr>
          <w:rFonts w:hint="eastAsia" w:ascii="仿宋" w:hAnsi="仿宋"/>
          <w:color w:val="auto"/>
          <w:lang w:val="en-US" w:eastAsia="zh-CN"/>
        </w:rPr>
        <w:t>编制</w:t>
      </w:r>
      <w:r>
        <w:rPr>
          <w:rFonts w:hint="eastAsia" w:ascii="仿宋" w:hAnsi="仿宋"/>
          <w:color w:val="auto"/>
          <w:lang w:eastAsia="zh-CN"/>
        </w:rPr>
        <w:t>相比，本次根据《企业突发环境事件风险分级方法》（HJ941-2018），将</w:t>
      </w:r>
      <w:r>
        <w:rPr>
          <w:rFonts w:hint="eastAsia" w:ascii="仿宋" w:hAnsi="仿宋"/>
          <w:color w:val="auto"/>
          <w:szCs w:val="28"/>
          <w:lang w:eastAsia="zh-CN"/>
        </w:rPr>
        <w:t>企业生产原料、产品、中间产品、副产品、催化剂、辅助生产物料、燃料、“三废”污染物</w:t>
      </w:r>
      <w:r>
        <w:rPr>
          <w:rFonts w:hint="eastAsia" w:ascii="仿宋" w:hAnsi="仿宋" w:cs="宋体"/>
          <w:color w:val="auto"/>
          <w:szCs w:val="28"/>
          <w:lang w:eastAsia="zh-CN"/>
        </w:rPr>
        <w:t>等风险源纳入，修订前后风险源变化情况见表1</w:t>
      </w:r>
      <w:r>
        <w:rPr>
          <w:rFonts w:ascii="仿宋" w:hAnsi="仿宋" w:cs="宋体"/>
          <w:color w:val="auto"/>
          <w:szCs w:val="28"/>
          <w:lang w:eastAsia="zh-CN"/>
        </w:rPr>
        <w:t>-2</w:t>
      </w:r>
      <w:r>
        <w:rPr>
          <w:rFonts w:hint="eastAsia" w:ascii="仿宋" w:hAnsi="仿宋" w:cs="宋体"/>
          <w:color w:val="auto"/>
          <w:szCs w:val="28"/>
          <w:lang w:eastAsia="zh-CN"/>
        </w:rPr>
        <w:t>。</w:t>
      </w:r>
    </w:p>
    <w:p>
      <w:pPr>
        <w:pStyle w:val="4"/>
        <w:ind w:firstLine="0" w:firstLineChars="0"/>
        <w:jc w:val="center"/>
        <w:rPr>
          <w:rFonts w:ascii="仿宋" w:hAnsi="仿宋"/>
          <w:b/>
          <w:color w:val="auto"/>
          <w:kern w:val="0"/>
          <w:sz w:val="24"/>
          <w:szCs w:val="24"/>
          <w:lang w:eastAsia="zh-CN"/>
        </w:rPr>
      </w:pPr>
      <w:r>
        <w:rPr>
          <w:rFonts w:hint="eastAsia" w:ascii="仿宋" w:hAnsi="仿宋"/>
          <w:b/>
          <w:color w:val="auto"/>
          <w:kern w:val="0"/>
          <w:sz w:val="24"/>
          <w:szCs w:val="24"/>
          <w:lang w:eastAsia="zh-CN"/>
        </w:rPr>
        <w:t>表1</w:t>
      </w:r>
      <w:r>
        <w:rPr>
          <w:rFonts w:ascii="仿宋" w:hAnsi="仿宋"/>
          <w:b/>
          <w:color w:val="auto"/>
          <w:kern w:val="0"/>
          <w:sz w:val="24"/>
          <w:szCs w:val="24"/>
          <w:lang w:eastAsia="zh-CN"/>
        </w:rPr>
        <w:t xml:space="preserve">-2    </w:t>
      </w:r>
      <w:r>
        <w:rPr>
          <w:rFonts w:hint="eastAsia" w:ascii="仿宋" w:hAnsi="仿宋"/>
          <w:b/>
          <w:color w:val="auto"/>
          <w:kern w:val="0"/>
          <w:sz w:val="24"/>
          <w:szCs w:val="24"/>
          <w:lang w:eastAsia="zh-CN"/>
        </w:rPr>
        <w:t>修订前后风险源变化情况一览表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1457"/>
        <w:gridCol w:w="1814"/>
        <w:gridCol w:w="1727"/>
        <w:gridCol w:w="2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514" w:type="pct"/>
            <w:gridSpan w:val="2"/>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2</w:t>
            </w:r>
            <w:r>
              <w:rPr>
                <w:rFonts w:ascii="仿宋" w:hAnsi="仿宋"/>
                <w:b/>
                <w:bCs/>
                <w:color w:val="auto"/>
                <w:szCs w:val="21"/>
                <w:lang w:eastAsia="zh-CN"/>
              </w:rPr>
              <w:t>018</w:t>
            </w:r>
            <w:r>
              <w:rPr>
                <w:rFonts w:hint="eastAsia" w:ascii="仿宋" w:hAnsi="仿宋"/>
                <w:b/>
                <w:bCs/>
                <w:color w:val="auto"/>
                <w:szCs w:val="21"/>
                <w:lang w:eastAsia="zh-CN"/>
              </w:rPr>
              <w:t>年</w:t>
            </w:r>
            <w:r>
              <w:rPr>
                <w:rFonts w:hint="eastAsia" w:ascii="仿宋" w:hAnsi="仿宋"/>
                <w:b/>
                <w:bCs/>
                <w:color w:val="auto"/>
                <w:szCs w:val="21"/>
                <w:lang w:val="en-US" w:eastAsia="zh-CN"/>
              </w:rPr>
              <w:t>编制</w:t>
            </w:r>
          </w:p>
        </w:tc>
        <w:tc>
          <w:tcPr>
            <w:tcW w:w="1915" w:type="pct"/>
            <w:gridSpan w:val="2"/>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本次修订</w:t>
            </w:r>
          </w:p>
        </w:tc>
        <w:tc>
          <w:tcPr>
            <w:tcW w:w="1570" w:type="pct"/>
            <w:vMerge w:val="restar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26"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风险单元</w:t>
            </w:r>
          </w:p>
        </w:tc>
        <w:tc>
          <w:tcPr>
            <w:tcW w:w="788"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风险物质</w:t>
            </w:r>
          </w:p>
        </w:tc>
        <w:tc>
          <w:tcPr>
            <w:tcW w:w="981"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风险单元</w:t>
            </w:r>
          </w:p>
        </w:tc>
        <w:tc>
          <w:tcPr>
            <w:tcW w:w="933" w:type="pct"/>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r>
              <w:rPr>
                <w:rFonts w:hint="eastAsia" w:ascii="仿宋" w:hAnsi="仿宋"/>
                <w:b/>
                <w:bCs/>
                <w:color w:val="auto"/>
                <w:szCs w:val="21"/>
                <w:lang w:eastAsia="zh-CN"/>
              </w:rPr>
              <w:t>风险物质</w:t>
            </w:r>
          </w:p>
        </w:tc>
        <w:tc>
          <w:tcPr>
            <w:tcW w:w="1570" w:type="pct"/>
            <w:vMerge w:val="continue"/>
            <w:shd w:val="clear" w:color="auto" w:fill="D8D8D8" w:themeFill="background1" w:themeFillShade="D9"/>
            <w:vAlign w:val="center"/>
          </w:tcPr>
          <w:p>
            <w:pPr>
              <w:pStyle w:val="4"/>
              <w:snapToGrid/>
              <w:spacing w:after="0"/>
              <w:ind w:firstLine="0" w:firstLineChars="0"/>
              <w:jc w:val="center"/>
              <w:rPr>
                <w:rFonts w:ascii="仿宋" w:hAnsi="仿宋"/>
                <w:b/>
                <w:bCs/>
                <w:color w:val="auto"/>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6"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val="en-US" w:eastAsia="zh-CN"/>
              </w:rPr>
              <w:t>危废暂存间</w:t>
            </w:r>
          </w:p>
        </w:tc>
        <w:tc>
          <w:tcPr>
            <w:tcW w:w="788"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s="宋体"/>
                <w:color w:val="auto"/>
                <w:kern w:val="0"/>
                <w:szCs w:val="21"/>
                <w:lang w:val="en-US" w:eastAsia="zh-CN" w:bidi="ar"/>
              </w:rPr>
              <w:t>废机油</w:t>
            </w:r>
          </w:p>
        </w:tc>
        <w:tc>
          <w:tcPr>
            <w:tcW w:w="981"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val="en-US" w:eastAsia="zh-CN"/>
              </w:rPr>
              <w:t>危废暂存间</w:t>
            </w:r>
          </w:p>
        </w:tc>
        <w:tc>
          <w:tcPr>
            <w:tcW w:w="933"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s="宋体"/>
                <w:color w:val="auto"/>
                <w:kern w:val="0"/>
                <w:szCs w:val="21"/>
                <w:lang w:val="en-US" w:eastAsia="zh-CN" w:bidi="ar"/>
              </w:rPr>
              <w:t>废润滑油</w:t>
            </w:r>
          </w:p>
        </w:tc>
        <w:tc>
          <w:tcPr>
            <w:tcW w:w="1570" w:type="pct"/>
            <w:vAlign w:val="center"/>
          </w:tcPr>
          <w:p>
            <w:pPr>
              <w:keepNext w:val="0"/>
              <w:keepLines w:val="0"/>
              <w:widowControl/>
              <w:suppressLineNumbers w:val="0"/>
              <w:spacing w:line="240" w:lineRule="auto"/>
              <w:ind w:left="0" w:leftChars="0" w:firstLine="0" w:firstLineChars="0"/>
              <w:jc w:val="center"/>
              <w:rPr>
                <w:rFonts w:hint="default" w:ascii="仿宋" w:hAnsi="仿宋" w:cs="宋体"/>
                <w:color w:val="auto"/>
                <w:kern w:val="0"/>
                <w:szCs w:val="21"/>
                <w:lang w:val="en-US" w:eastAsia="zh-CN" w:bidi="ar"/>
              </w:rPr>
            </w:pPr>
            <w:r>
              <w:rPr>
                <w:rFonts w:hint="eastAsia" w:ascii="仿宋" w:hAnsi="仿宋" w:eastAsia="仿宋" w:cs="宋体"/>
                <w:color w:val="auto"/>
                <w:kern w:val="0"/>
                <w:sz w:val="21"/>
                <w:szCs w:val="21"/>
                <w:lang w:val="en-US" w:eastAsia="zh-CN" w:bidi="ar"/>
              </w:rPr>
              <w:t>根据《国家危险废物名录》（2021年版）车辆维修过程中产生的废发动机油</w:t>
            </w:r>
            <w:r>
              <w:rPr>
                <w:rFonts w:hint="eastAsia" w:ascii="仿宋" w:hAnsi="仿宋" w:cs="宋体"/>
                <w:color w:val="auto"/>
                <w:kern w:val="0"/>
                <w:sz w:val="21"/>
                <w:szCs w:val="21"/>
                <w:lang w:val="en-US" w:eastAsia="zh-CN" w:bidi="ar"/>
              </w:rPr>
              <w:t>为属于</w:t>
            </w:r>
            <w:r>
              <w:rPr>
                <w:rFonts w:hint="eastAsia" w:ascii="仿宋" w:hAnsi="仿宋" w:eastAsia="仿宋" w:cs="宋体"/>
                <w:color w:val="auto"/>
                <w:kern w:val="0"/>
                <w:sz w:val="21"/>
                <w:szCs w:val="21"/>
                <w:lang w:val="en-US" w:eastAsia="zh-CN" w:bidi="ar"/>
              </w:rPr>
              <w:t>废润滑油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6"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val="en-US" w:eastAsia="zh-CN"/>
              </w:rPr>
              <w:t>柴油暂存区</w:t>
            </w:r>
          </w:p>
        </w:tc>
        <w:tc>
          <w:tcPr>
            <w:tcW w:w="788"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s="宋体"/>
                <w:color w:val="auto"/>
                <w:kern w:val="0"/>
                <w:szCs w:val="21"/>
                <w:lang w:val="en-US" w:eastAsia="zh-CN" w:bidi="ar"/>
              </w:rPr>
              <w:t>柴油</w:t>
            </w:r>
          </w:p>
        </w:tc>
        <w:tc>
          <w:tcPr>
            <w:tcW w:w="981" w:type="pct"/>
            <w:vAlign w:val="center"/>
          </w:tcPr>
          <w:p>
            <w:pPr>
              <w:pStyle w:val="4"/>
              <w:snapToGrid/>
              <w:spacing w:after="0"/>
              <w:ind w:firstLine="0" w:firstLineChars="0"/>
              <w:jc w:val="center"/>
              <w:rPr>
                <w:rFonts w:ascii="仿宋" w:hAnsi="仿宋"/>
                <w:color w:val="auto"/>
                <w:szCs w:val="21"/>
                <w:lang w:eastAsia="zh-CN"/>
              </w:rPr>
            </w:pPr>
            <w:r>
              <w:rPr>
                <w:rFonts w:hint="eastAsia" w:ascii="仿宋" w:hAnsi="仿宋"/>
                <w:color w:val="auto"/>
                <w:szCs w:val="21"/>
                <w:lang w:val="en-US" w:eastAsia="zh-CN"/>
              </w:rPr>
              <w:t>库房</w:t>
            </w:r>
          </w:p>
        </w:tc>
        <w:tc>
          <w:tcPr>
            <w:tcW w:w="933" w:type="pct"/>
            <w:vAlign w:val="center"/>
          </w:tcPr>
          <w:p>
            <w:pPr>
              <w:pStyle w:val="4"/>
              <w:snapToGrid/>
              <w:spacing w:after="0"/>
              <w:ind w:firstLine="0" w:firstLineChars="0"/>
              <w:jc w:val="center"/>
              <w:rPr>
                <w:rFonts w:hint="default" w:ascii="仿宋" w:hAnsi="仿宋"/>
                <w:color w:val="auto"/>
                <w:szCs w:val="21"/>
                <w:lang w:val="en-US" w:eastAsia="zh-CN"/>
              </w:rPr>
            </w:pPr>
            <w:r>
              <w:rPr>
                <w:rFonts w:hint="eastAsia" w:ascii="仿宋" w:hAnsi="仿宋"/>
                <w:color w:val="auto"/>
                <w:szCs w:val="21"/>
                <w:lang w:val="en-US" w:eastAsia="zh-CN"/>
              </w:rPr>
              <w:t>润滑油</w:t>
            </w:r>
          </w:p>
        </w:tc>
        <w:tc>
          <w:tcPr>
            <w:tcW w:w="1570" w:type="pct"/>
            <w:vAlign w:val="center"/>
          </w:tcPr>
          <w:p>
            <w:pPr>
              <w:pStyle w:val="4"/>
              <w:snapToGrid/>
              <w:spacing w:after="0"/>
              <w:ind w:firstLine="0" w:firstLineChars="0"/>
              <w:jc w:val="center"/>
              <w:rPr>
                <w:rFonts w:hint="default" w:ascii="仿宋" w:hAnsi="仿宋" w:cs="宋体"/>
                <w:color w:val="auto"/>
                <w:kern w:val="0"/>
                <w:szCs w:val="21"/>
                <w:lang w:val="en-US" w:eastAsia="zh-CN" w:bidi="ar"/>
              </w:rPr>
            </w:pPr>
            <w:r>
              <w:rPr>
                <w:rFonts w:hint="eastAsia" w:ascii="仿宋" w:hAnsi="仿宋" w:cs="宋体"/>
                <w:color w:val="auto"/>
                <w:kern w:val="0"/>
                <w:szCs w:val="21"/>
                <w:lang w:val="en-US" w:eastAsia="zh-CN" w:bidi="ar"/>
              </w:rPr>
              <w:t>厂内无柴油储存，库房储存少量润滑油</w:t>
            </w:r>
          </w:p>
        </w:tc>
      </w:tr>
    </w:tbl>
    <w:p>
      <w:pPr>
        <w:pStyle w:val="6"/>
        <w:ind w:left="0" w:firstLine="0" w:firstLineChars="0"/>
        <w:rPr>
          <w:rFonts w:hint="eastAsia" w:ascii="仿宋" w:hAnsi="仿宋" w:eastAsia="仿宋" w:cs="仿宋"/>
          <w:color w:val="auto"/>
          <w:sz w:val="28"/>
          <w:szCs w:val="28"/>
          <w:lang w:eastAsia="zh-CN"/>
        </w:rPr>
      </w:pPr>
      <w:bookmarkStart w:id="9" w:name="_Toc21583"/>
      <w:bookmarkStart w:id="10" w:name="_Toc10949"/>
      <w:r>
        <w:rPr>
          <w:rFonts w:hint="eastAsia" w:ascii="仿宋" w:hAnsi="仿宋" w:eastAsia="仿宋" w:cs="仿宋"/>
          <w:color w:val="auto"/>
          <w:sz w:val="28"/>
          <w:szCs w:val="28"/>
          <w:lang w:eastAsia="zh-CN"/>
        </w:rPr>
        <w:t>1.2.2 周边环境受体</w:t>
      </w:r>
      <w:bookmarkEnd w:id="9"/>
      <w:bookmarkEnd w:id="10"/>
    </w:p>
    <w:p>
      <w:pPr>
        <w:pStyle w:val="2"/>
        <w:ind w:firstLine="560"/>
        <w:jc w:val="both"/>
        <w:rPr>
          <w:rFonts w:ascii="仿宋" w:hAnsi="仿宋"/>
          <w:color w:val="auto"/>
          <w:lang w:eastAsia="zh-CN"/>
        </w:rPr>
      </w:pPr>
      <w:r>
        <w:rPr>
          <w:rFonts w:hint="eastAsia" w:ascii="仿宋" w:hAnsi="仿宋"/>
          <w:color w:val="auto"/>
          <w:lang w:eastAsia="zh-CN"/>
        </w:rPr>
        <w:t>与2</w:t>
      </w:r>
      <w:r>
        <w:rPr>
          <w:rFonts w:ascii="仿宋" w:hAnsi="仿宋"/>
          <w:color w:val="auto"/>
          <w:lang w:eastAsia="zh-CN"/>
        </w:rPr>
        <w:t>018</w:t>
      </w:r>
      <w:r>
        <w:rPr>
          <w:rFonts w:hint="eastAsia" w:ascii="仿宋" w:hAnsi="仿宋"/>
          <w:color w:val="auto"/>
          <w:lang w:eastAsia="zh-CN"/>
        </w:rPr>
        <w:t>年修订相比，</w:t>
      </w:r>
      <w:r>
        <w:rPr>
          <w:rFonts w:hint="eastAsia" w:ascii="仿宋" w:hAnsi="仿宋"/>
          <w:color w:val="auto"/>
          <w:lang w:val="en-US" w:eastAsia="zh-CN"/>
        </w:rPr>
        <w:t>500m</w:t>
      </w:r>
      <w:r>
        <w:rPr>
          <w:rFonts w:hint="eastAsia" w:ascii="仿宋" w:hAnsi="仿宋"/>
          <w:color w:val="auto"/>
          <w:lang w:eastAsia="zh-CN"/>
        </w:rPr>
        <w:t>范围内的大气环境风险受体</w:t>
      </w:r>
      <w:r>
        <w:rPr>
          <w:rFonts w:hint="eastAsia" w:ascii="仿宋" w:hAnsi="仿宋"/>
          <w:color w:val="auto"/>
          <w:lang w:val="en-US" w:eastAsia="zh-CN"/>
        </w:rPr>
        <w:t>减少</w:t>
      </w:r>
      <w:r>
        <w:rPr>
          <w:rFonts w:hint="eastAsia" w:ascii="仿宋" w:hAnsi="仿宋"/>
          <w:color w:val="auto"/>
          <w:lang w:eastAsia="zh-CN"/>
        </w:rPr>
        <w:t>了一些企业，</w:t>
      </w:r>
      <w:r>
        <w:rPr>
          <w:rFonts w:hint="eastAsia" w:ascii="仿宋" w:hAnsi="仿宋"/>
          <w:color w:val="auto"/>
          <w:lang w:val="en-US" w:eastAsia="zh-CN"/>
        </w:rPr>
        <w:t>现阶段500m范围内受体仅剩余村庄及在建医院、住宅</w:t>
      </w:r>
      <w:r>
        <w:rPr>
          <w:rFonts w:hint="eastAsia" w:ascii="仿宋" w:hAnsi="仿宋"/>
          <w:color w:val="auto"/>
          <w:lang w:eastAsia="zh-CN"/>
        </w:rPr>
        <w:t>。</w:t>
      </w:r>
    </w:p>
    <w:p>
      <w:pPr>
        <w:pStyle w:val="6"/>
        <w:ind w:left="0" w:firstLine="0" w:firstLineChars="0"/>
        <w:rPr>
          <w:rFonts w:hint="eastAsia" w:ascii="仿宋" w:hAnsi="仿宋" w:eastAsia="仿宋" w:cs="仿宋"/>
          <w:color w:val="auto"/>
          <w:sz w:val="28"/>
          <w:szCs w:val="28"/>
          <w:lang w:eastAsia="zh-CN"/>
        </w:rPr>
      </w:pPr>
      <w:bookmarkStart w:id="11" w:name="_Toc14452"/>
      <w:bookmarkStart w:id="12" w:name="_Toc9530"/>
      <w:r>
        <w:rPr>
          <w:rFonts w:hint="eastAsia" w:ascii="仿宋" w:hAnsi="仿宋" w:eastAsia="仿宋" w:cs="仿宋"/>
          <w:color w:val="auto"/>
          <w:sz w:val="28"/>
          <w:szCs w:val="28"/>
          <w:lang w:eastAsia="zh-CN"/>
        </w:rPr>
        <w:t>1.2.3 防控措施</w:t>
      </w:r>
      <w:bookmarkEnd w:id="11"/>
      <w:bookmarkEnd w:id="12"/>
    </w:p>
    <w:p>
      <w:pPr>
        <w:pStyle w:val="2"/>
        <w:ind w:firstLine="560"/>
        <w:rPr>
          <w:rFonts w:ascii="仿宋" w:hAnsi="仿宋"/>
          <w:color w:val="auto"/>
          <w:lang w:eastAsia="zh-CN"/>
        </w:rPr>
      </w:pPr>
      <w:r>
        <w:rPr>
          <w:rFonts w:hint="eastAsia" w:ascii="仿宋" w:hAnsi="仿宋"/>
          <w:color w:val="auto"/>
          <w:lang w:eastAsia="zh-CN"/>
        </w:rPr>
        <w:t>与2</w:t>
      </w:r>
      <w:r>
        <w:rPr>
          <w:rFonts w:ascii="仿宋" w:hAnsi="仿宋"/>
          <w:color w:val="auto"/>
          <w:lang w:eastAsia="zh-CN"/>
        </w:rPr>
        <w:t>018</w:t>
      </w:r>
      <w:r>
        <w:rPr>
          <w:rFonts w:hint="eastAsia" w:ascii="仿宋" w:hAnsi="仿宋"/>
          <w:color w:val="auto"/>
          <w:lang w:eastAsia="zh-CN"/>
        </w:rPr>
        <w:t>年修订相比，</w:t>
      </w:r>
      <w:r>
        <w:rPr>
          <w:rFonts w:hint="eastAsia" w:ascii="仿宋" w:hAnsi="仿宋"/>
          <w:color w:val="auto"/>
          <w:lang w:val="en-US" w:eastAsia="zh-CN"/>
        </w:rPr>
        <w:t>无</w:t>
      </w:r>
      <w:r>
        <w:rPr>
          <w:rFonts w:hint="eastAsia" w:ascii="仿宋" w:hAnsi="仿宋"/>
          <w:color w:val="auto"/>
          <w:lang w:eastAsia="zh-CN"/>
        </w:rPr>
        <w:t>新增风险防控措施。</w:t>
      </w:r>
    </w:p>
    <w:p>
      <w:pPr>
        <w:pStyle w:val="6"/>
        <w:ind w:left="0" w:firstLine="0" w:firstLineChars="0"/>
        <w:rPr>
          <w:rFonts w:hint="eastAsia" w:ascii="仿宋" w:hAnsi="仿宋" w:eastAsia="仿宋" w:cs="仿宋"/>
          <w:color w:val="auto"/>
          <w:sz w:val="28"/>
          <w:szCs w:val="28"/>
          <w:lang w:eastAsia="zh-CN"/>
        </w:rPr>
      </w:pPr>
      <w:bookmarkStart w:id="13" w:name="_Toc23173"/>
      <w:bookmarkStart w:id="14" w:name="_Toc32205"/>
      <w:r>
        <w:rPr>
          <w:rFonts w:hint="eastAsia" w:ascii="仿宋" w:hAnsi="仿宋" w:eastAsia="仿宋" w:cs="仿宋"/>
          <w:color w:val="auto"/>
          <w:sz w:val="28"/>
          <w:szCs w:val="28"/>
          <w:lang w:eastAsia="zh-CN"/>
        </w:rPr>
        <w:t>1.2.4 评估方法</w:t>
      </w:r>
      <w:bookmarkEnd w:id="13"/>
      <w:bookmarkEnd w:id="14"/>
    </w:p>
    <w:p>
      <w:pPr>
        <w:pStyle w:val="4"/>
        <w:snapToGrid/>
        <w:spacing w:after="0" w:line="360" w:lineRule="auto"/>
        <w:ind w:firstLine="560" w:firstLineChars="200"/>
        <w:jc w:val="both"/>
        <w:rPr>
          <w:rFonts w:ascii="仿宋" w:hAnsi="仿宋"/>
          <w:color w:val="auto"/>
          <w:kern w:val="0"/>
          <w:sz w:val="28"/>
          <w:szCs w:val="22"/>
          <w:lang w:eastAsia="zh-CN"/>
        </w:rPr>
      </w:pPr>
      <w:r>
        <w:rPr>
          <w:rFonts w:hint="eastAsia" w:ascii="仿宋" w:hAnsi="仿宋"/>
          <w:color w:val="auto"/>
          <w:kern w:val="0"/>
          <w:sz w:val="28"/>
          <w:szCs w:val="22"/>
          <w:lang w:eastAsia="zh-CN"/>
        </w:rPr>
        <w:t>本次修订将采用《企业突发环境事件风险分级方法》（HJ941-2018）对企业风险源进行评估分级，并按照最新的《建设项目环境风险评价技术导则》（HJ</w:t>
      </w:r>
      <w:r>
        <w:rPr>
          <w:rFonts w:ascii="仿宋" w:hAnsi="仿宋"/>
          <w:color w:val="auto"/>
          <w:kern w:val="0"/>
          <w:sz w:val="28"/>
          <w:szCs w:val="22"/>
          <w:lang w:eastAsia="zh-CN"/>
        </w:rPr>
        <w:t xml:space="preserve"> </w:t>
      </w:r>
      <w:r>
        <w:rPr>
          <w:rFonts w:hint="eastAsia" w:ascii="仿宋" w:hAnsi="仿宋"/>
          <w:color w:val="auto"/>
          <w:kern w:val="0"/>
          <w:sz w:val="28"/>
          <w:szCs w:val="22"/>
          <w:lang w:eastAsia="zh-CN"/>
        </w:rPr>
        <w:t>169-2018）对环境风险事故影响范围进行预测。</w:t>
      </w:r>
    </w:p>
    <w:p>
      <w:pPr>
        <w:pStyle w:val="6"/>
        <w:ind w:left="0" w:firstLine="0" w:firstLineChars="0"/>
        <w:rPr>
          <w:rFonts w:hint="eastAsia" w:ascii="仿宋" w:hAnsi="仿宋" w:eastAsia="仿宋" w:cs="仿宋"/>
          <w:color w:val="auto"/>
          <w:sz w:val="28"/>
          <w:szCs w:val="28"/>
          <w:lang w:eastAsia="zh-CN"/>
        </w:rPr>
      </w:pPr>
      <w:bookmarkStart w:id="15" w:name="_Toc24324"/>
      <w:bookmarkStart w:id="16" w:name="_Toc18990"/>
      <w:r>
        <w:rPr>
          <w:rFonts w:hint="eastAsia" w:ascii="仿宋" w:hAnsi="仿宋" w:eastAsia="仿宋" w:cs="仿宋"/>
          <w:color w:val="auto"/>
          <w:sz w:val="28"/>
          <w:szCs w:val="28"/>
          <w:lang w:eastAsia="zh-CN"/>
        </w:rPr>
        <w:t>1.2.5 风险等级</w:t>
      </w:r>
      <w:bookmarkEnd w:id="15"/>
      <w:bookmarkEnd w:id="16"/>
    </w:p>
    <w:p>
      <w:pPr>
        <w:pStyle w:val="2"/>
        <w:ind w:firstLine="560"/>
        <w:jc w:val="both"/>
        <w:rPr>
          <w:rFonts w:hint="eastAsia" w:ascii="仿宋" w:hAnsi="仿宋"/>
          <w:color w:val="auto"/>
          <w:szCs w:val="28"/>
          <w:lang w:eastAsia="zh-CN"/>
        </w:rPr>
      </w:pPr>
      <w:r>
        <w:rPr>
          <w:rFonts w:hint="eastAsia" w:ascii="仿宋" w:hAnsi="仿宋"/>
          <w:color w:val="auto"/>
          <w:lang w:eastAsia="zh-CN"/>
        </w:rPr>
        <w:t>2</w:t>
      </w:r>
      <w:r>
        <w:rPr>
          <w:rFonts w:ascii="仿宋" w:hAnsi="仿宋"/>
          <w:color w:val="auto"/>
          <w:lang w:eastAsia="zh-CN"/>
        </w:rPr>
        <w:t>018</w:t>
      </w:r>
      <w:r>
        <w:rPr>
          <w:rFonts w:hint="eastAsia" w:ascii="仿宋" w:hAnsi="仿宋"/>
          <w:color w:val="auto"/>
          <w:lang w:eastAsia="zh-CN"/>
        </w:rPr>
        <w:t>年修订评估的风险等级为一般环境风险等级“</w:t>
      </w:r>
      <w:r>
        <w:rPr>
          <w:rFonts w:eastAsia="仿宋" w:cs="Times New Roman"/>
          <w:color w:val="auto"/>
          <w:sz w:val="28"/>
          <w:szCs w:val="28"/>
          <w:lang w:eastAsia="zh-CN"/>
        </w:rPr>
        <w:t>一般</w:t>
      </w:r>
      <w:r>
        <w:rPr>
          <w:rFonts w:hint="eastAsia" w:cs="Times New Roman"/>
          <w:color w:val="auto"/>
          <w:sz w:val="28"/>
          <w:szCs w:val="28"/>
          <w:lang w:eastAsia="zh-CN"/>
        </w:rPr>
        <w:t>（</w:t>
      </w:r>
      <w:r>
        <w:rPr>
          <w:rFonts w:hint="eastAsia" w:ascii="仿宋" w:hAnsi="仿宋"/>
          <w:color w:val="auto"/>
          <w:szCs w:val="28"/>
          <w:lang w:eastAsia="zh-CN"/>
        </w:rPr>
        <w:t>大气Q0+水Q0）”。本次评估按照最新的风险分级方法</w:t>
      </w:r>
      <w:r>
        <w:rPr>
          <w:rFonts w:hint="eastAsia" w:ascii="仿宋" w:hAnsi="仿宋"/>
          <w:color w:val="auto"/>
          <w:lang w:eastAsia="zh-CN"/>
        </w:rPr>
        <w:t>评估完后为</w:t>
      </w:r>
      <w:r>
        <w:rPr>
          <w:rFonts w:hint="eastAsia" w:ascii="仿宋" w:hAnsi="仿宋" w:eastAsia="仿宋" w:cs="仿宋"/>
          <w:color w:val="auto"/>
          <w:kern w:val="2"/>
          <w:sz w:val="28"/>
          <w:szCs w:val="28"/>
          <w:lang w:bidi="ar"/>
        </w:rPr>
        <w:t>一般[一般-大气（Q0）+一般-水（Q0）]</w:t>
      </w:r>
      <w:r>
        <w:rPr>
          <w:rFonts w:hint="eastAsia" w:ascii="仿宋" w:hAnsi="仿宋"/>
          <w:color w:val="auto"/>
          <w:szCs w:val="28"/>
          <w:lang w:eastAsia="zh-CN"/>
        </w:rPr>
        <w:t>。</w:t>
      </w:r>
    </w:p>
    <w:p>
      <w:pPr>
        <w:pStyle w:val="6"/>
        <w:ind w:left="0" w:firstLine="0" w:firstLineChars="0"/>
        <w:rPr>
          <w:rFonts w:hint="eastAsia" w:ascii="仿宋" w:hAnsi="仿宋" w:eastAsia="仿宋" w:cs="仿宋"/>
          <w:color w:val="auto"/>
          <w:sz w:val="28"/>
          <w:szCs w:val="28"/>
          <w:lang w:eastAsia="zh-CN"/>
        </w:rPr>
      </w:pPr>
      <w:bookmarkStart w:id="17" w:name="_Toc6387"/>
      <w:bookmarkStart w:id="18" w:name="_Toc26494"/>
      <w:r>
        <w:rPr>
          <w:rFonts w:hint="eastAsia" w:ascii="仿宋" w:hAnsi="仿宋" w:eastAsia="仿宋" w:cs="仿宋"/>
          <w:color w:val="auto"/>
          <w:sz w:val="28"/>
          <w:szCs w:val="28"/>
          <w:lang w:eastAsia="zh-CN"/>
        </w:rPr>
        <w:t>1.3 应急管理组织体系与职责</w:t>
      </w:r>
      <w:bookmarkEnd w:id="17"/>
      <w:bookmarkEnd w:id="18"/>
    </w:p>
    <w:p>
      <w:pPr>
        <w:pStyle w:val="4"/>
        <w:snapToGrid/>
        <w:spacing w:after="0" w:line="360" w:lineRule="auto"/>
        <w:ind w:firstLine="560" w:firstLineChars="200"/>
        <w:jc w:val="both"/>
        <w:rPr>
          <w:rFonts w:ascii="仿宋" w:hAnsi="仿宋" w:eastAsia="仿宋" w:cstheme="minorBidi"/>
          <w:color w:val="auto"/>
          <w:kern w:val="0"/>
          <w:sz w:val="28"/>
          <w:szCs w:val="22"/>
          <w:lang w:val="en-US" w:eastAsia="zh-CN" w:bidi="ar-SA"/>
        </w:rPr>
      </w:pPr>
      <w:r>
        <w:rPr>
          <w:rFonts w:hint="eastAsia" w:ascii="仿宋" w:hAnsi="仿宋" w:eastAsia="仿宋" w:cstheme="minorBidi"/>
          <w:color w:val="auto"/>
          <w:kern w:val="0"/>
          <w:sz w:val="28"/>
          <w:szCs w:val="22"/>
          <w:lang w:val="en-US" w:eastAsia="zh-CN" w:bidi="ar-SA"/>
        </w:rPr>
        <w:t>2018年修订公司成立了应急指挥部，集中组织开展环境污染事件的应急和抢险救援工作。下设应急指挥办公室、消防抢修队、治安警戒队、物资供应运输队、医疗救护队、通讯联络队、应急处置专家组和应急环境监测组。</w:t>
      </w:r>
    </w:p>
    <w:p>
      <w:pPr>
        <w:pStyle w:val="4"/>
        <w:snapToGrid/>
        <w:spacing w:after="0" w:line="360" w:lineRule="auto"/>
        <w:ind w:firstLine="560" w:firstLineChars="200"/>
        <w:jc w:val="both"/>
        <w:rPr>
          <w:rFonts w:hint="eastAsia" w:ascii="仿宋" w:hAnsi="仿宋" w:eastAsia="仿宋" w:cstheme="minorBidi"/>
          <w:color w:val="auto"/>
          <w:kern w:val="0"/>
          <w:sz w:val="28"/>
          <w:szCs w:val="22"/>
          <w:lang w:val="en-US" w:eastAsia="zh-CN" w:bidi="ar-SA"/>
        </w:rPr>
      </w:pPr>
      <w:r>
        <w:rPr>
          <w:rFonts w:hint="eastAsia" w:ascii="仿宋" w:hAnsi="仿宋" w:eastAsia="仿宋" w:cstheme="minorBidi"/>
          <w:color w:val="auto"/>
          <w:kern w:val="0"/>
          <w:sz w:val="28"/>
          <w:szCs w:val="22"/>
          <w:lang w:val="en-US" w:eastAsia="zh-CN" w:bidi="ar-SA"/>
        </w:rPr>
        <w:t>本次修订应急管理组织体系与职责按照《典型行业企业突发环境事件应急预案编制指南（征求意见稿）》进行调整，由于企业人员流动，应急处置组织机构成员及联系方式有所变化。公司设应急救援指挥部，</w:t>
      </w:r>
      <w:bookmarkStart w:id="19" w:name="_Hlk58339533"/>
      <w:r>
        <w:rPr>
          <w:rFonts w:hint="eastAsia" w:ascii="仿宋" w:hAnsi="仿宋" w:eastAsia="仿宋" w:cstheme="minorBidi"/>
          <w:color w:val="auto"/>
          <w:kern w:val="0"/>
          <w:sz w:val="28"/>
          <w:szCs w:val="22"/>
          <w:lang w:val="en-US" w:eastAsia="zh-CN" w:bidi="ar-SA"/>
        </w:rPr>
        <w:t>下设应急救援办公室及应急救援专项小组。应急救援专项小组包括</w:t>
      </w:r>
      <w:bookmarkEnd w:id="19"/>
      <w:r>
        <w:rPr>
          <w:rFonts w:hint="eastAsia" w:ascii="仿宋" w:hAnsi="仿宋" w:eastAsia="仿宋" w:cstheme="minorBidi"/>
          <w:color w:val="auto"/>
          <w:kern w:val="0"/>
          <w:sz w:val="28"/>
          <w:szCs w:val="22"/>
          <w:lang w:val="en-US" w:eastAsia="zh-CN" w:bidi="ar-SA"/>
        </w:rPr>
        <w:t>消防抢修队、治安警戒队、物资供应运输队、医疗救护队和通讯联络队。</w:t>
      </w:r>
    </w:p>
    <w:p>
      <w:pPr>
        <w:pStyle w:val="6"/>
        <w:ind w:left="0" w:firstLine="0" w:firstLineChars="0"/>
        <w:rPr>
          <w:rFonts w:hint="eastAsia" w:ascii="仿宋" w:hAnsi="仿宋" w:eastAsia="仿宋" w:cs="仿宋"/>
          <w:color w:val="auto"/>
          <w:sz w:val="28"/>
          <w:szCs w:val="28"/>
          <w:lang w:eastAsia="zh-CN"/>
        </w:rPr>
      </w:pPr>
      <w:bookmarkStart w:id="20" w:name="_Toc11867"/>
      <w:bookmarkStart w:id="21" w:name="_Toc30586"/>
      <w:r>
        <w:rPr>
          <w:rFonts w:hint="eastAsia" w:ascii="仿宋" w:hAnsi="仿宋" w:eastAsia="仿宋" w:cs="仿宋"/>
          <w:color w:val="auto"/>
          <w:sz w:val="28"/>
          <w:szCs w:val="28"/>
          <w:lang w:eastAsia="zh-CN"/>
        </w:rPr>
        <w:t>1.4 环境应急机制</w:t>
      </w:r>
      <w:bookmarkEnd w:id="20"/>
      <w:bookmarkEnd w:id="21"/>
    </w:p>
    <w:p>
      <w:pPr>
        <w:pStyle w:val="4"/>
        <w:snapToGrid/>
        <w:spacing w:after="0" w:line="360" w:lineRule="auto"/>
        <w:ind w:firstLine="560" w:firstLineChars="200"/>
        <w:rPr>
          <w:color w:val="auto"/>
          <w:lang w:eastAsia="zh-CN"/>
        </w:rPr>
      </w:pPr>
      <w:r>
        <w:rPr>
          <w:rFonts w:hint="eastAsia"/>
          <w:color w:val="auto"/>
          <w:kern w:val="0"/>
          <w:sz w:val="28"/>
          <w:szCs w:val="22"/>
          <w:lang w:eastAsia="zh-CN"/>
        </w:rPr>
        <w:t>环境应急机制与上次修订相比未发生变化。</w:t>
      </w:r>
    </w:p>
    <w:p>
      <w:pPr>
        <w:pStyle w:val="6"/>
        <w:ind w:left="0" w:firstLine="0" w:firstLineChars="0"/>
        <w:rPr>
          <w:rFonts w:hint="eastAsia" w:ascii="仿宋" w:hAnsi="仿宋" w:eastAsia="仿宋" w:cs="仿宋"/>
          <w:color w:val="auto"/>
          <w:sz w:val="28"/>
          <w:szCs w:val="28"/>
          <w:lang w:eastAsia="zh-CN"/>
        </w:rPr>
      </w:pPr>
      <w:bookmarkStart w:id="22" w:name="_Toc20656"/>
      <w:bookmarkStart w:id="23" w:name="_Toc31034"/>
      <w:r>
        <w:rPr>
          <w:rFonts w:hint="eastAsia" w:ascii="仿宋" w:hAnsi="仿宋" w:eastAsia="仿宋" w:cs="仿宋"/>
          <w:color w:val="auto"/>
          <w:sz w:val="28"/>
          <w:szCs w:val="28"/>
          <w:lang w:eastAsia="zh-CN"/>
        </w:rPr>
        <w:t>1.5 应急资源</w:t>
      </w:r>
      <w:bookmarkEnd w:id="22"/>
      <w:bookmarkEnd w:id="23"/>
    </w:p>
    <w:p>
      <w:pPr>
        <w:pStyle w:val="4"/>
        <w:snapToGrid/>
        <w:spacing w:after="0" w:line="360" w:lineRule="auto"/>
        <w:ind w:firstLine="560" w:firstLineChars="200"/>
        <w:rPr>
          <w:color w:val="auto"/>
          <w:kern w:val="0"/>
          <w:sz w:val="28"/>
          <w:szCs w:val="22"/>
          <w:lang w:eastAsia="zh-CN"/>
        </w:rPr>
      </w:pPr>
      <w:r>
        <w:rPr>
          <w:rFonts w:hint="eastAsia"/>
          <w:color w:val="auto"/>
          <w:kern w:val="0"/>
          <w:sz w:val="28"/>
          <w:szCs w:val="22"/>
          <w:lang w:eastAsia="zh-CN"/>
        </w:rPr>
        <w:t>应急资源的变化主要体现在根据不同岗位的特性，个人应急器材和应急物资更有针对性。</w:t>
      </w:r>
    </w:p>
    <w:p>
      <w:pPr>
        <w:pStyle w:val="6"/>
        <w:ind w:left="0" w:firstLine="0" w:firstLineChars="0"/>
        <w:rPr>
          <w:rFonts w:hint="eastAsia" w:ascii="仿宋" w:hAnsi="仿宋" w:eastAsia="仿宋" w:cs="仿宋"/>
          <w:color w:val="auto"/>
          <w:sz w:val="28"/>
          <w:szCs w:val="28"/>
          <w:lang w:eastAsia="zh-CN"/>
        </w:rPr>
      </w:pPr>
      <w:bookmarkStart w:id="24" w:name="_Toc19191"/>
      <w:bookmarkStart w:id="25" w:name="_Toc7954"/>
      <w:r>
        <w:rPr>
          <w:rFonts w:hint="eastAsia" w:ascii="仿宋" w:hAnsi="仿宋" w:eastAsia="仿宋" w:cs="仿宋"/>
          <w:color w:val="auto"/>
          <w:sz w:val="28"/>
          <w:szCs w:val="28"/>
          <w:lang w:eastAsia="zh-CN"/>
        </w:rPr>
        <w:t>1.6 应急培训和演练执行情况</w:t>
      </w:r>
      <w:bookmarkEnd w:id="24"/>
      <w:bookmarkEnd w:id="25"/>
    </w:p>
    <w:p>
      <w:pPr>
        <w:pStyle w:val="4"/>
        <w:snapToGrid/>
        <w:spacing w:after="0" w:line="360" w:lineRule="auto"/>
        <w:ind w:firstLine="560" w:firstLineChars="200"/>
        <w:rPr>
          <w:color w:val="auto"/>
          <w:kern w:val="0"/>
          <w:sz w:val="28"/>
          <w:szCs w:val="22"/>
          <w:lang w:eastAsia="zh-CN"/>
        </w:rPr>
      </w:pPr>
      <w:r>
        <w:rPr>
          <w:rFonts w:hint="eastAsia"/>
          <w:color w:val="auto"/>
          <w:kern w:val="0"/>
          <w:sz w:val="28"/>
          <w:szCs w:val="22"/>
          <w:lang w:val="en-US" w:eastAsia="zh-CN"/>
        </w:rPr>
        <w:t>近三年未进行</w:t>
      </w:r>
      <w:r>
        <w:rPr>
          <w:rFonts w:hint="eastAsia"/>
          <w:color w:val="auto"/>
          <w:kern w:val="0"/>
          <w:sz w:val="28"/>
          <w:szCs w:val="22"/>
          <w:lang w:eastAsia="zh-CN"/>
        </w:rPr>
        <w:t>公司应急培训和演练。</w:t>
      </w:r>
    </w:p>
    <w:p>
      <w:pPr>
        <w:pStyle w:val="6"/>
        <w:ind w:left="0" w:firstLine="0" w:firstLineChars="0"/>
        <w:rPr>
          <w:rFonts w:hint="eastAsia" w:ascii="仿宋" w:hAnsi="仿宋" w:eastAsia="仿宋" w:cs="仿宋"/>
          <w:color w:val="auto"/>
          <w:sz w:val="28"/>
          <w:szCs w:val="28"/>
          <w:lang w:eastAsia="zh-CN"/>
        </w:rPr>
      </w:pPr>
      <w:bookmarkStart w:id="26" w:name="_Toc23933"/>
      <w:r>
        <w:rPr>
          <w:rFonts w:hint="eastAsia" w:ascii="仿宋" w:hAnsi="仿宋" w:eastAsia="仿宋" w:cs="仿宋"/>
          <w:color w:val="auto"/>
          <w:sz w:val="28"/>
          <w:szCs w:val="28"/>
          <w:lang w:eastAsia="zh-CN"/>
        </w:rPr>
        <w:t>1.7 其他</w:t>
      </w:r>
      <w:bookmarkEnd w:id="26"/>
    </w:p>
    <w:p>
      <w:pPr>
        <w:pStyle w:val="4"/>
        <w:snapToGrid/>
        <w:spacing w:after="0" w:line="360" w:lineRule="auto"/>
        <w:ind w:left="0" w:leftChars="0" w:firstLine="560" w:firstLineChars="200"/>
        <w:jc w:val="both"/>
        <w:rPr>
          <w:rFonts w:hint="eastAsia" w:ascii="仿宋" w:hAnsi="仿宋" w:eastAsia="仿宋"/>
          <w:color w:val="auto"/>
          <w:kern w:val="0"/>
          <w:sz w:val="28"/>
          <w:szCs w:val="28"/>
        </w:rPr>
      </w:pPr>
      <w:r>
        <w:rPr>
          <w:rFonts w:hint="eastAsia" w:ascii="仿宋" w:hAnsi="仿宋" w:eastAsia="仿宋"/>
          <w:color w:val="auto"/>
          <w:kern w:val="0"/>
          <w:sz w:val="28"/>
          <w:szCs w:val="28"/>
        </w:rPr>
        <w:t>经调查，企业近三年未发生过</w:t>
      </w:r>
      <w:r>
        <w:rPr>
          <w:rFonts w:hint="eastAsia" w:ascii="仿宋" w:hAnsi="仿宋"/>
          <w:color w:val="auto"/>
          <w:kern w:val="0"/>
          <w:sz w:val="28"/>
          <w:szCs w:val="28"/>
          <w:lang w:val="en-US" w:eastAsia="zh-CN"/>
        </w:rPr>
        <w:t>环境风险事件；未发生</w:t>
      </w:r>
      <w:r>
        <w:rPr>
          <w:rFonts w:hint="eastAsia" w:ascii="仿宋" w:hAnsi="仿宋" w:eastAsia="仿宋"/>
          <w:color w:val="auto"/>
          <w:kern w:val="0"/>
          <w:sz w:val="28"/>
          <w:szCs w:val="28"/>
        </w:rPr>
        <w:t>废气、废水超标排放事件。</w:t>
      </w:r>
    </w:p>
    <w:p>
      <w:pPr>
        <w:pStyle w:val="4"/>
        <w:snapToGrid/>
        <w:spacing w:after="0" w:line="360" w:lineRule="auto"/>
        <w:ind w:left="0" w:leftChars="0" w:firstLine="560" w:firstLineChars="200"/>
        <w:jc w:val="both"/>
        <w:rPr>
          <w:rFonts w:hint="eastAsia" w:ascii="仿宋" w:hAnsi="仿宋" w:eastAsia="仿宋"/>
          <w:color w:val="auto"/>
          <w:kern w:val="0"/>
          <w:sz w:val="28"/>
          <w:szCs w:val="28"/>
          <w:lang w:val="en-US" w:eastAsia="zh-CN"/>
        </w:rPr>
      </w:pPr>
      <w:r>
        <w:rPr>
          <w:rFonts w:hint="eastAsia" w:ascii="仿宋" w:hAnsi="仿宋" w:eastAsia="仿宋"/>
          <w:color w:val="auto"/>
          <w:kern w:val="0"/>
          <w:sz w:val="28"/>
          <w:szCs w:val="28"/>
          <w:lang w:val="en-US" w:eastAsia="zh-CN"/>
        </w:rPr>
        <w:t>依照《企业事业单位突发环境事件应急预案备案管理办法（试行）》（环发〔2015〕4号）中第十二条规定</w:t>
      </w:r>
      <w:r>
        <w:rPr>
          <w:rFonts w:hint="eastAsia" w:ascii="仿宋" w:hAnsi="仿宋"/>
          <w:color w:val="auto"/>
          <w:kern w:val="0"/>
          <w:sz w:val="28"/>
          <w:szCs w:val="28"/>
          <w:lang w:val="en-US" w:eastAsia="zh-CN"/>
        </w:rPr>
        <w:t>，</w:t>
      </w:r>
      <w:r>
        <w:rPr>
          <w:rFonts w:hint="eastAsia" w:ascii="仿宋" w:hAnsi="仿宋" w:eastAsia="仿宋"/>
          <w:color w:val="auto"/>
          <w:kern w:val="0"/>
          <w:sz w:val="28"/>
          <w:szCs w:val="28"/>
          <w:lang w:val="en-US" w:eastAsia="zh-CN"/>
        </w:rPr>
        <w:t>本次是</w:t>
      </w:r>
      <w:r>
        <w:rPr>
          <w:rFonts w:hint="eastAsia" w:ascii="仿宋" w:hAnsi="仿宋"/>
          <w:color w:val="auto"/>
          <w:kern w:val="0"/>
          <w:sz w:val="28"/>
          <w:szCs w:val="28"/>
          <w:lang w:val="en-US" w:eastAsia="zh-CN"/>
        </w:rPr>
        <w:t>不</w:t>
      </w:r>
      <w:r>
        <w:rPr>
          <w:rFonts w:hint="eastAsia" w:ascii="仿宋" w:hAnsi="仿宋" w:eastAsia="仿宋"/>
          <w:color w:val="auto"/>
          <w:kern w:val="0"/>
          <w:sz w:val="28"/>
          <w:szCs w:val="28"/>
          <w:lang w:val="en-US" w:eastAsia="zh-CN"/>
        </w:rPr>
        <w:t>属于重大修订</w:t>
      </w:r>
      <w:r>
        <w:rPr>
          <w:rFonts w:hint="eastAsia" w:ascii="仿宋" w:hAnsi="仿宋"/>
          <w:color w:val="auto"/>
          <w:kern w:val="0"/>
          <w:sz w:val="28"/>
          <w:szCs w:val="28"/>
          <w:lang w:val="en-US" w:eastAsia="zh-CN"/>
        </w:rPr>
        <w:t>。</w:t>
      </w:r>
    </w:p>
    <w:p>
      <w:pPr>
        <w:pStyle w:val="6"/>
        <w:ind w:left="0" w:firstLine="0" w:firstLineChars="0"/>
        <w:rPr>
          <w:rFonts w:hint="eastAsia" w:ascii="仿宋" w:hAnsi="仿宋" w:eastAsia="仿宋" w:cs="仿宋"/>
          <w:color w:val="auto"/>
          <w:sz w:val="28"/>
          <w:szCs w:val="28"/>
          <w:lang w:eastAsia="zh-CN"/>
        </w:rPr>
      </w:pPr>
      <w:bookmarkStart w:id="27" w:name="_Toc29262"/>
      <w:r>
        <w:rPr>
          <w:rFonts w:hint="eastAsia" w:ascii="仿宋" w:hAnsi="仿宋" w:eastAsia="仿宋" w:cs="仿宋"/>
          <w:color w:val="auto"/>
          <w:sz w:val="28"/>
          <w:szCs w:val="28"/>
          <w:lang w:val="en-US" w:eastAsia="zh-CN"/>
        </w:rPr>
        <w:t xml:space="preserve">2 </w:t>
      </w:r>
      <w:r>
        <w:rPr>
          <w:rFonts w:hint="eastAsia" w:ascii="仿宋" w:hAnsi="仿宋" w:eastAsia="仿宋" w:cs="仿宋"/>
          <w:color w:val="auto"/>
          <w:sz w:val="28"/>
          <w:szCs w:val="28"/>
          <w:lang w:eastAsia="zh-CN"/>
        </w:rPr>
        <w:t>编制过程概述</w:t>
      </w:r>
      <w:bookmarkEnd w:id="27"/>
    </w:p>
    <w:p>
      <w:pPr>
        <w:pStyle w:val="6"/>
        <w:ind w:left="0" w:firstLine="0" w:firstLineChars="0"/>
        <w:rPr>
          <w:rFonts w:hint="eastAsia" w:ascii="仿宋" w:hAnsi="仿宋" w:eastAsia="仿宋" w:cs="仿宋"/>
          <w:color w:val="auto"/>
          <w:sz w:val="28"/>
          <w:szCs w:val="28"/>
          <w:lang w:val="en-US" w:eastAsia="zh-CN"/>
        </w:rPr>
      </w:pPr>
      <w:bookmarkStart w:id="28" w:name="_Toc7518"/>
      <w:r>
        <w:rPr>
          <w:rFonts w:hint="eastAsia" w:ascii="仿宋" w:hAnsi="仿宋" w:eastAsia="仿宋" w:cs="仿宋"/>
          <w:color w:val="auto"/>
          <w:sz w:val="28"/>
          <w:szCs w:val="28"/>
          <w:lang w:val="en-US" w:eastAsia="zh-CN"/>
        </w:rPr>
        <w:t>2.1 成立应急预案编制小组</w:t>
      </w:r>
      <w:bookmarkEnd w:id="28"/>
    </w:p>
    <w:p>
      <w:pPr>
        <w:pStyle w:val="5"/>
        <w:ind w:firstLine="560"/>
        <w:jc w:val="both"/>
        <w:rPr>
          <w:rFonts w:ascii="仿宋" w:hAnsi="仿宋" w:cs="仿宋"/>
          <w:color w:val="auto"/>
          <w:spacing w:val="5"/>
          <w:w w:val="95"/>
          <w:szCs w:val="28"/>
          <w:lang w:eastAsia="zh-CN"/>
        </w:rPr>
      </w:pPr>
      <w:r>
        <w:rPr>
          <w:rFonts w:hint="eastAsia" w:ascii="仿宋" w:hAnsi="仿宋" w:cs="宋体"/>
          <w:color w:val="auto"/>
          <w:szCs w:val="28"/>
          <w:lang w:eastAsia="zh-CN"/>
        </w:rPr>
        <w:t>陕西百固建材有限公司</w:t>
      </w:r>
      <w:r>
        <w:rPr>
          <w:rFonts w:hint="eastAsia" w:ascii="仿宋" w:hAnsi="仿宋" w:cs="仿宋"/>
          <w:color w:val="auto"/>
          <w:spacing w:val="5"/>
          <w:w w:val="95"/>
          <w:szCs w:val="28"/>
          <w:lang w:eastAsia="zh-CN"/>
        </w:rPr>
        <w:t>于2021年11月公司成立了以法人为组长的突发环境事件应急预案编制小组，编制小组成员为公司各部门主管。编制小组成立以后，制定编制工作计划，通过详细研究国家和地方环保相关法规和标准，以及充分评估公司环境风险和防范措施的基础上，编制了公司的环境风险应急预案。该应急预案的编制工作由</w:t>
      </w:r>
      <w:r>
        <w:rPr>
          <w:rFonts w:hint="eastAsia" w:ascii="仿宋" w:hAnsi="仿宋" w:cs="仿宋"/>
          <w:color w:val="auto"/>
          <w:szCs w:val="28"/>
          <w:lang w:eastAsia="zh-CN"/>
        </w:rPr>
        <w:t>陕西百固建材有限公司</w:t>
      </w:r>
      <w:r>
        <w:rPr>
          <w:rFonts w:hint="eastAsia" w:ascii="仿宋" w:hAnsi="仿宋" w:cs="仿宋"/>
          <w:color w:val="auto"/>
          <w:spacing w:val="5"/>
          <w:w w:val="95"/>
          <w:szCs w:val="28"/>
          <w:lang w:eastAsia="zh-CN"/>
        </w:rPr>
        <w:t>完成，编制组成员见表1-1。</w:t>
      </w:r>
    </w:p>
    <w:p>
      <w:pPr>
        <w:pStyle w:val="5"/>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表1-1    环境应急预案编制组成员</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417"/>
        <w:gridCol w:w="3101"/>
        <w:gridCol w:w="2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1555" w:type="dxa"/>
            <w:shd w:val="clear" w:color="auto" w:fill="D8D8D8" w:themeFill="background1" w:themeFillShade="D9"/>
            <w:vAlign w:val="center"/>
          </w:tcPr>
          <w:p>
            <w:pPr>
              <w:pStyle w:val="5"/>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编制组职务</w:t>
            </w:r>
          </w:p>
        </w:tc>
        <w:tc>
          <w:tcPr>
            <w:tcW w:w="1417" w:type="dxa"/>
            <w:shd w:val="clear" w:color="auto" w:fill="D8D8D8" w:themeFill="background1" w:themeFillShade="D9"/>
            <w:vAlign w:val="center"/>
          </w:tcPr>
          <w:p>
            <w:pPr>
              <w:pStyle w:val="5"/>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姓名</w:t>
            </w:r>
          </w:p>
        </w:tc>
        <w:tc>
          <w:tcPr>
            <w:tcW w:w="3101" w:type="dxa"/>
            <w:shd w:val="clear" w:color="auto" w:fill="D8D8D8" w:themeFill="background1" w:themeFillShade="D9"/>
            <w:vAlign w:val="center"/>
          </w:tcPr>
          <w:p>
            <w:pPr>
              <w:pStyle w:val="5"/>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单位</w:t>
            </w:r>
          </w:p>
        </w:tc>
        <w:tc>
          <w:tcPr>
            <w:tcW w:w="2943" w:type="dxa"/>
            <w:shd w:val="clear" w:color="auto" w:fill="D8D8D8" w:themeFill="background1" w:themeFillShade="D9"/>
            <w:vAlign w:val="center"/>
          </w:tcPr>
          <w:p>
            <w:pPr>
              <w:pStyle w:val="5"/>
              <w:spacing w:line="240" w:lineRule="auto"/>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组长</w:t>
            </w:r>
          </w:p>
        </w:tc>
        <w:tc>
          <w:tcPr>
            <w:tcW w:w="1417" w:type="dxa"/>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戚海滔</w:t>
            </w:r>
          </w:p>
        </w:tc>
        <w:tc>
          <w:tcPr>
            <w:tcW w:w="3101" w:type="dxa"/>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陕西百固建材有限公司</w:t>
            </w:r>
          </w:p>
        </w:tc>
        <w:tc>
          <w:tcPr>
            <w:tcW w:w="2943" w:type="dxa"/>
            <w:vAlign w:val="center"/>
          </w:tcPr>
          <w:p>
            <w:pPr>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总经理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Merge w:val="restart"/>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副组长</w:t>
            </w:r>
          </w:p>
        </w:tc>
        <w:tc>
          <w:tcPr>
            <w:tcW w:w="1417" w:type="dxa"/>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李波涛</w:t>
            </w:r>
          </w:p>
        </w:tc>
        <w:tc>
          <w:tcPr>
            <w:tcW w:w="3101" w:type="dxa"/>
          </w:tcPr>
          <w:p>
            <w:pPr>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陕西百固建材有限公司</w:t>
            </w:r>
          </w:p>
        </w:tc>
        <w:tc>
          <w:tcPr>
            <w:tcW w:w="2943" w:type="dxa"/>
            <w:vAlign w:val="center"/>
          </w:tcPr>
          <w:p>
            <w:pPr>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55" w:type="dxa"/>
            <w:vMerge w:val="continue"/>
            <w:vAlign w:val="center"/>
          </w:tcPr>
          <w:p>
            <w:pPr>
              <w:pStyle w:val="5"/>
              <w:spacing w:line="240" w:lineRule="auto"/>
              <w:ind w:firstLine="0" w:firstLineChars="0"/>
              <w:jc w:val="center"/>
              <w:rPr>
                <w:rFonts w:ascii="仿宋" w:hAnsi="仿宋" w:cs="仿宋"/>
                <w:color w:val="auto"/>
                <w:spacing w:val="5"/>
                <w:w w:val="95"/>
                <w:sz w:val="24"/>
                <w:szCs w:val="24"/>
                <w:lang w:eastAsia="zh-CN"/>
              </w:rPr>
            </w:pPr>
          </w:p>
        </w:tc>
        <w:tc>
          <w:tcPr>
            <w:tcW w:w="1417" w:type="dxa"/>
            <w:vAlign w:val="center"/>
          </w:tcPr>
          <w:p>
            <w:pPr>
              <w:pStyle w:val="5"/>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畅磊</w:t>
            </w:r>
          </w:p>
        </w:tc>
        <w:tc>
          <w:tcPr>
            <w:tcW w:w="3101" w:type="dxa"/>
          </w:tcPr>
          <w:p>
            <w:pPr>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陕西百固建材有限公司</w:t>
            </w:r>
          </w:p>
        </w:tc>
        <w:tc>
          <w:tcPr>
            <w:tcW w:w="2943" w:type="dxa"/>
            <w:vAlign w:val="center"/>
          </w:tcPr>
          <w:p>
            <w:pPr>
              <w:spacing w:line="240" w:lineRule="auto"/>
              <w:ind w:firstLine="0" w:firstLineChars="0"/>
              <w:jc w:val="center"/>
              <w:rPr>
                <w:rFonts w:ascii="仿宋" w:hAnsi="仿宋" w:cs="仿宋"/>
                <w:color w:val="auto"/>
                <w:spacing w:val="5"/>
                <w:w w:val="95"/>
                <w:sz w:val="24"/>
                <w:szCs w:val="24"/>
                <w:lang w:eastAsia="zh-CN"/>
              </w:rPr>
            </w:pPr>
            <w:r>
              <w:rPr>
                <w:rFonts w:hint="eastAsia" w:ascii="仿宋" w:hAnsi="仿宋" w:cs="仿宋"/>
                <w:color w:val="auto"/>
                <w:spacing w:val="5"/>
                <w:w w:val="95"/>
                <w:sz w:val="24"/>
                <w:szCs w:val="24"/>
                <w:lang w:eastAsia="zh-CN"/>
              </w:rPr>
              <w:t>生产部长</w:t>
            </w:r>
          </w:p>
        </w:tc>
      </w:tr>
    </w:tbl>
    <w:p>
      <w:pPr>
        <w:pStyle w:val="6"/>
        <w:ind w:left="0" w:firstLine="0" w:firstLineChars="0"/>
        <w:rPr>
          <w:rFonts w:ascii="仿宋" w:hAnsi="仿宋" w:eastAsia="仿宋" w:cs="仿宋"/>
          <w:color w:val="auto"/>
          <w:sz w:val="28"/>
          <w:szCs w:val="28"/>
          <w:lang w:eastAsia="zh-CN"/>
        </w:rPr>
      </w:pPr>
      <w:bookmarkStart w:id="29" w:name="_Toc13204"/>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.2 制定编制计划</w:t>
      </w:r>
      <w:bookmarkEnd w:id="29"/>
    </w:p>
    <w:p>
      <w:pPr>
        <w:ind w:firstLine="560"/>
        <w:jc w:val="both"/>
        <w:rPr>
          <w:rFonts w:ascii="仿宋" w:hAnsi="仿宋" w:cs="仿宋"/>
          <w:color w:val="auto"/>
          <w:szCs w:val="28"/>
          <w:lang w:eastAsia="zh-CN"/>
        </w:rPr>
      </w:pPr>
      <w:r>
        <w:rPr>
          <w:rFonts w:hint="eastAsia" w:ascii="仿宋" w:hAnsi="仿宋" w:cs="仿宋"/>
          <w:color w:val="auto"/>
          <w:szCs w:val="28"/>
          <w:lang w:eastAsia="zh-CN"/>
        </w:rPr>
        <w:t>为了有计划、有步骤的推进环境应急预案编制工作，根据国家和地方环保相关法规和标准，结合企业实际，应急预案修编编制小组成立以后，根据导则要求，制定了编制工作计划，见表1-2。</w:t>
      </w:r>
    </w:p>
    <w:p>
      <w:pPr>
        <w:pStyle w:val="5"/>
        <w:ind w:firstLine="0" w:firstLineChars="0"/>
        <w:jc w:val="center"/>
        <w:rPr>
          <w:rFonts w:ascii="仿宋" w:hAnsi="仿宋" w:cs="仿宋"/>
          <w:b/>
          <w:color w:val="auto"/>
          <w:spacing w:val="5"/>
          <w:w w:val="95"/>
          <w:sz w:val="24"/>
          <w:szCs w:val="24"/>
          <w:lang w:eastAsia="zh-CN"/>
        </w:rPr>
      </w:pPr>
    </w:p>
    <w:p>
      <w:pPr>
        <w:pStyle w:val="5"/>
        <w:ind w:firstLine="0" w:firstLineChars="0"/>
        <w:jc w:val="center"/>
        <w:rPr>
          <w:rFonts w:ascii="仿宋" w:hAnsi="仿宋" w:cs="仿宋"/>
          <w:b/>
          <w:color w:val="auto"/>
          <w:spacing w:val="5"/>
          <w:w w:val="95"/>
          <w:sz w:val="24"/>
          <w:szCs w:val="24"/>
          <w:lang w:eastAsia="zh-CN"/>
        </w:rPr>
      </w:pPr>
      <w:r>
        <w:rPr>
          <w:rFonts w:hint="eastAsia" w:ascii="仿宋" w:hAnsi="仿宋" w:cs="仿宋"/>
          <w:b/>
          <w:color w:val="auto"/>
          <w:spacing w:val="5"/>
          <w:w w:val="95"/>
          <w:sz w:val="24"/>
          <w:szCs w:val="24"/>
          <w:lang w:eastAsia="zh-CN"/>
        </w:rPr>
        <w:t>表1-2    编制过程工作进度表</w:t>
      </w:r>
    </w:p>
    <w:tbl>
      <w:tblPr>
        <w:tblStyle w:val="20"/>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865"/>
        <w:gridCol w:w="1516"/>
        <w:gridCol w:w="3543"/>
        <w:gridCol w:w="1275"/>
        <w:gridCol w:w="20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序号</w:t>
            </w:r>
          </w:p>
        </w:tc>
        <w:tc>
          <w:tcPr>
            <w:tcW w:w="82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工作任务</w:t>
            </w:r>
          </w:p>
        </w:tc>
        <w:tc>
          <w:tcPr>
            <w:tcW w:w="1917"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工作内容</w:t>
            </w:r>
          </w:p>
        </w:tc>
        <w:tc>
          <w:tcPr>
            <w:tcW w:w="69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完成</w:t>
            </w:r>
            <w:r>
              <w:rPr>
                <w:rFonts w:hint="eastAsia" w:ascii="仿宋" w:hAnsi="仿宋" w:cs="仿宋"/>
                <w:b/>
                <w:bCs/>
                <w:color w:val="auto"/>
                <w:sz w:val="24"/>
                <w:szCs w:val="24"/>
              </w:rPr>
              <w:t>时间</w:t>
            </w:r>
          </w:p>
        </w:tc>
        <w:tc>
          <w:tcPr>
            <w:tcW w:w="1105"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highlight w:val="red"/>
              </w:rPr>
            </w:pPr>
            <w:r>
              <w:rPr>
                <w:rFonts w:hint="eastAsia" w:ascii="仿宋" w:hAnsi="仿宋" w:cs="仿宋"/>
                <w:b/>
                <w:bCs/>
                <w:color w:val="auto"/>
                <w:sz w:val="24"/>
                <w:szCs w:val="24"/>
                <w:lang w:eastAsia="zh-CN"/>
              </w:rPr>
              <w:t>责任部门及人员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1</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成立应急预案编制小组</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t>成立应急预案编制小组</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11</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2</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lang w:eastAsia="zh-CN"/>
              </w:rPr>
              <w:t>资料收集</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单位基本情况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环境风险源基本情况调查</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区域环境质量状况和要求</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周边环境状况及环境保护目标情况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上级政府部门环境应急预案编制情况</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周边企业和政府部门环境应急资源配备情况</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11</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3</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应急资源调查、环境风险评估</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企业内部应急资源</w:t>
            </w:r>
          </w:p>
          <w:p>
            <w:pPr>
              <w:pStyle w:val="2"/>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外部应急资源</w:t>
            </w:r>
          </w:p>
          <w:p>
            <w:pPr>
              <w:pStyle w:val="4"/>
              <w:snapToGrid/>
              <w:spacing w:after="0"/>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环境风险源识别</w:t>
            </w:r>
          </w:p>
          <w:p>
            <w:pPr>
              <w:pStyle w:val="4"/>
              <w:snapToGrid/>
              <w:spacing w:after="0"/>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突发环境事件及其后果分析</w:t>
            </w:r>
          </w:p>
          <w:p>
            <w:pPr>
              <w:pStyle w:val="4"/>
              <w:snapToGrid/>
              <w:spacing w:after="0"/>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企业突发环境事件风险等级确定</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11</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4</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报告编制</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总则</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基本情况</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应急组织体系</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环境风险分析</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预防与预警</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应急处置</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7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⑺</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后期处置</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8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⑻</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应急保障</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9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⑼</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监督与管理</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10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⑽</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附则</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⑾</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附件</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11</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5</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评审</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内部评审</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内部评审意见修改</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外部评审</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外部评审意见修改</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lang w:eastAsia="zh-CN"/>
              </w:rPr>
              <w:t>总经理、应急预案编制小组、环境保护主管部门、周边企业、环境敏感目标居民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468"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6</w:t>
            </w:r>
          </w:p>
        </w:tc>
        <w:tc>
          <w:tcPr>
            <w:tcW w:w="82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发布</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rPr>
              <w:fldChar w:fldCharType="end"/>
            </w:r>
            <w:r>
              <w:rPr>
                <w:rFonts w:hint="eastAsia" w:ascii="仿宋" w:hAnsi="仿宋" w:cs="仿宋"/>
                <w:color w:val="auto"/>
                <w:sz w:val="24"/>
                <w:szCs w:val="24"/>
                <w:lang w:eastAsia="zh-CN"/>
              </w:rPr>
              <w:t>备案</w:t>
            </w:r>
          </w:p>
          <w:p>
            <w:pPr>
              <w:widowControl/>
              <w:snapToGrid/>
              <w:spacing w:line="240" w:lineRule="auto"/>
              <w:ind w:firstLine="0" w:firstLineChars="0"/>
              <w:jc w:val="both"/>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rPr>
              <w:fldChar w:fldCharType="end"/>
            </w:r>
            <w:r>
              <w:rPr>
                <w:rFonts w:hint="eastAsia" w:ascii="仿宋" w:hAnsi="仿宋" w:cs="仿宋"/>
                <w:color w:val="auto"/>
                <w:sz w:val="24"/>
                <w:szCs w:val="24"/>
                <w:lang w:eastAsia="zh-CN"/>
              </w:rPr>
              <w:t>发布实施</w:t>
            </w:r>
          </w:p>
          <w:p>
            <w:pPr>
              <w:widowControl/>
              <w:snapToGrid/>
              <w:spacing w:line="240" w:lineRule="auto"/>
              <w:ind w:firstLine="0" w:firstLineChars="0"/>
              <w:jc w:val="both"/>
              <w:rPr>
                <w:rFonts w:ascii="仿宋" w:hAnsi="仿宋" w:cs="仿宋"/>
                <w:color w:val="auto"/>
                <w:sz w:val="24"/>
                <w:szCs w:val="24"/>
                <w:highlight w:val="red"/>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更新</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rPr>
              <w:t>2021.</w:t>
            </w:r>
            <w:r>
              <w:rPr>
                <w:rFonts w:hint="eastAsia" w:ascii="仿宋" w:hAnsi="仿宋" w:cs="仿宋"/>
                <w:color w:val="auto"/>
                <w:sz w:val="24"/>
                <w:szCs w:val="24"/>
                <w:lang w:eastAsia="zh-CN"/>
              </w:rPr>
              <w:t>12</w:t>
            </w:r>
          </w:p>
        </w:tc>
        <w:tc>
          <w:tcPr>
            <w:tcW w:w="110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highlight w:val="red"/>
                <w:lang w:eastAsia="zh-CN"/>
              </w:rPr>
            </w:pPr>
            <w:r>
              <w:rPr>
                <w:rFonts w:hint="eastAsia" w:ascii="仿宋" w:hAnsi="仿宋" w:cs="仿宋"/>
                <w:color w:val="auto"/>
                <w:sz w:val="24"/>
                <w:szCs w:val="24"/>
              </w:rPr>
              <w:t>应急预案编制小组</w:t>
            </w:r>
          </w:p>
        </w:tc>
      </w:tr>
    </w:tbl>
    <w:p>
      <w:pPr>
        <w:pStyle w:val="6"/>
        <w:ind w:left="0" w:firstLine="0" w:firstLineChars="0"/>
        <w:rPr>
          <w:rFonts w:ascii="仿宋" w:hAnsi="仿宋" w:eastAsia="仿宋" w:cs="仿宋"/>
          <w:color w:val="auto"/>
          <w:sz w:val="28"/>
          <w:szCs w:val="28"/>
          <w:lang w:eastAsia="zh-CN"/>
        </w:rPr>
      </w:pPr>
      <w:bookmarkStart w:id="30" w:name="_Toc28407"/>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.3 收集资料</w:t>
      </w:r>
      <w:bookmarkEnd w:id="30"/>
    </w:p>
    <w:p>
      <w:pPr>
        <w:widowControl/>
        <w:shd w:val="clear" w:color="auto" w:fill="FFFFFF"/>
        <w:ind w:firstLine="560"/>
        <w:textAlignment w:val="baseline"/>
        <w:rPr>
          <w:rFonts w:ascii="仿宋" w:hAnsi="仿宋" w:cs="仿宋"/>
          <w:color w:val="auto"/>
          <w:szCs w:val="28"/>
          <w:lang w:eastAsia="zh-CN"/>
        </w:rPr>
      </w:pPr>
      <w:r>
        <w:rPr>
          <w:rFonts w:hint="eastAsia" w:ascii="仿宋" w:hAnsi="仿宋" w:cs="仿宋"/>
          <w:color w:val="auto"/>
          <w:szCs w:val="28"/>
          <w:lang w:eastAsia="zh-CN"/>
        </w:rPr>
        <w:t>应急预案编制小组对以下材料进行了收集和整理。</w:t>
      </w:r>
    </w:p>
    <w:p>
      <w:pPr>
        <w:pStyle w:val="2"/>
        <w:snapToGrid/>
        <w:ind w:firstLine="0" w:firstLineChars="0"/>
        <w:jc w:val="center"/>
        <w:rPr>
          <w:rFonts w:ascii="仿宋" w:hAnsi="仿宋" w:cs="仿宋"/>
          <w:b/>
          <w:bCs/>
          <w:color w:val="auto"/>
          <w:sz w:val="24"/>
          <w:szCs w:val="24"/>
          <w:lang w:eastAsia="zh-CN"/>
        </w:rPr>
      </w:pPr>
      <w:r>
        <w:rPr>
          <w:rFonts w:hint="eastAsia" w:ascii="仿宋" w:hAnsi="仿宋" w:cs="仿宋"/>
          <w:b/>
          <w:bCs/>
          <w:color w:val="auto"/>
          <w:sz w:val="24"/>
          <w:szCs w:val="24"/>
          <w:lang w:eastAsia="zh-CN"/>
        </w:rPr>
        <w:t>表1-3    应急预案资料收集</w:t>
      </w:r>
    </w:p>
    <w:tbl>
      <w:tblPr>
        <w:tblStyle w:val="20"/>
        <w:tblW w:w="0" w:type="auto"/>
        <w:tblCellSpacing w:w="15" w:type="dxa"/>
        <w:tblInd w:w="0" w:type="dxa"/>
        <w:shd w:val="clear" w:color="auto" w:fill="FFFFFF"/>
        <w:tblLayout w:type="autofit"/>
        <w:tblCellMar>
          <w:top w:w="15" w:type="dxa"/>
          <w:left w:w="15" w:type="dxa"/>
          <w:bottom w:w="15" w:type="dxa"/>
          <w:right w:w="15" w:type="dxa"/>
        </w:tblCellMar>
      </w:tblPr>
      <w:tblGrid>
        <w:gridCol w:w="792"/>
        <w:gridCol w:w="1768"/>
        <w:gridCol w:w="6766"/>
      </w:tblGrid>
      <w:tr>
        <w:tblPrEx>
          <w:shd w:val="clear" w:color="auto" w:fill="FFFFFF"/>
          <w:tblCellMar>
            <w:top w:w="15" w:type="dxa"/>
            <w:left w:w="15" w:type="dxa"/>
            <w:bottom w:w="15" w:type="dxa"/>
            <w:right w:w="15" w:type="dxa"/>
          </w:tblCellMar>
        </w:tblPrEx>
        <w:trPr>
          <w:trHeight w:val="340" w:hRule="atLeast"/>
          <w:tblHeader/>
          <w:tblCellSpacing w:w="15" w:type="dxa"/>
        </w:trPr>
        <w:tc>
          <w:tcPr>
            <w:tcW w:w="747" w:type="dxa"/>
            <w:tcBorders>
              <w:top w:val="single" w:color="auto" w:sz="6" w:space="0"/>
              <w:left w:val="single" w:color="auto" w:sz="6" w:space="0"/>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序号</w:t>
            </w:r>
          </w:p>
        </w:tc>
        <w:tc>
          <w:tcPr>
            <w:tcW w:w="1738"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类别</w:t>
            </w:r>
          </w:p>
        </w:tc>
        <w:tc>
          <w:tcPr>
            <w:tcW w:w="6721"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b/>
                <w:bCs/>
                <w:color w:val="auto"/>
                <w:sz w:val="24"/>
                <w:szCs w:val="24"/>
              </w:rPr>
              <w:t>文件名称</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1</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公司基本情况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营业执照</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组织机构代码</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厂平面布置图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地理位置图</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2</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环境风险源基本情况调查</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公司主、副产品及生产过程中产生的中间体名称及日产量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主要生产原辅材料、燃料名称及日消耗量、最大容量、贮存量和加工量，以及危险物质的明细表等。</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生产工艺流程简介</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主要生产装置明细及说明</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危险物质储存方式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6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⑹</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生产装置及储存设备平面布置图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7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⑺</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雨、清、污水收集、排放管网图</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8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⑻</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应急设施（备）平面布置图等</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9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⑼</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排放污染物的名称、日排放量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10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⑽</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污染治理设施去除量及处理后废物产量</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⑾</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污染治理工艺流程说明及主要设备、构筑物</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⑿</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环境保护措施</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⒀</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污染物集中处理设施及堆放地</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14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⒁</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危险废物的产生量，储存、转移、处置情况</w:t>
            </w:r>
          </w:p>
        </w:tc>
      </w:tr>
      <w:tr>
        <w:tblPrEx>
          <w:shd w:val="clear" w:color="auto" w:fill="FFFFFF"/>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3</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周边环境状况及环境保护目标情况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1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⑴</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公司周边5km范围内人口集中居住区（居民点、社区、自然村等）和社会关注区（学校、医院、机关等）的名称、联系方式、人数</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2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⑵</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周边企业、重要基础设施、道路等基本情况</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3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⑶</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公司产生污水排放去向</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rPr>
              <w:fldChar w:fldCharType="begin"/>
            </w:r>
            <w:r>
              <w:rPr>
                <w:rFonts w:hint="eastAsia" w:ascii="仿宋" w:hAnsi="仿宋" w:cs="仿宋"/>
                <w:color w:val="auto"/>
                <w:sz w:val="24"/>
                <w:szCs w:val="24"/>
                <w:lang w:eastAsia="zh-CN"/>
              </w:rPr>
              <w:instrText xml:space="preserve"> = 4 \* GB2 </w:instrText>
            </w:r>
            <w:r>
              <w:rPr>
                <w:rFonts w:hint="eastAsia" w:ascii="仿宋" w:hAnsi="仿宋" w:cs="仿宋"/>
                <w:color w:val="auto"/>
                <w:sz w:val="24"/>
                <w:szCs w:val="24"/>
              </w:rPr>
              <w:fldChar w:fldCharType="separate"/>
            </w:r>
            <w:r>
              <w:rPr>
                <w:rFonts w:hint="eastAsia" w:ascii="仿宋" w:hAnsi="仿宋" w:cs="仿宋"/>
                <w:color w:val="auto"/>
                <w:sz w:val="24"/>
                <w:szCs w:val="24"/>
                <w:lang w:eastAsia="zh-CN"/>
              </w:rPr>
              <w:t>⑷</w:t>
            </w:r>
            <w:r>
              <w:rPr>
                <w:rFonts w:hint="eastAsia" w:ascii="仿宋" w:hAnsi="仿宋" w:cs="仿宋"/>
                <w:color w:val="auto"/>
                <w:sz w:val="24"/>
                <w:szCs w:val="24"/>
              </w:rPr>
              <w:fldChar w:fldCharType="end"/>
            </w:r>
            <w:r>
              <w:rPr>
                <w:rFonts w:hint="eastAsia" w:ascii="仿宋" w:hAnsi="仿宋" w:cs="仿宋"/>
                <w:color w:val="auto"/>
                <w:sz w:val="24"/>
                <w:szCs w:val="24"/>
                <w:lang w:eastAsia="zh-CN"/>
              </w:rPr>
              <w:t>下游水体河流、湖泊、水库、海洋名称、所属水系、功能区及饮用水源保护区情况</w:t>
            </w:r>
          </w:p>
          <w:p>
            <w:pPr>
              <w:widowControl/>
              <w:snapToGrid/>
              <w:spacing w:line="240" w:lineRule="auto"/>
              <w:ind w:firstLine="0" w:firstLineChars="0"/>
              <w:rPr>
                <w:rFonts w:ascii="仿宋" w:hAnsi="仿宋" w:cs="仿宋"/>
                <w:color w:val="auto"/>
                <w:sz w:val="24"/>
                <w:szCs w:val="24"/>
                <w:lang w:eastAsia="zh-CN"/>
              </w:rPr>
            </w:pPr>
            <w:r>
              <w:rPr>
                <w:rFonts w:hint="eastAsia" w:ascii="仿宋" w:hAnsi="仿宋" w:cs="仿宋"/>
                <w:color w:val="auto"/>
                <w:sz w:val="24"/>
                <w:szCs w:val="24"/>
                <w:lang w:eastAsia="zh-CN"/>
              </w:rPr>
              <w:fldChar w:fldCharType="begin"/>
            </w:r>
            <w:r>
              <w:rPr>
                <w:rFonts w:hint="eastAsia" w:ascii="仿宋" w:hAnsi="仿宋" w:cs="仿宋"/>
                <w:color w:val="auto"/>
                <w:sz w:val="24"/>
                <w:szCs w:val="24"/>
                <w:lang w:eastAsia="zh-CN"/>
              </w:rPr>
              <w:instrText xml:space="preserve"> = 5 \* GB2 </w:instrText>
            </w:r>
            <w:r>
              <w:rPr>
                <w:rFonts w:hint="eastAsia" w:ascii="仿宋" w:hAnsi="仿宋" w:cs="仿宋"/>
                <w:color w:val="auto"/>
                <w:sz w:val="24"/>
                <w:szCs w:val="24"/>
                <w:lang w:eastAsia="zh-CN"/>
              </w:rPr>
              <w:fldChar w:fldCharType="separate"/>
            </w:r>
            <w:r>
              <w:rPr>
                <w:rFonts w:hint="eastAsia" w:ascii="仿宋" w:hAnsi="仿宋" w:cs="仿宋"/>
                <w:color w:val="auto"/>
                <w:sz w:val="24"/>
                <w:szCs w:val="24"/>
                <w:lang w:eastAsia="zh-CN"/>
              </w:rPr>
              <w:t>⑸</w:t>
            </w:r>
            <w:r>
              <w:rPr>
                <w:rFonts w:hint="eastAsia" w:ascii="仿宋" w:hAnsi="仿宋" w:cs="仿宋"/>
                <w:color w:val="auto"/>
                <w:sz w:val="24"/>
                <w:szCs w:val="24"/>
                <w:lang w:eastAsia="zh-CN"/>
              </w:rPr>
              <w:fldChar w:fldCharType="end"/>
            </w:r>
            <w:r>
              <w:rPr>
                <w:rFonts w:hint="eastAsia" w:ascii="仿宋" w:hAnsi="仿宋" w:cs="仿宋"/>
                <w:color w:val="auto"/>
                <w:sz w:val="24"/>
                <w:szCs w:val="24"/>
                <w:lang w:eastAsia="zh-CN"/>
              </w:rPr>
              <w:t>周边区域道路情况及距离，交通干线流量</w:t>
            </w:r>
          </w:p>
        </w:tc>
      </w:tr>
    </w:tbl>
    <w:p>
      <w:pPr>
        <w:pStyle w:val="6"/>
        <w:ind w:left="0" w:firstLine="0" w:firstLineChars="0"/>
        <w:rPr>
          <w:rFonts w:ascii="仿宋" w:hAnsi="仿宋" w:eastAsia="仿宋" w:cs="仿宋"/>
          <w:color w:val="auto"/>
          <w:sz w:val="28"/>
          <w:szCs w:val="28"/>
          <w:lang w:eastAsia="zh-CN"/>
        </w:rPr>
      </w:pPr>
      <w:bookmarkStart w:id="31" w:name="_Toc13866"/>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.4 开展环境风险评估和应急资源调查</w:t>
      </w:r>
      <w:bookmarkEnd w:id="31"/>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通过对企业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企业第一时间可调用的环境应急队伍、装备、物资、场所等应急资源状况和可请求援助或协议援助的应急资源状况，并编制应急资源调查报告。</w:t>
      </w:r>
    </w:p>
    <w:p>
      <w:pPr>
        <w:pStyle w:val="6"/>
        <w:ind w:left="0" w:firstLine="0" w:firstLineChars="0"/>
        <w:rPr>
          <w:rFonts w:ascii="仿宋" w:hAnsi="仿宋" w:eastAsia="仿宋" w:cs="仿宋"/>
          <w:color w:val="auto"/>
          <w:sz w:val="28"/>
          <w:szCs w:val="28"/>
          <w:lang w:eastAsia="zh-CN"/>
        </w:rPr>
      </w:pPr>
      <w:bookmarkStart w:id="32" w:name="_Toc23080"/>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.5 编制环境应急预案</w:t>
      </w:r>
      <w:bookmarkEnd w:id="32"/>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该应急预案的编制严格按照《企业事业单位突发环境事件应急预案备案管理办法（试行）》（环发〔2015〕4号）第九条的要求，合理选择类别，确定内容，重点说明可能的突发环境事件情景下需要采取的处置措施、向可能受影响的居民和单位通报的内容与方式、向环境保护主管部门和有关部门报告的内容与方式，以及与政府预案的衔接方式，形成环境应急预案。编制过程中，编制人员公开征求员工和可能受影响的居民和单位代表的意见。</w:t>
      </w:r>
    </w:p>
    <w:p>
      <w:pPr>
        <w:pStyle w:val="6"/>
        <w:ind w:left="0" w:firstLine="0" w:firstLineChars="0"/>
        <w:rPr>
          <w:rFonts w:ascii="仿宋" w:hAnsi="仿宋" w:eastAsia="仿宋" w:cs="仿宋"/>
          <w:color w:val="auto"/>
          <w:sz w:val="28"/>
          <w:szCs w:val="28"/>
          <w:lang w:eastAsia="zh-CN"/>
        </w:rPr>
      </w:pPr>
      <w:bookmarkStart w:id="33" w:name="_Toc4186"/>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.6 评审和演练环境应急预案</w:t>
      </w:r>
      <w:bookmarkEnd w:id="33"/>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企业组织专家和可能受影响的居民、单位代表对环境应急预案进行评审，开展演练进行检验。</w:t>
      </w:r>
    </w:p>
    <w:p>
      <w:pPr>
        <w:pStyle w:val="6"/>
        <w:ind w:left="0" w:firstLine="0" w:firstLineChars="0"/>
        <w:rPr>
          <w:rFonts w:ascii="仿宋" w:hAnsi="仿宋" w:eastAsia="仿宋" w:cs="仿宋"/>
          <w:color w:val="auto"/>
          <w:sz w:val="28"/>
          <w:szCs w:val="28"/>
          <w:lang w:eastAsia="zh-CN"/>
        </w:rPr>
      </w:pPr>
      <w:bookmarkStart w:id="34" w:name="_Toc6770"/>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.7 签署发布环境应急预案</w:t>
      </w:r>
      <w:bookmarkEnd w:id="34"/>
    </w:p>
    <w:p>
      <w:pPr>
        <w:snapToGrid/>
        <w:ind w:firstLine="560"/>
        <w:jc w:val="both"/>
        <w:rPr>
          <w:rFonts w:ascii="仿宋" w:hAnsi="仿宋" w:cs="仿宋"/>
          <w:color w:val="auto"/>
          <w:szCs w:val="28"/>
          <w:lang w:eastAsia="zh-CN"/>
        </w:rPr>
      </w:pPr>
      <w:r>
        <w:rPr>
          <w:rFonts w:hint="eastAsia" w:ascii="仿宋" w:hAnsi="仿宋" w:cs="仿宋"/>
          <w:color w:val="auto"/>
          <w:szCs w:val="28"/>
          <w:lang w:eastAsia="zh-CN"/>
        </w:rPr>
        <w:t>环境应急预案经企业有关会议审议，由企业主要负责人</w:t>
      </w:r>
      <w:r>
        <w:rPr>
          <w:rFonts w:hint="eastAsia" w:ascii="仿宋" w:hAnsi="仿宋" w:cs="仿宋"/>
          <w:color w:val="auto"/>
          <w:szCs w:val="28"/>
          <w:lang w:val="en-US" w:eastAsia="zh-CN"/>
        </w:rPr>
        <w:t>陈锋</w:t>
      </w:r>
      <w:r>
        <w:rPr>
          <w:rFonts w:hint="eastAsia" w:ascii="仿宋" w:hAnsi="仿宋" w:cs="仿宋"/>
          <w:color w:val="auto"/>
          <w:szCs w:val="28"/>
          <w:lang w:eastAsia="zh-CN"/>
        </w:rPr>
        <w:t>签署发布。</w:t>
      </w:r>
    </w:p>
    <w:p>
      <w:pPr>
        <w:pStyle w:val="6"/>
        <w:ind w:left="0" w:firstLine="562"/>
        <w:rPr>
          <w:rFonts w:ascii="仿宋" w:hAnsi="仿宋" w:eastAsia="仿宋" w:cs="仿宋"/>
          <w:color w:val="auto"/>
          <w:sz w:val="28"/>
          <w:szCs w:val="28"/>
          <w:lang w:eastAsia="zh-CN"/>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440" w:bottom="1440" w:left="1440" w:header="851" w:footer="992" w:gutter="0"/>
          <w:pgNumType w:start="1"/>
          <w:cols w:space="720" w:num="1"/>
          <w:docGrid w:linePitch="381" w:charSpace="0"/>
        </w:sectPr>
      </w:pPr>
    </w:p>
    <w:p>
      <w:pPr>
        <w:pStyle w:val="6"/>
        <w:ind w:left="0" w:firstLine="0" w:firstLineChars="0"/>
        <w:rPr>
          <w:rFonts w:ascii="仿宋" w:hAnsi="仿宋" w:eastAsia="仿宋" w:cs="仿宋"/>
          <w:color w:val="auto"/>
          <w:sz w:val="28"/>
          <w:szCs w:val="28"/>
          <w:lang w:eastAsia="zh-CN"/>
        </w:rPr>
      </w:pPr>
      <w:bookmarkStart w:id="35" w:name="_Toc31886"/>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 xml:space="preserve"> 重点内容说明</w:t>
      </w:r>
      <w:bookmarkEnd w:id="35"/>
    </w:p>
    <w:p>
      <w:pPr>
        <w:ind w:firstLine="560"/>
        <w:jc w:val="both"/>
        <w:rPr>
          <w:rFonts w:ascii="仿宋" w:hAnsi="仿宋" w:cs="仿宋"/>
          <w:color w:val="auto"/>
          <w:szCs w:val="28"/>
          <w:lang w:eastAsia="zh-CN"/>
        </w:rPr>
      </w:pPr>
      <w:r>
        <w:rPr>
          <w:rFonts w:hint="eastAsia" w:ascii="仿宋" w:hAnsi="仿宋" w:cs="仿宋"/>
          <w:color w:val="auto"/>
          <w:szCs w:val="28"/>
          <w:lang w:eastAsia="zh-CN"/>
        </w:rPr>
        <w:t>《陕西百固建材有限公司突发环境事件应急预案》综合应急预案部分包括总则，企业基本情况，应急组织指挥体系与职责，预防与预警机制，应急处置，后期处置，应急保障，监督管理，附则；</w:t>
      </w:r>
      <w:r>
        <w:rPr>
          <w:rFonts w:hint="eastAsia" w:ascii="仿宋" w:hAnsi="仿宋" w:cs="仿宋"/>
          <w:color w:val="auto"/>
          <w:lang w:eastAsia="zh-CN"/>
        </w:rPr>
        <w:t>《陕西百固建材有限公司突发环境事件风险评估报告》和《陕西百固建材有限公司突发环境事件应急资源调查报告</w:t>
      </w:r>
      <w:r>
        <w:rPr>
          <w:rFonts w:hint="eastAsia" w:ascii="仿宋" w:hAnsi="仿宋" w:cs="仿宋"/>
          <w:color w:val="auto"/>
          <w:szCs w:val="28"/>
          <w:lang w:eastAsia="zh-CN"/>
        </w:rPr>
        <w:t>》。具体编制内容及是否符合相关要求情况见下表。</w:t>
      </w:r>
    </w:p>
    <w:p>
      <w:pPr>
        <w:widowControl/>
        <w:shd w:val="clear" w:color="auto" w:fill="FEFDF9"/>
        <w:ind w:firstLine="482"/>
        <w:jc w:val="center"/>
        <w:rPr>
          <w:rFonts w:ascii="仿宋" w:hAnsi="仿宋" w:cs="仿宋"/>
          <w:color w:val="auto"/>
          <w:sz w:val="24"/>
          <w:szCs w:val="24"/>
          <w:lang w:eastAsia="zh-CN"/>
        </w:rPr>
      </w:pPr>
      <w:r>
        <w:rPr>
          <w:rFonts w:hint="eastAsia" w:ascii="仿宋" w:hAnsi="仿宋" w:cs="仿宋"/>
          <w:b/>
          <w:bCs/>
          <w:color w:val="auto"/>
          <w:sz w:val="24"/>
          <w:szCs w:val="24"/>
          <w:lang w:eastAsia="zh-CN"/>
        </w:rPr>
        <w:t>表2-1    企业应急预案报告重点内容编制说明表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0" w:type="dxa"/>
          <w:bottom w:w="0" w:type="dxa"/>
          <w:right w:w="0" w:type="dxa"/>
        </w:tblCellMar>
      </w:tblPr>
      <w:tblGrid>
        <w:gridCol w:w="839"/>
        <w:gridCol w:w="4147"/>
        <w:gridCol w:w="3486"/>
        <w:gridCol w:w="81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45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重点章节</w:t>
            </w:r>
          </w:p>
        </w:tc>
        <w:tc>
          <w:tcPr>
            <w:tcW w:w="223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主要编制内容</w:t>
            </w:r>
          </w:p>
        </w:tc>
        <w:tc>
          <w:tcPr>
            <w:tcW w:w="1876"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lang w:eastAsia="zh-CN"/>
              </w:rPr>
            </w:pPr>
            <w:r>
              <w:rPr>
                <w:rFonts w:hint="eastAsia" w:ascii="仿宋" w:hAnsi="仿宋" w:cs="仿宋"/>
                <w:b/>
                <w:bCs/>
                <w:color w:val="auto"/>
                <w:sz w:val="24"/>
                <w:szCs w:val="24"/>
                <w:lang w:eastAsia="zh-CN"/>
              </w:rPr>
              <w:t>报告编制与《备案管理办法》等相关文件对应性</w:t>
            </w:r>
          </w:p>
        </w:tc>
        <w:tc>
          <w:tcPr>
            <w:tcW w:w="44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是否满足要求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应急组织机构及职责</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20明确了企业应急组织指挥体系组成；明确了应急指挥机构成员组成情况、指挥机构及职责，明确了体系成员单位在日常及应急状态下的工作职责，明确应急救援的总指挥、副总指挥和各应急救援小组及其相应职责。</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《企业事业单位突发环境事件应急预案备案管理办法（试行）》（环发〔2015〕4号）第九条规定：环境应急预案侧重明确现场组织指挥机制</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预防与预警</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26～P32预防与预警机制包括应急准备措施，环境风险隐患排查和整治措施，预警相应措施，预警发布、解除、改正。建立了风险隐患定期排查制度，明确环境风险源的监测、监控方式方法。明确风险隐患所采取主要技术性预防措施，并及时付诸实施。能够按照突发环境事件发生的紧急程度可能造成的危害程度进行预警，预警级别与采取的预警措施能有机衔接，明确预警信息发布的方式及流程。明确企业内部报告程序，外部报告时限要求及程序。</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《企业事业单位突发环境事件应急预案备案管理办法（试行）》（环发〔2015〕4号）第九条规定：环境应急预案侧重监测预警</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应急响应及措施</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33～P44重点说明了不同情况下的应急措施，主要包括：废润滑油桶泄露应急处理、火灾事故应急措施，明确企业信息报告与发布的程序、时限、方法和内容，明确应急终止的条件、程序和后续工作内容。</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《企业事业单位突发环境事件应急预案备案管理办法（试行）》（环发〔2015〕4号）第九条规定：环境应急预案体现自救互救、信息报告、先期处置，侧重应急队伍分工、不同情况下的应急措施</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应急保障</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应急预案：P47～P49应急保障包括人力资源保障，资金保障，物资保障，医疗卫生保障，交通运输保障，通讯保障和技术支撑。</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《企业事业单位突发环境事件应急预案备案管理办法（试行）》（环发〔2015〕4号）第九条规定：环境应急预案侧重应急资源保障</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资料准备与环境风险识别</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7～P18调查企业基本情况包含了企业基本情况及厂区平面布置、企业周边环境状况、环境质量状况以及企业周边环境风险受体情况、企业生产现状、主要生产设备、工艺简介；P12~P15调查现有环境风险防控与应急措施情况；P15~P18调查企业现有应急物资与装备、救援队伍情况等。</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6.1资料准备与环境风险识别：在收集相关资料的基础上，开展环境风险识别。环境风险识别对象包括：1）企业基本信息；2）周边环境风险受体；3）涉及环境风险物质和数量；4）生产工艺；5）安全生产管理；6）环境风险单元及现有环境风险防控与应急措施；7）现有应急资源等。</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突发环境事件及其后果分析</w:t>
            </w:r>
          </w:p>
        </w:tc>
        <w:tc>
          <w:tcPr>
            <w:tcW w:w="2232" w:type="pct"/>
            <w:tcMar>
              <w:top w:w="0" w:type="dxa"/>
              <w:left w:w="108" w:type="dxa"/>
              <w:bottom w:w="0" w:type="dxa"/>
              <w:right w:w="108" w:type="dxa"/>
            </w:tcMar>
            <w:vAlign w:val="center"/>
          </w:tcPr>
          <w:p>
            <w:pPr>
              <w:widowControl/>
              <w:spacing w:line="240" w:lineRule="auto"/>
              <w:ind w:firstLine="48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风险评估报告：P10～P13对企业存在的突发环境风险进行了分析。企业主要突发事故主要为润滑油、废润滑油油桶穿孔、裂缝导致废润滑油泄漏以及泄漏后遇明火或高温造成油品燃烧事故。</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6.2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次生和衍生后果分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现有环境风险防控和应急措施差距分析</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20～P29从环境风险管理制度、环境风险防控与应急措施、环境应急资源三个方面对企业现有风险防控与应急措施进行调查与分析；针对企业目前存在的环保方面、应急措施方面存在的问题提出整改的短期、中期和长期项目内容，具体见表6-1。</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7现有环境风险防控与应急措施差距分析：对现有环境风险防控与应急措施的完备性、可靠性和有效性进行分析论证，找出差距、问题，提出需要整改的短期、中期和长期项目内容。</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完善环境风险防控和应急措施的实施计划</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风险评估报告：P29列出企业需要整改的短期、中期和长期项目，并明确责任人。</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企业突发环境事件风险评估指南（试行）》（环办〔2014〕34号）8完善环境风险防控与应急措施的实施计划：针对需要整改的短期、中期和长期项目，分别制定完善环境风险防控和应急措施的实施计划。实施计划应明确环境风险管理制度、环境风险防控措施、环境应急能力建设等内容，逐项制定加强环境风险防控措施和应急管理的目标、责任人及完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rPr>
              <w:t>满足</w:t>
            </w:r>
          </w:p>
        </w:tc>
      </w:tr>
    </w:tbl>
    <w:p>
      <w:pPr>
        <w:pStyle w:val="2"/>
        <w:ind w:firstLine="560"/>
        <w:rPr>
          <w:rFonts w:ascii="仿宋" w:hAnsi="仿宋" w:cs="仿宋"/>
          <w:color w:val="auto"/>
          <w:lang w:eastAsia="zh-CN"/>
        </w:rPr>
      </w:pPr>
    </w:p>
    <w:p>
      <w:pPr>
        <w:pStyle w:val="4"/>
        <w:ind w:firstLine="0" w:firstLineChars="0"/>
        <w:rPr>
          <w:rFonts w:ascii="仿宋" w:hAnsi="仿宋" w:cs="仿宋"/>
          <w:color w:val="auto"/>
          <w:lang w:eastAsia="zh-CN"/>
        </w:rPr>
      </w:pPr>
    </w:p>
    <w:p>
      <w:pPr>
        <w:pStyle w:val="4"/>
        <w:ind w:firstLine="0" w:firstLineChars="0"/>
        <w:rPr>
          <w:rFonts w:ascii="仿宋" w:hAnsi="仿宋" w:cs="仿宋"/>
          <w:color w:val="auto"/>
          <w:lang w:eastAsia="zh-CN"/>
        </w:rPr>
        <w:sectPr>
          <w:headerReference r:id="rId17" w:type="default"/>
          <w:footerReference r:id="rId18" w:type="default"/>
          <w:pgSz w:w="11910" w:h="16840"/>
          <w:pgMar w:top="1418" w:right="1418" w:bottom="1418" w:left="1418" w:header="0" w:footer="1185" w:gutter="0"/>
          <w:cols w:space="720" w:num="1"/>
        </w:sectPr>
      </w:pPr>
    </w:p>
    <w:p>
      <w:pPr>
        <w:snapToGrid/>
        <w:ind w:firstLine="0" w:firstLineChars="0"/>
        <w:outlineLvl w:val="0"/>
        <w:rPr>
          <w:rFonts w:ascii="仿宋" w:hAnsi="仿宋" w:cs="仿宋"/>
          <w:b/>
          <w:bCs/>
          <w:color w:val="auto"/>
          <w:spacing w:val="-73"/>
          <w:sz w:val="30"/>
          <w:szCs w:val="30"/>
          <w:lang w:eastAsia="zh-CN"/>
        </w:rPr>
      </w:pPr>
      <w:bookmarkStart w:id="36" w:name="_Toc449"/>
      <w:r>
        <w:rPr>
          <w:rFonts w:hint="eastAsia" w:ascii="仿宋" w:hAnsi="仿宋" w:cs="仿宋"/>
          <w:b/>
          <w:bCs/>
          <w:color w:val="auto"/>
          <w:sz w:val="30"/>
          <w:szCs w:val="30"/>
          <w:lang w:val="en-US" w:eastAsia="zh-CN"/>
        </w:rPr>
        <w:t>4</w:t>
      </w:r>
      <w:r>
        <w:rPr>
          <w:rFonts w:hint="eastAsia" w:ascii="仿宋" w:hAnsi="仿宋" w:cs="仿宋"/>
          <w:b/>
          <w:bCs/>
          <w:color w:val="auto"/>
          <w:sz w:val="30"/>
          <w:szCs w:val="30"/>
          <w:lang w:eastAsia="zh-CN"/>
        </w:rPr>
        <w:t xml:space="preserve"> 征求意见及采纳情况说明</w:t>
      </w:r>
      <w:bookmarkEnd w:id="36"/>
    </w:p>
    <w:p>
      <w:pPr>
        <w:snapToGrid/>
        <w:ind w:firstLine="0" w:firstLineChars="0"/>
        <w:outlineLvl w:val="0"/>
        <w:rPr>
          <w:rFonts w:hint="eastAsia" w:ascii="仿宋" w:hAnsi="仿宋" w:cs="仿宋"/>
          <w:b/>
          <w:bCs/>
          <w:color w:val="auto"/>
          <w:sz w:val="30"/>
          <w:szCs w:val="30"/>
          <w:lang w:val="en-US" w:eastAsia="zh-CN"/>
        </w:rPr>
      </w:pPr>
      <w:bookmarkStart w:id="37" w:name="_Toc10629"/>
      <w:r>
        <w:rPr>
          <w:rFonts w:hint="eastAsia" w:ascii="仿宋" w:hAnsi="仿宋" w:cs="仿宋"/>
          <w:b/>
          <w:bCs/>
          <w:color w:val="auto"/>
          <w:sz w:val="30"/>
          <w:szCs w:val="30"/>
          <w:lang w:val="en-US" w:eastAsia="zh-CN"/>
        </w:rPr>
        <w:t>4.1 内部评审过程</w:t>
      </w:r>
      <w:bookmarkEnd w:id="37"/>
    </w:p>
    <w:p>
      <w:pPr>
        <w:widowControl/>
        <w:shd w:val="clear" w:color="auto" w:fill="FFFFFF"/>
        <w:snapToGrid/>
        <w:ind w:firstLine="560"/>
        <w:jc w:val="both"/>
        <w:textAlignment w:val="baseline"/>
        <w:rPr>
          <w:rFonts w:ascii="仿宋" w:hAnsi="仿宋" w:cs="仿宋"/>
          <w:color w:val="auto"/>
          <w:szCs w:val="28"/>
          <w:lang w:eastAsia="zh-CN"/>
        </w:rPr>
      </w:pPr>
      <w:r>
        <w:rPr>
          <w:rFonts w:hint="eastAsia" w:ascii="仿宋" w:hAnsi="仿宋" w:cs="仿宋"/>
          <w:color w:val="auto"/>
          <w:szCs w:val="28"/>
          <w:lang w:eastAsia="zh-CN"/>
        </w:rPr>
        <w:t>2021年</w:t>
      </w:r>
      <w:r>
        <w:rPr>
          <w:rFonts w:hint="eastAsia" w:ascii="仿宋" w:hAnsi="仿宋" w:cs="仿宋"/>
          <w:color w:val="auto"/>
          <w:szCs w:val="28"/>
          <w:highlight w:val="none"/>
          <w:lang w:val="en-US" w:eastAsia="zh-CN"/>
        </w:rPr>
        <w:t>12</w:t>
      </w:r>
      <w:r>
        <w:rPr>
          <w:rFonts w:hint="eastAsia" w:ascii="仿宋" w:hAnsi="仿宋" w:cs="仿宋"/>
          <w:color w:val="auto"/>
          <w:szCs w:val="28"/>
          <w:highlight w:val="none"/>
          <w:lang w:eastAsia="zh-CN"/>
        </w:rPr>
        <w:t>月</w:t>
      </w:r>
      <w:r>
        <w:rPr>
          <w:rFonts w:hint="eastAsia" w:ascii="仿宋" w:hAnsi="仿宋" w:cs="仿宋"/>
          <w:color w:val="auto"/>
          <w:szCs w:val="28"/>
          <w:lang w:eastAsia="zh-CN"/>
        </w:rPr>
        <w:t>，预案初稿编制完成后，我公司按照《突发环境事件应急预案管理暂行办法》的要求召开了《陕西百固建材有限公司突发环境事件应急预案》内部评审会议，会议召集公司领导、各部门主管和突发环境事件应急预案相关职能工作人员，并邀请周边企业和居民代表参加。评审人员听取了编制小组关于突发环境事件应急预案的基本内容和编制经过汇报，通过现场检查，就预案书面审查和现场检查中发现的问题，与预案编制人员进行交流，并形成了评审意见。</w:t>
      </w:r>
    </w:p>
    <w:p>
      <w:pPr>
        <w:widowControl/>
        <w:shd w:val="clear" w:color="auto" w:fill="FFFFFF"/>
        <w:snapToGrid/>
        <w:ind w:firstLine="560"/>
        <w:textAlignment w:val="baseline"/>
        <w:rPr>
          <w:rFonts w:ascii="仿宋" w:hAnsi="仿宋" w:cs="仿宋"/>
          <w:color w:val="auto"/>
          <w:szCs w:val="28"/>
          <w:lang w:eastAsia="zh-CN"/>
        </w:rPr>
      </w:pPr>
      <w:r>
        <w:rPr>
          <w:rFonts w:hint="eastAsia" w:ascii="仿宋" w:hAnsi="仿宋" w:cs="仿宋"/>
          <w:color w:val="auto"/>
          <w:szCs w:val="28"/>
          <w:lang w:eastAsia="zh-CN"/>
        </w:rPr>
        <w:t>内部评审中与会代表所提出的建议见表3-1。</w:t>
      </w:r>
    </w:p>
    <w:p>
      <w:pPr>
        <w:pStyle w:val="2"/>
        <w:snapToGrid/>
        <w:ind w:firstLine="0" w:firstLineChars="0"/>
        <w:jc w:val="center"/>
        <w:rPr>
          <w:rFonts w:ascii="仿宋" w:hAnsi="仿宋" w:cs="仿宋"/>
          <w:b/>
          <w:bCs/>
          <w:color w:val="auto"/>
          <w:sz w:val="24"/>
          <w:szCs w:val="24"/>
          <w:lang w:eastAsia="zh-CN"/>
        </w:rPr>
      </w:pPr>
      <w:r>
        <w:rPr>
          <w:rFonts w:hint="eastAsia" w:ascii="仿宋" w:hAnsi="仿宋" w:cs="仿宋"/>
          <w:b/>
          <w:bCs/>
          <w:color w:val="auto"/>
          <w:sz w:val="24"/>
          <w:szCs w:val="24"/>
          <w:lang w:eastAsia="zh-CN"/>
        </w:rPr>
        <w:t>表3-1    内部评审意见及采纳情况表</w:t>
      </w:r>
    </w:p>
    <w:tbl>
      <w:tblPr>
        <w:tblStyle w:val="20"/>
        <w:tblW w:w="5000" w:type="pct"/>
        <w:tblCellSpacing w:w="15" w:type="dxa"/>
        <w:tblInd w:w="0" w:type="dxa"/>
        <w:shd w:val="clear" w:color="auto" w:fill="FFFFFF"/>
        <w:tblLayout w:type="autofit"/>
        <w:tblCellMar>
          <w:top w:w="15" w:type="dxa"/>
          <w:left w:w="15" w:type="dxa"/>
          <w:bottom w:w="15" w:type="dxa"/>
          <w:right w:w="15" w:type="dxa"/>
        </w:tblCellMar>
      </w:tblPr>
      <w:tblGrid>
        <w:gridCol w:w="868"/>
        <w:gridCol w:w="3110"/>
        <w:gridCol w:w="5396"/>
      </w:tblGrid>
      <w:tr>
        <w:tblPrEx>
          <w:shd w:val="clear" w:color="auto" w:fill="FFFFFF"/>
          <w:tblCellMar>
            <w:top w:w="15" w:type="dxa"/>
            <w:left w:w="15" w:type="dxa"/>
            <w:bottom w:w="15" w:type="dxa"/>
            <w:right w:w="15" w:type="dxa"/>
          </w:tblCellMar>
        </w:tblPrEx>
        <w:trPr>
          <w:trHeight w:val="340" w:hRule="atLeast"/>
          <w:tblCellSpacing w:w="15" w:type="dxa"/>
        </w:trPr>
        <w:tc>
          <w:tcPr>
            <w:tcW w:w="439" w:type="pct"/>
            <w:tcBorders>
              <w:top w:val="single" w:color="auto" w:sz="6" w:space="0"/>
              <w:left w:val="single" w:color="auto" w:sz="6" w:space="0"/>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rPr>
            </w:pPr>
            <w:r>
              <w:rPr>
                <w:rFonts w:hint="eastAsia" w:ascii="仿宋" w:hAnsi="仿宋" w:cs="仿宋"/>
                <w:b/>
                <w:bCs/>
                <w:color w:val="auto"/>
                <w:sz w:val="24"/>
                <w:szCs w:val="24"/>
              </w:rPr>
              <w:t>序号</w:t>
            </w:r>
          </w:p>
        </w:tc>
        <w:tc>
          <w:tcPr>
            <w:tcW w:w="1643" w:type="pct"/>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rPr>
            </w:pPr>
            <w:r>
              <w:rPr>
                <w:rFonts w:hint="eastAsia" w:ascii="仿宋" w:hAnsi="仿宋" w:cs="仿宋"/>
                <w:b/>
                <w:bCs/>
                <w:color w:val="auto"/>
                <w:sz w:val="24"/>
                <w:szCs w:val="24"/>
              </w:rPr>
              <w:t>意见内容</w:t>
            </w:r>
          </w:p>
        </w:tc>
        <w:tc>
          <w:tcPr>
            <w:tcW w:w="2854" w:type="pct"/>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b/>
                <w:bCs/>
                <w:color w:val="auto"/>
                <w:sz w:val="24"/>
                <w:szCs w:val="24"/>
              </w:rPr>
            </w:pPr>
            <w:r>
              <w:rPr>
                <w:rFonts w:hint="eastAsia" w:ascii="仿宋" w:hAnsi="仿宋" w:cs="仿宋"/>
                <w:b/>
                <w:bCs/>
                <w:color w:val="auto"/>
                <w:sz w:val="24"/>
                <w:szCs w:val="24"/>
                <w:lang w:eastAsia="zh-CN"/>
              </w:rPr>
              <w:t>采纳情况</w:t>
            </w:r>
          </w:p>
        </w:tc>
      </w:tr>
      <w:tr>
        <w:tblPrEx>
          <w:tblCellMar>
            <w:top w:w="15" w:type="dxa"/>
            <w:left w:w="15" w:type="dxa"/>
            <w:bottom w:w="15" w:type="dxa"/>
            <w:right w:w="15" w:type="dxa"/>
          </w:tblCellMar>
        </w:tblPrEx>
        <w:trPr>
          <w:trHeight w:val="340" w:hRule="atLeast"/>
          <w:tblCellSpacing w:w="15" w:type="dxa"/>
        </w:trPr>
        <w:tc>
          <w:tcPr>
            <w:tcW w:w="439" w:type="pc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rPr>
            </w:pPr>
            <w:r>
              <w:rPr>
                <w:rFonts w:hint="eastAsia" w:ascii="仿宋" w:hAnsi="仿宋" w:cs="仿宋"/>
                <w:color w:val="auto"/>
                <w:sz w:val="24"/>
                <w:szCs w:val="24"/>
              </w:rPr>
              <w:t>1</w:t>
            </w:r>
          </w:p>
        </w:tc>
        <w:tc>
          <w:tcPr>
            <w:tcW w:w="1643"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lang w:eastAsia="zh-CN"/>
              </w:rPr>
            </w:pPr>
            <w:r>
              <w:rPr>
                <w:rFonts w:hint="eastAsia" w:ascii="仿宋" w:hAnsi="仿宋" w:cs="仿宋"/>
                <w:color w:val="auto"/>
                <w:sz w:val="24"/>
                <w:szCs w:val="24"/>
                <w:lang w:eastAsia="zh-CN"/>
              </w:rPr>
              <w:t>加强安全风险应急措施</w:t>
            </w:r>
          </w:p>
        </w:tc>
        <w:tc>
          <w:tcPr>
            <w:tcW w:w="2854"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针对公司现有风险源及可能发生的事故，采取一定的风险防范和应急措施</w:t>
            </w:r>
          </w:p>
        </w:tc>
      </w:tr>
      <w:tr>
        <w:tblPrEx>
          <w:shd w:val="clear" w:color="auto" w:fill="FFFFFF"/>
          <w:tblCellMar>
            <w:top w:w="15" w:type="dxa"/>
            <w:left w:w="15" w:type="dxa"/>
            <w:bottom w:w="15" w:type="dxa"/>
            <w:right w:w="15" w:type="dxa"/>
          </w:tblCellMar>
        </w:tblPrEx>
        <w:trPr>
          <w:trHeight w:val="340" w:hRule="atLeast"/>
          <w:tblCellSpacing w:w="15" w:type="dxa"/>
        </w:trPr>
        <w:tc>
          <w:tcPr>
            <w:tcW w:w="439" w:type="pct"/>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rPr>
            </w:pPr>
            <w:r>
              <w:rPr>
                <w:rFonts w:hint="eastAsia" w:ascii="仿宋" w:hAnsi="仿宋" w:cs="仿宋"/>
                <w:color w:val="auto"/>
                <w:sz w:val="24"/>
                <w:szCs w:val="24"/>
              </w:rPr>
              <w:t>2</w:t>
            </w:r>
          </w:p>
        </w:tc>
        <w:tc>
          <w:tcPr>
            <w:tcW w:w="1643"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textAlignment w:val="baseline"/>
              <w:rPr>
                <w:rFonts w:ascii="仿宋" w:hAnsi="仿宋" w:cs="仿宋"/>
                <w:color w:val="auto"/>
                <w:sz w:val="24"/>
                <w:szCs w:val="24"/>
              </w:rPr>
            </w:pPr>
            <w:r>
              <w:rPr>
                <w:rFonts w:hint="eastAsia" w:ascii="仿宋" w:hAnsi="仿宋" w:cs="仿宋"/>
                <w:color w:val="auto"/>
                <w:sz w:val="24"/>
                <w:szCs w:val="24"/>
              </w:rPr>
              <w:t>完善应急监测内容</w:t>
            </w:r>
          </w:p>
        </w:tc>
        <w:tc>
          <w:tcPr>
            <w:tcW w:w="2854" w:type="pct"/>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根据发生事故情况制定相应的监测方案</w:t>
            </w:r>
          </w:p>
        </w:tc>
      </w:tr>
    </w:tbl>
    <w:p>
      <w:pPr>
        <w:snapToGrid/>
        <w:ind w:firstLine="0" w:firstLineChars="0"/>
        <w:outlineLvl w:val="0"/>
        <w:rPr>
          <w:rFonts w:hint="eastAsia" w:ascii="仿宋" w:hAnsi="仿宋" w:cs="仿宋"/>
          <w:b/>
          <w:bCs/>
          <w:color w:val="auto"/>
          <w:sz w:val="30"/>
          <w:szCs w:val="30"/>
          <w:lang w:val="en-US" w:eastAsia="zh-CN"/>
        </w:rPr>
      </w:pPr>
      <w:bookmarkStart w:id="38" w:name="_Toc7758"/>
      <w:r>
        <w:rPr>
          <w:rFonts w:hint="eastAsia" w:ascii="仿宋" w:hAnsi="仿宋" w:cs="仿宋"/>
          <w:b/>
          <w:bCs/>
          <w:color w:val="auto"/>
          <w:sz w:val="30"/>
          <w:szCs w:val="30"/>
          <w:lang w:val="en-US" w:eastAsia="zh-CN"/>
        </w:rPr>
        <w:t>4.2 外部评审过程</w:t>
      </w:r>
      <w:bookmarkEnd w:id="38"/>
    </w:p>
    <w:p>
      <w:pPr>
        <w:pStyle w:val="2"/>
        <w:ind w:firstLine="560"/>
        <w:jc w:val="both"/>
        <w:rPr>
          <w:rFonts w:ascii="仿宋" w:hAnsi="仿宋" w:cs="仿宋"/>
          <w:color w:val="auto"/>
          <w:lang w:eastAsia="zh-CN"/>
        </w:rPr>
      </w:pPr>
      <w:r>
        <w:rPr>
          <w:rFonts w:hint="eastAsia" w:ascii="仿宋" w:hAnsi="仿宋" w:cs="仿宋"/>
          <w:color w:val="auto"/>
          <w:lang w:eastAsia="zh-CN"/>
        </w:rPr>
        <w:t>2021年12月，</w:t>
      </w:r>
      <w:r>
        <w:rPr>
          <w:rFonts w:hint="eastAsia" w:ascii="仿宋" w:hAnsi="仿宋" w:cs="仿宋"/>
          <w:color w:val="auto"/>
          <w:szCs w:val="28"/>
          <w:lang w:eastAsia="zh-CN"/>
        </w:rPr>
        <w:t>陕西百固建材有限公司</w:t>
      </w:r>
      <w:r>
        <w:rPr>
          <w:rFonts w:hint="eastAsia" w:ascii="仿宋" w:hAnsi="仿宋" w:cs="仿宋"/>
          <w:color w:val="auto"/>
          <w:lang w:eastAsia="zh-CN"/>
        </w:rPr>
        <w:t>邀请了陕西省生态环境厅突发环境事件应急专家库（陕环应急函〔2019〕42号附件应急专家库）3位专家对《</w:t>
      </w:r>
      <w:r>
        <w:rPr>
          <w:rFonts w:hint="eastAsia" w:ascii="仿宋" w:hAnsi="仿宋" w:cs="仿宋"/>
          <w:color w:val="auto"/>
          <w:szCs w:val="28"/>
          <w:lang w:eastAsia="zh-CN"/>
        </w:rPr>
        <w:t>陕西百固建材有限公司</w:t>
      </w:r>
      <w:r>
        <w:rPr>
          <w:rFonts w:hint="eastAsia" w:ascii="仿宋" w:hAnsi="仿宋" w:cs="仿宋"/>
          <w:color w:val="auto"/>
          <w:lang w:eastAsia="zh-CN"/>
        </w:rPr>
        <w:t>突发环境事件应急预案》进行了函审，并形成初步评审意见。初步评审意见及修改情况见附件。专家名单见表3-2。</w:t>
      </w:r>
    </w:p>
    <w:p>
      <w:pPr>
        <w:widowControl/>
        <w:shd w:val="clear" w:color="auto" w:fill="FEFDF9"/>
        <w:ind w:firstLine="482"/>
        <w:jc w:val="center"/>
        <w:rPr>
          <w:rFonts w:ascii="仿宋" w:hAnsi="仿宋" w:cs="仿宋"/>
          <w:color w:val="auto"/>
          <w:sz w:val="18"/>
          <w:szCs w:val="18"/>
          <w:lang w:eastAsia="zh-CN"/>
        </w:rPr>
      </w:pPr>
      <w:r>
        <w:rPr>
          <w:rFonts w:hint="eastAsia" w:ascii="仿宋" w:hAnsi="仿宋" w:cs="仿宋"/>
          <w:b/>
          <w:bCs/>
          <w:color w:val="auto"/>
          <w:sz w:val="24"/>
          <w:szCs w:val="24"/>
          <w:lang w:eastAsia="zh-CN"/>
        </w:rPr>
        <w:t>表3-2    函审专家小组成员组成表</w:t>
      </w:r>
    </w:p>
    <w:tbl>
      <w:tblPr>
        <w:tblStyle w:val="20"/>
        <w:tblW w:w="5000" w:type="pct"/>
        <w:jc w:val="center"/>
        <w:tblLayout w:type="autofit"/>
        <w:tblCellMar>
          <w:top w:w="0" w:type="dxa"/>
          <w:left w:w="0" w:type="dxa"/>
          <w:bottom w:w="0" w:type="dxa"/>
          <w:right w:w="0" w:type="dxa"/>
        </w:tblCellMar>
      </w:tblPr>
      <w:tblGrid>
        <w:gridCol w:w="2806"/>
        <w:gridCol w:w="3875"/>
        <w:gridCol w:w="2609"/>
      </w:tblGrid>
      <w:tr>
        <w:tblPrEx>
          <w:tblCellMar>
            <w:top w:w="0" w:type="dxa"/>
            <w:left w:w="0" w:type="dxa"/>
            <w:bottom w:w="0" w:type="dxa"/>
            <w:right w:w="0" w:type="dxa"/>
          </w:tblCellMar>
        </w:tblPrEx>
        <w:trPr>
          <w:trHeight w:val="340" w:hRule="atLeast"/>
          <w:jc w:val="center"/>
        </w:trPr>
        <w:tc>
          <w:tcPr>
            <w:tcW w:w="1510" w:type="pct"/>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姓名</w:t>
            </w:r>
          </w:p>
        </w:tc>
        <w:tc>
          <w:tcPr>
            <w:tcW w:w="2085"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lang w:eastAsia="zh-CN"/>
              </w:rPr>
              <w:t>工作单位</w:t>
            </w:r>
          </w:p>
        </w:tc>
        <w:tc>
          <w:tcPr>
            <w:tcW w:w="1404"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b/>
                <w:bCs/>
                <w:color w:val="auto"/>
                <w:sz w:val="24"/>
                <w:szCs w:val="24"/>
              </w:rPr>
            </w:pPr>
            <w:r>
              <w:rPr>
                <w:rFonts w:hint="eastAsia" w:ascii="仿宋" w:hAnsi="仿宋" w:cs="仿宋"/>
                <w:b/>
                <w:bCs/>
                <w:color w:val="auto"/>
                <w:sz w:val="24"/>
                <w:szCs w:val="24"/>
              </w:rPr>
              <w:t>职务/职称</w:t>
            </w:r>
          </w:p>
        </w:tc>
      </w:tr>
      <w:tr>
        <w:tblPrEx>
          <w:tblCellMar>
            <w:top w:w="0" w:type="dxa"/>
            <w:left w:w="0" w:type="dxa"/>
            <w:bottom w:w="0" w:type="dxa"/>
            <w:right w:w="0" w:type="dxa"/>
          </w:tblCellMar>
        </w:tblPrEx>
        <w:trPr>
          <w:trHeight w:val="340" w:hRule="atLeast"/>
          <w:jc w:val="center"/>
        </w:trPr>
        <w:tc>
          <w:tcPr>
            <w:tcW w:w="151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eastAsia="仿宋" w:cs="仿宋"/>
                <w:color w:val="auto"/>
                <w:sz w:val="24"/>
                <w:szCs w:val="24"/>
                <w:lang w:val="en-US" w:eastAsia="zh-CN"/>
              </w:rPr>
            </w:pPr>
            <w:r>
              <w:rPr>
                <w:rFonts w:hint="eastAsia" w:ascii="仿宋" w:hAnsi="仿宋" w:cs="仿宋"/>
                <w:color w:val="auto"/>
                <w:sz w:val="24"/>
                <w:szCs w:val="24"/>
                <w:lang w:val="en-US" w:eastAsia="zh-CN"/>
              </w:rPr>
              <w:t>杜新黎</w:t>
            </w:r>
          </w:p>
        </w:tc>
        <w:tc>
          <w:tcPr>
            <w:tcW w:w="208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陕西省环境监测中心站</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cs="仿宋"/>
                <w:color w:val="auto"/>
                <w:sz w:val="24"/>
                <w:szCs w:val="24"/>
                <w:lang w:val="en-US" w:eastAsia="zh-CN"/>
              </w:rPr>
            </w:pPr>
            <w:r>
              <w:rPr>
                <w:rFonts w:hint="eastAsia" w:ascii="仿宋" w:hAnsi="仿宋" w:cs="仿宋"/>
                <w:color w:val="auto"/>
                <w:sz w:val="24"/>
                <w:szCs w:val="24"/>
                <w:lang w:val="en-US" w:eastAsia="zh-CN"/>
              </w:rPr>
              <w:t>教高</w:t>
            </w:r>
          </w:p>
        </w:tc>
      </w:tr>
      <w:tr>
        <w:tblPrEx>
          <w:tblCellMar>
            <w:top w:w="0" w:type="dxa"/>
            <w:left w:w="0" w:type="dxa"/>
            <w:bottom w:w="0" w:type="dxa"/>
            <w:right w:w="0" w:type="dxa"/>
          </w:tblCellMar>
        </w:tblPrEx>
        <w:trPr>
          <w:trHeight w:val="340" w:hRule="atLeast"/>
          <w:jc w:val="center"/>
        </w:trPr>
        <w:tc>
          <w:tcPr>
            <w:tcW w:w="151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兰涛</w:t>
            </w:r>
          </w:p>
        </w:tc>
        <w:tc>
          <w:tcPr>
            <w:tcW w:w="208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rPr>
            </w:pPr>
            <w:r>
              <w:rPr>
                <w:rFonts w:hint="eastAsia" w:ascii="仿宋" w:hAnsi="仿宋" w:cs="仿宋"/>
                <w:color w:val="auto"/>
                <w:sz w:val="24"/>
                <w:szCs w:val="24"/>
                <w:lang w:eastAsia="zh-CN"/>
              </w:rPr>
              <w:t>西安中地环境科技有限公司</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default" w:ascii="仿宋" w:hAnsi="仿宋" w:cs="仿宋"/>
                <w:color w:val="auto"/>
                <w:sz w:val="24"/>
                <w:szCs w:val="24"/>
                <w:lang w:val="en-US" w:eastAsia="zh-CN"/>
              </w:rPr>
            </w:pPr>
            <w:r>
              <w:rPr>
                <w:rFonts w:hint="eastAsia" w:ascii="仿宋" w:hAnsi="仿宋" w:cs="仿宋"/>
                <w:color w:val="auto"/>
                <w:sz w:val="24"/>
                <w:szCs w:val="24"/>
                <w:lang w:val="en-US" w:eastAsia="zh-CN"/>
              </w:rPr>
              <w:t>高级工程师</w:t>
            </w:r>
          </w:p>
        </w:tc>
      </w:tr>
      <w:tr>
        <w:tblPrEx>
          <w:tblCellMar>
            <w:top w:w="0" w:type="dxa"/>
            <w:left w:w="0" w:type="dxa"/>
            <w:bottom w:w="0" w:type="dxa"/>
            <w:right w:w="0" w:type="dxa"/>
          </w:tblCellMar>
        </w:tblPrEx>
        <w:trPr>
          <w:trHeight w:val="340" w:hRule="atLeast"/>
          <w:jc w:val="center"/>
        </w:trPr>
        <w:tc>
          <w:tcPr>
            <w:tcW w:w="151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马超杰</w:t>
            </w:r>
          </w:p>
        </w:tc>
        <w:tc>
          <w:tcPr>
            <w:tcW w:w="2085"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eastAsia="zh-CN"/>
              </w:rPr>
              <w:t>信息产业部电子综合勘察研究院</w:t>
            </w:r>
          </w:p>
        </w:tc>
        <w:tc>
          <w:tcPr>
            <w:tcW w:w="140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仿宋"/>
                <w:color w:val="auto"/>
                <w:sz w:val="24"/>
                <w:szCs w:val="24"/>
                <w:lang w:eastAsia="zh-CN"/>
              </w:rPr>
            </w:pPr>
            <w:r>
              <w:rPr>
                <w:rFonts w:hint="eastAsia" w:ascii="仿宋" w:hAnsi="仿宋" w:cs="仿宋"/>
                <w:color w:val="auto"/>
                <w:sz w:val="24"/>
                <w:szCs w:val="24"/>
                <w:lang w:val="en-US" w:eastAsia="zh-CN"/>
              </w:rPr>
              <w:t>高级工程师</w:t>
            </w:r>
          </w:p>
        </w:tc>
      </w:tr>
    </w:tbl>
    <w:p>
      <w:pPr>
        <w:pStyle w:val="39"/>
        <w:ind w:firstLine="560"/>
        <w:rPr>
          <w:rFonts w:ascii="仿宋" w:hAnsi="仿宋" w:cs="仿宋"/>
          <w:color w:val="auto"/>
          <w:szCs w:val="28"/>
        </w:rPr>
      </w:pPr>
    </w:p>
    <w:p>
      <w:pPr>
        <w:pStyle w:val="39"/>
        <w:ind w:firstLine="560"/>
        <w:rPr>
          <w:rFonts w:ascii="仿宋" w:hAnsi="仿宋" w:cs="仿宋"/>
          <w:color w:val="auto"/>
          <w:szCs w:val="28"/>
        </w:rPr>
      </w:pPr>
    </w:p>
    <w:bookmarkEnd w:id="39"/>
    <w:sectPr>
      <w:pgSz w:w="11910" w:h="16840"/>
      <w:pgMar w:top="1418" w:right="1418" w:bottom="1418" w:left="1418" w:header="0" w:footer="118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1247986"/>
    </w:sdtPr>
    <w:sdtContent>
      <w:p>
        <w:pPr>
          <w:pStyle w:val="14"/>
          <w:ind w:firstLine="0" w:firstLineChars="0"/>
          <w:jc w:val="center"/>
          <w:textAlignment w:val="center"/>
        </w:pPr>
        <w:r>
          <w:rPr>
            <w:rFonts w:hint="eastAsia"/>
          </w:rPr>
          <w:t>Ⅰ</w:t>
        </w:r>
      </w:p>
    </w:sdtContent>
  </w:sdt>
  <w:p>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ind w:firstLine="360"/>
      <w:rPr>
        <w:rStyle w:val="23"/>
      </w:rPr>
    </w:pPr>
    <w:r>
      <w:fldChar w:fldCharType="begin"/>
    </w:r>
    <w:r>
      <w:rPr>
        <w:rStyle w:val="23"/>
      </w:rPr>
      <w:instrText xml:space="preserve">PAGE  </w:instrText>
    </w:r>
    <w:r>
      <w:fldChar w:fldCharType="separate"/>
    </w:r>
    <w:r>
      <w:rPr>
        <w:rStyle w:val="23"/>
      </w:rPr>
      <w:t>58</w:t>
    </w:r>
    <w:r>
      <w:fldChar w:fldCharType="end"/>
    </w:r>
  </w:p>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sz w:val="28"/>
        <w:szCs w:val="28"/>
        <w:lang w:val="zh-CN" w:eastAsia="zh-CN"/>
      </w:rPr>
      <w:id w:val="1348829821"/>
    </w:sdtPr>
    <w:sdtEndPr>
      <w:rPr>
        <w:rFonts w:asciiTheme="majorHAnsi" w:hAnsiTheme="majorHAnsi" w:eastAsiaTheme="majorEastAsia" w:cstheme="majorBidi"/>
        <w:sz w:val="28"/>
        <w:szCs w:val="28"/>
        <w:lang w:val="zh-CN" w:eastAsia="zh-CN"/>
      </w:rPr>
    </w:sdtEndPr>
    <w:sdtContent>
      <w:p>
        <w:pPr>
          <w:pStyle w:val="14"/>
          <w:ind w:firstLine="560"/>
          <w:jc w:val="center"/>
          <w:rPr>
            <w:rFonts w:asciiTheme="majorHAnsi" w:hAnsiTheme="majorHAnsi" w:eastAsiaTheme="majorEastAsia" w:cstheme="majorBidi"/>
            <w:sz w:val="28"/>
            <w:szCs w:val="28"/>
          </w:rPr>
        </w:pPr>
        <w:r>
          <w:rPr>
            <w:rFonts w:cs="Times New Roman"/>
            <w:sz w:val="24"/>
            <w:szCs w:val="24"/>
            <w:lang w:val="zh-CN" w:eastAsia="zh-CN"/>
          </w:rPr>
          <w:t xml:space="preserve">~ </w:t>
        </w:r>
        <w:r>
          <w:rPr>
            <w:rFonts w:cs="Times New Roman"/>
            <w:sz w:val="24"/>
            <w:szCs w:val="24"/>
          </w:rPr>
          <w:fldChar w:fldCharType="begin"/>
        </w:r>
        <w:r>
          <w:rPr>
            <w:rFonts w:cs="Times New Roman"/>
            <w:sz w:val="24"/>
            <w:szCs w:val="24"/>
          </w:rPr>
          <w:instrText xml:space="preserve">PAGE    \* MERGEFORMAT</w:instrText>
        </w:r>
        <w:r>
          <w:rPr>
            <w:rFonts w:cs="Times New Roman"/>
            <w:sz w:val="24"/>
            <w:szCs w:val="24"/>
          </w:rPr>
          <w:fldChar w:fldCharType="separate"/>
        </w:r>
        <w:r>
          <w:rPr>
            <w:rFonts w:cs="Times New Roman"/>
            <w:sz w:val="24"/>
            <w:szCs w:val="24"/>
            <w:lang w:val="zh-CN" w:eastAsia="zh-CN"/>
          </w:rPr>
          <w:t>5</w:t>
        </w:r>
        <w:r>
          <w:rPr>
            <w:rFonts w:cs="Times New Roman"/>
            <w:sz w:val="24"/>
            <w:szCs w:val="24"/>
          </w:rPr>
          <w:fldChar w:fldCharType="end"/>
        </w:r>
        <w:r>
          <w:rPr>
            <w:rFonts w:cs="Times New Roman"/>
            <w:sz w:val="24"/>
            <w:szCs w:val="24"/>
            <w:lang w:val="zh-CN" w:eastAsia="zh-CN"/>
          </w:rPr>
          <w:t xml:space="preserve"> ~</w:t>
        </w:r>
      </w:p>
    </w:sdtContent>
  </w:sdt>
  <w:p>
    <w:pPr>
      <w:pStyle w:val="1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ind w:firstLine="440"/>
      <w:rPr>
        <w:sz w:val="20"/>
        <w:szCs w:val="20"/>
      </w:rPr>
    </w:pPr>
    <w:r>
      <w:rPr>
        <w:sz w:val="22"/>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4"/>
                      <w:ind w:firstLine="360"/>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6</w:t>
                    </w:r>
                    <w:r>
                      <w:rPr>
                        <w:rFonts w:hint="eastAsia"/>
                        <w:lang w:eastAsia="zh-CN"/>
                      </w:rPr>
                      <w:fldChar w:fldCharType="end"/>
                    </w:r>
                  </w:p>
                </w:txbxContent>
              </v:textbox>
            </v:shape>
          </w:pict>
        </mc:Fallback>
      </mc:AlternateContent>
    </w:r>
    <w:r>
      <w:rPr>
        <w:sz w:val="22"/>
        <w:lang w:eastAsia="zh-CN"/>
      </w:rPr>
      <mc:AlternateContent>
        <mc:Choice Requires="wps">
          <w:drawing>
            <wp:anchor distT="0" distB="0" distL="114300" distR="114300" simplePos="0" relativeHeight="251659264" behindDoc="1" locked="0" layoutInCell="1" allowOverlap="1">
              <wp:simplePos x="0" y="0"/>
              <wp:positionH relativeFrom="page">
                <wp:posOffset>3810635</wp:posOffset>
              </wp:positionH>
              <wp:positionV relativeFrom="page">
                <wp:posOffset>9790430</wp:posOffset>
              </wp:positionV>
              <wp:extent cx="92075" cy="14922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2075" cy="149225"/>
                      </a:xfrm>
                      <a:prstGeom prst="rect">
                        <a:avLst/>
                      </a:prstGeom>
                      <a:noFill/>
                      <a:ln>
                        <a:noFill/>
                      </a:ln>
                    </wps:spPr>
                    <wps:txbx>
                      <w:txbxContent>
                        <w:p>
                          <w:pPr>
                            <w:spacing w:line="204" w:lineRule="exact"/>
                            <w:ind w:left="20" w:firstLine="360"/>
                            <w:rPr>
                              <w:rFonts w:eastAsia="宋体" w:cs="Times New Roman"/>
                              <w:sz w:val="18"/>
                              <w:szCs w:val="18"/>
                              <w:lang w:eastAsia="zh-CN"/>
                            </w:rPr>
                          </w:pPr>
                        </w:p>
                      </w:txbxContent>
                    </wps:txbx>
                    <wps:bodyPr lIns="0" tIns="0" rIns="0" bIns="0" upright="1"/>
                  </wps:wsp>
                </a:graphicData>
              </a:graphic>
            </wp:anchor>
          </w:drawing>
        </mc:Choice>
        <mc:Fallback>
          <w:pict>
            <v:shape id="文本框 1" o:spid="_x0000_s1026" o:spt="202" type="#_x0000_t202" style="position:absolute;left:0pt;margin-left:300.05pt;margin-top:770.9pt;height:11.75pt;width:7.25pt;mso-position-horizontal-relative:page;mso-position-vertical-relative:page;z-index:-251657216;mso-width-relative:page;mso-height-relative:page;" filled="f" stroked="f" coordsize="21600,21600" o:gfxdata="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hZsTbZAAAADQEAAA8AAAAAAAAAAQAgAAAAIgAAAGRycy9kb3ducmV2LnhtbFBLAQIU&#10;ABQAAAAIAIdO4kBVC3ccuQEAAHADAAAOAAAAAAAAAAEAIAAAACgBAABkcnMvZTJvRG9jLnhtbFBL&#10;BQYAAAAABgAGAFkBAABTBQAAAAA=&#10;">
              <v:fill on="f" focussize="0,0"/>
              <v:stroke on="f"/>
              <v:imagedata o:title=""/>
              <o:lock v:ext="edit" aspectratio="f"/>
              <v:textbox inset="0mm,0mm,0mm,0mm">
                <w:txbxContent>
                  <w:p>
                    <w:pPr>
                      <w:spacing w:line="204" w:lineRule="exact"/>
                      <w:ind w:left="20" w:firstLine="360"/>
                      <w:rPr>
                        <w:rFonts w:eastAsia="宋体" w:cs="Times New Roman"/>
                        <w:sz w:val="18"/>
                        <w:szCs w:val="18"/>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spacing w:line="240" w:lineRule="auto"/>
      <w:ind w:firstLine="420"/>
      <w:rPr>
        <w:rFonts w:ascii="仿宋" w:hAnsi="仿宋"/>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p>
    <w:pPr>
      <w:pStyle w:val="15"/>
      <w:pBdr>
        <w:bottom w:val="single" w:color="auto" w:sz="4" w:space="1"/>
      </w:pBdr>
      <w:ind w:firstLine="360"/>
      <w:rPr>
        <w:lang w:eastAsia="zh-CN"/>
      </w:rPr>
    </w:pPr>
    <w:r>
      <w:rPr>
        <w:rFonts w:hint="eastAsia" w:ascii="仿宋" w:hAnsi="仿宋"/>
        <w:lang w:eastAsia="zh-CN"/>
      </w:rPr>
      <w:t>陕西百固建材有限公司突发环境事件应急预案编制说明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p>
    <w:pPr>
      <w:pStyle w:val="15"/>
      <w:pBdr>
        <w:bottom w:val="none" w:color="auto" w:sz="0" w:space="1"/>
      </w:pBdr>
      <w:ind w:firstLine="360"/>
    </w:pPr>
  </w:p>
  <w:p>
    <w:pPr>
      <w:pStyle w:val="15"/>
      <w:pBdr>
        <w:bottom w:val="none" w:color="auto" w:sz="0" w:space="1"/>
      </w:pBdr>
      <w:ind w:firstLine="360"/>
    </w:pPr>
  </w:p>
  <w:p>
    <w:pPr>
      <w:pStyle w:val="15"/>
      <w:pBdr>
        <w:bottom w:val="single" w:color="auto" w:sz="4" w:space="1"/>
      </w:pBdr>
      <w:ind w:firstLine="360"/>
      <w:rPr>
        <w:lang w:eastAsia="zh-CN"/>
      </w:rPr>
    </w:pPr>
    <w:r>
      <w:rPr>
        <w:rFonts w:hint="eastAsia" w:ascii="仿宋" w:hAnsi="仿宋"/>
        <w:lang w:eastAsia="zh-CN"/>
      </w:rPr>
      <w:t>陕西百固建材有限公司突发环境事件应急预案编制说明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9"/>
      <w:lvlText w:val="%1."/>
      <w:lvlJc w:val="left"/>
      <w:pPr>
        <w:tabs>
          <w:tab w:val="left" w:pos="360"/>
        </w:tabs>
        <w:ind w:left="360" w:hanging="360" w:hangingChars="2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720"/>
  <w:drawingGridHorizontalSpacing w:val="14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11A"/>
    <w:rsid w:val="00012F7A"/>
    <w:rsid w:val="00027CB6"/>
    <w:rsid w:val="00042693"/>
    <w:rsid w:val="00046973"/>
    <w:rsid w:val="00057B85"/>
    <w:rsid w:val="0007066A"/>
    <w:rsid w:val="00074518"/>
    <w:rsid w:val="00085B7F"/>
    <w:rsid w:val="00095AE5"/>
    <w:rsid w:val="000B7953"/>
    <w:rsid w:val="000C00BA"/>
    <w:rsid w:val="000C4D54"/>
    <w:rsid w:val="000C7F6D"/>
    <w:rsid w:val="000E6B5F"/>
    <w:rsid w:val="000E74A8"/>
    <w:rsid w:val="000F027E"/>
    <w:rsid w:val="0010086E"/>
    <w:rsid w:val="00105690"/>
    <w:rsid w:val="001120C6"/>
    <w:rsid w:val="00122C1D"/>
    <w:rsid w:val="0012687E"/>
    <w:rsid w:val="00142D0C"/>
    <w:rsid w:val="001556E5"/>
    <w:rsid w:val="00160A97"/>
    <w:rsid w:val="00164304"/>
    <w:rsid w:val="0016564A"/>
    <w:rsid w:val="001659B7"/>
    <w:rsid w:val="00166A29"/>
    <w:rsid w:val="00166C89"/>
    <w:rsid w:val="00184F21"/>
    <w:rsid w:val="001A3CBC"/>
    <w:rsid w:val="001B1511"/>
    <w:rsid w:val="001B2625"/>
    <w:rsid w:val="001C709D"/>
    <w:rsid w:val="001D06AF"/>
    <w:rsid w:val="001D2EB5"/>
    <w:rsid w:val="001E348E"/>
    <w:rsid w:val="001E466D"/>
    <w:rsid w:val="001F2283"/>
    <w:rsid w:val="001F6F85"/>
    <w:rsid w:val="00200789"/>
    <w:rsid w:val="00201A01"/>
    <w:rsid w:val="00204AEC"/>
    <w:rsid w:val="002071F0"/>
    <w:rsid w:val="002117B9"/>
    <w:rsid w:val="002235F9"/>
    <w:rsid w:val="00240667"/>
    <w:rsid w:val="00252BF4"/>
    <w:rsid w:val="0025504F"/>
    <w:rsid w:val="00273C78"/>
    <w:rsid w:val="00276C92"/>
    <w:rsid w:val="00284214"/>
    <w:rsid w:val="0029458E"/>
    <w:rsid w:val="00297CF0"/>
    <w:rsid w:val="002C156A"/>
    <w:rsid w:val="002C3E69"/>
    <w:rsid w:val="002D1D28"/>
    <w:rsid w:val="002E372E"/>
    <w:rsid w:val="002F1A86"/>
    <w:rsid w:val="002F7CE5"/>
    <w:rsid w:val="003002E9"/>
    <w:rsid w:val="00301845"/>
    <w:rsid w:val="003051EA"/>
    <w:rsid w:val="00305804"/>
    <w:rsid w:val="00320241"/>
    <w:rsid w:val="00321330"/>
    <w:rsid w:val="003213FB"/>
    <w:rsid w:val="00332CAF"/>
    <w:rsid w:val="00335552"/>
    <w:rsid w:val="003439B0"/>
    <w:rsid w:val="00343AB7"/>
    <w:rsid w:val="00347766"/>
    <w:rsid w:val="00353062"/>
    <w:rsid w:val="003556F8"/>
    <w:rsid w:val="00357140"/>
    <w:rsid w:val="003610F3"/>
    <w:rsid w:val="003627E7"/>
    <w:rsid w:val="00367154"/>
    <w:rsid w:val="003672DE"/>
    <w:rsid w:val="00374A32"/>
    <w:rsid w:val="003820AD"/>
    <w:rsid w:val="00392A78"/>
    <w:rsid w:val="003A0CA3"/>
    <w:rsid w:val="003A70EB"/>
    <w:rsid w:val="003A7997"/>
    <w:rsid w:val="003B0780"/>
    <w:rsid w:val="003F434D"/>
    <w:rsid w:val="003F59DF"/>
    <w:rsid w:val="00404C4B"/>
    <w:rsid w:val="004054FC"/>
    <w:rsid w:val="00413995"/>
    <w:rsid w:val="0041400A"/>
    <w:rsid w:val="0042002F"/>
    <w:rsid w:val="004417E1"/>
    <w:rsid w:val="00445898"/>
    <w:rsid w:val="00450D8C"/>
    <w:rsid w:val="00451620"/>
    <w:rsid w:val="00457AFF"/>
    <w:rsid w:val="00467296"/>
    <w:rsid w:val="004721D1"/>
    <w:rsid w:val="0048295E"/>
    <w:rsid w:val="004960E7"/>
    <w:rsid w:val="004B11FA"/>
    <w:rsid w:val="004C048D"/>
    <w:rsid w:val="004C3FE5"/>
    <w:rsid w:val="004D7038"/>
    <w:rsid w:val="004E48B2"/>
    <w:rsid w:val="005011EA"/>
    <w:rsid w:val="00514866"/>
    <w:rsid w:val="00535DFA"/>
    <w:rsid w:val="00545C31"/>
    <w:rsid w:val="0054720B"/>
    <w:rsid w:val="005550D2"/>
    <w:rsid w:val="005620AC"/>
    <w:rsid w:val="005647F3"/>
    <w:rsid w:val="00566B6B"/>
    <w:rsid w:val="0057686D"/>
    <w:rsid w:val="0058359F"/>
    <w:rsid w:val="00585B66"/>
    <w:rsid w:val="00590B56"/>
    <w:rsid w:val="005A062B"/>
    <w:rsid w:val="005B2D45"/>
    <w:rsid w:val="005B2DE9"/>
    <w:rsid w:val="005B5B1B"/>
    <w:rsid w:val="005B631F"/>
    <w:rsid w:val="005D540F"/>
    <w:rsid w:val="005D7E65"/>
    <w:rsid w:val="005E0839"/>
    <w:rsid w:val="005F0642"/>
    <w:rsid w:val="005F7D9B"/>
    <w:rsid w:val="00600C6C"/>
    <w:rsid w:val="00603959"/>
    <w:rsid w:val="00604D79"/>
    <w:rsid w:val="006109B3"/>
    <w:rsid w:val="006240A1"/>
    <w:rsid w:val="00625A0F"/>
    <w:rsid w:val="006268BD"/>
    <w:rsid w:val="00631BDD"/>
    <w:rsid w:val="00632759"/>
    <w:rsid w:val="0064785D"/>
    <w:rsid w:val="00664DAD"/>
    <w:rsid w:val="00672730"/>
    <w:rsid w:val="00674AB9"/>
    <w:rsid w:val="00686E7B"/>
    <w:rsid w:val="006948DB"/>
    <w:rsid w:val="00695D36"/>
    <w:rsid w:val="006A1200"/>
    <w:rsid w:val="006A1857"/>
    <w:rsid w:val="006A2476"/>
    <w:rsid w:val="006A6538"/>
    <w:rsid w:val="006B3D29"/>
    <w:rsid w:val="006C6FEE"/>
    <w:rsid w:val="0070535F"/>
    <w:rsid w:val="00713165"/>
    <w:rsid w:val="0072030C"/>
    <w:rsid w:val="00730C23"/>
    <w:rsid w:val="00735D45"/>
    <w:rsid w:val="00741547"/>
    <w:rsid w:val="0074498E"/>
    <w:rsid w:val="00746708"/>
    <w:rsid w:val="00757AC6"/>
    <w:rsid w:val="007809E7"/>
    <w:rsid w:val="00781E38"/>
    <w:rsid w:val="007843AF"/>
    <w:rsid w:val="007935F0"/>
    <w:rsid w:val="0079411A"/>
    <w:rsid w:val="007A594E"/>
    <w:rsid w:val="007C32BD"/>
    <w:rsid w:val="007E2ECA"/>
    <w:rsid w:val="007E5E03"/>
    <w:rsid w:val="007E6155"/>
    <w:rsid w:val="007F2B3C"/>
    <w:rsid w:val="007F786C"/>
    <w:rsid w:val="00800E22"/>
    <w:rsid w:val="0080444E"/>
    <w:rsid w:val="00807C0E"/>
    <w:rsid w:val="0082327F"/>
    <w:rsid w:val="008252B2"/>
    <w:rsid w:val="00846200"/>
    <w:rsid w:val="00846EBB"/>
    <w:rsid w:val="008511B4"/>
    <w:rsid w:val="0085151E"/>
    <w:rsid w:val="008533D4"/>
    <w:rsid w:val="00854143"/>
    <w:rsid w:val="008623E7"/>
    <w:rsid w:val="00867A5E"/>
    <w:rsid w:val="008721BD"/>
    <w:rsid w:val="00875F27"/>
    <w:rsid w:val="00881AA4"/>
    <w:rsid w:val="00882184"/>
    <w:rsid w:val="008823D6"/>
    <w:rsid w:val="00887862"/>
    <w:rsid w:val="00891C99"/>
    <w:rsid w:val="0089202F"/>
    <w:rsid w:val="008A1F84"/>
    <w:rsid w:val="008B547C"/>
    <w:rsid w:val="008B6E80"/>
    <w:rsid w:val="008C204C"/>
    <w:rsid w:val="008C2FBC"/>
    <w:rsid w:val="008C3ECE"/>
    <w:rsid w:val="008D393F"/>
    <w:rsid w:val="008D6BA6"/>
    <w:rsid w:val="008F77C0"/>
    <w:rsid w:val="00911F40"/>
    <w:rsid w:val="00913B36"/>
    <w:rsid w:val="0092559F"/>
    <w:rsid w:val="009255CE"/>
    <w:rsid w:val="00927B2E"/>
    <w:rsid w:val="009318F7"/>
    <w:rsid w:val="00932064"/>
    <w:rsid w:val="009349C0"/>
    <w:rsid w:val="009403B8"/>
    <w:rsid w:val="009519E2"/>
    <w:rsid w:val="009550F6"/>
    <w:rsid w:val="00956AD5"/>
    <w:rsid w:val="00963AE3"/>
    <w:rsid w:val="00965A43"/>
    <w:rsid w:val="00973965"/>
    <w:rsid w:val="009739C0"/>
    <w:rsid w:val="009912D1"/>
    <w:rsid w:val="00997D36"/>
    <w:rsid w:val="009A0B45"/>
    <w:rsid w:val="009B1757"/>
    <w:rsid w:val="009B5106"/>
    <w:rsid w:val="009C5121"/>
    <w:rsid w:val="009C68E3"/>
    <w:rsid w:val="009D2D70"/>
    <w:rsid w:val="009D6D93"/>
    <w:rsid w:val="00A007DB"/>
    <w:rsid w:val="00A06BB0"/>
    <w:rsid w:val="00A227C4"/>
    <w:rsid w:val="00A25B2B"/>
    <w:rsid w:val="00A31AAD"/>
    <w:rsid w:val="00A31FA8"/>
    <w:rsid w:val="00A46AB9"/>
    <w:rsid w:val="00A703CD"/>
    <w:rsid w:val="00A754B9"/>
    <w:rsid w:val="00A8497F"/>
    <w:rsid w:val="00A95D7C"/>
    <w:rsid w:val="00AA03FA"/>
    <w:rsid w:val="00AC4360"/>
    <w:rsid w:val="00AC5D3F"/>
    <w:rsid w:val="00AD505B"/>
    <w:rsid w:val="00AE7E64"/>
    <w:rsid w:val="00AF3087"/>
    <w:rsid w:val="00B031DB"/>
    <w:rsid w:val="00B1461B"/>
    <w:rsid w:val="00B303A3"/>
    <w:rsid w:val="00B43FD7"/>
    <w:rsid w:val="00B845DC"/>
    <w:rsid w:val="00B92AEE"/>
    <w:rsid w:val="00B93195"/>
    <w:rsid w:val="00B97B78"/>
    <w:rsid w:val="00BA7133"/>
    <w:rsid w:val="00BB184D"/>
    <w:rsid w:val="00BB2893"/>
    <w:rsid w:val="00BC0573"/>
    <w:rsid w:val="00BC08FD"/>
    <w:rsid w:val="00BD4026"/>
    <w:rsid w:val="00BD75CA"/>
    <w:rsid w:val="00BE174D"/>
    <w:rsid w:val="00BF30D8"/>
    <w:rsid w:val="00BF79E8"/>
    <w:rsid w:val="00C00AC0"/>
    <w:rsid w:val="00C0452B"/>
    <w:rsid w:val="00C1382E"/>
    <w:rsid w:val="00C26D36"/>
    <w:rsid w:val="00C378A7"/>
    <w:rsid w:val="00C4491A"/>
    <w:rsid w:val="00C670AD"/>
    <w:rsid w:val="00C7265F"/>
    <w:rsid w:val="00C8284A"/>
    <w:rsid w:val="00C9136B"/>
    <w:rsid w:val="00CA0D6C"/>
    <w:rsid w:val="00CA1545"/>
    <w:rsid w:val="00CA7EF0"/>
    <w:rsid w:val="00CB3A84"/>
    <w:rsid w:val="00CB4FC9"/>
    <w:rsid w:val="00CB53A5"/>
    <w:rsid w:val="00CC22AD"/>
    <w:rsid w:val="00CC4258"/>
    <w:rsid w:val="00CC6401"/>
    <w:rsid w:val="00CE0D5D"/>
    <w:rsid w:val="00CE66F2"/>
    <w:rsid w:val="00CF2A5A"/>
    <w:rsid w:val="00CF54C3"/>
    <w:rsid w:val="00D00D53"/>
    <w:rsid w:val="00D0585F"/>
    <w:rsid w:val="00D14880"/>
    <w:rsid w:val="00D349A3"/>
    <w:rsid w:val="00D34A61"/>
    <w:rsid w:val="00D37787"/>
    <w:rsid w:val="00D4393C"/>
    <w:rsid w:val="00D47694"/>
    <w:rsid w:val="00D504B1"/>
    <w:rsid w:val="00D74F3F"/>
    <w:rsid w:val="00D75848"/>
    <w:rsid w:val="00D80CEC"/>
    <w:rsid w:val="00D82660"/>
    <w:rsid w:val="00D8588B"/>
    <w:rsid w:val="00D860C7"/>
    <w:rsid w:val="00D921A3"/>
    <w:rsid w:val="00D97311"/>
    <w:rsid w:val="00DA7D53"/>
    <w:rsid w:val="00DB064F"/>
    <w:rsid w:val="00DB1C37"/>
    <w:rsid w:val="00DB5C0A"/>
    <w:rsid w:val="00DC127D"/>
    <w:rsid w:val="00DC243F"/>
    <w:rsid w:val="00DE260D"/>
    <w:rsid w:val="00DE49D5"/>
    <w:rsid w:val="00DF27CE"/>
    <w:rsid w:val="00DF3255"/>
    <w:rsid w:val="00DF3FDF"/>
    <w:rsid w:val="00DF6947"/>
    <w:rsid w:val="00DF70EB"/>
    <w:rsid w:val="00DF7AB9"/>
    <w:rsid w:val="00E025B4"/>
    <w:rsid w:val="00E05366"/>
    <w:rsid w:val="00E131C5"/>
    <w:rsid w:val="00E151E1"/>
    <w:rsid w:val="00E23136"/>
    <w:rsid w:val="00E25655"/>
    <w:rsid w:val="00E263C3"/>
    <w:rsid w:val="00E26F13"/>
    <w:rsid w:val="00E36523"/>
    <w:rsid w:val="00E377DE"/>
    <w:rsid w:val="00E46710"/>
    <w:rsid w:val="00E47CC8"/>
    <w:rsid w:val="00E67326"/>
    <w:rsid w:val="00E80F8D"/>
    <w:rsid w:val="00E87DFA"/>
    <w:rsid w:val="00E919FF"/>
    <w:rsid w:val="00EA7F3F"/>
    <w:rsid w:val="00EC5E6D"/>
    <w:rsid w:val="00EC67E3"/>
    <w:rsid w:val="00EE78A2"/>
    <w:rsid w:val="00EF7CA0"/>
    <w:rsid w:val="00F0444F"/>
    <w:rsid w:val="00F04A6A"/>
    <w:rsid w:val="00F05AD4"/>
    <w:rsid w:val="00F13CC4"/>
    <w:rsid w:val="00F15319"/>
    <w:rsid w:val="00F1549E"/>
    <w:rsid w:val="00F24700"/>
    <w:rsid w:val="00F51C1E"/>
    <w:rsid w:val="00F5311F"/>
    <w:rsid w:val="00F76A9A"/>
    <w:rsid w:val="00F8114C"/>
    <w:rsid w:val="00F825EC"/>
    <w:rsid w:val="00F83AC1"/>
    <w:rsid w:val="00F83D60"/>
    <w:rsid w:val="00F913E7"/>
    <w:rsid w:val="00FA6983"/>
    <w:rsid w:val="00FA6999"/>
    <w:rsid w:val="00FB2F75"/>
    <w:rsid w:val="00FB6BF2"/>
    <w:rsid w:val="00FD0809"/>
    <w:rsid w:val="00FD783F"/>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229"/>
    <w:rsid w:val="0A7C1AB6"/>
    <w:rsid w:val="0A801E5D"/>
    <w:rsid w:val="0A82476E"/>
    <w:rsid w:val="0AAC27AB"/>
    <w:rsid w:val="0AAC43FC"/>
    <w:rsid w:val="0AC3116E"/>
    <w:rsid w:val="0B3B4A15"/>
    <w:rsid w:val="0B47368E"/>
    <w:rsid w:val="0B4A25B4"/>
    <w:rsid w:val="0B5227EA"/>
    <w:rsid w:val="0B6E33AD"/>
    <w:rsid w:val="0B7B2A21"/>
    <w:rsid w:val="0B8B5B0B"/>
    <w:rsid w:val="0B9D27CF"/>
    <w:rsid w:val="0BA03797"/>
    <w:rsid w:val="0BE20EE8"/>
    <w:rsid w:val="0BF82013"/>
    <w:rsid w:val="0C171FCE"/>
    <w:rsid w:val="0C3E4A85"/>
    <w:rsid w:val="0C573E58"/>
    <w:rsid w:val="0C594483"/>
    <w:rsid w:val="0C685F85"/>
    <w:rsid w:val="0CAA2E3C"/>
    <w:rsid w:val="0CB233C6"/>
    <w:rsid w:val="0CC837B6"/>
    <w:rsid w:val="0D295B2E"/>
    <w:rsid w:val="0D5A7ECC"/>
    <w:rsid w:val="0D9E07A6"/>
    <w:rsid w:val="0DB6465E"/>
    <w:rsid w:val="0DE9401E"/>
    <w:rsid w:val="0DED7006"/>
    <w:rsid w:val="0E107052"/>
    <w:rsid w:val="0E4D3FE0"/>
    <w:rsid w:val="0E69360E"/>
    <w:rsid w:val="0E7B55A2"/>
    <w:rsid w:val="0E865698"/>
    <w:rsid w:val="0EAA7C3D"/>
    <w:rsid w:val="0EAB332A"/>
    <w:rsid w:val="0EE26AF3"/>
    <w:rsid w:val="0F1F2C32"/>
    <w:rsid w:val="0F276F2F"/>
    <w:rsid w:val="0F3E235E"/>
    <w:rsid w:val="0F484516"/>
    <w:rsid w:val="0FD0564A"/>
    <w:rsid w:val="10934824"/>
    <w:rsid w:val="1097714C"/>
    <w:rsid w:val="109A529E"/>
    <w:rsid w:val="10BB2C15"/>
    <w:rsid w:val="11012CC4"/>
    <w:rsid w:val="110E4D49"/>
    <w:rsid w:val="11360F6F"/>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C91C38"/>
    <w:rsid w:val="14F722A9"/>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544F0"/>
    <w:rsid w:val="1D7D7B34"/>
    <w:rsid w:val="1D91530A"/>
    <w:rsid w:val="1D9818AB"/>
    <w:rsid w:val="1D9C3CA0"/>
    <w:rsid w:val="1DB201F3"/>
    <w:rsid w:val="1DBC2F83"/>
    <w:rsid w:val="1DCF01D1"/>
    <w:rsid w:val="1DE31BA5"/>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9E53980"/>
    <w:rsid w:val="2A6049D0"/>
    <w:rsid w:val="2A6A231A"/>
    <w:rsid w:val="2A9801C3"/>
    <w:rsid w:val="2A9F2DCA"/>
    <w:rsid w:val="2AC90D24"/>
    <w:rsid w:val="2AF63E73"/>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203A95"/>
    <w:rsid w:val="36436588"/>
    <w:rsid w:val="366C451A"/>
    <w:rsid w:val="368E7E4F"/>
    <w:rsid w:val="36920ED9"/>
    <w:rsid w:val="369E78F2"/>
    <w:rsid w:val="36B0144F"/>
    <w:rsid w:val="36CA6476"/>
    <w:rsid w:val="370A24FC"/>
    <w:rsid w:val="37291095"/>
    <w:rsid w:val="378F15B2"/>
    <w:rsid w:val="37D444DF"/>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B063B8"/>
    <w:rsid w:val="3DCE3322"/>
    <w:rsid w:val="3DDF55BC"/>
    <w:rsid w:val="3DF3525B"/>
    <w:rsid w:val="3E2B2769"/>
    <w:rsid w:val="3E497F20"/>
    <w:rsid w:val="3E4C0F0B"/>
    <w:rsid w:val="3E573C4A"/>
    <w:rsid w:val="3E7863DB"/>
    <w:rsid w:val="3F0C4CA5"/>
    <w:rsid w:val="3FD23933"/>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035C1"/>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F6B91"/>
    <w:rsid w:val="4E8D315C"/>
    <w:rsid w:val="4EAE3BCA"/>
    <w:rsid w:val="4ECD009A"/>
    <w:rsid w:val="4ED4313D"/>
    <w:rsid w:val="4EDA3133"/>
    <w:rsid w:val="4EEE426C"/>
    <w:rsid w:val="4F0024CF"/>
    <w:rsid w:val="4F025816"/>
    <w:rsid w:val="4F151175"/>
    <w:rsid w:val="4F207882"/>
    <w:rsid w:val="4FA841B6"/>
    <w:rsid w:val="4FBA07BC"/>
    <w:rsid w:val="4FBC2FE9"/>
    <w:rsid w:val="4FCC5C1D"/>
    <w:rsid w:val="4FD53828"/>
    <w:rsid w:val="5035428D"/>
    <w:rsid w:val="50593FC2"/>
    <w:rsid w:val="508300F5"/>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7718EE"/>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6413A4"/>
    <w:rsid w:val="5BEA1483"/>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162B73"/>
    <w:rsid w:val="601812E2"/>
    <w:rsid w:val="609D7A1F"/>
    <w:rsid w:val="60C007F2"/>
    <w:rsid w:val="60CF4234"/>
    <w:rsid w:val="60FB513A"/>
    <w:rsid w:val="618235BC"/>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F1095"/>
    <w:rsid w:val="64687CAA"/>
    <w:rsid w:val="6483227D"/>
    <w:rsid w:val="64A42B7E"/>
    <w:rsid w:val="65280A81"/>
    <w:rsid w:val="653C3873"/>
    <w:rsid w:val="653C44C4"/>
    <w:rsid w:val="65931EE2"/>
    <w:rsid w:val="659E1E30"/>
    <w:rsid w:val="65A146D9"/>
    <w:rsid w:val="65FB7E7D"/>
    <w:rsid w:val="66105C67"/>
    <w:rsid w:val="661937D4"/>
    <w:rsid w:val="6625481C"/>
    <w:rsid w:val="66476A73"/>
    <w:rsid w:val="664B129F"/>
    <w:rsid w:val="66536C3B"/>
    <w:rsid w:val="668D2BF0"/>
    <w:rsid w:val="669975CE"/>
    <w:rsid w:val="66A84297"/>
    <w:rsid w:val="66EE0957"/>
    <w:rsid w:val="67004100"/>
    <w:rsid w:val="67006D66"/>
    <w:rsid w:val="670E1E87"/>
    <w:rsid w:val="67125F7B"/>
    <w:rsid w:val="675B5EF2"/>
    <w:rsid w:val="67916EA7"/>
    <w:rsid w:val="679C6978"/>
    <w:rsid w:val="67D7195E"/>
    <w:rsid w:val="67E91F98"/>
    <w:rsid w:val="685001E0"/>
    <w:rsid w:val="68513E3C"/>
    <w:rsid w:val="68725A68"/>
    <w:rsid w:val="687D221D"/>
    <w:rsid w:val="691C3E20"/>
    <w:rsid w:val="697D3A98"/>
    <w:rsid w:val="697F24CB"/>
    <w:rsid w:val="698A1688"/>
    <w:rsid w:val="698C6F50"/>
    <w:rsid w:val="699F483F"/>
    <w:rsid w:val="69C80BCD"/>
    <w:rsid w:val="6A064BE7"/>
    <w:rsid w:val="6A276B13"/>
    <w:rsid w:val="6A371E19"/>
    <w:rsid w:val="6A6C2F4C"/>
    <w:rsid w:val="6A826929"/>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223591"/>
    <w:rsid w:val="6F315D5B"/>
    <w:rsid w:val="6F3472C3"/>
    <w:rsid w:val="6F6D0667"/>
    <w:rsid w:val="6F8672D1"/>
    <w:rsid w:val="6F9B76E5"/>
    <w:rsid w:val="6FA07974"/>
    <w:rsid w:val="6FAA714F"/>
    <w:rsid w:val="6FAB14DD"/>
    <w:rsid w:val="6FAB3472"/>
    <w:rsid w:val="6FDF5F94"/>
    <w:rsid w:val="6FF92392"/>
    <w:rsid w:val="6FFA16A8"/>
    <w:rsid w:val="70140F64"/>
    <w:rsid w:val="702B6ADD"/>
    <w:rsid w:val="70917322"/>
    <w:rsid w:val="70B67BCE"/>
    <w:rsid w:val="70E231C1"/>
    <w:rsid w:val="70F7727A"/>
    <w:rsid w:val="71234207"/>
    <w:rsid w:val="714D65B4"/>
    <w:rsid w:val="71541480"/>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4755FC"/>
    <w:rsid w:val="75657963"/>
    <w:rsid w:val="756D03FB"/>
    <w:rsid w:val="757379BC"/>
    <w:rsid w:val="757F50EF"/>
    <w:rsid w:val="75BB62B8"/>
    <w:rsid w:val="75D37C3A"/>
    <w:rsid w:val="75E808E8"/>
    <w:rsid w:val="75FB45CA"/>
    <w:rsid w:val="761459FA"/>
    <w:rsid w:val="7617088A"/>
    <w:rsid w:val="762F727D"/>
    <w:rsid w:val="76916A75"/>
    <w:rsid w:val="7692605C"/>
    <w:rsid w:val="76BC67BB"/>
    <w:rsid w:val="76D77488"/>
    <w:rsid w:val="76EB0F35"/>
    <w:rsid w:val="76FA04D0"/>
    <w:rsid w:val="770B23BF"/>
    <w:rsid w:val="7741777C"/>
    <w:rsid w:val="77434DE1"/>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3D77FE"/>
    <w:rsid w:val="7A482314"/>
    <w:rsid w:val="7A630160"/>
    <w:rsid w:val="7A693593"/>
    <w:rsid w:val="7ABB3D25"/>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djustRightInd w:val="0"/>
      <w:snapToGrid w:val="0"/>
      <w:spacing w:line="360" w:lineRule="auto"/>
      <w:ind w:firstLine="200" w:firstLineChars="200"/>
    </w:pPr>
    <w:rPr>
      <w:rFonts w:ascii="Times New Roman" w:hAnsi="Times New Roman" w:eastAsia="仿宋" w:cstheme="minorBidi"/>
      <w:sz w:val="28"/>
      <w:szCs w:val="22"/>
      <w:lang w:val="en-US" w:eastAsia="en-US" w:bidi="ar-SA"/>
    </w:rPr>
  </w:style>
  <w:style w:type="paragraph" w:styleId="6">
    <w:name w:val="heading 1"/>
    <w:basedOn w:val="1"/>
    <w:next w:val="1"/>
    <w:qFormat/>
    <w:uiPriority w:val="1"/>
    <w:pPr>
      <w:ind w:left="751"/>
      <w:outlineLvl w:val="0"/>
    </w:pPr>
    <w:rPr>
      <w:rFonts w:ascii="Microsoft JhengHei" w:hAnsi="Microsoft JhengHei" w:eastAsia="Microsoft JhengHei"/>
      <w:b/>
      <w:bCs/>
      <w:sz w:val="32"/>
      <w:szCs w:val="32"/>
    </w:rPr>
  </w:style>
  <w:style w:type="paragraph" w:styleId="7">
    <w:name w:val="heading 2"/>
    <w:basedOn w:val="1"/>
    <w:next w:val="1"/>
    <w:qFormat/>
    <w:uiPriority w:val="0"/>
    <w:pPr>
      <w:keepNext/>
      <w:keepLines/>
      <w:tabs>
        <w:tab w:val="left" w:pos="575"/>
      </w:tabs>
      <w:spacing w:before="260" w:after="260" w:line="413" w:lineRule="auto"/>
      <w:ind w:left="1320" w:hanging="420" w:firstLineChars="0"/>
      <w:outlineLvl w:val="1"/>
    </w:pPr>
    <w:rPr>
      <w:rFonts w:ascii="Arial" w:hAnsi="Arial" w:eastAsia="黑体" w:cs="Arial"/>
      <w:b/>
      <w:bCs/>
      <w:sz w:val="32"/>
      <w:szCs w:val="32"/>
    </w:rPr>
  </w:style>
  <w:style w:type="paragraph" w:styleId="8">
    <w:name w:val="heading 3"/>
    <w:basedOn w:val="1"/>
    <w:next w:val="1"/>
    <w:qFormat/>
    <w:uiPriority w:val="0"/>
    <w:pPr>
      <w:keepNext/>
      <w:keepLines/>
      <w:outlineLvl w:val="2"/>
    </w:pPr>
    <w:rPr>
      <w:b/>
      <w:bCs/>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40"/>
    <w:qFormat/>
    <w:uiPriority w:val="0"/>
    <w:pPr>
      <w:ind w:firstLine="420"/>
    </w:pPr>
  </w:style>
  <w:style w:type="paragraph" w:styleId="3">
    <w:name w:val="Body Text Indent"/>
    <w:basedOn w:val="1"/>
    <w:link w:val="27"/>
    <w:qFormat/>
    <w:uiPriority w:val="0"/>
  </w:style>
  <w:style w:type="paragraph" w:styleId="4">
    <w:name w:val="Body Text First Indent"/>
    <w:basedOn w:val="5"/>
    <w:qFormat/>
    <w:uiPriority w:val="0"/>
    <w:pPr>
      <w:adjustRightInd/>
      <w:spacing w:after="120" w:line="240" w:lineRule="auto"/>
      <w:ind w:firstLine="420" w:firstLineChars="100"/>
    </w:pPr>
    <w:rPr>
      <w:kern w:val="2"/>
      <w:sz w:val="21"/>
    </w:rPr>
  </w:style>
  <w:style w:type="paragraph" w:styleId="5">
    <w:name w:val="Body Text"/>
    <w:basedOn w:val="1"/>
    <w:qFormat/>
    <w:uiPriority w:val="1"/>
    <w:rPr>
      <w:szCs w:val="32"/>
    </w:rPr>
  </w:style>
  <w:style w:type="paragraph" w:styleId="9">
    <w:name w:val="List Number"/>
    <w:basedOn w:val="1"/>
    <w:next w:val="1"/>
    <w:qFormat/>
    <w:uiPriority w:val="0"/>
    <w:pPr>
      <w:numPr>
        <w:ilvl w:val="0"/>
        <w:numId w:val="1"/>
      </w:numPr>
      <w:contextualSpacing/>
    </w:pPr>
  </w:style>
  <w:style w:type="paragraph" w:styleId="10">
    <w:name w:val="Normal Indent"/>
    <w:basedOn w:val="1"/>
    <w:next w:val="1"/>
    <w:qFormat/>
    <w:uiPriority w:val="0"/>
    <w:pPr>
      <w:ind w:firstLine="420"/>
    </w:pPr>
  </w:style>
  <w:style w:type="paragraph" w:styleId="11">
    <w:name w:val="toa heading"/>
    <w:basedOn w:val="1"/>
    <w:next w:val="1"/>
    <w:qFormat/>
    <w:uiPriority w:val="0"/>
    <w:pPr>
      <w:spacing w:before="120"/>
    </w:pPr>
    <w:rPr>
      <w:rFonts w:ascii="Arial" w:hAnsi="Arial"/>
      <w:sz w:val="24"/>
    </w:rPr>
  </w:style>
  <w:style w:type="paragraph" w:styleId="12">
    <w:name w:val="annotation text"/>
    <w:basedOn w:val="1"/>
    <w:link w:val="41"/>
    <w:qFormat/>
    <w:uiPriority w:val="0"/>
  </w:style>
  <w:style w:type="paragraph" w:styleId="13">
    <w:name w:val="Balloon Text"/>
    <w:basedOn w:val="1"/>
    <w:link w:val="37"/>
    <w:qFormat/>
    <w:uiPriority w:val="0"/>
    <w:rPr>
      <w:sz w:val="18"/>
      <w:szCs w:val="18"/>
    </w:rPr>
  </w:style>
  <w:style w:type="paragraph" w:styleId="14">
    <w:name w:val="footer"/>
    <w:basedOn w:val="1"/>
    <w:link w:val="32"/>
    <w:qFormat/>
    <w:uiPriority w:val="99"/>
    <w:pPr>
      <w:tabs>
        <w:tab w:val="center" w:pos="4153"/>
        <w:tab w:val="right" w:pos="8306"/>
      </w:tabs>
    </w:pPr>
    <w:rPr>
      <w:sz w:val="18"/>
      <w:szCs w:val="18"/>
    </w:rPr>
  </w:style>
  <w:style w:type="paragraph" w:styleId="15">
    <w:name w:val="header"/>
    <w:basedOn w:val="1"/>
    <w:link w:val="31"/>
    <w:qFormat/>
    <w:uiPriority w:val="0"/>
    <w:pPr>
      <w:pBdr>
        <w:bottom w:val="single" w:color="auto" w:sz="6" w:space="1"/>
      </w:pBdr>
      <w:tabs>
        <w:tab w:val="center" w:pos="4153"/>
        <w:tab w:val="right" w:pos="8306"/>
      </w:tabs>
      <w:jc w:val="center"/>
    </w:pPr>
    <w:rPr>
      <w:sz w:val="18"/>
      <w:szCs w:val="18"/>
    </w:rPr>
  </w:style>
  <w:style w:type="paragraph" w:styleId="16">
    <w:name w:val="toc 1"/>
    <w:basedOn w:val="1"/>
    <w:next w:val="1"/>
    <w:qFormat/>
    <w:uiPriority w:val="39"/>
  </w:style>
  <w:style w:type="paragraph" w:styleId="17">
    <w:name w:val="List"/>
    <w:basedOn w:val="1"/>
    <w:qFormat/>
    <w:uiPriority w:val="0"/>
    <w:pPr>
      <w:ind w:left="200" w:hanging="200" w:hangingChars="200"/>
      <w:contextualSpacing/>
    </w:pPr>
  </w:style>
  <w:style w:type="paragraph" w:styleId="18">
    <w:name w:val="Normal (Web)"/>
    <w:basedOn w:val="1"/>
    <w:qFormat/>
    <w:uiPriority w:val="99"/>
    <w:pPr>
      <w:adjustRightInd/>
      <w:snapToGrid/>
      <w:spacing w:line="240" w:lineRule="auto"/>
      <w:ind w:firstLine="0" w:firstLineChars="0"/>
      <w:jc w:val="both"/>
    </w:pPr>
    <w:rPr>
      <w:rFonts w:eastAsia="宋体" w:cs="Times New Roman"/>
      <w:kern w:val="2"/>
      <w:sz w:val="24"/>
      <w:szCs w:val="20"/>
      <w:lang w:eastAsia="zh-CN"/>
    </w:rPr>
  </w:style>
  <w:style w:type="paragraph" w:styleId="19">
    <w:name w:val="annotation subject"/>
    <w:basedOn w:val="12"/>
    <w:next w:val="12"/>
    <w:link w:val="42"/>
    <w:semiHidden/>
    <w:unhideWhenUsed/>
    <w:qFormat/>
    <w:uiPriority w:val="0"/>
    <w:rPr>
      <w:b/>
      <w:bCs/>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qFormat/>
    <w:uiPriority w:val="0"/>
  </w:style>
  <w:style w:type="character" w:styleId="24">
    <w:name w:val="Hyperlink"/>
    <w:basedOn w:val="22"/>
    <w:unhideWhenUsed/>
    <w:qFormat/>
    <w:uiPriority w:val="99"/>
    <w:rPr>
      <w:color w:val="0000FF" w:themeColor="hyperlink"/>
      <w:u w:val="single"/>
      <w14:textFill>
        <w14:solidFill>
          <w14:schemeClr w14:val="hlink"/>
        </w14:solidFill>
      </w14:textFill>
    </w:rPr>
  </w:style>
  <w:style w:type="character" w:styleId="25">
    <w:name w:val="annotation reference"/>
    <w:basedOn w:val="22"/>
    <w:qFormat/>
    <w:uiPriority w:val="0"/>
    <w:rPr>
      <w:sz w:val="21"/>
      <w:szCs w:val="21"/>
    </w:rPr>
  </w:style>
  <w:style w:type="paragraph" w:customStyle="1" w:styleId="26">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7">
    <w:name w:val="正文文本缩进 字符"/>
    <w:basedOn w:val="22"/>
    <w:link w:val="3"/>
    <w:qFormat/>
    <w:uiPriority w:val="0"/>
    <w:rPr>
      <w:rFonts w:ascii="Times New Roman" w:hAnsi="Times New Roman" w:eastAsia="仿宋"/>
      <w:kern w:val="2"/>
      <w:sz w:val="21"/>
      <w:szCs w:val="24"/>
    </w:rPr>
  </w:style>
  <w:style w:type="table" w:customStyle="1" w:styleId="28">
    <w:name w:val="Table Normal"/>
    <w:unhideWhenUsed/>
    <w:qFormat/>
    <w:uiPriority w:val="2"/>
    <w:tblPr>
      <w:tblCellMar>
        <w:top w:w="0" w:type="dxa"/>
        <w:left w:w="0" w:type="dxa"/>
        <w:bottom w:w="0" w:type="dxa"/>
        <w:right w:w="0" w:type="dxa"/>
      </w:tblCellMar>
    </w:tblPr>
  </w:style>
  <w:style w:type="paragraph" w:customStyle="1" w:styleId="29">
    <w:name w:val="列出段落1"/>
    <w:basedOn w:val="1"/>
    <w:qFormat/>
    <w:uiPriority w:val="1"/>
  </w:style>
  <w:style w:type="paragraph" w:customStyle="1" w:styleId="30">
    <w:name w:val="Table Paragraph"/>
    <w:basedOn w:val="1"/>
    <w:qFormat/>
    <w:uiPriority w:val="1"/>
  </w:style>
  <w:style w:type="character" w:customStyle="1" w:styleId="31">
    <w:name w:val="页眉 字符"/>
    <w:basedOn w:val="22"/>
    <w:link w:val="15"/>
    <w:qFormat/>
    <w:uiPriority w:val="0"/>
    <w:rPr>
      <w:rFonts w:eastAsiaTheme="minorHAnsi"/>
      <w:sz w:val="18"/>
      <w:szCs w:val="18"/>
      <w:lang w:eastAsia="en-US"/>
    </w:rPr>
  </w:style>
  <w:style w:type="character" w:customStyle="1" w:styleId="32">
    <w:name w:val="页脚 字符"/>
    <w:basedOn w:val="22"/>
    <w:link w:val="14"/>
    <w:qFormat/>
    <w:uiPriority w:val="99"/>
    <w:rPr>
      <w:rFonts w:eastAsiaTheme="minorHAnsi"/>
      <w:sz w:val="18"/>
      <w:szCs w:val="18"/>
      <w:lang w:eastAsia="en-US"/>
    </w:rPr>
  </w:style>
  <w:style w:type="paragraph" w:customStyle="1" w:styleId="33">
    <w:name w:val="封面"/>
    <w:next w:val="17"/>
    <w:qFormat/>
    <w:uiPriority w:val="0"/>
    <w:pPr>
      <w:widowControl w:val="0"/>
    </w:pPr>
    <w:rPr>
      <w:rFonts w:ascii="黑体" w:hAnsi="Times New Roman" w:eastAsia="黑体" w:cs="Times New Roman"/>
      <w:sz w:val="28"/>
      <w:szCs w:val="28"/>
      <w:lang w:val="en-US" w:eastAsia="zh-CN" w:bidi="ar-SA"/>
    </w:rPr>
  </w:style>
  <w:style w:type="character" w:customStyle="1" w:styleId="34">
    <w:name w:val="封面下方 Char"/>
    <w:link w:val="35"/>
    <w:qFormat/>
    <w:uiPriority w:val="0"/>
    <w:rPr>
      <w:rFonts w:eastAsia="黑体"/>
      <w:sz w:val="28"/>
    </w:rPr>
  </w:style>
  <w:style w:type="paragraph" w:customStyle="1" w:styleId="35">
    <w:name w:val="封面下方"/>
    <w:next w:val="9"/>
    <w:link w:val="34"/>
    <w:qFormat/>
    <w:uiPriority w:val="0"/>
    <w:pPr>
      <w:widowControl w:val="0"/>
      <w:ind w:left="600" w:leftChars="600"/>
      <w:jc w:val="both"/>
    </w:pPr>
    <w:rPr>
      <w:rFonts w:eastAsia="黑体" w:asciiTheme="minorHAnsi" w:hAnsiTheme="minorHAnsi" w:cstheme="minorBidi"/>
      <w:sz w:val="28"/>
      <w:lang w:val="en-US" w:eastAsia="zh-CN" w:bidi="ar-SA"/>
    </w:rPr>
  </w:style>
  <w:style w:type="paragraph" w:customStyle="1" w:styleId="36">
    <w:name w:val="封面名称"/>
    <w:next w:val="17"/>
    <w:qFormat/>
    <w:uiPriority w:val="0"/>
    <w:pPr>
      <w:widowControl w:val="0"/>
      <w:jc w:val="center"/>
    </w:pPr>
    <w:rPr>
      <w:rFonts w:ascii="华文中宋" w:hAnsi="Times New Roman" w:eastAsia="华文中宋" w:cs="Times New Roman"/>
      <w:sz w:val="48"/>
      <w:szCs w:val="48"/>
      <w:lang w:val="en-US" w:eastAsia="zh-CN" w:bidi="ar-SA"/>
    </w:rPr>
  </w:style>
  <w:style w:type="character" w:customStyle="1" w:styleId="37">
    <w:name w:val="批注框文本 字符"/>
    <w:basedOn w:val="22"/>
    <w:link w:val="13"/>
    <w:qFormat/>
    <w:uiPriority w:val="0"/>
    <w:rPr>
      <w:rFonts w:eastAsiaTheme="minorHAnsi"/>
      <w:sz w:val="18"/>
      <w:szCs w:val="18"/>
      <w:lang w:eastAsia="en-US"/>
    </w:rPr>
  </w:style>
  <w:style w:type="character" w:customStyle="1" w:styleId="38">
    <w:name w:val="报告正文 Char"/>
    <w:link w:val="39"/>
    <w:qFormat/>
    <w:uiPriority w:val="0"/>
    <w:rPr>
      <w:rFonts w:ascii="Times New Roman" w:hAnsi="Times New Roman" w:eastAsia="仿宋"/>
      <w:kern w:val="2"/>
      <w:sz w:val="28"/>
      <w:szCs w:val="24"/>
    </w:rPr>
  </w:style>
  <w:style w:type="paragraph" w:customStyle="1" w:styleId="39">
    <w:name w:val="报告正文"/>
    <w:basedOn w:val="1"/>
    <w:next w:val="11"/>
    <w:link w:val="38"/>
    <w:qFormat/>
    <w:uiPriority w:val="0"/>
    <w:pPr>
      <w:jc w:val="both"/>
    </w:pPr>
    <w:rPr>
      <w:kern w:val="2"/>
      <w:szCs w:val="24"/>
      <w:lang w:eastAsia="zh-CN"/>
    </w:rPr>
  </w:style>
  <w:style w:type="character" w:customStyle="1" w:styleId="40">
    <w:name w:val="正文文本首行缩进 2 字符"/>
    <w:basedOn w:val="27"/>
    <w:link w:val="2"/>
    <w:qFormat/>
    <w:uiPriority w:val="0"/>
    <w:rPr>
      <w:rFonts w:ascii="Times New Roman" w:hAnsi="Times New Roman" w:eastAsia="仿宋"/>
      <w:kern w:val="2"/>
      <w:sz w:val="21"/>
      <w:szCs w:val="24"/>
    </w:rPr>
  </w:style>
  <w:style w:type="character" w:customStyle="1" w:styleId="41">
    <w:name w:val="批注文字 字符"/>
    <w:basedOn w:val="22"/>
    <w:link w:val="12"/>
    <w:qFormat/>
    <w:uiPriority w:val="0"/>
    <w:rPr>
      <w:rFonts w:eastAsia="仿宋" w:cstheme="minorBidi"/>
      <w:sz w:val="28"/>
      <w:szCs w:val="22"/>
      <w:lang w:eastAsia="en-US"/>
    </w:rPr>
  </w:style>
  <w:style w:type="character" w:customStyle="1" w:styleId="42">
    <w:name w:val="批注主题 字符"/>
    <w:basedOn w:val="41"/>
    <w:link w:val="19"/>
    <w:semiHidden/>
    <w:qFormat/>
    <w:uiPriority w:val="0"/>
    <w:rPr>
      <w:rFonts w:eastAsia="仿宋" w:cstheme="minorBidi"/>
      <w:b/>
      <w:bCs/>
      <w:sz w:val="28"/>
      <w:szCs w:val="22"/>
      <w:lang w:eastAsia="en-US"/>
    </w:rPr>
  </w:style>
  <w:style w:type="paragraph" w:styleId="43">
    <w:name w:val="List Paragraph"/>
    <w:basedOn w:val="1"/>
    <w:qFormat/>
    <w:uiPriority w:val="99"/>
    <w:pPr>
      <w:ind w:firstLine="420"/>
    </w:pPr>
  </w:style>
  <w:style w:type="paragraph" w:customStyle="1" w:styleId="44">
    <w:name w:val="WPSOffice手动目录 1"/>
    <w:qFormat/>
    <w:uiPriority w:val="0"/>
    <w:rPr>
      <w:rFonts w:ascii="Times New Roman" w:hAnsi="Times New Roman" w:eastAsia="宋体" w:cs="Times New Roman"/>
      <w:lang w:val="en-US" w:eastAsia="zh-CN" w:bidi="ar-SA"/>
    </w:rPr>
  </w:style>
  <w:style w:type="paragraph" w:customStyle="1" w:styleId="45">
    <w:name w:val="表格内-C"/>
    <w:basedOn w:val="1"/>
    <w:qFormat/>
    <w:uiPriority w:val="0"/>
    <w:pPr>
      <w:widowControl/>
      <w:spacing w:line="240" w:lineRule="auto"/>
      <w:ind w:firstLine="0" w:firstLineChars="0"/>
      <w:contextualSpacing/>
      <w:jc w:val="center"/>
    </w:pPr>
    <w:rPr>
      <w:rFonts w:eastAsia="宋体" w:cs="Times New Roman"/>
      <w:kern w:val="2"/>
      <w:sz w:val="21"/>
      <w:szCs w:val="20"/>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74BFE8-A0F8-42DA-8BF1-279F529BAEB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4841</Words>
  <Characters>1993</Characters>
  <Lines>16</Lines>
  <Paragraphs>13</Paragraphs>
  <TotalTime>0</TotalTime>
  <ScaleCrop>false</ScaleCrop>
  <LinksUpToDate>false</LinksUpToDate>
  <CharactersWithSpaces>6821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2021-08-17T06:54:00Z</dcterms:created>
  <dc:creator>Windows 用户</dc:creator>
  <cp:lastModifiedBy>Administrator</cp:lastModifiedBy>
  <cp:lastPrinted>2018-07-12T08:30:00Z</cp:lastPrinted>
  <dcterms:modified xsi:type="dcterms:W3CDTF">2022-02-17T02:39:34Z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2052-11.1.0.11294</vt:lpwstr>
  </property>
  <property fmtid="{D5CDD505-2E9C-101B-9397-08002B2CF9AE}" pid="6" name="ICV">
    <vt:lpwstr>0B73D36D5276457382263546CC4B3DBF</vt:lpwstr>
  </property>
</Properties>
</file>