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hAnsi="华文中宋" w:eastAsia="方正小标宋_GBK" w:cs="Times New Roman"/>
          <w:sz w:val="38"/>
          <w:szCs w:val="38"/>
        </w:rPr>
      </w:pPr>
      <w:r>
        <w:rPr>
          <w:rFonts w:hint="eastAsia" w:ascii="方正小标宋_GBK" w:hAnsi="华文中宋" w:eastAsia="方正小标宋_GBK" w:cs="Times New Roman"/>
          <w:sz w:val="38"/>
          <w:szCs w:val="38"/>
        </w:rPr>
        <w:t>企业事业单位突发环境事件应急预案评审表</w:t>
      </w:r>
    </w:p>
    <w:p>
      <w:pPr>
        <w:autoSpaceDE w:val="0"/>
        <w:autoSpaceDN w:val="0"/>
        <w:adjustRightInd w:val="0"/>
        <w:snapToGrid w:val="0"/>
        <w:spacing w:line="408" w:lineRule="auto"/>
        <w:jc w:val="left"/>
        <w:rPr>
          <w:rFonts w:ascii="黑体" w:hAnsi="Times New Roman" w:eastAsia="黑体" w:cs="Times New Roman"/>
          <w:kern w:val="0"/>
          <w:sz w:val="32"/>
          <w:szCs w:val="20"/>
        </w:rPr>
      </w:pPr>
    </w:p>
    <w:tbl>
      <w:tblPr>
        <w:tblStyle w:val="4"/>
        <w:tblW w:w="137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3392"/>
        <w:gridCol w:w="1275"/>
        <w:gridCol w:w="709"/>
        <w:gridCol w:w="2410"/>
        <w:gridCol w:w="44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3781" w:type="dxa"/>
            <w:gridSpan w:val="7"/>
            <w:vAlign w:val="center"/>
          </w:tcPr>
          <w:p>
            <w:pPr>
              <w:adjustRightInd w:val="0"/>
              <w:snapToGrid w:val="0"/>
              <w:spacing w:before="173" w:beforeLines="30"/>
              <w:jc w:val="left"/>
              <w:rPr>
                <w:rFonts w:ascii="宋体" w:hAnsi="宋体" w:eastAsia="宋体" w:cs="Times New Roman"/>
                <w:szCs w:val="21"/>
              </w:rPr>
            </w:pPr>
            <w:r>
              <w:rPr>
                <w:rFonts w:hint="eastAsia" w:ascii="宋体" w:hAnsi="宋体" w:eastAsia="宋体" w:cs="Times New Roman"/>
                <w:szCs w:val="21"/>
              </w:rPr>
              <w:t>预案编制单位：</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hint="eastAsia" w:ascii="宋体" w:hAnsi="宋体" w:eastAsia="宋体" w:cs="Times New Roman"/>
                <w:szCs w:val="21"/>
                <w:u w:val="single"/>
                <w:lang w:eastAsia="zh-CN"/>
              </w:rPr>
              <w:t>咸阳激扬印务</w:t>
            </w:r>
            <w:r>
              <w:rPr>
                <w:rFonts w:hint="eastAsia" w:ascii="宋体" w:hAnsi="宋体" w:eastAsia="宋体" w:cs="Times New Roman"/>
                <w:szCs w:val="21"/>
                <w:u w:val="single"/>
              </w:rPr>
              <w:t xml:space="preserve">有限公司 </w:t>
            </w:r>
            <w:r>
              <w:rPr>
                <w:rFonts w:ascii="宋体" w:hAnsi="宋体" w:eastAsia="宋体" w:cs="Times New Roman"/>
                <w:szCs w:val="21"/>
                <w:u w:val="single"/>
              </w:rPr>
              <w:t xml:space="preserve">       </w:t>
            </w:r>
          </w:p>
          <w:p>
            <w:pPr>
              <w:adjustRightInd w:val="0"/>
              <w:snapToGrid w:val="0"/>
              <w:jc w:val="left"/>
              <w:rPr>
                <w:rFonts w:ascii="宋体" w:hAnsi="宋体" w:eastAsia="宋体" w:cs="Times New Roman"/>
                <w:szCs w:val="21"/>
              </w:rPr>
            </w:pPr>
            <w:r>
              <w:rPr>
                <w:rFonts w:ascii="宋体" w:hAnsi="宋体" w:eastAsia="宋体" w:cs="Times New Roman"/>
                <w:szCs w:val="21"/>
              </w:rPr>
              <w:t>(</w:t>
            </w:r>
            <w:r>
              <w:rPr>
                <w:rFonts w:hint="eastAsia" w:ascii="宋体" w:hAnsi="宋体" w:eastAsia="宋体" w:cs="Times New Roman"/>
                <w:szCs w:val="21"/>
              </w:rPr>
              <w:t>专业技术服务机构：</w:t>
            </w:r>
            <w:r>
              <w:rPr>
                <w:rFonts w:ascii="宋体" w:hAnsi="宋体" w:eastAsia="宋体" w:cs="Times New Roman"/>
                <w:szCs w:val="21"/>
                <w:u w:val="single"/>
              </w:rPr>
              <w:t xml:space="preserve">                                                           </w:t>
            </w:r>
            <w:r>
              <w:rPr>
                <w:rFonts w:ascii="宋体" w:hAnsi="宋体" w:eastAsia="宋体" w:cs="Times New Roman"/>
                <w:szCs w:val="21"/>
              </w:rPr>
              <w:t>)</w:t>
            </w:r>
          </w:p>
          <w:p>
            <w:pPr>
              <w:adjustRightInd w:val="0"/>
              <w:snapToGrid w:val="0"/>
              <w:jc w:val="left"/>
              <w:rPr>
                <w:rFonts w:ascii="宋体" w:hAnsi="宋体" w:eastAsia="宋体" w:cs="Times New Roman"/>
                <w:szCs w:val="21"/>
              </w:rPr>
            </w:pPr>
            <w:r>
              <w:rPr>
                <w:rFonts w:hint="eastAsia" w:ascii="宋体" w:hAnsi="宋体" w:eastAsia="宋体" w:cs="Times New Roman"/>
                <w:szCs w:val="21"/>
              </w:rPr>
              <w:t>企业环境风险级别：</w:t>
            </w:r>
            <w:r>
              <w:rPr>
                <w:rFonts w:hint="eastAsia" w:ascii="宋体" w:hAnsi="宋体" w:eastAsia="宋体" w:cs="Times New Roman"/>
                <w:sz w:val="18"/>
                <w:szCs w:val="18"/>
                <w:bdr w:val="single" w:color="auto" w:sz="4" w:space="0"/>
              </w:rPr>
              <w:t>√</w:t>
            </w:r>
            <w:r>
              <w:rPr>
                <w:rFonts w:hint="eastAsia" w:ascii="宋体" w:hAnsi="宋体" w:eastAsia="宋体" w:cs="Times New Roman"/>
                <w:szCs w:val="21"/>
              </w:rPr>
              <w:t>一般；□较大；□重大</w:t>
            </w:r>
          </w:p>
          <w:p>
            <w:pPr>
              <w:adjustRightInd w:val="0"/>
              <w:snapToGrid w:val="0"/>
              <w:spacing w:after="173" w:afterLines="30"/>
              <w:jc w:val="right"/>
              <w:rPr>
                <w:rFonts w:ascii="仿宋_GB2312" w:hAnsi="宋体" w:eastAsia="仿宋_GB2312" w:cs="Times New Roman"/>
                <w:b/>
                <w:sz w:val="24"/>
                <w:szCs w:val="24"/>
              </w:rPr>
            </w:pPr>
            <w:r>
              <w:rPr>
                <w:rFonts w:hint="eastAsia" w:ascii="仿宋_GB2312" w:hAnsi="宋体" w:eastAsia="仿宋_GB2312" w:cs="Times New Roman"/>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1" w:type="dxa"/>
            <w:gridSpan w:val="7"/>
            <w:vAlign w:val="center"/>
          </w:tcPr>
          <w:p>
            <w:pPr>
              <w:adjustRightInd w:val="0"/>
              <w:snapToGrid w:val="0"/>
              <w:jc w:val="center"/>
              <w:rPr>
                <w:rFonts w:ascii="黑体" w:hAnsi="黑体" w:eastAsia="黑体" w:cs="Times New Roman"/>
                <w:szCs w:val="21"/>
              </w:rPr>
            </w:pPr>
            <w:r>
              <w:rPr>
                <w:rFonts w:hint="eastAsia" w:ascii="黑体" w:hAnsi="黑体" w:eastAsia="黑体" w:cs="Times New Roman"/>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4952" w:type="dxa"/>
            <w:gridSpan w:val="3"/>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评 审 指 标</w:t>
            </w:r>
          </w:p>
        </w:tc>
        <w:tc>
          <w:tcPr>
            <w:tcW w:w="4394" w:type="dxa"/>
            <w:gridSpan w:val="3"/>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评审意见</w:t>
            </w:r>
          </w:p>
        </w:tc>
        <w:tc>
          <w:tcPr>
            <w:tcW w:w="4435"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4952" w:type="dxa"/>
            <w:gridSpan w:val="3"/>
            <w:vMerge w:val="continue"/>
            <w:vAlign w:val="center"/>
          </w:tcPr>
          <w:p>
            <w:pPr>
              <w:adjustRightInd w:val="0"/>
              <w:snapToGrid w:val="0"/>
              <w:jc w:val="center"/>
              <w:rPr>
                <w:rFonts w:ascii="宋体" w:hAnsi="宋体" w:eastAsia="宋体" w:cs="Times New Roman"/>
                <w:szCs w:val="21"/>
              </w:rPr>
            </w:pPr>
          </w:p>
        </w:tc>
        <w:tc>
          <w:tcPr>
            <w:tcW w:w="1275"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判  定</w:t>
            </w:r>
          </w:p>
        </w:tc>
        <w:tc>
          <w:tcPr>
            <w:tcW w:w="3119" w:type="dxa"/>
            <w:gridSpan w:val="2"/>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说  明</w:t>
            </w:r>
          </w:p>
        </w:tc>
        <w:tc>
          <w:tcPr>
            <w:tcW w:w="4435" w:type="dxa"/>
            <w:vMerge w:val="continue"/>
            <w:vAlign w:val="center"/>
          </w:tcPr>
          <w:p>
            <w:pPr>
              <w:adjustRightInd w:val="0"/>
              <w:snapToGrid w:val="0"/>
              <w:jc w:val="left"/>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4" w:hRule="atLeast"/>
          <w:jc w:val="center"/>
        </w:trPr>
        <w:tc>
          <w:tcPr>
            <w:tcW w:w="4952" w:type="dxa"/>
            <w:gridSpan w:val="3"/>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有单独的环境风险评估报告和环境应急资源调查报告（表）</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3119" w:type="dxa"/>
            <w:gridSpan w:val="2"/>
            <w:vAlign w:val="center"/>
          </w:tcPr>
          <w:p>
            <w:pPr>
              <w:adjustRightInd w:val="0"/>
              <w:snapToGrid w:val="0"/>
              <w:jc w:val="left"/>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突发事件应急预案管理办法有关规定；</w:t>
            </w:r>
          </w:p>
          <w:p>
            <w:pPr>
              <w:adjustRightInd w:val="0"/>
              <w:snapToGrid w:val="0"/>
              <w:rPr>
                <w:rFonts w:ascii="宋体" w:hAnsi="宋体" w:eastAsia="宋体" w:cs="Times New Roman"/>
                <w:szCs w:val="21"/>
              </w:rPr>
            </w:pPr>
            <w:r>
              <w:rPr>
                <w:rFonts w:hint="eastAsia" w:ascii="宋体" w:hAnsi="宋体" w:eastAsia="宋体" w:cs="Times New Roman"/>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4952" w:type="dxa"/>
            <w:gridSpan w:val="3"/>
            <w:vAlign w:val="center"/>
          </w:tcPr>
          <w:p>
            <w:pPr>
              <w:adjustRightInd w:val="0"/>
              <w:snapToGrid w:val="0"/>
              <w:jc w:val="left"/>
              <w:rPr>
                <w:rFonts w:ascii="宋体" w:hAnsi="宋体" w:eastAsia="宋体" w:cs="Times New Roman"/>
                <w:spacing w:val="-4"/>
                <w:szCs w:val="21"/>
              </w:rPr>
            </w:pPr>
            <w:r>
              <w:rPr>
                <w:rFonts w:hint="eastAsia" w:ascii="宋体" w:hAnsi="宋体" w:eastAsia="宋体" w:cs="Times New Roman"/>
                <w:spacing w:val="-4"/>
                <w:szCs w:val="21"/>
              </w:rPr>
              <w:t>从可能的突发环境事件情景出发编制且典型突发环境事件情景无缺失</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3119" w:type="dxa"/>
            <w:gridSpan w:val="2"/>
            <w:vAlign w:val="center"/>
          </w:tcPr>
          <w:p>
            <w:pPr>
              <w:adjustRightInd w:val="0"/>
              <w:snapToGrid w:val="0"/>
              <w:jc w:val="left"/>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突发事件应对法有关规定；</w:t>
            </w:r>
          </w:p>
          <w:p>
            <w:pPr>
              <w:adjustRightInd w:val="0"/>
              <w:snapToGrid w:val="0"/>
              <w:rPr>
                <w:rFonts w:ascii="宋体" w:hAnsi="宋体" w:eastAsia="宋体" w:cs="Times New Roman"/>
                <w:szCs w:val="21"/>
              </w:rPr>
            </w:pPr>
            <w:r>
              <w:rPr>
                <w:rFonts w:hint="eastAsia" w:ascii="宋体" w:hAnsi="宋体" w:eastAsia="宋体" w:cs="Times New Roman"/>
                <w:szCs w:val="21"/>
              </w:rPr>
              <w:t>备案管理办法第九、十条，均对企业从可能的突发环境事件情景出发编制环境应急预案提出了要求；</w:t>
            </w:r>
          </w:p>
          <w:p>
            <w:pPr>
              <w:adjustRightInd w:val="0"/>
              <w:snapToGrid w:val="0"/>
              <w:rPr>
                <w:rFonts w:ascii="宋体" w:hAnsi="宋体" w:eastAsia="宋体" w:cs="Times New Roman"/>
                <w:szCs w:val="21"/>
              </w:rPr>
            </w:pPr>
            <w:r>
              <w:rPr>
                <w:rFonts w:hint="eastAsia" w:ascii="宋体" w:hAnsi="宋体" w:eastAsia="宋体" w:cs="Times New Roman"/>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664" w:hRule="atLeast"/>
          <w:jc w:val="center"/>
        </w:trPr>
        <w:tc>
          <w:tcPr>
            <w:tcW w:w="4952" w:type="dxa"/>
            <w:gridSpan w:val="3"/>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能够让周边居民和单位获得事件信息</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3119" w:type="dxa"/>
            <w:gridSpan w:val="2"/>
            <w:vAlign w:val="center"/>
          </w:tcPr>
          <w:p>
            <w:pPr>
              <w:adjustRightInd w:val="0"/>
              <w:snapToGrid w:val="0"/>
              <w:jc w:val="left"/>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1" w:type="dxa"/>
            <w:gridSpan w:val="7"/>
            <w:vAlign w:val="center"/>
          </w:tcPr>
          <w:p>
            <w:pPr>
              <w:adjustRightInd w:val="0"/>
              <w:snapToGrid w:val="0"/>
              <w:jc w:val="center"/>
              <w:rPr>
                <w:rFonts w:ascii="黑体" w:hAnsi="黑体" w:eastAsia="黑体" w:cs="Times New Roman"/>
                <w:szCs w:val="21"/>
              </w:rPr>
            </w:pPr>
            <w:r>
              <w:rPr>
                <w:rFonts w:hint="eastAsia" w:ascii="黑体" w:hAnsi="黑体" w:eastAsia="黑体" w:cs="Times New Roman"/>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评审项目</w:t>
            </w:r>
          </w:p>
        </w:tc>
        <w:tc>
          <w:tcPr>
            <w:tcW w:w="3818" w:type="dxa"/>
            <w:gridSpan w:val="2"/>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评 审 指 标</w:t>
            </w:r>
          </w:p>
        </w:tc>
        <w:tc>
          <w:tcPr>
            <w:tcW w:w="4394" w:type="dxa"/>
            <w:gridSpan w:val="3"/>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评审意见</w:t>
            </w:r>
          </w:p>
        </w:tc>
        <w:tc>
          <w:tcPr>
            <w:tcW w:w="4435"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3818" w:type="dxa"/>
            <w:gridSpan w:val="2"/>
            <w:vMerge w:val="continue"/>
            <w:vAlign w:val="center"/>
          </w:tcPr>
          <w:p>
            <w:pPr>
              <w:adjustRightInd w:val="0"/>
              <w:snapToGrid w:val="0"/>
              <w:jc w:val="center"/>
              <w:rPr>
                <w:rFonts w:ascii="宋体" w:hAnsi="宋体" w:eastAsia="宋体" w:cs="Times New Roman"/>
                <w:szCs w:val="21"/>
              </w:rPr>
            </w:pPr>
          </w:p>
        </w:tc>
        <w:tc>
          <w:tcPr>
            <w:tcW w:w="1275"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判定</w:t>
            </w:r>
          </w:p>
        </w:tc>
        <w:tc>
          <w:tcPr>
            <w:tcW w:w="709"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得分</w:t>
            </w:r>
          </w:p>
        </w:tc>
        <w:tc>
          <w:tcPr>
            <w:tcW w:w="2410"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说明</w:t>
            </w:r>
          </w:p>
        </w:tc>
        <w:tc>
          <w:tcPr>
            <w:tcW w:w="4435" w:type="dxa"/>
            <w:vMerge w:val="continue"/>
            <w:vAlign w:val="center"/>
          </w:tcPr>
          <w:p>
            <w:pPr>
              <w:adjustRightInd w:val="0"/>
              <w:snapToGrid w:val="0"/>
              <w:jc w:val="center"/>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92"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封面目录</w:t>
            </w:r>
          </w:p>
        </w:tc>
        <w:tc>
          <w:tcPr>
            <w:tcW w:w="426" w:type="dxa"/>
            <w:vAlign w:val="center"/>
          </w:tcPr>
          <w:p>
            <w:pPr>
              <w:keepNext/>
              <w:keepLines/>
              <w:adjustRightInd w:val="0"/>
              <w:snapToGrid w:val="0"/>
              <w:jc w:val="center"/>
              <w:rPr>
                <w:rFonts w:ascii="宋体" w:hAnsi="宋体" w:eastAsia="宋体" w:cs="Times New Roman"/>
                <w:szCs w:val="21"/>
                <w:vertAlign w:val="superscript"/>
              </w:rPr>
            </w:pPr>
            <w:r>
              <w:rPr>
                <w:rFonts w:hint="eastAsia" w:ascii="宋体" w:hAnsi="宋体" w:eastAsia="宋体" w:cs="Times New Roman"/>
                <w:szCs w:val="21"/>
              </w:rPr>
              <w:t>1</w:t>
            </w:r>
            <w:r>
              <w:rPr>
                <w:rFonts w:hint="eastAsia" w:ascii="宋体" w:hAnsi="宋体" w:eastAsia="宋体" w:cs="Times New Roman"/>
                <w:szCs w:val="21"/>
                <w:vertAlign w:val="superscript"/>
              </w:rPr>
              <w:t>a</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封面有环境应急预案、预案编制单位名称，预留正式发布预案的版本号、发布日期等设计；</w:t>
            </w:r>
          </w:p>
          <w:p>
            <w:pPr>
              <w:adjustRightInd w:val="0"/>
              <w:snapToGrid w:val="0"/>
              <w:rPr>
                <w:rFonts w:ascii="宋体" w:hAnsi="宋体" w:eastAsia="宋体" w:cs="Times New Roman"/>
                <w:szCs w:val="21"/>
              </w:rPr>
            </w:pPr>
            <w:r>
              <w:rPr>
                <w:rFonts w:hint="eastAsia" w:ascii="宋体" w:hAnsi="宋体" w:eastAsia="宋体" w:cs="Times New Roman"/>
                <w:szCs w:val="21"/>
              </w:rPr>
              <w:t>目录有编号、标题和页码，一般至少设置两级目录</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ascii="宋体" w:hAnsi="宋体" w:eastAsia="宋体" w:cs="Times New Roman"/>
                <w:szCs w:val="21"/>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预案版本号指为便于索引、回溯而在发布时赋予预案的标识号，企业可以按照内部技术文件版本号管理要求执行；</w:t>
            </w:r>
          </w:p>
          <w:p>
            <w:pPr>
              <w:adjustRightInd w:val="0"/>
              <w:snapToGrid w:val="0"/>
              <w:rPr>
                <w:rFonts w:ascii="宋体" w:hAnsi="宋体" w:eastAsia="宋体" w:cs="Times New Roman"/>
                <w:szCs w:val="21"/>
              </w:rPr>
            </w:pPr>
            <w:r>
              <w:rPr>
                <w:rFonts w:hint="eastAsia" w:ascii="宋体" w:hAnsi="宋体" w:eastAsia="宋体" w:cs="Times New Roman"/>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41"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结构</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vertAlign w:val="superscript"/>
              </w:rPr>
              <w:t>a</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结构完整，格式规范</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ascii="宋体" w:hAnsi="宋体" w:eastAsia="宋体" w:cs="Times New Roman"/>
                <w:szCs w:val="21"/>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结构完整指预案文件布局合理、层次分明，无错漏章节、段落；正文对附件的引用、说明等，与附件索引、附件一致；</w:t>
            </w:r>
          </w:p>
          <w:p>
            <w:pPr>
              <w:adjustRightInd w:val="0"/>
              <w:snapToGrid w:val="0"/>
              <w:rPr>
                <w:rFonts w:ascii="宋体" w:hAnsi="宋体" w:eastAsia="宋体" w:cs="Times New Roman"/>
                <w:szCs w:val="21"/>
              </w:rPr>
            </w:pPr>
            <w:r>
              <w:rPr>
                <w:rFonts w:hint="eastAsia" w:ascii="宋体" w:hAnsi="宋体" w:eastAsia="宋体" w:cs="Times New Roman"/>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23"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行文</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w:t>
            </w:r>
            <w:r>
              <w:rPr>
                <w:rFonts w:hint="eastAsia" w:ascii="宋体" w:hAnsi="宋体" w:eastAsia="宋体" w:cs="Times New Roman"/>
                <w:szCs w:val="21"/>
                <w:vertAlign w:val="superscript"/>
              </w:rPr>
              <w:t>a</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文字准确，语言通顺，内容简明</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ascii="宋体" w:hAnsi="宋体" w:eastAsia="宋体" w:cs="Times New Roman"/>
                <w:szCs w:val="21"/>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文字准确是指无明显错别字、多字、漏字、语句错误、数据错误、时间错误等现象；</w:t>
            </w:r>
          </w:p>
          <w:p>
            <w:pPr>
              <w:adjustRightInd w:val="0"/>
              <w:snapToGrid w:val="0"/>
              <w:rPr>
                <w:rFonts w:ascii="宋体" w:hAnsi="宋体" w:eastAsia="宋体" w:cs="Times New Roman"/>
                <w:szCs w:val="21"/>
              </w:rPr>
            </w:pPr>
            <w:r>
              <w:rPr>
                <w:rFonts w:hint="eastAsia" w:ascii="宋体" w:hAnsi="宋体" w:eastAsia="宋体" w:cs="Times New Roman"/>
                <w:szCs w:val="21"/>
              </w:rPr>
              <w:t>语言通顺是指语言规范、连贯、易懂，合乎事理逻辑，关键内容不会产生歧义等；</w:t>
            </w:r>
          </w:p>
          <w:p>
            <w:pPr>
              <w:adjustRightInd w:val="0"/>
              <w:snapToGrid w:val="0"/>
              <w:rPr>
                <w:rFonts w:ascii="宋体" w:hAnsi="宋体" w:eastAsia="宋体" w:cs="Times New Roman"/>
                <w:szCs w:val="21"/>
              </w:rPr>
            </w:pPr>
            <w:r>
              <w:rPr>
                <w:rFonts w:hint="eastAsia" w:ascii="宋体" w:hAnsi="宋体" w:eastAsia="宋体" w:cs="Times New Roman"/>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1" w:type="dxa"/>
            <w:gridSpan w:val="7"/>
            <w:vAlign w:val="center"/>
          </w:tcPr>
          <w:p>
            <w:pPr>
              <w:adjustRightInd w:val="0"/>
              <w:snapToGrid w:val="0"/>
              <w:jc w:val="center"/>
              <w:rPr>
                <w:rFonts w:ascii="黑体" w:hAnsi="黑体" w:eastAsia="黑体" w:cs="Times New Roman"/>
                <w:szCs w:val="21"/>
                <w:highlight w:val="yellow"/>
              </w:rPr>
            </w:pPr>
            <w:r>
              <w:rPr>
                <w:rFonts w:hint="eastAsia" w:ascii="黑体" w:hAnsi="黑体" w:eastAsia="黑体" w:cs="Times New Roman"/>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过程说明</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4</w:t>
            </w:r>
            <w:r>
              <w:rPr>
                <w:rFonts w:hint="eastAsia" w:ascii="宋体" w:hAnsi="宋体" w:eastAsia="宋体" w:cs="Times New Roman"/>
                <w:szCs w:val="21"/>
                <w:vertAlign w:val="superscript"/>
              </w:rPr>
              <w:t>a</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说清预案编修过程</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highlight w:val="yellow"/>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highlight w:val="yellow"/>
              </w:rPr>
            </w:pPr>
            <w:r>
              <w:rPr>
                <w:rFonts w:hint="eastAsia" w:ascii="宋体" w:hAnsi="宋体" w:eastAsia="宋体" w:cs="Times New Roman"/>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问题说明</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5</w:t>
            </w:r>
            <w:r>
              <w:rPr>
                <w:rFonts w:hint="eastAsia" w:ascii="宋体" w:hAnsi="宋体" w:eastAsia="宋体" w:cs="Times New Roman"/>
                <w:szCs w:val="21"/>
                <w:vertAlign w:val="superscript"/>
              </w:rPr>
              <w:t>a</w:t>
            </w:r>
          </w:p>
        </w:tc>
        <w:tc>
          <w:tcPr>
            <w:tcW w:w="3392" w:type="dxa"/>
            <w:vAlign w:val="center"/>
          </w:tcPr>
          <w:p>
            <w:pPr>
              <w:adjustRightInd w:val="0"/>
              <w:snapToGrid w:val="0"/>
              <w:rPr>
                <w:rFonts w:ascii="宋体" w:hAnsi="宋体" w:eastAsia="宋体" w:cs="Times New Roman"/>
                <w:spacing w:val="-2"/>
                <w:szCs w:val="21"/>
              </w:rPr>
            </w:pPr>
            <w:r>
              <w:rPr>
                <w:rFonts w:hint="eastAsia" w:ascii="宋体" w:hAnsi="宋体" w:eastAsia="宋体" w:cs="Times New Roman"/>
                <w:spacing w:val="-2"/>
                <w:szCs w:val="21"/>
              </w:rPr>
              <w:t>说明意见建议及采纳情况、演练暴露问题及解决措施</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default" w:ascii="宋体" w:hAnsi="宋体" w:eastAsia="宋体" w:cs="Times New Roman"/>
                <w:szCs w:val="21"/>
                <w:lang w:val="en-US" w:eastAsia="zh-CN"/>
              </w:rPr>
            </w:pPr>
          </w:p>
        </w:tc>
        <w:tc>
          <w:tcPr>
            <w:tcW w:w="2410"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 xml:space="preserve"> </w:t>
            </w: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41" w:hRule="atLeast"/>
          <w:jc w:val="center"/>
        </w:trPr>
        <w:tc>
          <w:tcPr>
            <w:tcW w:w="13781" w:type="dxa"/>
            <w:gridSpan w:val="7"/>
            <w:vAlign w:val="center"/>
          </w:tcPr>
          <w:p>
            <w:pPr>
              <w:adjustRightInd w:val="0"/>
              <w:snapToGrid w:val="0"/>
              <w:jc w:val="center"/>
              <w:rPr>
                <w:rFonts w:ascii="黑体" w:hAnsi="黑体" w:eastAsia="黑体" w:cs="Times New Roman"/>
                <w:szCs w:val="21"/>
              </w:rPr>
            </w:pPr>
            <w:r>
              <w:rPr>
                <w:rFonts w:hint="eastAsia" w:ascii="黑体" w:hAnsi="黑体" w:eastAsia="黑体" w:cs="Times New Roman"/>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0"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编制目的</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6</w:t>
            </w:r>
          </w:p>
        </w:tc>
        <w:tc>
          <w:tcPr>
            <w:tcW w:w="3392" w:type="dxa"/>
            <w:vAlign w:val="center"/>
          </w:tcPr>
          <w:p>
            <w:pPr>
              <w:adjustRightInd w:val="0"/>
              <w:snapToGrid w:val="0"/>
              <w:jc w:val="left"/>
              <w:rPr>
                <w:rFonts w:ascii="宋体" w:hAnsi="宋体" w:eastAsia="宋体" w:cs="Times New Roman"/>
                <w:spacing w:val="-2"/>
                <w:szCs w:val="21"/>
              </w:rPr>
            </w:pPr>
            <w:r>
              <w:rPr>
                <w:rFonts w:hint="eastAsia" w:ascii="宋体" w:hAnsi="宋体" w:eastAsia="宋体" w:cs="Times New Roman"/>
                <w:spacing w:val="-2"/>
                <w:szCs w:val="21"/>
              </w:rPr>
              <w:t>体现：规范事发后的应对工作，提高事件应对能力，避免或减轻事件影响，加强企业与政府应对工作衔接</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ascii="宋体" w:hAnsi="宋体" w:eastAsia="宋体" w:cs="Times New Roman"/>
                <w:szCs w:val="21"/>
              </w:rPr>
            </w:pPr>
          </w:p>
        </w:tc>
        <w:tc>
          <w:tcPr>
            <w:tcW w:w="2410" w:type="dxa"/>
            <w:vAlign w:val="center"/>
          </w:tcPr>
          <w:p>
            <w:pPr>
              <w:adjustRightInd w:val="0"/>
              <w:snapToGrid w:val="0"/>
              <w:rPr>
                <w:rFonts w:ascii="宋体" w:hAnsi="宋体" w:eastAsia="宋体" w:cs="Times New Roman"/>
                <w:szCs w:val="21"/>
              </w:rPr>
            </w:pPr>
          </w:p>
        </w:tc>
        <w:tc>
          <w:tcPr>
            <w:tcW w:w="4435" w:type="dxa"/>
            <w:vMerge w:val="restart"/>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此三项为预案的总纲。</w:t>
            </w:r>
          </w:p>
          <w:p>
            <w:pPr>
              <w:adjustRightInd w:val="0"/>
              <w:snapToGrid w:val="0"/>
              <w:rPr>
                <w:rFonts w:ascii="宋体" w:hAnsi="宋体" w:eastAsia="宋体" w:cs="Times New Roman"/>
                <w:szCs w:val="21"/>
              </w:rPr>
            </w:pPr>
            <w:r>
              <w:rPr>
                <w:rFonts w:hint="eastAsia" w:ascii="宋体" w:hAnsi="宋体" w:eastAsia="宋体" w:cs="Times New Roman"/>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rPr>
                <w:rFonts w:ascii="宋体" w:hAnsi="宋体" w:eastAsia="宋体" w:cs="Times New Roman"/>
                <w:szCs w:val="21"/>
              </w:rPr>
            </w:pPr>
            <w:r>
              <w:rPr>
                <w:rFonts w:hint="eastAsia" w:ascii="宋体" w:hAnsi="宋体" w:eastAsia="宋体" w:cs="Times New Roman"/>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rPr>
                <w:rFonts w:ascii="宋体" w:hAnsi="宋体" w:eastAsia="宋体" w:cs="Times New Roman"/>
                <w:szCs w:val="21"/>
              </w:rPr>
            </w:pPr>
            <w:r>
              <w:rPr>
                <w:rFonts w:hint="eastAsia" w:ascii="宋体" w:hAnsi="宋体" w:eastAsia="宋体" w:cs="Times New Roman"/>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适用范围</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7</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明确：预案适用的主体、地理或管理范围、事件类别、工作内容</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Merge w:val="continue"/>
            <w:vAlign w:val="center"/>
          </w:tcPr>
          <w:p>
            <w:pPr>
              <w:adjustRightInd w:val="0"/>
              <w:snapToGrid w:val="0"/>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工作原则</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8</w:t>
            </w:r>
          </w:p>
        </w:tc>
        <w:tc>
          <w:tcPr>
            <w:tcW w:w="3392" w:type="dxa"/>
            <w:vAlign w:val="center"/>
          </w:tcPr>
          <w:p>
            <w:pPr>
              <w:adjustRightInd w:val="0"/>
              <w:snapToGrid w:val="0"/>
              <w:jc w:val="left"/>
              <w:rPr>
                <w:rFonts w:ascii="宋体" w:hAnsi="宋体" w:eastAsia="宋体" w:cs="Times New Roman"/>
                <w:spacing w:val="-2"/>
                <w:szCs w:val="21"/>
              </w:rPr>
            </w:pPr>
            <w:r>
              <w:rPr>
                <w:rFonts w:hint="eastAsia" w:ascii="宋体" w:hAnsi="宋体" w:eastAsia="宋体" w:cs="Times New Roman"/>
                <w:spacing w:val="-2"/>
                <w:szCs w:val="21"/>
              </w:rPr>
              <w:t>体现：符合国家有关规定和要求，结合本单位实际；救人第一、环境优先；先期处置、防止危害扩大；快速响应、科学应对；应急工作与岗位职责相结合等</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ascii="宋体" w:hAnsi="宋体" w:eastAsia="宋体" w:cs="Times New Roman"/>
                <w:szCs w:val="21"/>
              </w:rPr>
            </w:pPr>
          </w:p>
        </w:tc>
        <w:tc>
          <w:tcPr>
            <w:tcW w:w="2410" w:type="dxa"/>
            <w:vAlign w:val="center"/>
          </w:tcPr>
          <w:p>
            <w:pPr>
              <w:adjustRightInd w:val="0"/>
              <w:snapToGrid w:val="0"/>
              <w:rPr>
                <w:rFonts w:ascii="宋体" w:hAnsi="宋体" w:eastAsia="宋体" w:cs="Times New Roman"/>
                <w:szCs w:val="21"/>
              </w:rPr>
            </w:pPr>
          </w:p>
        </w:tc>
        <w:tc>
          <w:tcPr>
            <w:tcW w:w="4435" w:type="dxa"/>
            <w:vMerge w:val="continue"/>
            <w:vAlign w:val="center"/>
          </w:tcPr>
          <w:p>
            <w:pPr>
              <w:adjustRightInd w:val="0"/>
              <w:snapToGrid w:val="0"/>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103"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应急预案</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体系</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9</w:t>
            </w:r>
            <w:r>
              <w:rPr>
                <w:rFonts w:hint="eastAsia" w:ascii="宋体" w:hAnsi="宋体" w:eastAsia="宋体" w:cs="Times New Roman"/>
                <w:szCs w:val="21"/>
                <w:vertAlign w:val="superscript"/>
              </w:rPr>
              <w:t>b</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以预案关系图的形式，说明本预案的组成及其组成之间的关系、与生产安全事故预案等其他预案的衔接关系、与地方人民政府环境应急预案的衔接关系，辅以必要的重点内容说明</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default" w:ascii="宋体" w:hAnsi="宋体" w:eastAsia="宋体" w:cs="Times New Roman"/>
                <w:szCs w:val="21"/>
                <w:lang w:val="en-US"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Merge w:val="restart"/>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本项目的三项指标，主要考察企业在环境应急预案编制过程中能否清晰把握预案体系。具体衔接方式、内容在应对流程和措施等部分体现。</w:t>
            </w:r>
          </w:p>
          <w:p>
            <w:pPr>
              <w:adjustRightInd w:val="0"/>
              <w:snapToGrid w:val="0"/>
              <w:rPr>
                <w:rFonts w:ascii="宋体" w:hAnsi="宋体" w:eastAsia="宋体" w:cs="Times New Roman"/>
                <w:szCs w:val="21"/>
              </w:rPr>
            </w:pPr>
            <w:r>
              <w:rPr>
                <w:rFonts w:hint="eastAsia" w:ascii="宋体" w:hAnsi="宋体" w:eastAsia="宋体" w:cs="Times New Roman"/>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ascii="宋体" w:hAnsi="宋体" w:eastAsia="宋体" w:cs="Times New Roman"/>
                <w:szCs w:val="21"/>
              </w:rPr>
            </w:pPr>
            <w:r>
              <w:rPr>
                <w:rFonts w:hint="eastAsia" w:ascii="宋体" w:hAnsi="宋体" w:eastAsia="宋体" w:cs="Times New Roman"/>
                <w:szCs w:val="21"/>
              </w:rPr>
              <w:t>环境应急预案定位于控制并减轻、消除污染，与企业内部生产安全事故预案等其他预案清晰界定、相互支持。</w:t>
            </w:r>
          </w:p>
          <w:p>
            <w:pPr>
              <w:adjustRightInd w:val="0"/>
              <w:snapToGrid w:val="0"/>
              <w:rPr>
                <w:rFonts w:ascii="宋体" w:hAnsi="宋体" w:eastAsia="宋体" w:cs="Times New Roman"/>
                <w:szCs w:val="21"/>
              </w:rPr>
            </w:pPr>
            <w:r>
              <w:rPr>
                <w:rFonts w:hint="eastAsia" w:ascii="宋体" w:hAnsi="宋体" w:eastAsia="宋体" w:cs="Times New Roman"/>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10</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预案体系构成合理，以现场处置预案为主，确有必要编制综合预案、专项预案，且定位清晰、有机衔接</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Merge w:val="continue"/>
            <w:vAlign w:val="center"/>
          </w:tcPr>
          <w:p>
            <w:pPr>
              <w:adjustRightInd w:val="0"/>
              <w:snapToGrid w:val="0"/>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11</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预案整体定位清晰，与内部生产安全事故预案等其他预案清晰界定、相互支持，与地方人民政府环境应急预案有机衔接</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Merge w:val="continue"/>
            <w:vAlign w:val="center"/>
          </w:tcPr>
          <w:p>
            <w:pPr>
              <w:adjustRightInd w:val="0"/>
              <w:snapToGrid w:val="0"/>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1" w:hRule="atLeast"/>
          <w:jc w:val="center"/>
        </w:trPr>
        <w:tc>
          <w:tcPr>
            <w:tcW w:w="1134" w:type="dxa"/>
            <w:vMerge w:val="restart"/>
            <w:vAlign w:val="center"/>
          </w:tcPr>
          <w:p>
            <w:pPr>
              <w:adjustRightInd w:val="0"/>
              <w:snapToGrid w:val="0"/>
              <w:jc w:val="center"/>
              <w:rPr>
                <w:rFonts w:ascii="宋体" w:hAnsi="宋体" w:eastAsia="宋体" w:cs="Times New Roman"/>
                <w:color w:val="000000"/>
                <w:kern w:val="0"/>
                <w:szCs w:val="21"/>
                <w:lang w:val="zh-CN"/>
              </w:rPr>
            </w:pPr>
            <w:r>
              <w:rPr>
                <w:rFonts w:hint="eastAsia" w:ascii="宋体" w:hAnsi="宋体" w:eastAsia="宋体" w:cs="Times New Roman"/>
                <w:szCs w:val="21"/>
              </w:rPr>
              <w:t>组织指挥机制</w:t>
            </w:r>
          </w:p>
        </w:tc>
        <w:tc>
          <w:tcPr>
            <w:tcW w:w="426" w:type="dxa"/>
            <w:vAlign w:val="center"/>
          </w:tcPr>
          <w:p>
            <w:pPr>
              <w:keepNext/>
              <w:keepLines/>
              <w:adjustRightInd w:val="0"/>
              <w:snapToGrid w:val="0"/>
              <w:jc w:val="center"/>
              <w:rPr>
                <w:rFonts w:ascii="宋体" w:hAnsi="宋体" w:eastAsia="宋体" w:cs="Times New Roman"/>
                <w:color w:val="000000"/>
                <w:szCs w:val="21"/>
              </w:rPr>
            </w:pPr>
            <w:r>
              <w:rPr>
                <w:rFonts w:hint="eastAsia" w:ascii="宋体" w:hAnsi="宋体" w:eastAsia="宋体" w:cs="Times New Roman"/>
                <w:color w:val="000000"/>
                <w:szCs w:val="21"/>
              </w:rPr>
              <w:t>12</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以应急组织体系结构图、应急响应流程图的形式，说明组织体系构成、应急指挥运行机制，配有应急队伍成员名单和联系方式表</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ascii="宋体" w:hAnsi="宋体" w:eastAsia="宋体" w:cs="Times New Roman"/>
                <w:szCs w:val="21"/>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71"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color w:val="000000"/>
                <w:szCs w:val="21"/>
              </w:rPr>
            </w:pPr>
            <w:r>
              <w:rPr>
                <w:rFonts w:hint="eastAsia" w:ascii="宋体" w:hAnsi="宋体" w:eastAsia="宋体" w:cs="Times New Roman"/>
                <w:color w:val="000000"/>
                <w:szCs w:val="21"/>
              </w:rPr>
              <w:t>13</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明确组织体系的构成及其职责。一般包括应急指挥部及其办事机构、现场处置组、环境应急监测组、应急保障组以及其他必要的行动组</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4" w:type="dxa"/>
            <w:vMerge w:val="restart"/>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组织指挥机制</w:t>
            </w: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14</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明确应急状态下指挥运行机制，建立统一的应急指挥、协调和决策程序</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ascii="宋体" w:hAnsi="宋体" w:eastAsia="宋体" w:cs="Times New Roman"/>
                <w:szCs w:val="21"/>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15</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根据突发环境事件的危害程度、影响范围、周边环境敏感点、企业应急响应能力等，建立分级应急响应机制，明确不同应急响应级别对应的指挥权限</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16</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说明企业与政府及其有关部门之间的关系。明确政府及其有关部门介入后，企业内部指挥协调、配合处置、参与应急保障等工作任务和责任人</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监测预警</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17</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建立企业内部监控预警方案</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根据</w:t>
            </w:r>
            <w:r>
              <w:rPr>
                <w:rFonts w:ascii="宋体" w:hAnsi="宋体" w:eastAsia="宋体" w:cs="Times New Roman"/>
                <w:szCs w:val="21"/>
              </w:rPr>
              <w:t>企业</w:t>
            </w:r>
            <w:r>
              <w:rPr>
                <w:rFonts w:hint="eastAsia" w:ascii="宋体" w:hAnsi="宋体" w:eastAsia="宋体" w:cs="Times New Roman"/>
                <w:szCs w:val="21"/>
              </w:rPr>
              <w:t>可能面临事件情景</w:t>
            </w:r>
            <w:r>
              <w:rPr>
                <w:rFonts w:ascii="宋体" w:hAnsi="宋体" w:eastAsia="宋体" w:cs="Times New Roman"/>
                <w:szCs w:val="21"/>
              </w:rPr>
              <w:t>，</w:t>
            </w:r>
            <w:r>
              <w:rPr>
                <w:rFonts w:hint="eastAsia" w:ascii="宋体" w:hAnsi="宋体" w:eastAsia="宋体" w:cs="Times New Roman"/>
                <w:szCs w:val="21"/>
              </w:rPr>
              <w:t>结合事件危害程度、紧急程度和发展态势</w:t>
            </w:r>
            <w:r>
              <w:rPr>
                <w:rFonts w:ascii="宋体" w:hAnsi="宋体" w:eastAsia="宋体" w:cs="Times New Roman"/>
                <w:szCs w:val="21"/>
              </w:rPr>
              <w:t>，</w:t>
            </w:r>
            <w:r>
              <w:rPr>
                <w:rFonts w:hint="eastAsia" w:ascii="宋体" w:hAnsi="宋体" w:eastAsia="宋体" w:cs="Times New Roman"/>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18</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明确监控信息的获得途径和分析研判的方式方法</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监控信息的获得途径，例如极端天气等自然灾害、生产安全事故等事故灾难、相关监控监测信息等；</w:t>
            </w:r>
          </w:p>
          <w:p>
            <w:pPr>
              <w:adjustRightInd w:val="0"/>
              <w:snapToGrid w:val="0"/>
              <w:jc w:val="left"/>
              <w:rPr>
                <w:rFonts w:ascii="宋体" w:hAnsi="宋体" w:eastAsia="宋体" w:cs="Times New Roman"/>
                <w:szCs w:val="21"/>
              </w:rPr>
            </w:pPr>
            <w:r>
              <w:rPr>
                <w:rFonts w:hint="eastAsia" w:ascii="宋体" w:hAnsi="宋体" w:eastAsia="宋体" w:cs="Times New Roman"/>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70"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19</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明确企业内部预警条件，预警等级，预警信息发布、接收、调整、解除程序、发布内容、责任人</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一般根据企业突发环境事件类型情景和自身的应急能力等，结合周边环境情况，确定预警等级，做到早发现、早报告、早发布；</w:t>
            </w:r>
          </w:p>
          <w:p>
            <w:pPr>
              <w:adjustRightInd w:val="0"/>
              <w:snapToGrid w:val="0"/>
              <w:rPr>
                <w:rFonts w:ascii="宋体" w:hAnsi="宋体" w:eastAsia="宋体" w:cs="Times New Roman"/>
                <w:szCs w:val="21"/>
              </w:rPr>
            </w:pPr>
            <w:r>
              <w:rPr>
                <w:rFonts w:hint="eastAsia" w:ascii="宋体" w:hAnsi="宋体" w:eastAsia="宋体" w:cs="Times New Roman"/>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信息报告</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20</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明确企业内部事件信息传递的责任人、程序、时限、方式、内容等，包括向协议应急救援单位传递信息的方式方法</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21</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明确企业向当地人民政府及其环保等部门报告的责任人、程序、时限方式、内容等，辅以信息报告格式规范</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22</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明确企业向可能受影响的居民、单位通报的责任人、程序、时限、方式、内容等</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应急监测</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23</w:t>
            </w:r>
            <w:r>
              <w:rPr>
                <w:rFonts w:hint="eastAsia" w:ascii="宋体" w:hAnsi="宋体" w:eastAsia="宋体" w:cs="Times New Roman"/>
                <w:szCs w:val="21"/>
                <w:vertAlign w:val="superscript"/>
              </w:rPr>
              <w:t>c</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涉大气污染的，说明排放口和厂界气体监测的一般原则</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eastAsia="宋体" w:cs="Times New Roman"/>
                <w:szCs w:val="21"/>
              </w:rPr>
            </w:pPr>
            <w:r>
              <w:rPr>
                <w:rFonts w:hint="eastAsia" w:ascii="宋体" w:hAnsi="宋体" w:eastAsia="宋体" w:cs="Times New Roman"/>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4"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24</w:t>
            </w:r>
            <w:r>
              <w:rPr>
                <w:rFonts w:hint="eastAsia" w:ascii="宋体" w:hAnsi="宋体" w:eastAsia="宋体" w:cs="Times New Roman"/>
                <w:szCs w:val="21"/>
                <w:vertAlign w:val="superscript"/>
              </w:rPr>
              <w:t>c</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涉水污染的，说明废水排放口、雨水排放口、清净下水排放口等可能外排渠道监测的一般原则</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82"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25</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监测方案一般应明确监测项目、采样（监测）人员、监测设备、监测频次等</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26</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明确监测执行单位；自身没有监测能力的，说明协议监测方案，并附协议</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val="en-US"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应对流程和措施</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27</w:t>
            </w:r>
            <w:r>
              <w:rPr>
                <w:rFonts w:hint="eastAsia" w:ascii="宋体" w:hAnsi="宋体" w:eastAsia="宋体" w:cs="Times New Roman"/>
                <w:szCs w:val="21"/>
                <w:vertAlign w:val="superscript"/>
              </w:rPr>
              <w:t>b</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根据环境风险评估报告中的风险分析和情景构建内容，说明应对流程和措施，体现：企业内部控制污染源</w:t>
            </w:r>
            <w:r>
              <w:rPr>
                <w:rFonts w:ascii="宋体" w:hAnsi="宋体" w:eastAsia="宋体" w:cs="Times New Roman"/>
                <w:szCs w:val="21"/>
              </w:rPr>
              <w:t>-</w:t>
            </w:r>
            <w:r>
              <w:rPr>
                <w:rFonts w:hint="eastAsia" w:ascii="宋体" w:hAnsi="宋体" w:eastAsia="宋体" w:cs="Times New Roman"/>
                <w:szCs w:val="21"/>
              </w:rPr>
              <w:t>研判污染范围</w:t>
            </w:r>
            <w:r>
              <w:rPr>
                <w:rFonts w:ascii="宋体" w:hAnsi="宋体" w:eastAsia="宋体" w:cs="Times New Roman"/>
                <w:szCs w:val="21"/>
              </w:rPr>
              <w:t>-</w:t>
            </w:r>
            <w:r>
              <w:rPr>
                <w:rFonts w:hint="eastAsia" w:ascii="宋体" w:hAnsi="宋体" w:eastAsia="宋体" w:cs="Times New Roman"/>
                <w:szCs w:val="21"/>
              </w:rPr>
              <w:t>控制污染扩散</w:t>
            </w:r>
            <w:r>
              <w:rPr>
                <w:rFonts w:ascii="宋体" w:hAnsi="宋体" w:eastAsia="宋体" w:cs="Times New Roman"/>
                <w:szCs w:val="21"/>
              </w:rPr>
              <w:t>-</w:t>
            </w:r>
            <w:r>
              <w:rPr>
                <w:rFonts w:hint="eastAsia" w:ascii="宋体" w:hAnsi="宋体" w:eastAsia="宋体" w:cs="Times New Roman"/>
                <w:szCs w:val="21"/>
              </w:rPr>
              <w:t>污染处置应对流程和措施</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Merge w:val="restart"/>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4"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28</w:t>
            </w:r>
            <w:r>
              <w:rPr>
                <w:rFonts w:hint="eastAsia" w:ascii="宋体" w:hAnsi="宋体" w:eastAsia="宋体" w:cs="Times New Roman"/>
                <w:szCs w:val="21"/>
                <w:vertAlign w:val="superscript"/>
              </w:rPr>
              <w:t>b</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体现必要的企业外部应急措施、配合当地人民政府的响应措施及对当地人民政府应急措施的建议</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Merge w:val="continue"/>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29</w:t>
            </w:r>
            <w:r>
              <w:rPr>
                <w:rFonts w:hint="eastAsia" w:ascii="宋体" w:hAnsi="宋体" w:eastAsia="宋体" w:cs="Times New Roman"/>
                <w:szCs w:val="21"/>
                <w:vertAlign w:val="superscript"/>
              </w:rPr>
              <w:t>c</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涉及大气污染的，应重点说明受威胁范围、组织公众避险的方式方法，涉及疏散的一般应辅以疏散路线图；如果装备风向标，应配有风向标分布图</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30</w:t>
            </w:r>
            <w:r>
              <w:rPr>
                <w:rFonts w:hint="eastAsia" w:ascii="宋体" w:hAnsi="宋体" w:eastAsia="宋体" w:cs="Times New Roman"/>
                <w:szCs w:val="21"/>
                <w:vertAlign w:val="superscript"/>
              </w:rPr>
              <w:t>c</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涉及水污染的，应重点说明企业内收集、封堵、处置污染物的方式方法，适当延伸至企业外防控方式方法；配有废水、雨水、清净下水管网及重要阀门设置图</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31</w:t>
            </w:r>
            <w:r>
              <w:rPr>
                <w:rFonts w:hint="eastAsia" w:ascii="宋体" w:hAnsi="宋体" w:eastAsia="宋体" w:cs="Times New Roman"/>
                <w:szCs w:val="21"/>
                <w:vertAlign w:val="superscript"/>
              </w:rPr>
              <w:t>b</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分别说明可能的事件情景及应急处置方案，明确相关岗位人员采取措施的时间、地点、内容、方式、目标等</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11"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32</w:t>
            </w:r>
            <w:r>
              <w:rPr>
                <w:rFonts w:hint="eastAsia" w:ascii="宋体" w:hAnsi="宋体" w:eastAsia="宋体" w:cs="Times New Roman"/>
                <w:szCs w:val="21"/>
                <w:vertAlign w:val="superscript"/>
              </w:rPr>
              <w:t>b</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将应急措施细化、落实到岗位，形成应急处置卡</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hint="eastAsia" w:ascii="宋体" w:hAnsi="宋体" w:eastAsia="宋体" w:cs="Times New Roman"/>
                <w:szCs w:val="21"/>
                <w:lang w:eastAsia="zh-CN"/>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77"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33</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配有厂区平面布置图，应急物资表</w:t>
            </w:r>
            <w:r>
              <w:rPr>
                <w:rFonts w:ascii="宋体" w:hAnsi="宋体" w:eastAsia="宋体" w:cs="Times New Roman"/>
                <w:szCs w:val="21"/>
              </w:rPr>
              <w:t>/</w:t>
            </w:r>
            <w:r>
              <w:rPr>
                <w:rFonts w:hint="eastAsia" w:ascii="宋体" w:hAnsi="宋体" w:eastAsia="宋体" w:cs="Times New Roman"/>
                <w:szCs w:val="21"/>
              </w:rPr>
              <w:t>分布图</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ascii="宋体" w:hAnsi="宋体" w:eastAsia="宋体" w:cs="Times New Roman"/>
                <w:szCs w:val="21"/>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应急终止</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34</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结合本单位实际，说明应急终止的条件和发布程序</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ascii="宋体" w:hAnsi="宋体" w:eastAsia="宋体" w:cs="Times New Roman"/>
                <w:szCs w:val="21"/>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事后恢复</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35</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说明事后恢复的工作内容和责任人，一般包括：现场污染物的后续处理；环境应急相关设施、设备、场所的维护；配合开展环境损害评估、赔偿、事件调查处理等</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25"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保障措施</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36</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说明环境应急预案涉及的人力资源、财力、物资以及其他技术、重要设施的保障</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ascii="宋体" w:hAnsi="宋体" w:eastAsia="宋体" w:cs="Times New Roman"/>
                <w:szCs w:val="21"/>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46"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预案管理</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37</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安排有关环境应急预案的培训和演练</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ascii="宋体" w:hAnsi="宋体" w:eastAsia="宋体" w:cs="Times New Roman"/>
                <w:szCs w:val="21"/>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80"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38</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明确环境应急预案的评估修订要求</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ascii="宋体" w:hAnsi="宋体" w:eastAsia="宋体" w:cs="Times New Roman"/>
                <w:szCs w:val="21"/>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25" w:hRule="atLeast"/>
          <w:jc w:val="center"/>
        </w:trPr>
        <w:tc>
          <w:tcPr>
            <w:tcW w:w="13781" w:type="dxa"/>
            <w:gridSpan w:val="7"/>
            <w:vAlign w:val="center"/>
          </w:tcPr>
          <w:p>
            <w:pPr>
              <w:adjustRightInd w:val="0"/>
              <w:snapToGrid w:val="0"/>
              <w:jc w:val="center"/>
              <w:rPr>
                <w:rFonts w:ascii="黑体" w:hAnsi="黑体" w:eastAsia="黑体" w:cs="Times New Roman"/>
                <w:szCs w:val="21"/>
              </w:rPr>
            </w:pPr>
            <w:r>
              <w:rPr>
                <w:rFonts w:hint="eastAsia" w:ascii="黑体" w:hAnsi="黑体" w:eastAsia="黑体" w:cs="Times New Roman"/>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81" w:hRule="atLeast"/>
          <w:jc w:val="center"/>
        </w:trPr>
        <w:tc>
          <w:tcPr>
            <w:tcW w:w="1134" w:type="dxa"/>
            <w:vMerge w:val="restart"/>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风险分析</w:t>
            </w:r>
            <w:r>
              <w:rPr>
                <w:rFonts w:hint="eastAsia" w:ascii="宋体" w:hAnsi="宋体" w:eastAsia="宋体" w:cs="Times New Roman"/>
                <w:szCs w:val="21"/>
                <w:vertAlign w:val="superscript"/>
              </w:rPr>
              <w:t>c</w:t>
            </w: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39</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识别出所有重要的环境风险物质；列表，至少列出重要环境风险物质的名称、数量（最大存在总量）、位置</w:t>
            </w:r>
            <w:r>
              <w:rPr>
                <w:rFonts w:ascii="宋体" w:hAnsi="宋体" w:eastAsia="宋体" w:cs="Times New Roman"/>
                <w:szCs w:val="21"/>
              </w:rPr>
              <w:t>/</w:t>
            </w:r>
            <w:r>
              <w:rPr>
                <w:rFonts w:hint="eastAsia" w:ascii="宋体" w:hAnsi="宋体" w:eastAsia="宋体" w:cs="Times New Roman"/>
                <w:szCs w:val="21"/>
              </w:rPr>
              <w:t>所在装置；环境风险物质数量大于临界量的，辨识重要环境风险单元</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jc w:val="left"/>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52"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40</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重点核对生产工艺、环境风险防控措施各项指标的赋值是否合理</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28" w:hRule="atLeast"/>
          <w:jc w:val="center"/>
        </w:trPr>
        <w:tc>
          <w:tcPr>
            <w:tcW w:w="1134" w:type="dxa"/>
            <w:vMerge w:val="continue"/>
            <w:vAlign w:val="center"/>
          </w:tcPr>
          <w:p>
            <w:pPr>
              <w:rPr>
                <w:rFonts w:ascii="Calibri" w:hAnsi="Calibri" w:eastAsia="仿宋_GB2312" w:cs="Times New Roman"/>
                <w:sz w:val="32"/>
                <w:szCs w:val="20"/>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41</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环境风险受体类型的确定是否合理</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23" w:hRule="atLeast"/>
          <w:jc w:val="center"/>
        </w:trPr>
        <w:tc>
          <w:tcPr>
            <w:tcW w:w="1134" w:type="dxa"/>
            <w:vMerge w:val="continue"/>
            <w:vAlign w:val="center"/>
          </w:tcPr>
          <w:p>
            <w:pPr>
              <w:rPr>
                <w:rFonts w:ascii="Calibri" w:hAnsi="Calibri" w:eastAsia="仿宋_GB2312" w:cs="Times New Roman"/>
                <w:sz w:val="32"/>
                <w:szCs w:val="20"/>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42</w:t>
            </w:r>
          </w:p>
        </w:tc>
        <w:tc>
          <w:tcPr>
            <w:tcW w:w="3392"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环境风险等级划分是否正确</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8" w:hRule="atLeast"/>
          <w:jc w:val="center"/>
        </w:trPr>
        <w:tc>
          <w:tcPr>
            <w:tcW w:w="1134" w:type="dxa"/>
            <w:vMerge w:val="restart"/>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情景构建</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43</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列明国内外同类企业的突发环境事件信息，提出本企业可能发生的突发环境事件情景</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2"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44</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源强分析，重点分析释放环境风险物质的种类、释放速率、持续时间</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jc w:val="left"/>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45</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释放途径分析，重点分析环境风险物质从释放源头到受体之间的过程</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jc w:val="left"/>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4" w:type="dxa"/>
            <w:vMerge w:val="continue"/>
            <w:vAlign w:val="center"/>
          </w:tcPr>
          <w:p>
            <w:pPr>
              <w:adjustRightInd w:val="0"/>
              <w:snapToGrid w:val="0"/>
              <w:jc w:val="center"/>
              <w:rPr>
                <w:rFonts w:ascii="宋体" w:hAnsi="宋体" w:eastAsia="宋体" w:cs="Times New Roman"/>
                <w:szCs w:val="21"/>
              </w:rPr>
            </w:pP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46</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危害后果分析，重点分析环境风险物质的影响范围和程度</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1134" w:type="dxa"/>
            <w:vMerge w:val="continue"/>
            <w:vAlign w:val="center"/>
          </w:tcPr>
          <w:p>
            <w:pPr>
              <w:keepNext/>
              <w:keepLines/>
              <w:adjustRightInd w:val="0"/>
              <w:snapToGrid w:val="0"/>
              <w:jc w:val="center"/>
              <w:rPr>
                <w:rFonts w:ascii="宋体" w:hAnsi="宋体" w:eastAsia="宋体" w:cs="Times New Roman"/>
                <w:szCs w:val="21"/>
              </w:rPr>
            </w:pP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47</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明确在最坏情景下，大气环境风险物质影响最远距离内的人口数量及位置等，水环境敏感受体的数量及位置等信息，并附有相关示意图</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jc w:val="left"/>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不符合</w:t>
            </w:r>
          </w:p>
        </w:tc>
        <w:tc>
          <w:tcPr>
            <w:tcW w:w="709" w:type="dxa"/>
            <w:vAlign w:val="center"/>
          </w:tcPr>
          <w:p>
            <w:pPr>
              <w:adjustRightInd w:val="0"/>
              <w:snapToGrid w:val="0"/>
              <w:rPr>
                <w:rFonts w:hint="eastAsia" w:ascii="宋体" w:hAnsi="宋体" w:eastAsia="宋体" w:cs="Times New Roman"/>
                <w:szCs w:val="21"/>
                <w:lang w:eastAsia="zh-CN"/>
              </w:rPr>
            </w:pPr>
          </w:p>
        </w:tc>
        <w:tc>
          <w:tcPr>
            <w:tcW w:w="2410" w:type="dxa"/>
            <w:vAlign w:val="center"/>
          </w:tcPr>
          <w:p>
            <w:pPr>
              <w:adjustRightInd w:val="0"/>
              <w:snapToGrid w:val="0"/>
              <w:rPr>
                <w:rFonts w:ascii="宋体" w:hAnsi="宋体" w:eastAsia="宋体" w:cs="Times New Roman"/>
                <w:szCs w:val="21"/>
              </w:rPr>
            </w:pPr>
          </w:p>
        </w:tc>
        <w:tc>
          <w:tcPr>
            <w:tcW w:w="443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完善计划</w:t>
            </w:r>
          </w:p>
        </w:tc>
        <w:tc>
          <w:tcPr>
            <w:tcW w:w="426"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48</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分析现有环境风险防控与应急措施所存在的差距，制定环境风险防控整改完善计划</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rPr>
                <w:rFonts w:hint="eastAsia" w:ascii="宋体" w:hAnsi="宋体" w:eastAsia="宋体" w:cs="Times New Roman"/>
                <w:szCs w:val="21"/>
                <w:lang w:eastAsia="zh-CN"/>
              </w:rPr>
            </w:pPr>
          </w:p>
        </w:tc>
        <w:tc>
          <w:tcPr>
            <w:tcW w:w="2410" w:type="dxa"/>
            <w:vAlign w:val="center"/>
          </w:tcPr>
          <w:p>
            <w:pPr>
              <w:keepNext/>
              <w:keepLines/>
              <w:adjustRightInd w:val="0"/>
              <w:snapToGrid w:val="0"/>
              <w:rPr>
                <w:rFonts w:ascii="宋体" w:hAnsi="宋体" w:eastAsia="宋体" w:cs="Times New Roman"/>
                <w:szCs w:val="21"/>
              </w:rPr>
            </w:pPr>
          </w:p>
        </w:tc>
        <w:tc>
          <w:tcPr>
            <w:tcW w:w="4435" w:type="dxa"/>
            <w:vAlign w:val="center"/>
          </w:tcPr>
          <w:p>
            <w:pPr>
              <w:keepNext/>
              <w:keepLines/>
              <w:adjustRightInd w:val="0"/>
              <w:snapToGrid w:val="0"/>
              <w:rPr>
                <w:rFonts w:ascii="宋体" w:hAnsi="宋体" w:eastAsia="宋体" w:cs="Times New Roman"/>
                <w:szCs w:val="21"/>
              </w:rPr>
            </w:pPr>
            <w:r>
              <w:rPr>
                <w:rFonts w:hint="eastAsia" w:ascii="宋体" w:hAnsi="宋体" w:eastAsia="宋体" w:cs="Times New Roman"/>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1" w:type="dxa"/>
            <w:gridSpan w:val="7"/>
            <w:vAlign w:val="center"/>
          </w:tcPr>
          <w:p>
            <w:pPr>
              <w:adjustRightInd w:val="0"/>
              <w:snapToGrid w:val="0"/>
              <w:jc w:val="center"/>
              <w:rPr>
                <w:rFonts w:ascii="黑体" w:hAnsi="黑体" w:eastAsia="黑体" w:cs="Times New Roman"/>
                <w:szCs w:val="21"/>
              </w:rPr>
            </w:pPr>
            <w:r>
              <w:rPr>
                <w:rFonts w:hint="eastAsia" w:ascii="黑体" w:hAnsi="黑体" w:eastAsia="黑体" w:cs="Times New Roman"/>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调查内容</w:t>
            </w:r>
          </w:p>
        </w:tc>
        <w:tc>
          <w:tcPr>
            <w:tcW w:w="426" w:type="dxa"/>
            <w:vAlign w:val="center"/>
          </w:tcPr>
          <w:p>
            <w:pPr>
              <w:keepNext/>
              <w:keepLines/>
              <w:tabs>
                <w:tab w:val="left" w:pos="0"/>
              </w:tabs>
              <w:adjustRightInd w:val="0"/>
              <w:snapToGrid w:val="0"/>
              <w:jc w:val="center"/>
              <w:rPr>
                <w:rFonts w:ascii="宋体" w:hAnsi="宋体" w:eastAsia="宋体" w:cs="Times New Roman"/>
                <w:szCs w:val="21"/>
              </w:rPr>
            </w:pPr>
            <w:r>
              <w:rPr>
                <w:rFonts w:hint="eastAsia" w:ascii="宋体" w:hAnsi="宋体" w:eastAsia="宋体" w:cs="Times New Roman"/>
                <w:szCs w:val="21"/>
              </w:rPr>
              <w:t>49</w:t>
            </w:r>
          </w:p>
        </w:tc>
        <w:tc>
          <w:tcPr>
            <w:tcW w:w="3392" w:type="dxa"/>
            <w:vAlign w:val="center"/>
          </w:tcPr>
          <w:p>
            <w:pPr>
              <w:adjustRightInd w:val="0"/>
              <w:snapToGrid w:val="0"/>
              <w:jc w:val="left"/>
              <w:rPr>
                <w:rFonts w:ascii="宋体" w:hAnsi="宋体" w:eastAsia="宋体" w:cs="Times New Roman"/>
                <w:spacing w:val="-2"/>
                <w:szCs w:val="21"/>
              </w:rPr>
            </w:pPr>
            <w:r>
              <w:rPr>
                <w:rFonts w:hint="eastAsia" w:ascii="宋体" w:hAnsi="宋体" w:eastAsia="宋体" w:cs="Times New Roman"/>
                <w:spacing w:val="-2"/>
                <w:szCs w:val="21"/>
              </w:rPr>
              <w:t>第一时间可调用的环境应急队伍、装备、物资、场所</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keepNext/>
              <w:keepLines/>
              <w:adjustRightInd w:val="0"/>
              <w:snapToGrid w:val="0"/>
              <w:jc w:val="center"/>
              <w:rPr>
                <w:rFonts w:hint="eastAsia" w:ascii="宋体" w:hAnsi="宋体" w:eastAsia="宋体" w:cs="Times New Roman"/>
                <w:szCs w:val="21"/>
                <w:lang w:eastAsia="zh-CN"/>
              </w:rPr>
            </w:pPr>
          </w:p>
        </w:tc>
        <w:tc>
          <w:tcPr>
            <w:tcW w:w="2410" w:type="dxa"/>
            <w:vAlign w:val="center"/>
          </w:tcPr>
          <w:p>
            <w:pPr>
              <w:keepNext/>
              <w:keepLines/>
              <w:adjustRightInd w:val="0"/>
              <w:snapToGrid w:val="0"/>
              <w:jc w:val="center"/>
              <w:rPr>
                <w:rFonts w:ascii="宋体" w:hAnsi="宋体" w:eastAsia="宋体" w:cs="Times New Roman"/>
                <w:szCs w:val="21"/>
              </w:rPr>
            </w:pPr>
          </w:p>
        </w:tc>
        <w:tc>
          <w:tcPr>
            <w:tcW w:w="4435" w:type="dxa"/>
            <w:vAlign w:val="center"/>
          </w:tcPr>
          <w:p>
            <w:pPr>
              <w:keepNext/>
              <w:keepLines/>
              <w:adjustRightInd w:val="0"/>
              <w:snapToGrid w:val="0"/>
              <w:jc w:val="left"/>
              <w:rPr>
                <w:rFonts w:ascii="宋体" w:hAnsi="宋体" w:eastAsia="宋体" w:cs="Times New Roman"/>
                <w:szCs w:val="21"/>
              </w:rPr>
            </w:pPr>
            <w:r>
              <w:rPr>
                <w:rFonts w:hint="eastAsia" w:ascii="宋体" w:hAnsi="宋体" w:eastAsia="宋体" w:cs="Times New Roman"/>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4" w:type="dxa"/>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调查结果</w:t>
            </w:r>
          </w:p>
        </w:tc>
        <w:tc>
          <w:tcPr>
            <w:tcW w:w="426" w:type="dxa"/>
            <w:vAlign w:val="center"/>
          </w:tcPr>
          <w:p>
            <w:pPr>
              <w:keepNext/>
              <w:keepLines/>
              <w:adjustRightInd w:val="0"/>
              <w:snapToGrid w:val="0"/>
              <w:jc w:val="center"/>
              <w:rPr>
                <w:rFonts w:ascii="宋体" w:hAnsi="宋体" w:eastAsia="宋体" w:cs="Times New Roman"/>
                <w:szCs w:val="21"/>
              </w:rPr>
            </w:pPr>
            <w:r>
              <w:rPr>
                <w:rFonts w:hint="eastAsia" w:ascii="宋体" w:hAnsi="宋体" w:eastAsia="宋体" w:cs="Times New Roman"/>
                <w:szCs w:val="21"/>
              </w:rPr>
              <w:t>50</w:t>
            </w:r>
          </w:p>
        </w:tc>
        <w:tc>
          <w:tcPr>
            <w:tcW w:w="3392"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针对环境应急资源清单，抽查数据的可信性</w:t>
            </w:r>
          </w:p>
        </w:tc>
        <w:tc>
          <w:tcPr>
            <w:tcW w:w="1275" w:type="dxa"/>
            <w:vAlign w:val="center"/>
          </w:tcPr>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符合</w:t>
            </w:r>
            <w:r>
              <w:rPr>
                <w:rFonts w:ascii="宋体" w:hAnsi="宋体" w:eastAsia="宋体" w:cs="Times New Roman"/>
                <w:szCs w:val="21"/>
              </w:rPr>
              <w:t xml:space="preserve"> </w:t>
            </w:r>
          </w:p>
          <w:p>
            <w:pPr>
              <w:adjustRightInd w:val="0"/>
              <w:snapToGrid w:val="0"/>
              <w:rPr>
                <w:rFonts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rPr>
              <w:t>部分符合</w:t>
            </w:r>
          </w:p>
          <w:p>
            <w:pPr>
              <w:adjustRightInd w:val="0"/>
              <w:snapToGrid w:val="0"/>
              <w:jc w:val="left"/>
              <w:rPr>
                <w:rFonts w:ascii="宋体" w:hAnsi="宋体" w:eastAsia="宋体" w:cs="Times New Roman"/>
                <w:szCs w:val="21"/>
              </w:rPr>
            </w:pPr>
            <w:r>
              <w:rPr>
                <w:rFonts w:hint="eastAsia" w:ascii="宋体" w:hAnsi="宋体" w:eastAsia="宋体" w:cs="Times New Roman"/>
                <w:szCs w:val="21"/>
              </w:rPr>
              <w:t>□不符合</w:t>
            </w:r>
          </w:p>
        </w:tc>
        <w:tc>
          <w:tcPr>
            <w:tcW w:w="709" w:type="dxa"/>
            <w:vAlign w:val="center"/>
          </w:tcPr>
          <w:p>
            <w:pPr>
              <w:adjustRightInd w:val="0"/>
              <w:snapToGrid w:val="0"/>
              <w:jc w:val="center"/>
              <w:rPr>
                <w:rFonts w:hint="eastAsia" w:ascii="宋体" w:hAnsi="宋体" w:eastAsia="宋体" w:cs="Times New Roman"/>
                <w:szCs w:val="21"/>
                <w:lang w:eastAsia="zh-CN"/>
              </w:rPr>
            </w:pPr>
          </w:p>
        </w:tc>
        <w:tc>
          <w:tcPr>
            <w:tcW w:w="2410" w:type="dxa"/>
            <w:vAlign w:val="center"/>
          </w:tcPr>
          <w:p>
            <w:pPr>
              <w:adjustRightInd w:val="0"/>
              <w:snapToGrid w:val="0"/>
              <w:jc w:val="center"/>
              <w:rPr>
                <w:rFonts w:ascii="宋体" w:hAnsi="宋体" w:eastAsia="宋体" w:cs="Times New Roman"/>
                <w:szCs w:val="21"/>
              </w:rPr>
            </w:pPr>
          </w:p>
        </w:tc>
        <w:tc>
          <w:tcPr>
            <w:tcW w:w="4435" w:type="dxa"/>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6227" w:type="dxa"/>
            <w:gridSpan w:val="4"/>
            <w:vAlign w:val="center"/>
          </w:tcPr>
          <w:p>
            <w:pPr>
              <w:adjustRightInd w:val="0"/>
              <w:snapToGrid w:val="0"/>
              <w:jc w:val="center"/>
              <w:rPr>
                <w:rFonts w:ascii="宋体" w:hAnsi="宋体" w:eastAsia="宋体" w:cs="Times New Roman"/>
                <w:b/>
                <w:szCs w:val="21"/>
              </w:rPr>
            </w:pPr>
            <w:r>
              <w:rPr>
                <w:rFonts w:hint="eastAsia" w:ascii="宋体" w:hAnsi="宋体" w:eastAsia="宋体" w:cs="Times New Roman"/>
                <w:b/>
                <w:szCs w:val="21"/>
              </w:rPr>
              <w:t>合  计</w:t>
            </w:r>
          </w:p>
        </w:tc>
        <w:tc>
          <w:tcPr>
            <w:tcW w:w="709" w:type="dxa"/>
            <w:vAlign w:val="center"/>
          </w:tcPr>
          <w:p>
            <w:pPr>
              <w:adjustRightInd w:val="0"/>
              <w:snapToGrid w:val="0"/>
              <w:jc w:val="center"/>
              <w:rPr>
                <w:rFonts w:hint="default" w:ascii="宋体" w:hAnsi="宋体" w:eastAsia="宋体" w:cs="Times New Roman"/>
                <w:b/>
                <w:szCs w:val="21"/>
                <w:lang w:val="en-US" w:eastAsia="zh-CN"/>
              </w:rPr>
            </w:pPr>
          </w:p>
        </w:tc>
        <w:tc>
          <w:tcPr>
            <w:tcW w:w="2410" w:type="dxa"/>
            <w:vAlign w:val="center"/>
          </w:tcPr>
          <w:p>
            <w:pPr>
              <w:adjustRightInd w:val="0"/>
              <w:snapToGrid w:val="0"/>
              <w:jc w:val="center"/>
              <w:rPr>
                <w:rFonts w:ascii="宋体" w:hAnsi="宋体" w:eastAsia="宋体" w:cs="Times New Roman"/>
                <w:b/>
                <w:szCs w:val="21"/>
              </w:rPr>
            </w:pPr>
            <w:r>
              <w:rPr>
                <w:rFonts w:hint="eastAsia" w:ascii="宋体" w:hAnsi="宋体" w:eastAsia="宋体" w:cs="Times New Roman"/>
                <w:b/>
                <w:szCs w:val="21"/>
              </w:rPr>
              <w:t>-</w:t>
            </w:r>
          </w:p>
        </w:tc>
        <w:tc>
          <w:tcPr>
            <w:tcW w:w="4435" w:type="dxa"/>
            <w:vAlign w:val="center"/>
          </w:tcPr>
          <w:p>
            <w:pPr>
              <w:adjustRightInd w:val="0"/>
              <w:snapToGrid w:val="0"/>
              <w:jc w:val="center"/>
              <w:rPr>
                <w:rFonts w:ascii="宋体" w:hAnsi="宋体" w:eastAsia="宋体" w:cs="Times New Roman"/>
                <w:b/>
                <w:szCs w:val="21"/>
              </w:rPr>
            </w:pPr>
            <w:r>
              <w:rPr>
                <w:rFonts w:hint="eastAsia" w:ascii="宋体" w:hAnsi="宋体" w:eastAsia="宋体" w:cs="Times New Roman"/>
                <w:b/>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3781" w:type="dxa"/>
            <w:gridSpan w:val="7"/>
            <w:vAlign w:val="center"/>
          </w:tcPr>
          <w:p>
            <w:pPr>
              <w:keepNext/>
              <w:keepLines/>
              <w:adjustRightInd w:val="0"/>
              <w:snapToGrid w:val="0"/>
              <w:rPr>
                <w:rFonts w:hint="default" w:ascii="宋体" w:hAnsi="宋体" w:eastAsia="宋体" w:cs="Times New Roman"/>
                <w:szCs w:val="21"/>
                <w:lang w:val="en-US" w:eastAsia="zh-CN"/>
              </w:rPr>
            </w:pPr>
            <w:r>
              <w:rPr>
                <w:rFonts w:hint="eastAsia" w:ascii="宋体" w:hAnsi="宋体" w:eastAsia="宋体" w:cs="Times New Roman"/>
                <w:szCs w:val="21"/>
              </w:rPr>
              <w:t>评审人员（签字）：</w:t>
            </w:r>
            <w:r>
              <w:rPr>
                <w:rFonts w:hint="eastAsia" w:ascii="宋体" w:hAnsi="宋体" w:eastAsia="宋体" w:cs="Times New Roman"/>
                <w:szCs w:val="21"/>
                <w:lang w:val="en-US" w:eastAsia="zh-CN"/>
              </w:rPr>
              <w:t xml:space="preserve">               </w:t>
            </w:r>
          </w:p>
          <w:p>
            <w:pPr>
              <w:keepNext/>
              <w:keepLines/>
              <w:adjustRightInd w:val="0"/>
              <w:snapToGrid w:val="0"/>
              <w:rPr>
                <w:rFonts w:ascii="宋体" w:hAnsi="宋体" w:eastAsia="宋体" w:cs="Times New Roman"/>
                <w:szCs w:val="21"/>
              </w:rPr>
            </w:pPr>
            <w:r>
              <w:rPr>
                <w:rFonts w:hint="eastAsia" w:ascii="宋体" w:hAnsi="宋体" w:eastAsia="宋体" w:cs="Times New Roman"/>
                <w:szCs w:val="21"/>
              </w:rPr>
              <w:t xml:space="preserve">                                                                                          评审日期：年</w:t>
            </w:r>
            <w:r>
              <w:rPr>
                <w:rFonts w:ascii="宋体" w:hAnsi="宋体" w:eastAsia="宋体" w:cs="Times New Roman"/>
                <w:szCs w:val="21"/>
              </w:rPr>
              <w:t xml:space="preserve"> </w:t>
            </w:r>
            <w:bookmarkStart w:id="0" w:name="_GoBack"/>
            <w:bookmarkEnd w:id="0"/>
            <w:r>
              <w:rPr>
                <w:rFonts w:hint="eastAsia" w:ascii="宋体" w:hAnsi="宋体" w:eastAsia="宋体" w:cs="Times New Roman"/>
                <w:szCs w:val="21"/>
              </w:rPr>
              <w:t>月</w:t>
            </w:r>
            <w:r>
              <w:rPr>
                <w:rFonts w:hint="eastAsia" w:ascii="宋体" w:hAnsi="宋体" w:eastAsia="宋体" w:cs="Times New Roman"/>
                <w:szCs w:val="21"/>
                <w:lang w:val="en-US" w:eastAsia="zh-CN"/>
              </w:rPr>
              <w:t xml:space="preserve">  日</w:t>
            </w:r>
          </w:p>
        </w:tc>
      </w:tr>
    </w:tbl>
    <w:p>
      <w:pPr>
        <w:adjustRightInd w:val="0"/>
        <w:snapToGrid w:val="0"/>
        <w:spacing w:line="288" w:lineRule="auto"/>
        <w:rPr>
          <w:rFonts w:ascii="宋体" w:hAnsi="宋体" w:eastAsia="宋体" w:cs="Times New Roman"/>
          <w:szCs w:val="20"/>
        </w:rPr>
      </w:pPr>
      <w:r>
        <w:rPr>
          <w:rFonts w:hint="eastAsia" w:ascii="宋体" w:hAnsi="宋体" w:eastAsia="宋体" w:cs="Times New Roman"/>
          <w:szCs w:val="20"/>
        </w:rPr>
        <w:t>注：1.符合，指的是评审专家判定某一项指标所涉及的内容能够反映制定环境应急预案的企业开展了该项工作，且工作全面、深入、质量高；部分</w:t>
      </w:r>
    </w:p>
    <w:p>
      <w:pPr>
        <w:adjustRightInd w:val="0"/>
        <w:snapToGrid w:val="0"/>
        <w:spacing w:line="288" w:lineRule="auto"/>
        <w:rPr>
          <w:rFonts w:ascii="宋体" w:hAnsi="宋体" w:eastAsia="宋体" w:cs="Times New Roman"/>
          <w:szCs w:val="20"/>
        </w:rPr>
      </w:pPr>
      <w:r>
        <w:rPr>
          <w:rFonts w:hint="eastAsia" w:ascii="宋体" w:hAnsi="宋体" w:eastAsia="宋体" w:cs="Times New Roman"/>
          <w:szCs w:val="20"/>
        </w:rPr>
        <w:t xml:space="preserve">      符合，指的是评审专家判定企业开展了该项工作，但工作不全面、不深入或质量不高；不符合，指的是评审人员判定企业未开展该项工作，</w:t>
      </w:r>
    </w:p>
    <w:p>
      <w:pPr>
        <w:adjustRightInd w:val="0"/>
        <w:snapToGrid w:val="0"/>
        <w:spacing w:line="288" w:lineRule="auto"/>
        <w:rPr>
          <w:rFonts w:ascii="宋体" w:hAnsi="宋体" w:eastAsia="宋体" w:cs="Times New Roman"/>
          <w:szCs w:val="20"/>
        </w:rPr>
      </w:pPr>
      <w:r>
        <w:rPr>
          <w:rFonts w:hint="eastAsia" w:ascii="宋体" w:hAnsi="宋体" w:eastAsia="宋体" w:cs="Times New Roman"/>
          <w:szCs w:val="20"/>
        </w:rPr>
        <w:t xml:space="preserve">      或工作有重大疏漏、流于形式或质量差。</w:t>
      </w:r>
    </w:p>
    <w:p>
      <w:pPr>
        <w:adjustRightInd w:val="0"/>
        <w:snapToGrid w:val="0"/>
        <w:spacing w:line="288" w:lineRule="auto"/>
        <w:rPr>
          <w:rFonts w:ascii="宋体" w:hAnsi="宋体" w:eastAsia="宋体" w:cs="Times New Roman"/>
          <w:szCs w:val="20"/>
        </w:rPr>
      </w:pPr>
      <w:r>
        <w:rPr>
          <w:rFonts w:hint="eastAsia" w:ascii="宋体" w:hAnsi="宋体" w:eastAsia="宋体" w:cs="Times New Roman"/>
          <w:szCs w:val="20"/>
        </w:rPr>
        <w:t xml:space="preserve">    2.赋分原则：“符合”得2分、“部分符合”得1分、“不符合”得0分；其中标注a的指标得分按“符合”得1分、“部分符合”得0.5分、“不</w:t>
      </w:r>
    </w:p>
    <w:p>
      <w:pPr>
        <w:adjustRightInd w:val="0"/>
        <w:snapToGrid w:val="0"/>
        <w:spacing w:line="288" w:lineRule="auto"/>
        <w:rPr>
          <w:rFonts w:ascii="宋体" w:hAnsi="宋体" w:eastAsia="宋体" w:cs="Times New Roman"/>
          <w:szCs w:val="20"/>
        </w:rPr>
      </w:pPr>
      <w:r>
        <w:rPr>
          <w:rFonts w:hint="eastAsia" w:ascii="宋体" w:hAnsi="宋体" w:eastAsia="宋体" w:cs="Times New Roman"/>
          <w:szCs w:val="20"/>
        </w:rPr>
        <w:t xml:space="preserve">      符合”得0分计，标注b的指标得分按“符合”得3分、“部分符合”得1.5分、“不符合”得0分计。</w:t>
      </w:r>
    </w:p>
    <w:p>
      <w:pPr>
        <w:adjustRightInd w:val="0"/>
        <w:snapToGrid w:val="0"/>
        <w:spacing w:line="288" w:lineRule="auto"/>
        <w:rPr>
          <w:rFonts w:ascii="宋体" w:hAnsi="宋体" w:eastAsia="宋体" w:cs="Times New Roman"/>
          <w:szCs w:val="20"/>
        </w:rPr>
      </w:pPr>
      <w:r>
        <w:rPr>
          <w:rFonts w:hint="eastAsia" w:ascii="宋体" w:hAnsi="宋体" w:eastAsia="宋体" w:cs="Times New Roman"/>
          <w:szCs w:val="20"/>
        </w:rPr>
        <w:t xml:space="preserve">    3.指标调整：标注</w:t>
      </w:r>
      <w:r>
        <w:rPr>
          <w:rFonts w:ascii="宋体" w:hAnsi="宋体" w:eastAsia="宋体" w:cs="Times New Roman"/>
          <w:szCs w:val="20"/>
        </w:rPr>
        <w:t>c</w:t>
      </w:r>
      <w:r>
        <w:rPr>
          <w:rFonts w:hint="eastAsia" w:ascii="宋体" w:hAnsi="宋体" w:eastAsia="宋体" w:cs="Times New Roman"/>
          <w:szCs w:val="20"/>
        </w:rPr>
        <w:t>的指标或项目中的部分指标，评审组可以对不适用的进行调整。</w:t>
      </w:r>
    </w:p>
    <w:p>
      <w:pPr>
        <w:adjustRightInd w:val="0"/>
        <w:snapToGrid w:val="0"/>
        <w:spacing w:line="288" w:lineRule="auto"/>
        <w:rPr>
          <w:rFonts w:ascii="宋体" w:hAnsi="宋体" w:eastAsia="宋体" w:cs="Times New Roman"/>
          <w:szCs w:val="20"/>
        </w:rPr>
      </w:pPr>
      <w:r>
        <w:rPr>
          <w:rFonts w:hint="eastAsia" w:ascii="宋体" w:hAnsi="宋体" w:eastAsia="宋体" w:cs="Times New Roman"/>
          <w:szCs w:val="20"/>
        </w:rPr>
        <w:t xml:space="preserve">    4.“一票否决”项不计入评审得分。</w:t>
      </w:r>
    </w:p>
    <w:p>
      <w:pPr>
        <w:adjustRightInd w:val="0"/>
        <w:snapToGrid w:val="0"/>
        <w:spacing w:line="288" w:lineRule="auto"/>
      </w:pPr>
      <w:r>
        <w:rPr>
          <w:rFonts w:hint="eastAsia" w:ascii="宋体" w:hAnsi="宋体" w:eastAsia="宋体" w:cs="Times New Roman"/>
          <w:szCs w:val="20"/>
        </w:rPr>
        <w:t xml:space="preserve">    5.指标说明供参考</w:t>
      </w: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ascii="宋体" w:hAnsi="宋体" w:eastAsia="宋体"/>
        <w:sz w:val="28"/>
        <w:szCs w:val="28"/>
      </w:rPr>
    </w:pPr>
    <w:r>
      <w:rPr>
        <w:rStyle w:val="6"/>
        <w:rFonts w:hint="eastAsia" w:ascii="宋体" w:hAnsi="宋体" w:eastAsia="宋体"/>
        <w:sz w:val="28"/>
        <w:szCs w:val="28"/>
      </w:rPr>
      <w:t>—</w:t>
    </w:r>
    <w:r>
      <w:rPr>
        <w:rStyle w:val="6"/>
        <w:rFonts w:hint="eastAsia" w:ascii="宋体" w:hAnsi="宋体" w:eastAsia="宋体"/>
        <w:sz w:val="20"/>
        <w:szCs w:val="20"/>
      </w:rPr>
      <w:t xml:space="preserve">  </w:t>
    </w:r>
    <w:r>
      <w:rPr>
        <w:rFonts w:ascii="宋体" w:hAnsi="宋体" w:eastAsia="宋体"/>
        <w:sz w:val="26"/>
        <w:szCs w:val="26"/>
      </w:rPr>
      <w:fldChar w:fldCharType="begin"/>
    </w:r>
    <w:r>
      <w:rPr>
        <w:rStyle w:val="6"/>
        <w:rFonts w:ascii="宋体" w:hAnsi="宋体" w:eastAsia="宋体"/>
        <w:sz w:val="26"/>
        <w:szCs w:val="26"/>
      </w:rPr>
      <w:instrText xml:space="preserve">PAGE  </w:instrText>
    </w:r>
    <w:r>
      <w:rPr>
        <w:rFonts w:ascii="宋体" w:hAnsi="宋体" w:eastAsia="宋体"/>
        <w:sz w:val="26"/>
        <w:szCs w:val="26"/>
      </w:rPr>
      <w:fldChar w:fldCharType="separate"/>
    </w:r>
    <w:r>
      <w:rPr>
        <w:rStyle w:val="6"/>
        <w:rFonts w:ascii="宋体" w:hAnsi="宋体" w:eastAsia="宋体"/>
        <w:sz w:val="26"/>
        <w:szCs w:val="26"/>
      </w:rPr>
      <w:t>19</w:t>
    </w:r>
    <w:r>
      <w:rPr>
        <w:rFonts w:ascii="宋体" w:hAnsi="宋体" w:eastAsia="宋体"/>
        <w:sz w:val="26"/>
        <w:szCs w:val="26"/>
      </w:rPr>
      <w:fldChar w:fldCharType="end"/>
    </w:r>
    <w:r>
      <w:rPr>
        <w:rStyle w:val="6"/>
        <w:rFonts w:hint="eastAsia" w:ascii="宋体" w:hAnsi="宋体" w:eastAsia="宋体"/>
        <w:sz w:val="20"/>
        <w:szCs w:val="20"/>
      </w:rPr>
      <w:t xml:space="preserve">  </w:t>
    </w:r>
    <w:r>
      <w:rPr>
        <w:rStyle w:val="6"/>
        <w:rFonts w:hint="eastAsia" w:ascii="宋体" w:hAnsi="宋体" w:eastAsia="宋体"/>
        <w:sz w:val="28"/>
        <w:szCs w:val="28"/>
      </w:rPr>
      <w:t>—</w:t>
    </w:r>
  </w:p>
  <w:p>
    <w:pPr>
      <w:pStyle w:val="2"/>
      <w:ind w:right="360"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348"/>
    <w:rsid w:val="00086348"/>
    <w:rsid w:val="00130D6F"/>
    <w:rsid w:val="00133CD3"/>
    <w:rsid w:val="00195AFB"/>
    <w:rsid w:val="00235031"/>
    <w:rsid w:val="002776FA"/>
    <w:rsid w:val="00331A66"/>
    <w:rsid w:val="0036632E"/>
    <w:rsid w:val="00386D4E"/>
    <w:rsid w:val="003C31A4"/>
    <w:rsid w:val="004E390F"/>
    <w:rsid w:val="004F5530"/>
    <w:rsid w:val="004F64B0"/>
    <w:rsid w:val="00516154"/>
    <w:rsid w:val="00585653"/>
    <w:rsid w:val="005E2653"/>
    <w:rsid w:val="00613C0C"/>
    <w:rsid w:val="00620FB0"/>
    <w:rsid w:val="006254D4"/>
    <w:rsid w:val="006319FC"/>
    <w:rsid w:val="00692A26"/>
    <w:rsid w:val="006B7B2A"/>
    <w:rsid w:val="006F12F9"/>
    <w:rsid w:val="0071025E"/>
    <w:rsid w:val="0079285D"/>
    <w:rsid w:val="007D44FA"/>
    <w:rsid w:val="00806F28"/>
    <w:rsid w:val="00863AB7"/>
    <w:rsid w:val="0087490F"/>
    <w:rsid w:val="008A7118"/>
    <w:rsid w:val="009346E3"/>
    <w:rsid w:val="009F23B4"/>
    <w:rsid w:val="00A06AE2"/>
    <w:rsid w:val="00A5214D"/>
    <w:rsid w:val="00A64A7C"/>
    <w:rsid w:val="00AB6F02"/>
    <w:rsid w:val="00AE0ECF"/>
    <w:rsid w:val="00AF61B8"/>
    <w:rsid w:val="00B30073"/>
    <w:rsid w:val="00BC6113"/>
    <w:rsid w:val="00C10C7C"/>
    <w:rsid w:val="00C94683"/>
    <w:rsid w:val="00CE0BA1"/>
    <w:rsid w:val="00D17B60"/>
    <w:rsid w:val="00D50759"/>
    <w:rsid w:val="00D705FC"/>
    <w:rsid w:val="00D74D13"/>
    <w:rsid w:val="00DB0175"/>
    <w:rsid w:val="00E163A4"/>
    <w:rsid w:val="00E743A8"/>
    <w:rsid w:val="025A726E"/>
    <w:rsid w:val="02B340DC"/>
    <w:rsid w:val="08071C9F"/>
    <w:rsid w:val="0C7B2BD2"/>
    <w:rsid w:val="0F696EC9"/>
    <w:rsid w:val="14631877"/>
    <w:rsid w:val="1DBD4C65"/>
    <w:rsid w:val="1FA04BD9"/>
    <w:rsid w:val="249B6D1C"/>
    <w:rsid w:val="27057867"/>
    <w:rsid w:val="2F306D81"/>
    <w:rsid w:val="36E93E92"/>
    <w:rsid w:val="38616802"/>
    <w:rsid w:val="3E1673F6"/>
    <w:rsid w:val="3E3276CB"/>
    <w:rsid w:val="43D91485"/>
    <w:rsid w:val="43DD231D"/>
    <w:rsid w:val="48273068"/>
    <w:rsid w:val="4B171432"/>
    <w:rsid w:val="4C2E3E2C"/>
    <w:rsid w:val="4C987884"/>
    <w:rsid w:val="57CF06E7"/>
    <w:rsid w:val="58030009"/>
    <w:rsid w:val="5D6173C5"/>
    <w:rsid w:val="62BB572C"/>
    <w:rsid w:val="63911097"/>
    <w:rsid w:val="655D4CC2"/>
    <w:rsid w:val="65B86EED"/>
    <w:rsid w:val="673910FE"/>
    <w:rsid w:val="6BBF4A34"/>
    <w:rsid w:val="6D1C23B7"/>
    <w:rsid w:val="6FD2726C"/>
    <w:rsid w:val="75C40C04"/>
    <w:rsid w:val="764147F3"/>
    <w:rsid w:val="7B085F25"/>
    <w:rsid w:val="7B793036"/>
    <w:rsid w:val="7E627899"/>
    <w:rsid w:val="7F1327A7"/>
    <w:rsid w:val="7F203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1179</Words>
  <Characters>6722</Characters>
  <Lines>56</Lines>
  <Paragraphs>15</Paragraphs>
  <TotalTime>4</TotalTime>
  <ScaleCrop>false</ScaleCrop>
  <LinksUpToDate>false</LinksUpToDate>
  <CharactersWithSpaces>7886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2019-10-30T12:44:00Z</dcterms:created>
  <dc:creator>ting li</dc:creator>
  <cp:lastModifiedBy>lenovo</cp:lastModifiedBy>
  <dcterms:modified xsi:type="dcterms:W3CDTF">2021-05-24T13:43:09Z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