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方正小标宋_GBK" w:hAnsi="华文中宋" w:eastAsia="方正小标宋_GBK"/>
          <w:sz w:val="38"/>
          <w:szCs w:val="38"/>
        </w:rPr>
      </w:pPr>
      <w:r>
        <w:rPr>
          <w:rFonts w:hint="eastAsia" w:ascii="方正小标宋_GBK" w:hAnsi="Times New Roman" w:eastAsia="方正小标宋_GBK"/>
          <w:sz w:val="38"/>
          <w:szCs w:val="38"/>
          <w:u w:val="thick"/>
        </w:rPr>
        <w:t xml:space="preserve"> </w:t>
      </w:r>
      <w:r>
        <w:rPr>
          <w:rFonts w:hint="eastAsia" w:ascii="方正小标宋_GBK" w:hAnsi="Times New Roman" w:eastAsia="方正小标宋_GBK"/>
          <w:sz w:val="38"/>
          <w:szCs w:val="38"/>
          <w:u w:val="thick"/>
          <w:lang w:eastAsia="zh-CN"/>
        </w:rPr>
        <w:t>咸阳激扬印务</w:t>
      </w:r>
      <w:r>
        <w:rPr>
          <w:rFonts w:hint="eastAsia" w:ascii="方正小标宋_GBK" w:hAnsi="Times New Roman" w:eastAsia="方正小标宋_GBK"/>
          <w:sz w:val="38"/>
          <w:szCs w:val="38"/>
          <w:u w:val="thick"/>
        </w:rPr>
        <w:t>有限公司</w:t>
      </w:r>
      <w:r>
        <w:rPr>
          <w:rFonts w:hint="eastAsia" w:ascii="方正小标宋_GBK" w:hAnsi="Times New Roman" w:eastAsia="方正小标宋_GBK"/>
          <w:sz w:val="38"/>
          <w:szCs w:val="38"/>
          <w:u w:val="thick"/>
          <w:lang w:val="en-US" w:eastAsia="zh-CN"/>
        </w:rPr>
        <w:t xml:space="preserve"> </w:t>
      </w:r>
      <w:r>
        <w:rPr>
          <w:rFonts w:hint="eastAsia" w:ascii="方正小标宋_GBK" w:hAnsi="华文中宋" w:eastAsia="方正小标宋_GBK"/>
          <w:sz w:val="38"/>
          <w:szCs w:val="38"/>
        </w:rPr>
        <w:t>突发环境事件应急预案修改说明表</w:t>
      </w:r>
    </w:p>
    <w:tbl>
      <w:tblPr>
        <w:tblStyle w:val="6"/>
        <w:tblW w:w="907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"/>
        <w:gridCol w:w="2977"/>
        <w:gridCol w:w="980"/>
        <w:gridCol w:w="3203"/>
        <w:gridCol w:w="151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40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评审意见</w:t>
            </w:r>
          </w:p>
        </w:tc>
        <w:tc>
          <w:tcPr>
            <w:tcW w:w="9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采纳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情况</w:t>
            </w:r>
          </w:p>
        </w:tc>
        <w:tc>
          <w:tcPr>
            <w:tcW w:w="320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说  明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1"/>
                <w:szCs w:val="21"/>
              </w:rPr>
              <w:t>索引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40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编制依据中补充《企业事业单位突发环境事件应急预案评审工作指南（试行）》（环办应急【2018】8号）、《环境应急资源调查指南（试行）》（环办应急【2019】17号）等</w:t>
            </w: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已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补充</w:t>
            </w:r>
          </w:p>
        </w:tc>
        <w:tc>
          <w:tcPr>
            <w:tcW w:w="3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已在编制依据中补充了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《企业事业单位突发环境事件应急预案评审工作指南（试行）》（环办应急【2018】8号）和《环境应急资源调查指南（试行）》（环办应急【2019】17号）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见P7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40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完善主要原辅材料及危险物质明细表；缩小敏感目标保护范围</w:t>
            </w: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已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完善</w:t>
            </w:r>
          </w:p>
        </w:tc>
        <w:tc>
          <w:tcPr>
            <w:tcW w:w="3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已完善了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企业主要原辅料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一览表、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主要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危险物质明细表、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本公司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风险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物质明细表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，已缩小了敏感目标保护范围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见P15、见附件周围环境敏感点分布图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40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完善应急组织机构，补充应急监测组、应急专家组，细化应对流程及措施。依据《突发环境事件应急监测技术规范》，根据不同突发环境污染事件完善应急监测内容，明确事故状态下的检测因子及布点和企业监测能力及资源配置</w:t>
            </w: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已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完善</w:t>
            </w:r>
          </w:p>
        </w:tc>
        <w:tc>
          <w:tcPr>
            <w:tcW w:w="3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已补充了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应急监测组、应急专家组，及其主要职责，已完善了事故状态下的检测因子及布点和企业监测能力及资源配置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见P23-27、见P55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40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进一步说明本单位的风险源，补充环境风险源分析、风险后果分析</w:t>
            </w: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已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说明</w:t>
            </w:r>
          </w:p>
        </w:tc>
        <w:tc>
          <w:tcPr>
            <w:tcW w:w="3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已对本单位的风险源，环境风险源分析、风险后果进行了补充说明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见P30-31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40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按照《企业突发环境事件风险分级方法》（HJ941-2018），校核风险识别和风险评估等相关内容，校核企业突发环境事件具体分级及最大可信事故判定；进一步细化本企业的风险源，完善环境风险源分析、风险后果分析</w:t>
            </w: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已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校核</w:t>
            </w:r>
          </w:p>
        </w:tc>
        <w:tc>
          <w:tcPr>
            <w:tcW w:w="3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已对企业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风险识别和风险评估等相关内容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进行了校核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补充了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企业突发环境事件具体分级及最大可信事故判定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的相关内容，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进一步细化本企业的风险源，风险源分析、风险后果分析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等内容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见见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P30-35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40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进一步细化本预案与企业内部其他应急预案的关系，强化与当地政府其它预案的衔接</w:t>
            </w: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已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补充、细化</w:t>
            </w:r>
          </w:p>
        </w:tc>
        <w:tc>
          <w:tcPr>
            <w:tcW w:w="3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已对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本预案与企业内部其他应急预案的关系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进行了说明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，强化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了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与当地政府其它预案的衔接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关系</w:t>
            </w:r>
          </w:p>
        </w:tc>
        <w:tc>
          <w:tcPr>
            <w:tcW w:w="151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见P28-29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3" w:hRule="atLeast"/>
          <w:jc w:val="center"/>
        </w:trPr>
        <w:tc>
          <w:tcPr>
            <w:tcW w:w="9077" w:type="dxa"/>
            <w:gridSpan w:val="5"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复核意见：</w:t>
            </w: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专家组组长：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adjustRightInd w:val="0"/>
              <w:snapToGrid w:val="0"/>
              <w:ind w:firstLine="210" w:firstLineChars="100"/>
              <w:jc w:val="right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                                                    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年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日</w:t>
            </w:r>
          </w:p>
        </w:tc>
      </w:tr>
    </w:tbl>
    <w:p>
      <w:pPr>
        <w:adjustRightInd w:val="0"/>
        <w:snapToGrid w:val="0"/>
        <w:spacing w:before="156" w:beforeLines="50"/>
        <w:rPr>
          <w:rFonts w:hint="default" w:ascii="Times New Roman" w:hAnsi="Times New Roman" w:eastAsia="黑体" w:cs="Times New Roman"/>
          <w:sz w:val="21"/>
          <w:szCs w:val="21"/>
        </w:rPr>
      </w:pPr>
      <w:r>
        <w:rPr>
          <w:rFonts w:hint="eastAsia" w:ascii="宋体" w:hAnsi="宋体" w:eastAsia="宋体"/>
          <w:sz w:val="21"/>
        </w:rPr>
        <w:t>注</w:t>
      </w:r>
      <w:r>
        <w:rPr>
          <w:rFonts w:hint="default" w:ascii="Times New Roman" w:hAnsi="Times New Roman" w:eastAsia="宋体" w:cs="Times New Roman"/>
          <w:sz w:val="21"/>
        </w:rPr>
        <w:t>：1.“说明”指说明修改情况，辅以必要的现场整改图片；</w:t>
      </w:r>
    </w:p>
    <w:p>
      <w:pPr>
        <w:adjustRightInd w:val="0"/>
        <w:snapToGrid w:val="0"/>
      </w:pPr>
      <w:r>
        <w:rPr>
          <w:rFonts w:hint="default" w:ascii="Times New Roman" w:hAnsi="Times New Roman" w:eastAsia="宋体" w:cs="Times New Roman"/>
          <w:sz w:val="21"/>
        </w:rPr>
        <w:t xml:space="preserve">    2.“索引”指修</w:t>
      </w:r>
      <w:r>
        <w:rPr>
          <w:rFonts w:hint="eastAsia" w:ascii="宋体" w:hAnsi="宋体" w:eastAsia="宋体"/>
          <w:sz w:val="21"/>
        </w:rPr>
        <w:t>改内容在预案中的具体体现之处。</w:t>
      </w:r>
    </w:p>
    <w:sectPr>
      <w:footerReference r:id="rId3" w:type="default"/>
      <w:pgSz w:w="11906" w:h="16838"/>
      <w:pgMar w:top="1701" w:right="1531" w:bottom="1701" w:left="1531" w:header="851" w:footer="107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rFonts w:hint="eastAsia" w:ascii="宋体" w:hAnsi="宋体" w:eastAsia="宋体"/>
        <w:sz w:val="28"/>
        <w:szCs w:val="28"/>
      </w:rPr>
    </w:pPr>
    <w:r>
      <w:rPr>
        <w:rStyle w:val="9"/>
        <w:rFonts w:hint="eastAsia" w:ascii="宋体" w:hAnsi="宋体" w:eastAsia="宋体"/>
        <w:sz w:val="28"/>
        <w:szCs w:val="28"/>
      </w:rPr>
      <w:t>—</w:t>
    </w:r>
    <w:r>
      <w:rPr>
        <w:rStyle w:val="9"/>
        <w:rFonts w:hint="eastAsia" w:ascii="宋体" w:hAnsi="宋体" w:eastAsia="宋体"/>
        <w:sz w:val="20"/>
        <w:szCs w:val="20"/>
      </w:rPr>
      <w:t xml:space="preserve">  </w:t>
    </w:r>
    <w:r>
      <w:rPr>
        <w:rFonts w:ascii="宋体" w:hAnsi="宋体" w:eastAsia="宋体"/>
        <w:sz w:val="26"/>
        <w:szCs w:val="26"/>
      </w:rPr>
      <w:fldChar w:fldCharType="begin"/>
    </w:r>
    <w:r>
      <w:rPr>
        <w:rStyle w:val="9"/>
        <w:rFonts w:ascii="宋体" w:hAnsi="宋体" w:eastAsia="宋体"/>
        <w:sz w:val="26"/>
        <w:szCs w:val="26"/>
      </w:rPr>
      <w:instrText xml:space="preserve">PAGE  </w:instrText>
    </w:r>
    <w:r>
      <w:rPr>
        <w:rFonts w:ascii="宋体" w:hAnsi="宋体" w:eastAsia="宋体"/>
        <w:sz w:val="26"/>
        <w:szCs w:val="26"/>
      </w:rPr>
      <w:fldChar w:fldCharType="separate"/>
    </w:r>
    <w:r>
      <w:rPr>
        <w:rStyle w:val="9"/>
        <w:rFonts w:ascii="宋体" w:hAnsi="宋体" w:eastAsia="宋体"/>
        <w:sz w:val="26"/>
        <w:szCs w:val="26"/>
      </w:rPr>
      <w:t>21</w:t>
    </w:r>
    <w:r>
      <w:rPr>
        <w:rFonts w:ascii="宋体" w:hAnsi="宋体" w:eastAsia="宋体"/>
        <w:sz w:val="26"/>
        <w:szCs w:val="26"/>
      </w:rPr>
      <w:fldChar w:fldCharType="end"/>
    </w:r>
    <w:r>
      <w:rPr>
        <w:rStyle w:val="9"/>
        <w:rFonts w:hint="eastAsia" w:ascii="宋体" w:hAnsi="宋体" w:eastAsia="宋体"/>
        <w:sz w:val="20"/>
        <w:szCs w:val="20"/>
      </w:rPr>
      <w:t xml:space="preserve">  </w:t>
    </w:r>
    <w:r>
      <w:rPr>
        <w:rStyle w:val="9"/>
        <w:rFonts w:hint="eastAsia" w:ascii="宋体" w:hAnsi="宋体" w:eastAsia="宋体"/>
        <w:sz w:val="28"/>
        <w:szCs w:val="28"/>
      </w:rPr>
      <w:t>—</w:t>
    </w:r>
  </w:p>
  <w:p>
    <w:pPr>
      <w:pStyle w:val="5"/>
      <w:ind w:right="360" w:firstLine="360"/>
      <w:jc w:val="center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5B55DC6"/>
    <w:rsid w:val="096220FB"/>
    <w:rsid w:val="0A553595"/>
    <w:rsid w:val="0A7B6472"/>
    <w:rsid w:val="0B04227F"/>
    <w:rsid w:val="0BC36A94"/>
    <w:rsid w:val="0F0E4B29"/>
    <w:rsid w:val="0F2A2196"/>
    <w:rsid w:val="1526259A"/>
    <w:rsid w:val="15DF25DD"/>
    <w:rsid w:val="1AA67854"/>
    <w:rsid w:val="1C34196C"/>
    <w:rsid w:val="1F372116"/>
    <w:rsid w:val="20283EE7"/>
    <w:rsid w:val="20EA358E"/>
    <w:rsid w:val="230E60B6"/>
    <w:rsid w:val="23E2715F"/>
    <w:rsid w:val="23E95825"/>
    <w:rsid w:val="26794CAC"/>
    <w:rsid w:val="26B10B40"/>
    <w:rsid w:val="27111258"/>
    <w:rsid w:val="2B9971CC"/>
    <w:rsid w:val="2E4B11D8"/>
    <w:rsid w:val="324B5373"/>
    <w:rsid w:val="3384028F"/>
    <w:rsid w:val="361F09DD"/>
    <w:rsid w:val="383F3E86"/>
    <w:rsid w:val="3B4051F8"/>
    <w:rsid w:val="3D9C3E01"/>
    <w:rsid w:val="3E7541F3"/>
    <w:rsid w:val="3F150E68"/>
    <w:rsid w:val="41494DA4"/>
    <w:rsid w:val="44175116"/>
    <w:rsid w:val="452B290B"/>
    <w:rsid w:val="45B64719"/>
    <w:rsid w:val="476548DE"/>
    <w:rsid w:val="4C5E43B1"/>
    <w:rsid w:val="4DE3332E"/>
    <w:rsid w:val="50AB46E7"/>
    <w:rsid w:val="5100236E"/>
    <w:rsid w:val="51C34D84"/>
    <w:rsid w:val="54297C62"/>
    <w:rsid w:val="546512F6"/>
    <w:rsid w:val="56DC28DD"/>
    <w:rsid w:val="579468CF"/>
    <w:rsid w:val="59FA31EF"/>
    <w:rsid w:val="5C633CF1"/>
    <w:rsid w:val="5DEC68E1"/>
    <w:rsid w:val="5EA43362"/>
    <w:rsid w:val="5F253B5F"/>
    <w:rsid w:val="627B0885"/>
    <w:rsid w:val="651A6A4A"/>
    <w:rsid w:val="69242AA1"/>
    <w:rsid w:val="6E17125F"/>
    <w:rsid w:val="73460437"/>
    <w:rsid w:val="783B3051"/>
    <w:rsid w:val="790C3E55"/>
    <w:rsid w:val="7B6A41E8"/>
    <w:rsid w:val="7DA431ED"/>
    <w:rsid w:val="7E032A78"/>
    <w:rsid w:val="7ED4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theme="minorBidi"/>
      <w:kern w:val="2"/>
      <w:sz w:val="32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ind w:firstLine="0" w:firstLineChars="0"/>
      <w:jc w:val="center"/>
      <w:outlineLvl w:val="0"/>
    </w:pPr>
    <w:rPr>
      <w:rFonts w:ascii="Times New Roman" w:hAnsi="Times New Roman" w:eastAsia="宋体"/>
      <w:b/>
      <w:bCs/>
      <w:color w:val="000000"/>
      <w:kern w:val="0"/>
      <w:sz w:val="36"/>
      <w:szCs w:val="24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spacing w:line="360" w:lineRule="auto"/>
      <w:ind w:firstLine="0" w:firstLineChars="0"/>
      <w:outlineLvl w:val="1"/>
    </w:pPr>
    <w:rPr>
      <w:rFonts w:ascii="Times New Roman" w:hAnsi="Times New Roman" w:eastAsia="华文仿宋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标题 2 Char"/>
    <w:link w:val="4"/>
    <w:qFormat/>
    <w:uiPriority w:val="0"/>
    <w:rPr>
      <w:rFonts w:ascii="Times New Roman" w:hAnsi="Times New Roman" w:eastAsia="华文仿宋"/>
      <w:b/>
      <w:bCs/>
      <w:kern w:val="2"/>
      <w:sz w:val="32"/>
      <w:szCs w:val="32"/>
    </w:rPr>
  </w:style>
  <w:style w:type="character" w:customStyle="1" w:styleId="11">
    <w:name w:val="标题 1 Char"/>
    <w:link w:val="3"/>
    <w:qFormat/>
    <w:uiPriority w:val="0"/>
    <w:rPr>
      <w:rFonts w:ascii="Times New Roman" w:hAnsi="Times New Roman" w:eastAsia="宋体"/>
      <w:b/>
      <w:bCs/>
      <w:color w:val="000000"/>
      <w:kern w:val="0"/>
      <w:sz w:val="36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2</Pages>
  <Words>413</Words>
  <Characters>432</Characters>
  <Lines>0</Lines>
  <Paragraphs>0</Paragraphs>
  <TotalTime>0</TotalTime>
  <ScaleCrop>false</ScaleCrop>
  <LinksUpToDate>false</LinksUpToDate>
  <CharactersWithSpaces>532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Barrel</dc:creator>
  <cp:lastModifiedBy>lenovo</cp:lastModifiedBy>
  <dcterms:modified xsi:type="dcterms:W3CDTF">2021-05-28T14:00:47Z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