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default" w:ascii="方正小标宋_GBK" w:hAnsi="华文中宋" w:eastAsia="方正小标宋_GBK"/>
          <w:color w:val="000000" w:themeColor="text1"/>
          <w:sz w:val="38"/>
          <w:szCs w:val="38"/>
          <w:lang w:val="en-US" w:eastAsia="zh-CN"/>
          <w14:textFill>
            <w14:solidFill>
              <w14:schemeClr w14:val="tx1"/>
            </w14:solidFill>
          </w14:textFill>
        </w:rPr>
      </w:pPr>
      <w:r>
        <w:rPr>
          <w:rFonts w:hint="eastAsia" w:ascii="方正小标宋_GBK" w:hAnsi="华文中宋" w:eastAsia="方正小标宋_GBK"/>
          <w:color w:val="000000" w:themeColor="text1"/>
          <w:sz w:val="38"/>
          <w:szCs w:val="38"/>
          <w:lang w:val="en-US" w:eastAsia="zh-CN"/>
          <w14:textFill>
            <w14:solidFill>
              <w14:schemeClr w14:val="tx1"/>
            </w14:solidFill>
          </w14:textFill>
        </w:rPr>
        <w:t>陕西西咸新区盛龙汽车服务有限公司</w:t>
      </w:r>
    </w:p>
    <w:p>
      <w:pPr>
        <w:adjustRightInd w:val="0"/>
        <w:snapToGrid w:val="0"/>
        <w:jc w:val="center"/>
        <w:rPr>
          <w:rFonts w:ascii="方正小标宋_GBK" w:hAnsi="华文中宋" w:eastAsia="方正小标宋_GBK"/>
          <w:color w:val="000000" w:themeColor="text1"/>
          <w:sz w:val="38"/>
          <w:szCs w:val="38"/>
          <w14:textFill>
            <w14:solidFill>
              <w14:schemeClr w14:val="tx1"/>
            </w14:solidFill>
          </w14:textFill>
        </w:rPr>
      </w:pPr>
      <w:r>
        <w:rPr>
          <w:rFonts w:hint="eastAsia" w:ascii="方正小标宋_GBK" w:hAnsi="华文中宋" w:eastAsia="方正小标宋_GBK" w:cs="Times New Roman"/>
          <w:color w:val="000000" w:themeColor="text1"/>
          <w:sz w:val="38"/>
          <w:szCs w:val="38"/>
          <w14:textFill>
            <w14:solidFill>
              <w14:schemeClr w14:val="tx1"/>
            </w14:solidFill>
          </w14:textFill>
        </w:rPr>
        <w:t>突发环境事件</w:t>
      </w:r>
      <w:r>
        <w:rPr>
          <w:rFonts w:hint="eastAsia" w:ascii="方正小标宋_GBK" w:hAnsi="华文中宋" w:eastAsia="方正小标宋_GBK"/>
          <w:color w:val="000000" w:themeColor="text1"/>
          <w:sz w:val="38"/>
          <w:szCs w:val="38"/>
          <w14:textFill>
            <w14:solidFill>
              <w14:schemeClr w14:val="tx1"/>
            </w14:solidFill>
          </w14:textFill>
        </w:rPr>
        <w:t>应急预案</w:t>
      </w:r>
      <w:r>
        <w:rPr>
          <w:rFonts w:hint="eastAsia" w:ascii="方正小标宋_GBK" w:hAnsi="华文中宋" w:eastAsia="方正小标宋_GBK"/>
          <w:color w:val="000000" w:themeColor="text1"/>
          <w:sz w:val="38"/>
          <w:szCs w:val="38"/>
          <w:lang w:eastAsia="zh-CN"/>
          <w14:textFill>
            <w14:solidFill>
              <w14:schemeClr w14:val="tx1"/>
            </w14:solidFill>
          </w14:textFill>
        </w:rPr>
        <w:t>专家意见</w:t>
      </w:r>
      <w:r>
        <w:rPr>
          <w:rFonts w:hint="eastAsia" w:ascii="方正小标宋_GBK" w:hAnsi="华文中宋" w:eastAsia="方正小标宋_GBK"/>
          <w:color w:val="000000" w:themeColor="text1"/>
          <w:sz w:val="38"/>
          <w:szCs w:val="38"/>
          <w14:textFill>
            <w14:solidFill>
              <w14:schemeClr w14:val="tx1"/>
            </w14:solidFill>
          </w14:textFill>
        </w:rPr>
        <w:t>修改说明表</w:t>
      </w:r>
    </w:p>
    <w:tbl>
      <w:tblPr>
        <w:tblStyle w:val="13"/>
        <w:tblW w:w="931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47"/>
        <w:gridCol w:w="3877"/>
        <w:gridCol w:w="3375"/>
        <w:gridCol w:w="121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7" w:type="dxa"/>
            <w:vAlign w:val="center"/>
          </w:tcPr>
          <w:p>
            <w:pPr>
              <w:snapToGrid w:val="0"/>
              <w:jc w:val="center"/>
              <w:rPr>
                <w:rFonts w:hint="default" w:cs="Times New Roman"/>
                <w:color w:val="000000" w:themeColor="text1"/>
                <w:szCs w:val="22"/>
                <w:lang w:val="en-US" w:eastAsia="zh-CN"/>
                <w14:textFill>
                  <w14:solidFill>
                    <w14:schemeClr w14:val="tx1"/>
                  </w14:solidFill>
                </w14:textFill>
              </w:rPr>
            </w:pPr>
            <w:r>
              <w:rPr>
                <w:rFonts w:hint="eastAsia" w:cs="Times New Roman"/>
                <w:color w:val="000000" w:themeColor="text1"/>
                <w:szCs w:val="22"/>
                <w:lang w:val="en-US" w:eastAsia="zh-CN"/>
                <w14:textFill>
                  <w14:solidFill>
                    <w14:schemeClr w14:val="tx1"/>
                  </w14:solidFill>
                </w14:textFill>
              </w:rPr>
              <w:t>专家</w:t>
            </w:r>
          </w:p>
        </w:tc>
        <w:tc>
          <w:tcPr>
            <w:tcW w:w="3877" w:type="dxa"/>
            <w:vAlign w:val="center"/>
          </w:tcPr>
          <w:p>
            <w:pPr>
              <w:snapToGrid w:val="0"/>
              <w:ind w:firstLine="1280" w:firstLineChars="400"/>
              <w:rPr>
                <w:rFonts w:hint="eastAsia" w:cs="Times New Roman"/>
                <w:color w:val="000000" w:themeColor="text1"/>
                <w:szCs w:val="22"/>
                <w:lang w:val="en-US" w:eastAsia="zh-CN"/>
                <w14:textFill>
                  <w14:solidFill>
                    <w14:schemeClr w14:val="tx1"/>
                  </w14:solidFill>
                </w14:textFill>
              </w:rPr>
            </w:pPr>
            <w:r>
              <w:rPr>
                <w:rFonts w:hint="eastAsia" w:cs="Times New Roman"/>
                <w:color w:val="000000" w:themeColor="text1"/>
                <w:szCs w:val="22"/>
                <w:lang w:val="en-US" w:eastAsia="zh-CN"/>
                <w14:textFill>
                  <w14:solidFill>
                    <w14:schemeClr w14:val="tx1"/>
                  </w14:solidFill>
                </w14:textFill>
              </w:rPr>
              <w:t>评审意见</w:t>
            </w:r>
          </w:p>
        </w:tc>
        <w:tc>
          <w:tcPr>
            <w:tcW w:w="3375" w:type="dxa"/>
            <w:vAlign w:val="center"/>
          </w:tcPr>
          <w:p>
            <w:pPr>
              <w:snapToGrid w:val="0"/>
              <w:ind w:firstLine="960" w:firstLineChars="300"/>
              <w:rPr>
                <w:rFonts w:hint="eastAsia" w:cs="Times New Roman"/>
                <w:color w:val="000000" w:themeColor="text1"/>
                <w:szCs w:val="22"/>
                <w:lang w:val="en-US" w:eastAsia="zh-CN"/>
                <w14:textFill>
                  <w14:solidFill>
                    <w14:schemeClr w14:val="tx1"/>
                  </w14:solidFill>
                </w14:textFill>
              </w:rPr>
            </w:pPr>
            <w:r>
              <w:rPr>
                <w:rFonts w:hint="eastAsia" w:cs="Times New Roman"/>
                <w:color w:val="000000" w:themeColor="text1"/>
                <w:szCs w:val="22"/>
                <w:lang w:val="en-US" w:eastAsia="zh-CN"/>
                <w14:textFill>
                  <w14:solidFill>
                    <w14:schemeClr w14:val="tx1"/>
                  </w14:solidFill>
                </w14:textFill>
              </w:rPr>
              <w:t>修改说明</w:t>
            </w:r>
          </w:p>
        </w:tc>
        <w:tc>
          <w:tcPr>
            <w:tcW w:w="1215" w:type="dxa"/>
            <w:vAlign w:val="center"/>
          </w:tcPr>
          <w:p>
            <w:pPr>
              <w:snapToGrid w:val="0"/>
              <w:rPr>
                <w:rFonts w:hint="eastAsia" w:cs="Times New Roman"/>
                <w:color w:val="000000" w:themeColor="text1"/>
                <w:szCs w:val="22"/>
                <w:lang w:val="en-US" w:eastAsia="zh-CN"/>
                <w14:textFill>
                  <w14:solidFill>
                    <w14:schemeClr w14:val="tx1"/>
                  </w14:solidFill>
                </w14:textFill>
              </w:rPr>
            </w:pPr>
            <w:r>
              <w:rPr>
                <w:rFonts w:hint="eastAsia" w:cs="Times New Roman"/>
                <w:color w:val="000000" w:themeColor="text1"/>
                <w:szCs w:val="22"/>
                <w:lang w:val="en-US" w:eastAsia="zh-CN"/>
                <w14:textFill>
                  <w14:solidFill>
                    <w14:schemeClr w14:val="tx1"/>
                  </w14:solidFill>
                </w14:textFill>
              </w:rPr>
              <w:t>索引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7" w:type="dxa"/>
            <w:vMerge w:val="restart"/>
            <w:vAlign w:val="center"/>
          </w:tcPr>
          <w:p>
            <w:pPr>
              <w:snapToGrid w:val="0"/>
              <w:jc w:val="center"/>
              <w:rPr>
                <w:rFonts w:hint="eastAsia"/>
                <w:lang w:val="en-US" w:eastAsia="zh-CN"/>
              </w:rPr>
            </w:pPr>
          </w:p>
          <w:p>
            <w:pPr>
              <w:snapToGrid w:val="0"/>
              <w:jc w:val="center"/>
              <w:rPr>
                <w:rFonts w:hint="eastAsia"/>
                <w:lang w:val="en-US" w:eastAsia="zh-CN"/>
              </w:rPr>
            </w:pPr>
          </w:p>
          <w:p>
            <w:pPr>
              <w:pStyle w:val="12"/>
              <w:rPr>
                <w:rFonts w:hint="eastAsia"/>
                <w:lang w:val="en-US" w:eastAsia="zh-CN"/>
              </w:rPr>
            </w:pPr>
          </w:p>
          <w:p>
            <w:pPr>
              <w:rPr>
                <w:rFonts w:hint="eastAsia"/>
                <w:lang w:val="en-US" w:eastAsia="zh-CN"/>
              </w:rPr>
            </w:pPr>
          </w:p>
          <w:p>
            <w:pPr>
              <w:pStyle w:val="12"/>
              <w:rPr>
                <w:rFonts w:hint="eastAsia"/>
                <w:lang w:val="en-US" w:eastAsia="zh-CN"/>
              </w:rPr>
            </w:pPr>
          </w:p>
          <w:p>
            <w:pPr>
              <w:snapToGrid w:val="0"/>
              <w:jc w:val="center"/>
              <w:rPr>
                <w:rFonts w:hint="eastAsia"/>
                <w:lang w:val="en-US" w:eastAsia="zh-CN"/>
              </w:rPr>
            </w:pPr>
          </w:p>
          <w:p>
            <w:pPr>
              <w:snapToGrid w:val="0"/>
              <w:jc w:val="center"/>
              <w:rPr>
                <w:rFonts w:hint="eastAsia"/>
                <w:lang w:val="en-US" w:eastAsia="zh-CN"/>
              </w:rPr>
            </w:pPr>
            <w:r>
              <w:rPr>
                <w:rFonts w:hint="eastAsia"/>
                <w:lang w:val="en-US" w:eastAsia="zh-CN"/>
              </w:rPr>
              <w:t>孙</w:t>
            </w:r>
          </w:p>
          <w:p>
            <w:pPr>
              <w:snapToGrid w:val="0"/>
              <w:jc w:val="center"/>
              <w:rPr>
                <w:rFonts w:hint="eastAsia"/>
                <w:lang w:val="en-US" w:eastAsia="zh-CN"/>
              </w:rPr>
            </w:pPr>
          </w:p>
          <w:p>
            <w:pPr>
              <w:snapToGrid w:val="0"/>
              <w:jc w:val="center"/>
              <w:rPr>
                <w:rFonts w:hint="eastAsia"/>
                <w:lang w:val="en-US" w:eastAsia="zh-CN"/>
              </w:rPr>
            </w:pPr>
          </w:p>
          <w:p>
            <w:pPr>
              <w:snapToGrid w:val="0"/>
              <w:jc w:val="center"/>
              <w:rPr>
                <w:rFonts w:hint="eastAsia"/>
                <w:lang w:val="en-US" w:eastAsia="zh-CN"/>
              </w:rPr>
            </w:pPr>
            <w:r>
              <w:rPr>
                <w:rFonts w:hint="eastAsia"/>
                <w:lang w:val="en-US" w:eastAsia="zh-CN"/>
              </w:rPr>
              <w:t>玉</w:t>
            </w:r>
          </w:p>
          <w:p>
            <w:pPr>
              <w:snapToGrid w:val="0"/>
              <w:jc w:val="center"/>
              <w:rPr>
                <w:rFonts w:hint="eastAsia"/>
                <w:lang w:val="en-US" w:eastAsia="zh-CN"/>
              </w:rPr>
            </w:pPr>
          </w:p>
          <w:p>
            <w:pPr>
              <w:snapToGrid w:val="0"/>
              <w:jc w:val="center"/>
              <w:rPr>
                <w:rFonts w:hint="eastAsia"/>
                <w:lang w:val="en-US" w:eastAsia="zh-CN"/>
              </w:rPr>
            </w:pPr>
          </w:p>
          <w:p>
            <w:pPr>
              <w:snapToGrid w:val="0"/>
              <w:jc w:val="center"/>
              <w:rPr>
                <w:rFonts w:hint="eastAsia"/>
                <w:lang w:val="en-US" w:eastAsia="zh-CN"/>
              </w:rPr>
            </w:pPr>
          </w:p>
          <w:p>
            <w:pPr>
              <w:snapToGrid w:val="0"/>
              <w:jc w:val="center"/>
              <w:rPr>
                <w:rFonts w:hint="eastAsia"/>
                <w:lang w:val="en-US" w:eastAsia="zh-CN"/>
              </w:rPr>
            </w:pPr>
            <w:r>
              <w:rPr>
                <w:rFonts w:hint="eastAsia"/>
                <w:lang w:val="en-US" w:eastAsia="zh-CN"/>
              </w:rPr>
              <w:t>琪</w:t>
            </w:r>
          </w:p>
          <w:p>
            <w:pPr>
              <w:pStyle w:val="12"/>
              <w:rPr>
                <w:rFonts w:hint="eastAsia"/>
                <w:lang w:val="en-US" w:eastAsia="zh-CN"/>
              </w:rPr>
            </w:pPr>
          </w:p>
          <w:p>
            <w:pPr>
              <w:rPr>
                <w:rFonts w:hint="eastAsia"/>
                <w:lang w:val="en-US" w:eastAsia="zh-CN"/>
              </w:rPr>
            </w:pPr>
          </w:p>
          <w:p>
            <w:pPr>
              <w:pStyle w:val="12"/>
              <w:rPr>
                <w:rFonts w:hint="eastAsia"/>
                <w:lang w:val="en-US" w:eastAsia="zh-CN"/>
              </w:rPr>
            </w:pPr>
          </w:p>
          <w:p>
            <w:pPr>
              <w:rPr>
                <w:rFonts w:hint="eastAsia"/>
                <w:lang w:val="en-US" w:eastAsia="zh-CN"/>
              </w:rPr>
            </w:pPr>
          </w:p>
          <w:p>
            <w:pPr>
              <w:pStyle w:val="12"/>
              <w:rPr>
                <w:rFonts w:hint="eastAsia"/>
                <w:lang w:val="en-US" w:eastAsia="zh-CN"/>
              </w:rPr>
            </w:pPr>
          </w:p>
          <w:p>
            <w:pPr>
              <w:rPr>
                <w:rFonts w:hint="eastAsia"/>
                <w:lang w:val="en-US" w:eastAsia="zh-CN"/>
              </w:rPr>
            </w:pPr>
          </w:p>
          <w:p>
            <w:pPr>
              <w:pStyle w:val="12"/>
              <w:rPr>
                <w:rFonts w:hint="eastAsia"/>
                <w:lang w:val="en-US" w:eastAsia="zh-CN"/>
              </w:rPr>
            </w:pPr>
          </w:p>
          <w:p>
            <w:pPr>
              <w:rPr>
                <w:rFonts w:hint="eastAsia"/>
                <w:lang w:val="en-US" w:eastAsia="zh-CN"/>
              </w:rPr>
            </w:pPr>
          </w:p>
          <w:p>
            <w:pPr>
              <w:pStyle w:val="12"/>
              <w:rPr>
                <w:rFonts w:hint="eastAsia"/>
                <w:lang w:val="en-US" w:eastAsia="zh-CN"/>
              </w:rPr>
            </w:pPr>
          </w:p>
          <w:p>
            <w:pPr>
              <w:rPr>
                <w:rFonts w:hint="eastAsia"/>
                <w:lang w:val="en-US" w:eastAsia="zh-CN"/>
              </w:rPr>
            </w:pPr>
          </w:p>
          <w:p>
            <w:pPr>
              <w:pStyle w:val="12"/>
              <w:rPr>
                <w:rFonts w:hint="eastAsia"/>
                <w:lang w:val="en-US" w:eastAsia="zh-CN"/>
              </w:rPr>
            </w:pPr>
          </w:p>
          <w:p>
            <w:pPr>
              <w:rPr>
                <w:rFonts w:hint="eastAsia"/>
                <w:lang w:val="en-US" w:eastAsia="zh-CN"/>
              </w:rPr>
            </w:pPr>
          </w:p>
          <w:p>
            <w:pPr>
              <w:pStyle w:val="12"/>
              <w:rPr>
                <w:rFonts w:hint="eastAsia"/>
                <w:lang w:val="en-US" w:eastAsia="zh-CN"/>
              </w:rPr>
            </w:pPr>
          </w:p>
          <w:p>
            <w:pPr>
              <w:rPr>
                <w:rFonts w:hint="eastAsia"/>
                <w:lang w:val="en-US" w:eastAsia="zh-CN"/>
              </w:rPr>
            </w:pPr>
          </w:p>
          <w:p>
            <w:pPr>
              <w:pStyle w:val="12"/>
              <w:rPr>
                <w:rFonts w:hint="eastAsia"/>
                <w:lang w:val="en-US" w:eastAsia="zh-CN"/>
              </w:rPr>
            </w:pPr>
          </w:p>
          <w:p>
            <w:pPr>
              <w:rPr>
                <w:rFonts w:hint="eastAsia"/>
                <w:lang w:val="en-US" w:eastAsia="zh-CN"/>
              </w:rPr>
            </w:pPr>
          </w:p>
          <w:p>
            <w:pPr>
              <w:pStyle w:val="12"/>
              <w:rPr>
                <w:rFonts w:hint="eastAsia"/>
                <w:lang w:val="en-US" w:eastAsia="zh-CN"/>
              </w:rPr>
            </w:pPr>
          </w:p>
          <w:p>
            <w:pPr>
              <w:pStyle w:val="12"/>
              <w:rPr>
                <w:rFonts w:hint="eastAsia"/>
                <w:lang w:val="en-US" w:eastAsia="zh-CN"/>
              </w:rPr>
            </w:pPr>
          </w:p>
          <w:p>
            <w:pPr>
              <w:rPr>
                <w:rFonts w:hint="eastAsia"/>
                <w:lang w:val="en-US" w:eastAsia="zh-CN"/>
              </w:rPr>
            </w:pPr>
          </w:p>
          <w:p>
            <w:pPr>
              <w:snapToGrid w:val="0"/>
              <w:jc w:val="center"/>
              <w:rPr>
                <w:rFonts w:hint="eastAsia" w:cs="Times New Roman"/>
                <w:color w:val="000000" w:themeColor="text1"/>
                <w:szCs w:val="22"/>
                <w:lang w:val="en-US" w:eastAsia="zh-CN"/>
                <w14:textFill>
                  <w14:solidFill>
                    <w14:schemeClr w14:val="tx1"/>
                  </w14:solidFill>
                </w14:textFill>
              </w:rPr>
            </w:pPr>
            <w:r>
              <w:rPr>
                <w:rFonts w:hint="eastAsia" w:cs="Times New Roman"/>
                <w:color w:val="000000" w:themeColor="text1"/>
                <w:szCs w:val="22"/>
                <w:lang w:val="en-US" w:eastAsia="zh-CN"/>
                <w14:textFill>
                  <w14:solidFill>
                    <w14:schemeClr w14:val="tx1"/>
                  </w14:solidFill>
                </w14:textFill>
              </w:rPr>
              <w:t>孙</w:t>
            </w:r>
          </w:p>
          <w:p>
            <w:pPr>
              <w:snapToGrid w:val="0"/>
              <w:jc w:val="center"/>
              <w:rPr>
                <w:rFonts w:hint="eastAsia" w:cs="Times New Roman"/>
                <w:color w:val="000000" w:themeColor="text1"/>
                <w:szCs w:val="22"/>
                <w:lang w:val="en-US" w:eastAsia="zh-CN"/>
                <w14:textFill>
                  <w14:solidFill>
                    <w14:schemeClr w14:val="tx1"/>
                  </w14:solidFill>
                </w14:textFill>
              </w:rPr>
            </w:pPr>
          </w:p>
          <w:p>
            <w:pPr>
              <w:snapToGrid w:val="0"/>
              <w:jc w:val="center"/>
              <w:rPr>
                <w:rFonts w:hint="eastAsia" w:cs="Times New Roman"/>
                <w:color w:val="000000" w:themeColor="text1"/>
                <w:szCs w:val="22"/>
                <w:lang w:val="en-US" w:eastAsia="zh-CN"/>
                <w14:textFill>
                  <w14:solidFill>
                    <w14:schemeClr w14:val="tx1"/>
                  </w14:solidFill>
                </w14:textFill>
              </w:rPr>
            </w:pPr>
          </w:p>
          <w:p>
            <w:pPr>
              <w:snapToGrid w:val="0"/>
              <w:jc w:val="center"/>
              <w:rPr>
                <w:rFonts w:hint="eastAsia" w:cs="Times New Roman"/>
                <w:color w:val="000000" w:themeColor="text1"/>
                <w:szCs w:val="22"/>
                <w:lang w:val="en-US" w:eastAsia="zh-CN"/>
                <w14:textFill>
                  <w14:solidFill>
                    <w14:schemeClr w14:val="tx1"/>
                  </w14:solidFill>
                </w14:textFill>
              </w:rPr>
            </w:pPr>
            <w:r>
              <w:rPr>
                <w:rFonts w:hint="eastAsia" w:cs="Times New Roman"/>
                <w:color w:val="000000" w:themeColor="text1"/>
                <w:szCs w:val="22"/>
                <w:lang w:val="en-US" w:eastAsia="zh-CN"/>
                <w14:textFill>
                  <w14:solidFill>
                    <w14:schemeClr w14:val="tx1"/>
                  </w14:solidFill>
                </w14:textFill>
              </w:rPr>
              <w:t>玉</w:t>
            </w:r>
          </w:p>
          <w:p>
            <w:pPr>
              <w:snapToGrid w:val="0"/>
              <w:jc w:val="center"/>
              <w:rPr>
                <w:rFonts w:hint="eastAsia" w:cs="Times New Roman"/>
                <w:color w:val="000000" w:themeColor="text1"/>
                <w:szCs w:val="22"/>
                <w:lang w:val="en-US" w:eastAsia="zh-CN"/>
                <w14:textFill>
                  <w14:solidFill>
                    <w14:schemeClr w14:val="tx1"/>
                  </w14:solidFill>
                </w14:textFill>
              </w:rPr>
            </w:pPr>
          </w:p>
          <w:p>
            <w:pPr>
              <w:snapToGrid w:val="0"/>
              <w:jc w:val="center"/>
              <w:rPr>
                <w:rFonts w:hint="eastAsia" w:cs="Times New Roman"/>
                <w:color w:val="000000" w:themeColor="text1"/>
                <w:szCs w:val="22"/>
                <w:lang w:val="en-US" w:eastAsia="zh-CN"/>
                <w14:textFill>
                  <w14:solidFill>
                    <w14:schemeClr w14:val="tx1"/>
                  </w14:solidFill>
                </w14:textFill>
              </w:rPr>
            </w:pPr>
          </w:p>
          <w:p>
            <w:pPr>
              <w:snapToGrid w:val="0"/>
              <w:jc w:val="center"/>
              <w:rPr>
                <w:rFonts w:hint="eastAsia" w:cs="Times New Roman"/>
                <w:color w:val="000000" w:themeColor="text1"/>
                <w:szCs w:val="22"/>
                <w:lang w:val="en-US" w:eastAsia="zh-CN"/>
                <w14:textFill>
                  <w14:solidFill>
                    <w14:schemeClr w14:val="tx1"/>
                  </w14:solidFill>
                </w14:textFill>
              </w:rPr>
            </w:pPr>
          </w:p>
          <w:p>
            <w:pPr>
              <w:pStyle w:val="12"/>
              <w:ind w:left="0" w:leftChars="0" w:firstLine="280" w:firstLineChars="100"/>
              <w:rPr>
                <w:rFonts w:hint="default"/>
                <w:lang w:val="en-US" w:eastAsia="zh-CN"/>
              </w:rPr>
            </w:pPr>
            <w:r>
              <w:rPr>
                <w:rFonts w:hint="eastAsia" w:cs="Times New Roman"/>
                <w:color w:val="000000" w:themeColor="text1"/>
                <w:szCs w:val="22"/>
                <w:lang w:val="en-US" w:eastAsia="zh-CN"/>
                <w14:textFill>
                  <w14:solidFill>
                    <w14:schemeClr w14:val="tx1"/>
                  </w14:solidFill>
                </w14:textFill>
              </w:rPr>
              <w:t>琪</w:t>
            </w:r>
          </w:p>
        </w:tc>
        <w:tc>
          <w:tcPr>
            <w:tcW w:w="3877"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请在“表2.1-2项目主要原辅材料用量”中写明各类原辅材料在本单位内部的最大储量</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已经补充各类原辅料最大储量</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7" w:type="dxa"/>
            <w:vMerge w:val="continue"/>
            <w:vAlign w:val="center"/>
          </w:tcPr>
          <w:p>
            <w:pPr>
              <w:snapToGrid w:val="0"/>
              <w:jc w:val="center"/>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对于防冻液、油性漆和稀释剂，按照《企业突发环境事件风险分级》的要求，其本身并不是环境风险物质，仅是它们的具体组成成分中可能含有《企业突发环境事件风险分级》中所列的环境风险物质，比如油性漆含有的苯系物，所以，请分别说明这三种物质的组成成分及其比例，看其组成成分中有无环境风险物质，如果有，请将其环境风险物质的名称及其按照比例这算出来的量写清楚，以此来计算本单位的Q值。</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已补充油性漆及稀释剂主要成分及比例，相应Q值已调整。</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风险评估P13；应急预案P24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7" w:type="dxa"/>
            <w:vMerge w:val="continue"/>
            <w:vAlign w:val="center"/>
          </w:tcPr>
          <w:p>
            <w:pPr>
              <w:snapToGrid w:val="0"/>
              <w:jc w:val="center"/>
              <w:rPr>
                <w:rFonts w:hint="eastAsia" w:cs="Times New Roman"/>
                <w:color w:val="000000" w:themeColor="text1"/>
                <w:szCs w:val="22"/>
                <w:lang w:val="en-US" w:eastAsia="zh-CN"/>
                <w14:textFill>
                  <w14:solidFill>
                    <w14:schemeClr w14:val="tx1"/>
                  </w14:solidFill>
                </w14:textFill>
              </w:rPr>
            </w:pPr>
          </w:p>
        </w:tc>
        <w:tc>
          <w:tcPr>
            <w:tcW w:w="3877"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请说明本单位的调漆房和喷漆间是分开设置，还是调漆和喷漆共用一间房子。</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已明确喷漆工序与调漆工序分散在不同房间</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7" w:type="dxa"/>
            <w:vMerge w:val="continue"/>
            <w:vAlign w:val="center"/>
          </w:tcPr>
          <w:p>
            <w:pPr>
              <w:snapToGrid w:val="0"/>
              <w:jc w:val="center"/>
              <w:rPr>
                <w:rFonts w:hint="eastAsia" w:cs="Times New Roman"/>
                <w:color w:val="000000" w:themeColor="text1"/>
                <w:szCs w:val="22"/>
                <w:lang w:val="en-US" w:eastAsia="zh-CN"/>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请明确本单位应急指挥部的应急总指挥是谁。</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已明确应急指挥部总指挥为怡坤朋</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847" w:type="dxa"/>
            <w:vMerge w:val="continue"/>
            <w:vAlign w:val="center"/>
          </w:tcPr>
          <w:p>
            <w:pPr>
              <w:adjustRightInd w:val="0"/>
              <w:snapToGrid w:val="0"/>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3877"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建议细化各个应急小组的工作职责。</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已细化各应急小组工作职责</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应急预案P19-21;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7" w:type="dxa"/>
            <w:vMerge w:val="continue"/>
            <w:vAlign w:val="center"/>
          </w:tcPr>
          <w:p>
            <w:pPr>
              <w:adjustRightInd w:val="0"/>
              <w:snapToGrid w:val="0"/>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3877"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对于第四章第一节，还是根据本意见中第二条的要求，参照《企业突发环境事件风险分级》，在说请防冻液、油性漆和稀释剂具体组成成分的基础上，梳理出来本单位都有哪些环境风险物质，然后对本小节的内容以及环境风险评估报告中的相应的内容进行修改完善。主要是分析出其具体的组成物质中是否有环境风险物质，再按照组成的比例求出环境风险物质的量，然后再计算Q值，不是按照防冻液、油性漆和稀释剂的量计算Q值。</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已补充油性漆及稀释剂主要成分及比例，相应Q值已调整</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7" w:type="dxa"/>
            <w:vMerge w:val="continue"/>
            <w:vAlign w:val="center"/>
          </w:tcPr>
          <w:p>
            <w:pPr>
              <w:adjustRightInd w:val="0"/>
              <w:snapToGrid w:val="0"/>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在环境风险源分析一节中，如果调漆房和喷漆间是分开设置的，还应该补充喷漆间。</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已补充喷漆房为环境风险源</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应急预案P26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3" w:hRule="atLeast"/>
          <w:jc w:val="center"/>
        </w:trPr>
        <w:tc>
          <w:tcPr>
            <w:tcW w:w="847" w:type="dxa"/>
            <w:vMerge w:val="continue"/>
            <w:vAlign w:val="center"/>
          </w:tcPr>
          <w:p>
            <w:pPr>
              <w:adjustRightInd w:val="0"/>
              <w:snapToGrid w:val="0"/>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建议对最大可信事故案例及后果分析的内容进行补充完善。应该是：在本单位存在的各个环境风险源中间，选出一个在发生环境风险时对环境危害最大的环境风险源，就这个环境风险源在发生环境风险时对环境的危害进行重点的分析和说明，比如：危害的范围、该范围内有无环境敏感目标、污染项目、该项目的物理化学属性等。</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已完善最大可信事故后果分析内容</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应急预案P34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7" w:type="dxa"/>
            <w:vMerge w:val="continue"/>
            <w:vAlign w:val="center"/>
          </w:tcPr>
          <w:p>
            <w:pPr>
              <w:adjustRightInd w:val="0"/>
              <w:snapToGrid w:val="0"/>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在“预警分级”中，出现的“预计可能发生企业级环境事件时， </w:t>
            </w:r>
          </w:p>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发布橙色预警；可能发生车间级环境事件时，发布黄色预警”，这段文字与本预案中前面的文字是不相符的，原因是：前文中对仅对企业级和社会级的突发环境事件做出了明确的定义，但此段文字却出现了“车间级”的字样，明显不符，请修改完善。另外，不是“企业级环境事件”、“车间级环境事件”，而应该是“企业级突发环境事件”、“车间级突发环境事件”，请也一并修改完善。</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已修改完善预警分级内容</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7" w:type="dxa"/>
            <w:vMerge w:val="continue"/>
            <w:vAlign w:val="center"/>
          </w:tcPr>
          <w:p>
            <w:pPr>
              <w:adjustRightInd w:val="0"/>
              <w:snapToGrid w:val="0"/>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请对预案中的“(1)企业级突发环境事件   当发生的环境事件超出公司应急处置能力，需要请求外部救援力量，发布橙色预警。橙色预警在公司总指挥汇报秦汉新城管委会后，由秦汉新城管委会授权发布。 (2)车间级突发环境事件   当发生的突发环境事件需要调度公司的力量及资源才能处置，发布黄色预警。黄色预警由公司应急指挥部总指挥发布”删除，因为不知道这段文字想表明的是对企业级和车间级突发环境事件的定义，还是想说明黄色和橙色预警的发布条件（即分级条件），如果是发布条件（即分级条件），但上段文字中也已经说明了，所以此段文字特别突兀。</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已删除相应突兀内容。</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7" w:type="dxa"/>
            <w:vMerge w:val="continue"/>
            <w:vAlign w:val="center"/>
          </w:tcPr>
          <w:p>
            <w:pPr>
              <w:adjustRightInd w:val="0"/>
              <w:snapToGrid w:val="0"/>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请补充预警准备的内容，预警准备就是具体是写清楚针对每一级预警所应该开展的准备工作或采取的措施，对于预警准备的内容，主要是说清楚在发布某颜色的预警时，企业都应该做哪些准备工作或采取哪些措施，以确保预警所示的内容不发生或程度得以减轻或消除，预警准备是与预警的分级一一对应，即有几个级别的预警就要有几个与之对应的预警准备。</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已补充预警准备内容</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应急预案P43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7" w:type="dxa"/>
            <w:vMerge w:val="continue"/>
            <w:vAlign w:val="center"/>
          </w:tcPr>
          <w:p>
            <w:pPr>
              <w:adjustRightInd w:val="0"/>
              <w:snapToGrid w:val="0"/>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对于“预警措施”中出现的“轻中度预警”、“重度预警措施”，请说明什么是“轻中度预警”、“重度预警措施”？与前文中出现的黄色和橙色预警是什么关系？</w:t>
            </w:r>
          </w:p>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已修改：“轻中度预警”、“重度预警措施”，为“黄色预警”及“橙色预警”</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应急预案P45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7" w:type="dxa"/>
            <w:vMerge w:val="continue"/>
            <w:vAlign w:val="center"/>
          </w:tcPr>
          <w:p>
            <w:pPr>
              <w:adjustRightInd w:val="0"/>
              <w:snapToGrid w:val="0"/>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请补充应急预案启动的条件。</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已补充应急预案启动的条件</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应急预案P43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7" w:type="dxa"/>
            <w:vMerge w:val="continue"/>
            <w:vAlign w:val="center"/>
          </w:tcPr>
          <w:p>
            <w:pPr>
              <w:adjustRightInd w:val="0"/>
              <w:snapToGrid w:val="0"/>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对于现场处置，建议对现有内容进行调整和补充完善，应该是针对本单位实际存在的各个环境风险源（也就是第四章第二节环境风险源分析中梳理出来的内容），具体写清楚在每个具体的环境风险源发生环境风险时的具体的处理处置措施，这是形成应急处置卡的关键。。</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已完善现场处置及应急处置卡相关内容</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7" w:type="dxa"/>
            <w:vMerge w:val="continue"/>
            <w:vAlign w:val="center"/>
          </w:tcPr>
          <w:p>
            <w:pPr>
              <w:adjustRightInd w:val="0"/>
              <w:snapToGrid w:val="0"/>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补充完善应急监测中大气类的监测因子</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已完善应急监测中大气类的监测因子。</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应急预案P58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7" w:type="dxa"/>
            <w:vMerge w:val="continue"/>
            <w:vAlign w:val="center"/>
          </w:tcPr>
          <w:p>
            <w:pPr>
              <w:snapToGrid w:val="0"/>
              <w:jc w:val="center"/>
              <w:rPr>
                <w:rFonts w:hint="eastAsia" w:cs="Times New Roman"/>
                <w:color w:val="000000" w:themeColor="text1"/>
                <w:szCs w:val="22"/>
                <w:lang w:val="en-US" w:eastAsia="zh-CN"/>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建议按照省厅126号文件的要求完善附图附件。</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已完善附图附件</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应急预案附图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847" w:type="dxa"/>
            <w:vMerge w:val="restart"/>
            <w:vAlign w:val="center"/>
          </w:tcPr>
          <w:p>
            <w:pPr>
              <w:snapToGrid w:val="0"/>
              <w:jc w:val="center"/>
              <w:rPr>
                <w:rFonts w:hint="eastAsia" w:cs="Times New Roman"/>
                <w:color w:val="000000" w:themeColor="text1"/>
                <w:szCs w:val="22"/>
                <w:lang w:val="en-US" w:eastAsia="zh-CN"/>
                <w14:textFill>
                  <w14:solidFill>
                    <w14:schemeClr w14:val="tx1"/>
                  </w14:solidFill>
                </w14:textFill>
              </w:rPr>
            </w:pPr>
          </w:p>
          <w:p>
            <w:pPr>
              <w:snapToGrid w:val="0"/>
              <w:jc w:val="center"/>
              <w:rPr>
                <w:rFonts w:hint="eastAsia" w:cs="Times New Roman"/>
                <w:color w:val="000000" w:themeColor="text1"/>
                <w:szCs w:val="22"/>
                <w:lang w:val="en-US" w:eastAsia="zh-CN"/>
                <w14:textFill>
                  <w14:solidFill>
                    <w14:schemeClr w14:val="tx1"/>
                  </w14:solidFill>
                </w14:textFill>
              </w:rPr>
            </w:pPr>
          </w:p>
          <w:p>
            <w:pPr>
              <w:snapToGrid w:val="0"/>
              <w:jc w:val="center"/>
              <w:rPr>
                <w:rFonts w:hint="eastAsia" w:cs="Times New Roman"/>
                <w:color w:val="000000" w:themeColor="text1"/>
                <w:szCs w:val="22"/>
                <w:lang w:val="en-US" w:eastAsia="zh-CN"/>
                <w14:textFill>
                  <w14:solidFill>
                    <w14:schemeClr w14:val="tx1"/>
                  </w14:solidFill>
                </w14:textFill>
              </w:rPr>
            </w:pPr>
          </w:p>
          <w:p>
            <w:pPr>
              <w:snapToGrid w:val="0"/>
              <w:jc w:val="center"/>
              <w:rPr>
                <w:rFonts w:hint="eastAsia" w:cs="Times New Roman"/>
                <w:color w:val="000000" w:themeColor="text1"/>
                <w:szCs w:val="22"/>
                <w:lang w:val="en-US" w:eastAsia="zh-CN"/>
                <w14:textFill>
                  <w14:solidFill>
                    <w14:schemeClr w14:val="tx1"/>
                  </w14:solidFill>
                </w14:textFill>
              </w:rPr>
            </w:pPr>
            <w:r>
              <w:rPr>
                <w:rFonts w:hint="eastAsia" w:cs="Times New Roman"/>
                <w:color w:val="000000" w:themeColor="text1"/>
                <w:szCs w:val="22"/>
                <w:lang w:val="en-US" w:eastAsia="zh-CN"/>
                <w14:textFill>
                  <w14:solidFill>
                    <w14:schemeClr w14:val="tx1"/>
                  </w14:solidFill>
                </w14:textFill>
              </w:rPr>
              <w:t>邱</w:t>
            </w:r>
          </w:p>
          <w:p>
            <w:pPr>
              <w:snapToGrid w:val="0"/>
              <w:jc w:val="center"/>
              <w:rPr>
                <w:rFonts w:hint="eastAsia" w:cs="Times New Roman"/>
                <w:color w:val="000000" w:themeColor="text1"/>
                <w:szCs w:val="22"/>
                <w:lang w:val="en-US" w:eastAsia="zh-CN"/>
                <w14:textFill>
                  <w14:solidFill>
                    <w14:schemeClr w14:val="tx1"/>
                  </w14:solidFill>
                </w14:textFill>
              </w:rPr>
            </w:pPr>
          </w:p>
          <w:p>
            <w:pPr>
              <w:snapToGrid w:val="0"/>
              <w:jc w:val="center"/>
              <w:rPr>
                <w:rFonts w:hint="eastAsia" w:cs="Times New Roman"/>
                <w:color w:val="000000" w:themeColor="text1"/>
                <w:szCs w:val="22"/>
                <w:lang w:val="en-US" w:eastAsia="zh-CN"/>
                <w14:textFill>
                  <w14:solidFill>
                    <w14:schemeClr w14:val="tx1"/>
                  </w14:solidFill>
                </w14:textFill>
              </w:rPr>
            </w:pPr>
          </w:p>
          <w:p>
            <w:pPr>
              <w:snapToGrid w:val="0"/>
              <w:jc w:val="center"/>
              <w:rPr>
                <w:rFonts w:hint="eastAsia" w:cs="Times New Roman"/>
                <w:color w:val="000000" w:themeColor="text1"/>
                <w:szCs w:val="22"/>
                <w:lang w:val="en-US" w:eastAsia="zh-CN"/>
                <w14:textFill>
                  <w14:solidFill>
                    <w14:schemeClr w14:val="tx1"/>
                  </w14:solidFill>
                </w14:textFill>
              </w:rPr>
            </w:pPr>
          </w:p>
          <w:p>
            <w:pPr>
              <w:snapToGrid w:val="0"/>
              <w:jc w:val="center"/>
              <w:rPr>
                <w:rFonts w:hint="default" w:cs="Times New Roman"/>
                <w:color w:val="000000" w:themeColor="text1"/>
                <w:szCs w:val="22"/>
                <w:lang w:val="en-US" w:eastAsia="zh-CN"/>
                <w14:textFill>
                  <w14:solidFill>
                    <w14:schemeClr w14:val="tx1"/>
                  </w14:solidFill>
                </w14:textFill>
              </w:rPr>
            </w:pPr>
            <w:r>
              <w:rPr>
                <w:rFonts w:hint="eastAsia" w:cs="Times New Roman"/>
                <w:color w:val="000000" w:themeColor="text1"/>
                <w:szCs w:val="22"/>
                <w:lang w:val="en-US" w:eastAsia="zh-CN"/>
                <w14:textFill>
                  <w14:solidFill>
                    <w14:schemeClr w14:val="tx1"/>
                  </w14:solidFill>
                </w14:textFill>
              </w:rPr>
              <w:t>钢</w:t>
            </w: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事件分级的依据不清楚。</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已补充事件分级依据</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7" w:type="dxa"/>
            <w:vMerge w:val="continue"/>
            <w:vAlign w:val="center"/>
          </w:tcPr>
          <w:p>
            <w:pPr>
              <w:snapToGrid w:val="0"/>
              <w:jc w:val="center"/>
              <w:rPr>
                <w:rFonts w:hint="eastAsia" w:cs="Times New Roman"/>
                <w:color w:val="000000" w:themeColor="text1"/>
                <w:szCs w:val="22"/>
                <w:lang w:val="en-US" w:eastAsia="zh-CN"/>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企业基本概况内容缺失比较多。</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已补充企业概况</w:t>
            </w:r>
          </w:p>
        </w:tc>
        <w:tc>
          <w:tcPr>
            <w:tcW w:w="1215"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7" w:type="dxa"/>
            <w:vMerge w:val="continue"/>
            <w:vAlign w:val="center"/>
          </w:tcPr>
          <w:p>
            <w:pPr>
              <w:snapToGrid w:val="0"/>
              <w:jc w:val="center"/>
              <w:rPr>
                <w:rFonts w:hint="eastAsia" w:cs="Times New Roman"/>
                <w:color w:val="000000" w:themeColor="text1"/>
                <w:szCs w:val="22"/>
                <w:lang w:val="en-US" w:eastAsia="zh-CN"/>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各个应急职能小组的工作职责有待进一步细化。</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已经进一步细化各职能小组职责。</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7" w:type="dxa"/>
            <w:vMerge w:val="continue"/>
            <w:vAlign w:val="center"/>
          </w:tcPr>
          <w:p>
            <w:pPr>
              <w:snapToGrid w:val="0"/>
              <w:jc w:val="center"/>
              <w:rPr>
                <w:rFonts w:hint="default" w:cs="Times New Roman"/>
                <w:color w:val="000000" w:themeColor="text1"/>
                <w:szCs w:val="22"/>
                <w:lang w:val="en-US" w:eastAsia="zh-CN"/>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缺失针对每一级预警的预警准备的内容。</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已补充每一级预警的准备内容</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应急预案P43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7" w:type="dxa"/>
            <w:vMerge w:val="continue"/>
            <w:vAlign w:val="center"/>
          </w:tcPr>
          <w:p>
            <w:pPr>
              <w:snapToGrid w:val="0"/>
              <w:jc w:val="center"/>
              <w:rPr>
                <w:rFonts w:hint="default" w:cs="Times New Roman"/>
                <w:color w:val="000000" w:themeColor="text1"/>
                <w:szCs w:val="22"/>
                <w:lang w:val="en-US" w:eastAsia="zh-CN"/>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企业基本情况列表说明，补充日常来往人数。说明风险物质运输途中的责任单位，列明近三年有无环境违法排污和突发环境事件，如有，环境风险等级上调一级。</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已补充企业概况；风险物质运输途中的责任单位为陕西环能科技有限公司；企业近三年未发生环境违法行为。</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应急预案P10；P40；P31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7" w:type="dxa"/>
            <w:vMerge w:val="continue"/>
            <w:vAlign w:val="center"/>
          </w:tcPr>
          <w:p>
            <w:pPr>
              <w:snapToGrid w:val="0"/>
              <w:jc w:val="center"/>
              <w:rPr>
                <w:rFonts w:hint="default" w:cs="Times New Roman"/>
                <w:color w:val="000000" w:themeColor="text1"/>
                <w:szCs w:val="22"/>
                <w:lang w:val="en-US" w:eastAsia="zh-CN"/>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在编制说明中补充应急演练征求意见及采纳情况说明和本次预案评审情况</w:t>
            </w:r>
          </w:p>
        </w:tc>
        <w:tc>
          <w:tcPr>
            <w:tcW w:w="3375"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已补充应急演练征求意见及采纳情况说明和本次预案评审情况</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847" w:type="dxa"/>
            <w:vMerge w:val="continue"/>
            <w:vAlign w:val="center"/>
          </w:tcPr>
          <w:p>
            <w:pPr>
              <w:snapToGrid w:val="0"/>
              <w:jc w:val="center"/>
              <w:rPr>
                <w:rFonts w:hint="default" w:cs="Times New Roman"/>
                <w:color w:val="000000" w:themeColor="text1"/>
                <w:szCs w:val="22"/>
                <w:lang w:val="en-US" w:eastAsia="zh-CN"/>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删除与环境风险物质防范与分析无关内容章节，请将危险物质提法改为环境风险物质。</w:t>
            </w:r>
          </w:p>
        </w:tc>
        <w:tc>
          <w:tcPr>
            <w:tcW w:w="3375"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已删除与环境风险物质防范及分析无关内容。已将险物质提法改为环境风险物质</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7" w:type="dxa"/>
            <w:vMerge w:val="continue"/>
            <w:vAlign w:val="center"/>
          </w:tcPr>
          <w:p>
            <w:pPr>
              <w:snapToGrid w:val="0"/>
              <w:jc w:val="center"/>
              <w:rPr>
                <w:rFonts w:hint="default" w:cs="Times New Roman"/>
                <w:color w:val="000000" w:themeColor="text1"/>
                <w:szCs w:val="22"/>
                <w:lang w:val="en-US" w:eastAsia="zh-CN"/>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请细化和完善在发生或可能发生突发环境事件时及时通报受到危害的单位和居民的方法和措施。</w:t>
            </w:r>
          </w:p>
        </w:tc>
        <w:tc>
          <w:tcPr>
            <w:tcW w:w="3375"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已明确由应急办公室人员通过电话通知周边单位及居民所在地街道办。</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7" w:type="dxa"/>
            <w:vMerge w:val="continue"/>
            <w:vAlign w:val="center"/>
          </w:tcPr>
          <w:p>
            <w:pPr>
              <w:snapToGrid w:val="0"/>
              <w:jc w:val="center"/>
              <w:rPr>
                <w:rFonts w:hint="default" w:cs="Times New Roman"/>
                <w:color w:val="000000" w:themeColor="text1"/>
                <w:szCs w:val="22"/>
                <w:lang w:val="en-US" w:eastAsia="zh-CN"/>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增加国内同类企业发生突发环境事件的案例，确定最大可信事故。</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已增加国内相关案例。</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应急预案P32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7" w:type="dxa"/>
            <w:vMerge w:val="continue"/>
            <w:vAlign w:val="center"/>
          </w:tcPr>
          <w:p>
            <w:pPr>
              <w:snapToGrid w:val="0"/>
              <w:jc w:val="center"/>
              <w:rPr>
                <w:rFonts w:hint="default" w:cs="Times New Roman"/>
                <w:color w:val="000000" w:themeColor="text1"/>
                <w:szCs w:val="22"/>
                <w:lang w:val="en-US" w:eastAsia="zh-CN"/>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根据环境风险分析内容补充相应的现场处置措施，补充事故情况下废水截流措施。</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已增加相应现场处置措施及废水截流措施。</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7" w:type="dxa"/>
            <w:vMerge w:val="restart"/>
            <w:vAlign w:val="center"/>
          </w:tcPr>
          <w:p>
            <w:pPr>
              <w:snapToGrid w:val="0"/>
              <w:jc w:val="center"/>
              <w:rPr>
                <w:rFonts w:hint="eastAsia" w:cs="Times New Roman"/>
                <w:color w:val="000000" w:themeColor="text1"/>
                <w:szCs w:val="22"/>
                <w:lang w:val="en-US" w:eastAsia="zh-CN"/>
                <w14:textFill>
                  <w14:solidFill>
                    <w14:schemeClr w14:val="tx1"/>
                  </w14:solidFill>
                </w14:textFill>
              </w:rPr>
            </w:pPr>
          </w:p>
          <w:p>
            <w:pPr>
              <w:snapToGrid w:val="0"/>
              <w:jc w:val="center"/>
              <w:rPr>
                <w:rFonts w:hint="eastAsia" w:cs="Times New Roman"/>
                <w:color w:val="000000" w:themeColor="text1"/>
                <w:szCs w:val="22"/>
                <w:lang w:val="en-US" w:eastAsia="zh-CN"/>
                <w14:textFill>
                  <w14:solidFill>
                    <w14:schemeClr w14:val="tx1"/>
                  </w14:solidFill>
                </w14:textFill>
              </w:rPr>
            </w:pPr>
          </w:p>
          <w:p>
            <w:pPr>
              <w:snapToGrid w:val="0"/>
              <w:jc w:val="center"/>
              <w:rPr>
                <w:rFonts w:hint="eastAsia" w:cs="Times New Roman"/>
                <w:color w:val="000000" w:themeColor="text1"/>
                <w:szCs w:val="22"/>
                <w:lang w:val="en-US" w:eastAsia="zh-CN"/>
                <w14:textFill>
                  <w14:solidFill>
                    <w14:schemeClr w14:val="tx1"/>
                  </w14:solidFill>
                </w14:textFill>
              </w:rPr>
            </w:pPr>
          </w:p>
          <w:p>
            <w:pPr>
              <w:snapToGrid w:val="0"/>
              <w:jc w:val="center"/>
              <w:rPr>
                <w:rFonts w:hint="eastAsia" w:cs="Times New Roman"/>
                <w:color w:val="000000" w:themeColor="text1"/>
                <w:szCs w:val="22"/>
                <w:lang w:val="en-US" w:eastAsia="zh-CN"/>
                <w14:textFill>
                  <w14:solidFill>
                    <w14:schemeClr w14:val="tx1"/>
                  </w14:solidFill>
                </w14:textFill>
              </w:rPr>
            </w:pPr>
            <w:r>
              <w:rPr>
                <w:rFonts w:hint="eastAsia" w:cs="Times New Roman"/>
                <w:color w:val="000000" w:themeColor="text1"/>
                <w:szCs w:val="22"/>
                <w:lang w:val="en-US" w:eastAsia="zh-CN"/>
                <w14:textFill>
                  <w14:solidFill>
                    <w14:schemeClr w14:val="tx1"/>
                  </w14:solidFill>
                </w14:textFill>
              </w:rPr>
              <w:t>徐</w:t>
            </w:r>
          </w:p>
          <w:p>
            <w:pPr>
              <w:snapToGrid w:val="0"/>
              <w:jc w:val="center"/>
              <w:rPr>
                <w:rFonts w:hint="eastAsia" w:cs="Times New Roman"/>
                <w:color w:val="000000" w:themeColor="text1"/>
                <w:szCs w:val="22"/>
                <w:lang w:val="en-US" w:eastAsia="zh-CN"/>
                <w14:textFill>
                  <w14:solidFill>
                    <w14:schemeClr w14:val="tx1"/>
                  </w14:solidFill>
                </w14:textFill>
              </w:rPr>
            </w:pPr>
          </w:p>
          <w:p>
            <w:pPr>
              <w:snapToGrid w:val="0"/>
              <w:jc w:val="center"/>
              <w:rPr>
                <w:rFonts w:hint="eastAsia" w:cs="Times New Roman"/>
                <w:color w:val="000000" w:themeColor="text1"/>
                <w:szCs w:val="22"/>
                <w:lang w:val="en-US" w:eastAsia="zh-CN"/>
                <w14:textFill>
                  <w14:solidFill>
                    <w14:schemeClr w14:val="tx1"/>
                  </w14:solidFill>
                </w14:textFill>
              </w:rPr>
            </w:pPr>
            <w:r>
              <w:rPr>
                <w:rFonts w:hint="eastAsia" w:cs="Times New Roman"/>
                <w:color w:val="000000" w:themeColor="text1"/>
                <w:szCs w:val="22"/>
                <w:lang w:val="en-US" w:eastAsia="zh-CN"/>
                <w14:textFill>
                  <w14:solidFill>
                    <w14:schemeClr w14:val="tx1"/>
                  </w14:solidFill>
                </w14:textFill>
              </w:rPr>
              <w:t>永</w:t>
            </w:r>
          </w:p>
          <w:p>
            <w:pPr>
              <w:snapToGrid w:val="0"/>
              <w:jc w:val="center"/>
              <w:rPr>
                <w:rFonts w:hint="eastAsia" w:cs="Times New Roman"/>
                <w:color w:val="000000" w:themeColor="text1"/>
                <w:szCs w:val="22"/>
                <w:lang w:val="en-US" w:eastAsia="zh-CN"/>
                <w14:textFill>
                  <w14:solidFill>
                    <w14:schemeClr w14:val="tx1"/>
                  </w14:solidFill>
                </w14:textFill>
              </w:rPr>
            </w:pPr>
          </w:p>
          <w:p>
            <w:pPr>
              <w:snapToGrid w:val="0"/>
              <w:jc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cs="Times New Roman"/>
                <w:color w:val="000000" w:themeColor="text1"/>
                <w:szCs w:val="22"/>
                <w:lang w:val="en-US" w:eastAsia="zh-CN"/>
                <w14:textFill>
                  <w14:solidFill>
                    <w14:schemeClr w14:val="tx1"/>
                  </w14:solidFill>
                </w14:textFill>
              </w:rPr>
              <w:t>安</w:t>
            </w:r>
          </w:p>
        </w:tc>
        <w:tc>
          <w:tcPr>
            <w:tcW w:w="3877" w:type="dxa"/>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根据稀释剂、面漆等组分复核</w:t>
            </w:r>
            <w:r>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t>环境风险等级</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已根据油性漆及稀释剂成分复核环境风险等级</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83" w:hRule="atLeast"/>
          <w:jc w:val="center"/>
        </w:trPr>
        <w:tc>
          <w:tcPr>
            <w:tcW w:w="847" w:type="dxa"/>
            <w:vMerge w:val="continue"/>
            <w:vAlign w:val="center"/>
          </w:tcPr>
          <w:p>
            <w:pPr>
              <w:snapToGrid w:val="0"/>
              <w:jc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p>
        </w:tc>
        <w:tc>
          <w:tcPr>
            <w:tcW w:w="3877" w:type="dxa"/>
            <w:vAlign w:val="center"/>
          </w:tcPr>
          <w:p>
            <w:pPr>
              <w:pStyle w:val="4"/>
              <w:adjustRightInd w:val="0"/>
              <w:snapToGrid w:val="0"/>
              <w:spacing w:before="144" w:beforeLines="50" w:after="144" w:afterLines="50" w:line="240" w:lineRule="auto"/>
              <w:rPr>
                <w:rFonts w:hint="eastAsia" w:asciiTheme="minorEastAsia" w:hAnsiTheme="minorEastAsia" w:eastAsiaTheme="minorEastAsia" w:cstheme="minorEastAsia"/>
                <w:b w:val="0"/>
                <w:bCs w:val="0"/>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1"/>
                <w:szCs w:val="21"/>
                <w:lang w:val="en-US" w:eastAsia="zh-CN" w:bidi="ar-SA"/>
                <w14:textFill>
                  <w14:solidFill>
                    <w14:schemeClr w14:val="tx1"/>
                  </w14:solidFill>
                </w14:textFill>
              </w:rPr>
              <w:t>复核预警分级，可为社会级和企业级，发生火灾需要政府救援时应为社会级预警，复核。</w:t>
            </w:r>
          </w:p>
        </w:tc>
        <w:tc>
          <w:tcPr>
            <w:tcW w:w="3375" w:type="dxa"/>
            <w:vAlign w:val="center"/>
          </w:tcPr>
          <w:p>
            <w:pPr>
              <w:snapToGrid w:val="0"/>
              <w:rPr>
                <w:rFonts w:hint="default" w:asciiTheme="minorEastAsia" w:hAnsiTheme="minorEastAsia" w:eastAsiaTheme="minorEastAsia" w:cstheme="minorEastAsia"/>
                <w:b w:val="0"/>
                <w:bCs w:val="0"/>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1"/>
                <w:szCs w:val="21"/>
                <w:lang w:val="en-US" w:eastAsia="zh-CN" w:bidi="ar-SA"/>
                <w14:textFill>
                  <w14:solidFill>
                    <w14:schemeClr w14:val="tx1"/>
                  </w14:solidFill>
                </w14:textFill>
              </w:rPr>
              <w:t>已调整预警分级分为社会级及企业级。</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7" w:type="dxa"/>
            <w:vMerge w:val="continue"/>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b w:val="0"/>
                <w:bCs w:val="0"/>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1"/>
                <w:szCs w:val="21"/>
                <w:lang w:val="en-US" w:eastAsia="zh-CN" w:bidi="ar-SA"/>
                <w14:textFill>
                  <w14:solidFill>
                    <w14:schemeClr w14:val="tx1"/>
                  </w14:solidFill>
                </w14:textFill>
              </w:rPr>
              <w:t>按《突发环境事件应急监测技术规范》（ HJ 589-2010）校核应急监测内容，若有消防事故水应明确其取样位置、监测内容，为何要检测雨水口和化粪池出口，复核。</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为明确是否有消防废水进入到雨水和化粪池的管网内，因此对雨水口及化粪池出口进行监测明确</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应急预案P58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847" w:type="dxa"/>
            <w:vMerge w:val="continue"/>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b w:val="0"/>
                <w:bCs w:val="0"/>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1"/>
                <w:szCs w:val="21"/>
                <w:lang w:val="en-US" w:eastAsia="zh-CN" w:bidi="ar-SA"/>
                <w14:textFill>
                  <w14:solidFill>
                    <w14:schemeClr w14:val="tx1"/>
                  </w14:solidFill>
                </w14:textFill>
              </w:rPr>
              <w:t>根据企业实际完善应急处置卡，如机油、稀释剂、废机油等泄漏处置卡。</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已完善相应应急处置卡</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7" w:type="dxa"/>
            <w:vMerge w:val="continue"/>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b w:val="0"/>
                <w:bCs w:val="0"/>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1"/>
                <w:szCs w:val="21"/>
                <w:lang w:val="en-US" w:eastAsia="zh-CN" w:bidi="ar-SA"/>
                <w14:textFill>
                  <w14:solidFill>
                    <w14:schemeClr w14:val="tx1"/>
                  </w14:solidFill>
                </w14:textFill>
              </w:rPr>
              <w:t>完善风险源与应急物质图，补充紧急疏散图。</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已完善相应附图</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应急预案附图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47" w:type="dxa"/>
            <w:vMerge w:val="continue"/>
            <w:vAlign w:val="center"/>
          </w:tcPr>
          <w:p>
            <w:pPr>
              <w:snapToGrid w:val="0"/>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p>
        </w:tc>
        <w:tc>
          <w:tcPr>
            <w:tcW w:w="3877" w:type="dxa"/>
            <w:vAlign w:val="center"/>
          </w:tcPr>
          <w:p>
            <w:pPr>
              <w:snapToGrid w:val="0"/>
              <w:rPr>
                <w:rFonts w:hint="eastAsia" w:asciiTheme="minorEastAsia" w:hAnsiTheme="minorEastAsia" w:eastAsiaTheme="minorEastAsia" w:cstheme="minorEastAsia"/>
                <w:b w:val="0"/>
                <w:bCs w:val="0"/>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1"/>
                <w:szCs w:val="21"/>
                <w:lang w:val="en-US" w:eastAsia="zh-CN" w:bidi="ar-SA"/>
                <w14:textFill>
                  <w14:solidFill>
                    <w14:schemeClr w14:val="tx1"/>
                  </w14:solidFill>
                </w14:textFill>
              </w:rPr>
              <w:t>评估报告中根据稀释剂、面漆等组分复核</w:t>
            </w:r>
            <w:r>
              <w:rPr>
                <w:rFonts w:hint="default" w:asciiTheme="minorEastAsia" w:hAnsiTheme="minorEastAsia" w:eastAsiaTheme="minorEastAsia" w:cstheme="minorEastAsia"/>
                <w:b w:val="0"/>
                <w:bCs w:val="0"/>
                <w:color w:val="000000" w:themeColor="text1"/>
                <w:kern w:val="2"/>
                <w:sz w:val="21"/>
                <w:szCs w:val="21"/>
                <w:lang w:val="en-US" w:eastAsia="zh-CN" w:bidi="ar-SA"/>
                <w14:textFill>
                  <w14:solidFill>
                    <w14:schemeClr w14:val="tx1"/>
                  </w14:solidFill>
                </w14:textFill>
              </w:rPr>
              <w:t>环境风险等级</w:t>
            </w:r>
            <w:r>
              <w:rPr>
                <w:rFonts w:hint="eastAsia" w:asciiTheme="minorEastAsia" w:hAnsiTheme="minorEastAsia" w:eastAsiaTheme="minorEastAsia" w:cstheme="minorEastAsia"/>
                <w:b w:val="0"/>
                <w:bCs w:val="0"/>
                <w:color w:val="000000" w:themeColor="text1"/>
                <w:kern w:val="2"/>
                <w:sz w:val="21"/>
                <w:szCs w:val="21"/>
                <w:lang w:val="en-US" w:eastAsia="zh-CN" w:bidi="ar-SA"/>
                <w14:textFill>
                  <w14:solidFill>
                    <w14:schemeClr w14:val="tx1"/>
                  </w14:solidFill>
                </w14:textFill>
              </w:rPr>
              <w:t>。</w:t>
            </w:r>
          </w:p>
        </w:tc>
        <w:tc>
          <w:tcPr>
            <w:tcW w:w="337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已根据油性漆及稀释剂成分复核环境风险等级</w:t>
            </w:r>
          </w:p>
        </w:tc>
        <w:tc>
          <w:tcPr>
            <w:tcW w:w="1215" w:type="dxa"/>
            <w:vAlign w:val="center"/>
          </w:tcPr>
          <w:p>
            <w:pPr>
              <w:snapToGrid w:val="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应急预案P30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3" w:hRule="atLeast"/>
          <w:jc w:val="center"/>
        </w:trPr>
        <w:tc>
          <w:tcPr>
            <w:tcW w:w="9314" w:type="dxa"/>
            <w:gridSpan w:val="4"/>
          </w:tcPr>
          <w:p>
            <w:pPr>
              <w:snapToGrid w:val="0"/>
              <w:ind w:firstLine="1280" w:firstLineChars="400"/>
              <w:rPr>
                <w:rFonts w:hint="eastAsia" w:cs="Times New Roman"/>
                <w:color w:val="000000" w:themeColor="text1"/>
                <w:szCs w:val="22"/>
                <w:lang w:val="en-US" w:eastAsia="zh-CN"/>
                <w14:textFill>
                  <w14:solidFill>
                    <w14:schemeClr w14:val="tx1"/>
                  </w14:solidFill>
                </w14:textFill>
              </w:rPr>
            </w:pPr>
          </w:p>
          <w:p>
            <w:pPr>
              <w:snapToGrid w:val="0"/>
              <w:rPr>
                <w:rFonts w:hint="eastAsia" w:cs="Times New Roman"/>
                <w:color w:val="000000" w:themeColor="text1"/>
                <w:szCs w:val="22"/>
                <w:lang w:val="en-US" w:eastAsia="zh-CN"/>
                <w14:textFill>
                  <w14:solidFill>
                    <w14:schemeClr w14:val="tx1"/>
                  </w14:solidFill>
                </w14:textFill>
              </w:rPr>
            </w:pPr>
            <w:r>
              <w:rPr>
                <w:rFonts w:hint="eastAsia" w:cs="Times New Roman"/>
                <w:color w:val="000000" w:themeColor="text1"/>
                <w:szCs w:val="22"/>
                <w:lang w:val="en-US" w:eastAsia="zh-CN"/>
                <w14:textFill>
                  <w14:solidFill>
                    <w14:schemeClr w14:val="tx1"/>
                  </w14:solidFill>
                </w14:textFill>
              </w:rPr>
              <w:t>复核意见：</w:t>
            </w:r>
          </w:p>
          <w:p>
            <w:pPr>
              <w:snapToGrid w:val="0"/>
              <w:rPr>
                <w:rFonts w:hint="eastAsia" w:cs="Times New Roman"/>
                <w:color w:val="000000" w:themeColor="text1"/>
                <w:szCs w:val="22"/>
                <w:lang w:val="en-US" w:eastAsia="zh-CN"/>
                <w14:textFill>
                  <w14:solidFill>
                    <w14:schemeClr w14:val="tx1"/>
                  </w14:solidFill>
                </w14:textFill>
              </w:rPr>
            </w:pPr>
          </w:p>
          <w:p>
            <w:pPr>
              <w:pStyle w:val="12"/>
              <w:rPr>
                <w:rFonts w:hint="eastAsia"/>
                <w:color w:val="000000" w:themeColor="text1"/>
                <w:lang w:val="en-US" w:eastAsia="zh-CN"/>
                <w14:textFill>
                  <w14:solidFill>
                    <w14:schemeClr w14:val="tx1"/>
                  </w14:solidFill>
                </w14:textFill>
              </w:rPr>
            </w:pPr>
          </w:p>
          <w:p>
            <w:pPr>
              <w:snapToGrid w:val="0"/>
              <w:rPr>
                <w:rFonts w:hint="eastAsia" w:cs="Times New Roman"/>
                <w:color w:val="000000" w:themeColor="text1"/>
                <w:szCs w:val="22"/>
                <w:lang w:val="en-US" w:eastAsia="zh-CN"/>
                <w14:textFill>
                  <w14:solidFill>
                    <w14:schemeClr w14:val="tx1"/>
                  </w14:solidFill>
                </w14:textFill>
              </w:rPr>
            </w:pPr>
            <w:r>
              <w:rPr>
                <w:rFonts w:hint="eastAsia" w:cs="Times New Roman"/>
                <w:color w:val="000000" w:themeColor="text1"/>
                <w:szCs w:val="22"/>
                <w:lang w:val="en-US" w:eastAsia="zh-CN"/>
                <w14:textFill>
                  <w14:solidFill>
                    <w14:schemeClr w14:val="tx1"/>
                  </w14:solidFill>
                </w14:textFill>
              </w:rPr>
              <w:t>评审组专家签名：</w:t>
            </w:r>
          </w:p>
          <w:p>
            <w:pPr>
              <w:pStyle w:val="12"/>
              <w:rPr>
                <w:rFonts w:hint="eastAsia"/>
                <w:color w:val="000000" w:themeColor="text1"/>
                <w:lang w:val="en-US" w:eastAsia="zh-CN"/>
                <w14:textFill>
                  <w14:solidFill>
                    <w14:schemeClr w14:val="tx1"/>
                  </w14:solidFill>
                </w14:textFill>
              </w:rPr>
            </w:pPr>
            <w:bookmarkStart w:id="0" w:name="_GoBack"/>
            <w:bookmarkEnd w:id="0"/>
          </w:p>
          <w:p>
            <w:pPr>
              <w:snapToGrid w:val="0"/>
              <w:rPr>
                <w:rFonts w:hint="eastAsia" w:ascii="Calibri" w:hAnsi="Calibri" w:eastAsia="仿宋_GB2312" w:cs="Times New Roman"/>
                <w:color w:val="000000" w:themeColor="text1"/>
                <w:kern w:val="2"/>
                <w:sz w:val="32"/>
                <w:szCs w:val="22"/>
                <w:lang w:val="en-US" w:eastAsia="zh-CN" w:bidi="ar-SA"/>
                <w14:textFill>
                  <w14:solidFill>
                    <w14:schemeClr w14:val="tx1"/>
                  </w14:solidFill>
                </w14:textFill>
              </w:rPr>
            </w:pPr>
            <w:r>
              <w:rPr>
                <w:rFonts w:hint="eastAsia" w:ascii="Calibri" w:hAnsi="Calibri" w:eastAsia="仿宋_GB2312" w:cs="Times New Roman"/>
                <w:color w:val="000000" w:themeColor="text1"/>
                <w:kern w:val="2"/>
                <w:sz w:val="32"/>
                <w:szCs w:val="22"/>
                <w:lang w:val="en-US" w:eastAsia="zh-CN" w:bidi="ar-SA"/>
                <w14:textFill>
                  <w14:solidFill>
                    <w14:schemeClr w14:val="tx1"/>
                  </w14:solidFill>
                </w14:textFill>
              </w:rPr>
              <w:t xml:space="preserve">                </w:t>
            </w:r>
          </w:p>
          <w:p>
            <w:pPr>
              <w:snapToGrid w:val="0"/>
              <w:ind w:left="6080" w:leftChars="300" w:hanging="5120" w:hangingChars="1600"/>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Calibri" w:hAnsi="Calibri" w:eastAsia="仿宋_GB2312" w:cs="Times New Roman"/>
                <w:color w:val="000000" w:themeColor="text1"/>
                <w:kern w:val="2"/>
                <w:sz w:val="32"/>
                <w:szCs w:val="22"/>
                <w:lang w:val="en-US" w:eastAsia="zh-CN" w:bidi="ar-SA"/>
                <w14:textFill>
                  <w14:solidFill>
                    <w14:schemeClr w14:val="tx1"/>
                  </w14:solidFill>
                </w14:textFill>
              </w:rPr>
              <w:t xml:space="preserve">                                年    月    日</w:t>
            </w:r>
          </w:p>
        </w:tc>
      </w:tr>
    </w:tbl>
    <w:p>
      <w:pPr>
        <w:adjustRightInd w:val="0"/>
        <w:snapToGrid w:val="0"/>
        <w:spacing w:beforeLines="50"/>
        <w:rPr>
          <w:rFonts w:ascii="黑体" w:hAnsi="宋体" w:eastAsia="黑体"/>
          <w:color w:val="000000" w:themeColor="text1"/>
          <w:sz w:val="21"/>
          <w:szCs w:val="21"/>
          <w14:textFill>
            <w14:solidFill>
              <w14:schemeClr w14:val="tx1"/>
            </w14:solidFill>
          </w14:textFill>
        </w:rPr>
      </w:pPr>
      <w:r>
        <w:rPr>
          <w:rFonts w:hint="eastAsia" w:ascii="宋体" w:hAnsi="宋体" w:eastAsia="宋体"/>
          <w:color w:val="000000" w:themeColor="text1"/>
          <w:sz w:val="21"/>
          <w14:textFill>
            <w14:solidFill>
              <w14:schemeClr w14:val="tx1"/>
            </w14:solidFill>
          </w14:textFill>
        </w:rPr>
        <w:t>注：1.“说明”指说明修改情况，辅以必要的现场整改图片；</w:t>
      </w:r>
    </w:p>
    <w:p>
      <w:pPr>
        <w:adjustRightInd w:val="0"/>
        <w:snapToGrid w:val="0"/>
      </w:pPr>
      <w:r>
        <w:rPr>
          <w:rFonts w:hint="eastAsia" w:ascii="宋体" w:hAnsi="宋体" w:eastAsia="宋体"/>
          <w:color w:val="000000" w:themeColor="text1"/>
          <w:sz w:val="21"/>
          <w14:textFill>
            <w14:solidFill>
              <w14:schemeClr w14:val="tx1"/>
            </w14:solidFill>
          </w14:textFill>
        </w:rPr>
        <w:t xml:space="preserve">    2.“索引”指修改内容在预案中的具体体现</w:t>
      </w:r>
      <w:r>
        <w:rPr>
          <w:rFonts w:hint="eastAsia" w:ascii="宋体" w:hAnsi="宋体" w:eastAsia="宋体"/>
          <w:sz w:val="21"/>
        </w:rPr>
        <w:t>之处。</w:t>
      </w:r>
    </w:p>
    <w:sectPr>
      <w:footerReference r:id="rId3" w:type="default"/>
      <w:pgSz w:w="11906" w:h="16838"/>
      <w:pgMar w:top="1701" w:right="1531" w:bottom="1701" w:left="1531" w:header="851" w:footer="107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方正小标宋_GBK">
    <w:altName w:val="宋体"/>
    <w:panose1 w:val="00000000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467EC2"/>
    <w:rsid w:val="02662563"/>
    <w:rsid w:val="0FFD0F06"/>
    <w:rsid w:val="139F57C9"/>
    <w:rsid w:val="2D1230D1"/>
    <w:rsid w:val="2FD85741"/>
    <w:rsid w:val="36BD6BD8"/>
    <w:rsid w:val="424E6130"/>
    <w:rsid w:val="45255499"/>
    <w:rsid w:val="55862612"/>
    <w:rsid w:val="57467EC2"/>
    <w:rsid w:val="61DC31D2"/>
    <w:rsid w:val="731B621F"/>
    <w:rsid w:val="78F738FA"/>
    <w:rsid w:val="79AE7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paragraph" w:styleId="3">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Cs w:val="32"/>
    </w:rPr>
  </w:style>
  <w:style w:type="paragraph" w:styleId="4">
    <w:name w:val="heading 3"/>
    <w:basedOn w:val="1"/>
    <w:next w:val="1"/>
    <w:qFormat/>
    <w:uiPriority w:val="0"/>
    <w:pPr>
      <w:keepNext/>
      <w:keepLines/>
      <w:spacing w:line="416" w:lineRule="auto"/>
      <w:outlineLvl w:val="2"/>
    </w:pPr>
    <w:rPr>
      <w:rFonts w:eastAsia="仿宋"/>
      <w:b/>
      <w:bCs/>
      <w:sz w:val="28"/>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5">
    <w:name w:val="annotation text"/>
    <w:basedOn w:val="1"/>
    <w:semiHidden/>
    <w:unhideWhenUsed/>
    <w:qFormat/>
    <w:uiPriority w:val="99"/>
    <w:pPr>
      <w:jc w:val="left"/>
    </w:pPr>
  </w:style>
  <w:style w:type="paragraph" w:styleId="6">
    <w:name w:val="Body Text"/>
    <w:basedOn w:val="1"/>
    <w:qFormat/>
    <w:uiPriority w:val="1"/>
    <w:rPr>
      <w:sz w:val="28"/>
      <w:szCs w:val="28"/>
    </w:rPr>
  </w:style>
  <w:style w:type="paragraph" w:styleId="7">
    <w:name w:val="Body Text Indent"/>
    <w:basedOn w:val="1"/>
    <w:qFormat/>
    <w:uiPriority w:val="0"/>
    <w:pPr>
      <w:adjustRightInd w:val="0"/>
      <w:snapToGrid w:val="0"/>
      <w:spacing w:line="360" w:lineRule="auto"/>
      <w:ind w:firstLine="560" w:firstLineChars="200"/>
    </w:pPr>
    <w:rPr>
      <w:rFonts w:ascii="Times New Roman" w:hAnsi="Times New Roman"/>
      <w:sz w:val="28"/>
      <w:szCs w:val="20"/>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paragraph" w:styleId="11">
    <w:name w:val="Body Text First Indent"/>
    <w:basedOn w:val="6"/>
    <w:qFormat/>
    <w:uiPriority w:val="0"/>
    <w:pPr>
      <w:ind w:firstLine="420" w:firstLineChars="100"/>
      <w:jc w:val="both"/>
    </w:pPr>
    <w:rPr>
      <w:rFonts w:eastAsia="宋体"/>
      <w:sz w:val="24"/>
      <w:szCs w:val="20"/>
    </w:rPr>
  </w:style>
  <w:style w:type="paragraph" w:styleId="12">
    <w:name w:val="Body Text First Indent 2"/>
    <w:basedOn w:val="7"/>
    <w:next w:val="1"/>
    <w:unhideWhenUsed/>
    <w:qFormat/>
    <w:uiPriority w:val="99"/>
    <w:pPr>
      <w:ind w:firstLine="420" w:firstLineChars="200"/>
    </w:pPr>
  </w:style>
  <w:style w:type="character" w:styleId="15">
    <w:name w:val="page number"/>
    <w:basedOn w:val="14"/>
    <w:qFormat/>
    <w:uiPriority w:val="0"/>
  </w:style>
  <w:style w:type="paragraph" w:customStyle="1" w:styleId="16">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7">
    <w:name w:val="NormalCharacter"/>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2020-12-05T07:28:00Z</dcterms:created>
  <dc:creator>晒太阳的咸鱼</dc:creator>
  <cp:lastModifiedBy>晒太阳的咸鱼</cp:lastModifiedBy>
  <cp:lastPrinted>2021-06-06T09:04:41Z</cp:lastPrinted>
  <dcterms:modified xsi:type="dcterms:W3CDTF">2021-06-06T09:10:44Z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5BFD28C13E714650839CF4510386EC25</vt:lpwstr>
  </property>
</Properties>
</file>