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咸阳鼎诚建材有限公司</w:t>
      </w:r>
      <w:r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突发</w:t>
      </w:r>
    </w:p>
    <w:p>
      <w:pPr>
        <w:pStyle w:val="3"/>
        <w:bidi w:val="0"/>
        <w:jc w:val="center"/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环境应急资源调查报告</w:t>
      </w:r>
    </w:p>
    <w:p>
      <w:pPr>
        <w:ind w:firstLine="0" w:firstLineChars="0"/>
        <w:jc w:val="center"/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</w:pPr>
      <w:r>
        <w:rPr>
          <w:rFonts w:hint="eastAsia" w:ascii="Times New Roman" w:hAnsi="Times New Roman" w:eastAsia="仿宋" w:cs="Times New Roman"/>
          <w:b/>
          <w:color w:val="auto"/>
          <w:kern w:val="2"/>
          <w:sz w:val="44"/>
          <w:szCs w:val="44"/>
          <w:lang w:val="zh-CN" w:eastAsia="zh-CN" w:bidi="ar-SA"/>
        </w:rPr>
        <w:t>（第四部分）</w:t>
      </w: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/>
          <w:color w:val="auto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pStyle w:val="2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</w:p>
    <w:p>
      <w:pPr>
        <w:rPr>
          <w:rFonts w:hint="default" w:ascii="Times New Roman" w:hAnsi="Times New Roman" w:cs="Times New Roman"/>
          <w:color w:val="auto"/>
        </w:rPr>
      </w:pPr>
    </w:p>
    <w:p>
      <w:pPr>
        <w:spacing w:line="360" w:lineRule="auto"/>
        <w:ind w:firstLine="0" w:firstLineChars="0"/>
        <w:jc w:val="center"/>
        <w:rPr>
          <w:rFonts w:hint="default" w:ascii="Times New Roman" w:hAnsi="Times New Roman" w:cs="Times New Roman"/>
          <w:b/>
          <w:bCs/>
          <w:color w:val="auto"/>
          <w:szCs w:val="28"/>
          <w:lang w:eastAsia="zh-CN"/>
        </w:rPr>
      </w:pPr>
      <w:r>
        <w:rPr>
          <w:rFonts w:hint="eastAsia" w:cs="Times New Roman"/>
          <w:b/>
          <w:bCs/>
          <w:color w:val="auto"/>
          <w:szCs w:val="28"/>
          <w:lang w:eastAsia="zh-CN"/>
        </w:rPr>
        <w:t>咸阳鼎诚建材有限公司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cs="Times New Roman"/>
          <w:b/>
          <w:sz w:val="32"/>
          <w:lang w:val="en-US" w:eastAsia="zh-CN"/>
        </w:rPr>
        <w:t>2021年5月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zh-CN" w:eastAsia="zh-CN"/>
        </w:rPr>
      </w:pPr>
      <w:r>
        <w:rPr>
          <w:rFonts w:hint="eastAsia" w:eastAsia="方正小标宋_GBK" w:cs="Times New Roman"/>
          <w:sz w:val="38"/>
          <w:szCs w:val="38"/>
          <w:lang w:val="zh-CN" w:eastAsia="zh-CN"/>
        </w:rPr>
        <w:t>咸阳鼎诚建材有限公司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</w:rPr>
        <w:t>环境应急资源调查报告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r>
        <w:rPr>
          <w:rFonts w:hint="eastAsia" w:eastAsia="楷体_GB2312" w:cs="Times New Roman"/>
          <w:b/>
          <w:color w:val="auto"/>
          <w:sz w:val="30"/>
          <w:szCs w:val="30"/>
          <w:lang w:val="en-US" w:eastAsia="zh-CN"/>
        </w:rPr>
        <w:t>1、</w:t>
      </w: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调查概要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56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</w:t>
      </w:r>
      <w:r>
        <w:rPr>
          <w:rFonts w:hint="default" w:ascii="Times New Roman" w:hAnsi="Times New Roman" w:eastAsia="仿宋" w:cs="Times New Roman"/>
          <w:color w:val="auto"/>
          <w:sz w:val="28"/>
          <w:lang w:val="en-US" w:eastAsia="zh-CN"/>
        </w:rPr>
        <w:t>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年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月10日至20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年</w:t>
      </w:r>
      <w:r>
        <w:rPr>
          <w:rFonts w:hint="eastAsia" w:eastAsia="仿宋" w:cs="Times New Roman"/>
          <w:b w:val="0"/>
          <w:bCs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lang w:val="en-US" w:eastAsia="zh-CN"/>
        </w:rPr>
        <w:t>月10日，</w:t>
      </w:r>
      <w:bookmarkStart w:id="1" w:name="_GoBack"/>
      <w:bookmarkEnd w:id="1"/>
      <w:r>
        <w:rPr>
          <w:rFonts w:hint="eastAsia" w:eastAsia="仿宋" w:cs="Times New Roman"/>
          <w:color w:val="auto"/>
          <w:sz w:val="28"/>
          <w:szCs w:val="28"/>
          <w:lang w:val="en-US" w:eastAsia="zh-CN"/>
        </w:rPr>
        <w:t>咸阳鼎诚建材有限公司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对本公司范围内的环境应急资源进行了摸底，查清了公司存储的环境应急资源的种类、数量和存储位置，便于突发环境事件时调用。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调查启动：20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月9日，公司通知各部分负责人准时参加筹备会，明确时间、地点和相关材料，应急资源调查工作正式启动；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调查动员：20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月10日，总指挥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屈超鹏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赵明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调查培训：副指挥</w:t>
      </w:r>
      <w:r>
        <w:rPr>
          <w:rFonts w:hint="eastAsia" w:cs="Times New Roman"/>
          <w:color w:val="auto"/>
          <w:sz w:val="30"/>
          <w:szCs w:val="30"/>
          <w:lang w:val="en-US" w:eastAsia="zh-CN"/>
        </w:rPr>
        <w:t>赵明</w: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向各部门负责人、各调查小组传达调查的相关详细情况，安排部署各小组的工作。各小组、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数据采集：各小组、部门按照安排部署开展工作，对各自生产范围内的应急物资资源展开清查、登记，汇总成表，20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月25日，各部门按照要求对各自所保管的物质资源进行汇总并向小组、部门负责人汇报；20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月11日，公司对资金完成拨付，设立应急专款；20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月1日，公司应急小组完成重新架构，梳理各应急小组人员向副指挥汇报；20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月5日，副指挥将物资资源、资金、人力资源向总指挥汇报。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调查报告编制：总指挥主持，编制小组汇总编制资料，邀请外部公司协助。20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年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月10日，总指挥审核签字，资料下发各部门，相关资料进行备案，调查完成。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560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  <w:t>调查结果：经过调查明确了</w:t>
      </w:r>
      <w:r>
        <w:rPr>
          <w:rFonts w:hint="default" w:ascii="Times New Roman" w:hAnsi="Times New Roman" w:cs="Times New Roman"/>
          <w:b w:val="0"/>
          <w:color w:val="auto"/>
          <w:kern w:val="2"/>
          <w:sz w:val="28"/>
          <w:szCs w:val="28"/>
          <w:lang w:val="en-US" w:eastAsia="zh-CN"/>
        </w:rPr>
        <w:t>公司</w:t>
      </w: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28"/>
          <w:szCs w:val="28"/>
          <w:lang w:val="en-US" w:eastAsia="zh-CN"/>
        </w:rPr>
        <w:t>内部、外部应急资源，精简了应急机构。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3.调查结果与结论</w:t>
      </w:r>
    </w:p>
    <w:p>
      <w:pPr>
        <w:ind w:firstLine="56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《</w:t>
      </w:r>
      <w:r>
        <w:rPr>
          <w:rFonts w:hint="eastAsia" w:cs="Times New Roman"/>
          <w:color w:val="auto"/>
          <w:sz w:val="28"/>
          <w:szCs w:val="28"/>
          <w:lang w:eastAsia="zh-CN"/>
        </w:rPr>
        <w:t>咸阳鼎诚建材有限公司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突发环境事件风险评估报告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》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评定公司风险等级为一般风险等级。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_GB2312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rFonts w:hint="default" w:ascii="Times New Roman" w:hAnsi="Times New Roman" w:eastAsia="仿宋_GB2312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</w:rPr>
        <w:t>调查人及联系方式：</w:t>
      </w:r>
      <w:r>
        <w:rPr>
          <w:rFonts w:hint="eastAsia" w:eastAsia="仿宋" w:cs="Times New Roman"/>
          <w:color w:val="auto"/>
          <w:kern w:val="2"/>
          <w:sz w:val="21"/>
          <w:szCs w:val="21"/>
          <w:lang w:eastAsia="zh-CN"/>
        </w:rPr>
        <w:t>赵明</w:t>
      </w:r>
      <w:r>
        <w:rPr>
          <w:rFonts w:hint="eastAsia" w:eastAsia="仿宋" w:cs="Times New Roman"/>
          <w:color w:val="auto"/>
          <w:kern w:val="2"/>
          <w:sz w:val="21"/>
          <w:szCs w:val="21"/>
          <w:lang w:val="en-US" w:eastAsia="zh-CN"/>
        </w:rPr>
        <w:t>18709286887</w:t>
      </w: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</w:rPr>
        <w:t>审核人及联系方式：</w:t>
      </w:r>
      <w:r>
        <w:rPr>
          <w:rFonts w:hint="eastAsia" w:eastAsia="仿宋" w:cs="Times New Roman"/>
          <w:color w:val="auto"/>
          <w:kern w:val="2"/>
          <w:sz w:val="21"/>
          <w:szCs w:val="21"/>
          <w:lang w:eastAsia="zh-CN"/>
        </w:rPr>
        <w:t>屈超鹏</w:t>
      </w:r>
      <w:r>
        <w:rPr>
          <w:rFonts w:hint="eastAsia" w:eastAsia="仿宋" w:cs="Times New Roman"/>
          <w:color w:val="auto"/>
          <w:kern w:val="2"/>
          <w:sz w:val="21"/>
          <w:szCs w:val="21"/>
          <w:lang w:val="en-US" w:eastAsia="zh-CN"/>
        </w:rPr>
        <w:t>15529296000</w:t>
      </w:r>
    </w:p>
    <w:tbl>
      <w:tblPr>
        <w:tblStyle w:val="9"/>
        <w:tblW w:w="80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954"/>
        <w:gridCol w:w="945"/>
        <w:gridCol w:w="1159"/>
        <w:gridCol w:w="427"/>
        <w:gridCol w:w="848"/>
        <w:gridCol w:w="1"/>
        <w:gridCol w:w="1022"/>
        <w:gridCol w:w="407"/>
        <w:gridCol w:w="16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企事业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7386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咸阳鼎诚建材有限公司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屈超鹏</w:t>
            </w:r>
          </w:p>
        </w:tc>
        <w:tc>
          <w:tcPr>
            <w:tcW w:w="1276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lang w:eastAsia="zh-CN"/>
              </w:rPr>
              <w:t>赵明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15529296000</w:t>
            </w:r>
          </w:p>
        </w:tc>
        <w:tc>
          <w:tcPr>
            <w:tcW w:w="1276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before="463" w:beforeLine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联系方式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lang w:val="en-US" w:eastAsia="zh-CN"/>
              </w:rPr>
              <w:t>18709286887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潜水泵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清扫车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洒水车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手推车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铁锹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若干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8kg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应急照明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若干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清水池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87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2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环境应急支持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21"/>
                <w:szCs w:val="21"/>
                <w:lang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</w:rPr>
              <w:t>主要能力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西咸新区秦汉新城管委会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重大灾害统筹指挥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环境保护局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咸阳市中心医院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人员救治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西咸新区公安局秦汉新城分局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公安局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治安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消防抢险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秦汉新城安监局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安全生产监督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西安市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气象局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气象信息提供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西安市交警大队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交通管制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西安市环境监测站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风险物质监测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  <w:jc w:val="center"/>
        </w:trPr>
        <w:tc>
          <w:tcPr>
            <w:tcW w:w="65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eastAsia="zh-CN"/>
              </w:rPr>
              <w:t>应急救援单位</w:t>
            </w:r>
          </w:p>
        </w:tc>
        <w:tc>
          <w:tcPr>
            <w:tcW w:w="2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下帝王村村委会</w:t>
            </w:r>
          </w:p>
        </w:tc>
        <w:tc>
          <w:tcPr>
            <w:tcW w:w="30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人员支持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lang w:val="en-US" w:eastAsia="zh-CN"/>
        </w:rPr>
        <w:t>附表二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28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  <w:lang w:val="en-US" w:eastAsia="zh-CN"/>
        </w:rPr>
        <w:t>应急机构负责人及</w:t>
      </w: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  <w:t>通讯方式</w:t>
      </w:r>
    </w:p>
    <w:tbl>
      <w:tblPr>
        <w:tblStyle w:val="9"/>
        <w:tblW w:w="799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794"/>
        <w:gridCol w:w="1237"/>
        <w:gridCol w:w="1900"/>
        <w:gridCol w:w="1"/>
        <w:gridCol w:w="18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bookmarkStart w:id="0" w:name="OLE_LINK11"/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应急小组职务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姓名</w:t>
            </w:r>
          </w:p>
        </w:tc>
        <w:tc>
          <w:tcPr>
            <w:tcW w:w="19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职务</w:t>
            </w:r>
          </w:p>
        </w:tc>
        <w:tc>
          <w:tcPr>
            <w:tcW w:w="185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屈超鹏</w:t>
            </w:r>
          </w:p>
        </w:tc>
        <w:tc>
          <w:tcPr>
            <w:tcW w:w="19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总经理</w:t>
            </w:r>
          </w:p>
        </w:tc>
        <w:tc>
          <w:tcPr>
            <w:tcW w:w="1858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15529296000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24小时值班电话</w:t>
            </w:r>
          </w:p>
        </w:tc>
        <w:tc>
          <w:tcPr>
            <w:tcW w:w="4996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副总指挥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赵明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副经理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通讯联络队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黄晓松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18161899840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王金彦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13319222820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应急消防队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王超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15619947929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侯斌峰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18082217916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物资供应队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王维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18729246564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周磊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15009204409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侦险抢救队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屈超鹏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15529296000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7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赵明</w:t>
            </w:r>
          </w:p>
        </w:tc>
        <w:tc>
          <w:tcPr>
            <w:tcW w:w="1900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员工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/>
                <w:snapToGrid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18709286887</w:t>
            </w:r>
          </w:p>
        </w:tc>
      </w:tr>
      <w:bookmarkEnd w:id="0"/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  <w:t>附件三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  <w:lang w:val="en-US" w:eastAsia="zh-CN"/>
        </w:rPr>
        <w:t>外部救援公司</w:t>
      </w:r>
      <w:r>
        <w:rPr>
          <w:rFonts w:hint="default" w:ascii="Times New Roman" w:hAnsi="Times New Roman" w:eastAsia="仿宋" w:cs="Times New Roman"/>
          <w:b/>
          <w:color w:val="auto"/>
          <w:sz w:val="24"/>
          <w:szCs w:val="24"/>
          <w:highlight w:val="none"/>
        </w:rPr>
        <w:t>通讯方式</w:t>
      </w:r>
    </w:p>
    <w:tbl>
      <w:tblPr>
        <w:tblStyle w:val="9"/>
        <w:tblW w:w="8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25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环保热线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西咸新区秦汉新城管委会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029-33229032</w:t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环境保护局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029-33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4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咸阳市中心医院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5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西咸新区公安局秦汉新城分局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西咸新区秦汉新城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公安局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begin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separate"/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110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fldChar w:fldCharType="end"/>
            </w:r>
          </w:p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6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秦汉新城消防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队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119/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7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秦汉新城安监局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8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西安市</w:t>
            </w: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气象局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9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西安市交警大队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10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西安市环境监测站</w:t>
            </w:r>
          </w:p>
        </w:tc>
        <w:tc>
          <w:tcPr>
            <w:tcW w:w="2582" w:type="dxa"/>
            <w:noWrap w:val="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360" w:lineRule="auto"/>
              <w:ind w:left="0" w:right="0"/>
              <w:jc w:val="center"/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</w:pPr>
            <w:r>
              <w:rPr>
                <w:rStyle w:val="14"/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u w:val="none"/>
                <w:lang w:val="en-US" w:bidi="ar"/>
              </w:rPr>
              <w:t>029-87883739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0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0" w:firstLineChars="0"/>
      <w:jc w:val="both"/>
      <w:rPr>
        <w:rFonts w:hint="eastAsia"/>
      </w:rPr>
    </w:pPr>
    <w:r>
      <w:rPr>
        <w:rFonts w:hint="eastAsia"/>
        <w:lang w:eastAsia="zh-CN"/>
      </w:rPr>
      <w:t>咸阳鼎诚建材有限公司</w:t>
    </w:r>
    <w:r>
      <w:rPr>
        <w:rFonts w:hint="eastAsia"/>
      </w:rPr>
      <w:t xml:space="preserve">                                                   风险评估报告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C5A20"/>
    <w:rsid w:val="01FE12B9"/>
    <w:rsid w:val="03D66052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4876A7C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6D0F44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/>
    </w:pPr>
    <w:rPr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adjustRightInd/>
      <w:snapToGrid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  <w:sz w:val="24"/>
      <w:szCs w:val="24"/>
    </w:rPr>
  </w:style>
  <w:style w:type="character" w:styleId="13">
    <w:name w:val="Emphasis"/>
    <w:basedOn w:val="11"/>
    <w:qFormat/>
    <w:uiPriority w:val="0"/>
    <w:rPr>
      <w:color w:val="CC0000"/>
      <w:sz w:val="24"/>
      <w:szCs w:val="24"/>
    </w:rPr>
  </w:style>
  <w:style w:type="character" w:styleId="14">
    <w:name w:val="Hyperlink"/>
    <w:semiHidden/>
    <w:unhideWhenUsed/>
    <w:qFormat/>
    <w:uiPriority w:val="99"/>
    <w:rPr>
      <w:color w:val="0063C8"/>
      <w:u w:val="none"/>
    </w:rPr>
  </w:style>
  <w:style w:type="character" w:styleId="15">
    <w:name w:val="HTML Cite"/>
    <w:basedOn w:val="1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3868</Words>
  <Characters>4243</Characters>
  <Lines>0</Lines>
  <Paragraphs>0</Paragraphs>
  <TotalTime>0</TotalTime>
  <ScaleCrop>false</ScaleCrop>
  <LinksUpToDate>false</LinksUpToDate>
  <CharactersWithSpaces>4273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18385</cp:lastModifiedBy>
  <dcterms:modified xsi:type="dcterms:W3CDTF">2021-05-20T07:43:23Z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3E023BB5734D467C85250F04A6EE011B</vt:lpwstr>
  </property>
</Properties>
</file>