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40" w:lineRule="atLeast"/>
        <w:ind w:right="-483" w:rightChars="-230" w:firstLine="6300" w:firstLineChars="3000"/>
        <w:rPr>
          <w:color w:val="auto"/>
        </w:rPr>
      </w:pPr>
      <w:bookmarkStart w:id="0" w:name="_Hlk57883707"/>
      <w:r>
        <w:rPr>
          <w:color w:val="auto"/>
        </w:rPr>
        <w:drawing>
          <wp:anchor distT="0" distB="0" distL="114300" distR="114300" simplePos="0" relativeHeight="251656192" behindDoc="0" locked="0" layoutInCell="1" allowOverlap="1">
            <wp:simplePos x="0" y="0"/>
            <wp:positionH relativeFrom="column">
              <wp:posOffset>-207645</wp:posOffset>
            </wp:positionH>
            <wp:positionV relativeFrom="paragraph">
              <wp:posOffset>-72390</wp:posOffset>
            </wp:positionV>
            <wp:extent cx="1894205" cy="541655"/>
            <wp:effectExtent l="0" t="0" r="0" b="0"/>
            <wp:wrapNone/>
            <wp:docPr id="21" name="图片 21" descr="徽标, 公司名称&#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徽标, 公司名称&#10;&#10;描述已自动生成"/>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905265" cy="544786"/>
                    </a:xfrm>
                    <a:prstGeom prst="rect">
                      <a:avLst/>
                    </a:prstGeom>
                    <a:noFill/>
                    <a:ln>
                      <a:noFill/>
                    </a:ln>
                  </pic:spPr>
                </pic:pic>
              </a:graphicData>
            </a:graphic>
          </wp:anchor>
        </w:drawing>
      </w:r>
    </w:p>
    <w:p>
      <w:pPr>
        <w:adjustRightInd w:val="0"/>
        <w:snapToGrid w:val="0"/>
        <w:spacing w:line="240" w:lineRule="atLeast"/>
        <w:ind w:left="-424" w:leftChars="-202" w:right="-483" w:rightChars="-230" w:firstLine="6300" w:firstLineChars="3000"/>
        <w:rPr>
          <w:rFonts w:eastAsia="楷体"/>
          <w:color w:val="auto"/>
          <w:sz w:val="28"/>
          <w:szCs w:val="28"/>
        </w:rPr>
      </w:pPr>
      <w:r>
        <w:rPr>
          <w:color w:val="auto"/>
        </w:rPr>
        <mc:AlternateContent>
          <mc:Choice Requires="wps">
            <w:drawing>
              <wp:anchor distT="0" distB="0" distL="114300" distR="114300" simplePos="0" relativeHeight="251660288" behindDoc="0" locked="0" layoutInCell="1" allowOverlap="1">
                <wp:simplePos x="0" y="0"/>
                <wp:positionH relativeFrom="column">
                  <wp:posOffset>-131445</wp:posOffset>
                </wp:positionH>
                <wp:positionV relativeFrom="paragraph">
                  <wp:posOffset>316230</wp:posOffset>
                </wp:positionV>
                <wp:extent cx="5562600" cy="31750"/>
                <wp:effectExtent l="19050" t="38100" r="38100" b="44450"/>
                <wp:wrapNone/>
                <wp:docPr id="20" name="直接连接符 20"/>
                <wp:cNvGraphicFramePr/>
                <a:graphic xmlns:a="http://schemas.openxmlformats.org/drawingml/2006/main">
                  <a:graphicData uri="http://schemas.microsoft.com/office/word/2010/wordprocessingShape">
                    <wps:wsp>
                      <wps:cNvCnPr>
                        <a:cxnSpLocks noChangeShapeType="1"/>
                      </wps:cNvCnPr>
                      <wps:spPr bwMode="auto">
                        <a:xfrm flipV="1">
                          <a:off x="0" y="0"/>
                          <a:ext cx="5562600" cy="31750"/>
                        </a:xfrm>
                        <a:prstGeom prst="line">
                          <a:avLst/>
                        </a:prstGeom>
                        <a:noFill/>
                        <a:ln w="82550" cmpd="thinThick">
                          <a:solidFill>
                            <a:srgbClr val="000000"/>
                          </a:solidFill>
                          <a:round/>
                        </a:ln>
                      </wps:spPr>
                      <wps:bodyPr/>
                    </wps:wsp>
                  </a:graphicData>
                </a:graphic>
              </wp:anchor>
            </w:drawing>
          </mc:Choice>
          <mc:Fallback>
            <w:pict>
              <v:line id="_x0000_s1026" o:spid="_x0000_s1026" o:spt="20" style="position:absolute;left:0pt;flip:y;margin-left:-10.35pt;margin-top:24.9pt;height:2.5pt;width:438pt;z-index:251660288;mso-width-relative:page;mso-height-relative:page;" filled="f" stroked="t" coordsize="21600,21600" o:gfxdata="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OnCT02gAAAAkB&#10;AAAPAAAAAAAAAAEAIAAAACIAAABkcnMvZG93bnJldi54bWxQSwECFAAUAAAACACHTuJAVWQpTOAB&#10;AAB+AwAADgAAAAAAAAABACAAAAApAQAAZHJzL2Uyb0RvYy54bWxQSwUGAAAAAAYABgBZAQAAewUA&#10;AAAA&#10;">
                <v:fill on="f" focussize="0,0"/>
                <v:stroke weight="6.5pt" color="#000000" linestyle="thinThick" joinstyle="round"/>
                <v:imagedata o:title=""/>
                <o:lock v:ext="edit" aspectratio="f"/>
              </v:line>
            </w:pict>
          </mc:Fallback>
        </mc:AlternateContent>
      </w:r>
    </w:p>
    <w:p>
      <w:pPr>
        <w:ind w:left="-424" w:leftChars="-202"/>
        <w:rPr>
          <w:color w:val="auto"/>
        </w:rPr>
      </w:pPr>
    </w:p>
    <w:p>
      <w:pPr>
        <w:ind w:left="-424" w:leftChars="-202"/>
        <w:rPr>
          <w:color w:val="auto"/>
        </w:rPr>
      </w:pPr>
    </w:p>
    <w:p>
      <w:pPr>
        <w:pStyle w:val="14"/>
        <w:ind w:left="5250"/>
        <w:rPr>
          <w:color w:val="auto"/>
        </w:rPr>
      </w:pPr>
    </w:p>
    <w:p>
      <w:pPr>
        <w:pStyle w:val="14"/>
        <w:ind w:left="5250"/>
        <w:rPr>
          <w:color w:val="auto"/>
        </w:rPr>
      </w:pPr>
    </w:p>
    <w:p>
      <w:pPr>
        <w:rPr>
          <w:color w:val="auto"/>
        </w:rPr>
      </w:pPr>
    </w:p>
    <w:p>
      <w:pPr>
        <w:rPr>
          <w:color w:val="auto"/>
          <w:sz w:val="24"/>
        </w:rPr>
      </w:pPr>
    </w:p>
    <w:p>
      <w:pPr>
        <w:rPr>
          <w:color w:val="auto"/>
          <w:sz w:val="24"/>
        </w:rPr>
      </w:pPr>
    </w:p>
    <w:p>
      <w:pPr>
        <w:rPr>
          <w:color w:val="auto"/>
          <w:sz w:val="24"/>
        </w:rPr>
      </w:pPr>
    </w:p>
    <w:p>
      <w:pPr>
        <w:jc w:val="center"/>
        <w:rPr>
          <w:rFonts w:eastAsia="黑体"/>
          <w:color w:val="auto"/>
          <w:sz w:val="48"/>
          <w:szCs w:val="48"/>
          <w:lang w:val="en-GB"/>
        </w:rPr>
      </w:pPr>
    </w:p>
    <w:p>
      <w:pPr>
        <w:jc w:val="center"/>
        <w:rPr>
          <w:rFonts w:eastAsia="黑体"/>
          <w:color w:val="auto"/>
          <w:sz w:val="48"/>
          <w:szCs w:val="48"/>
          <w:lang w:val="en-GB"/>
        </w:rPr>
      </w:pPr>
    </w:p>
    <w:p>
      <w:pPr>
        <w:jc w:val="center"/>
        <w:rPr>
          <w:rFonts w:hint="eastAsia" w:eastAsia="黑体"/>
          <w:color w:val="auto"/>
          <w:sz w:val="48"/>
          <w:szCs w:val="48"/>
          <w:lang w:val="en-GB"/>
        </w:rPr>
      </w:pPr>
      <w:bookmarkStart w:id="1" w:name="_Hlk65501042"/>
      <w:r>
        <w:rPr>
          <w:rFonts w:hint="eastAsia" w:eastAsia="黑体"/>
          <w:color w:val="auto"/>
          <w:sz w:val="48"/>
          <w:szCs w:val="48"/>
          <w:lang w:val="en-US" w:eastAsia="zh-CN"/>
        </w:rPr>
        <w:t>西安恒大童世界文化旅游项目</w:t>
      </w:r>
    </w:p>
    <w:bookmarkEnd w:id="1"/>
    <w:p>
      <w:pPr>
        <w:ind w:firstLine="175" w:firstLineChars="17"/>
        <w:jc w:val="center"/>
        <w:rPr>
          <w:rFonts w:eastAsia="华文行楷"/>
          <w:color w:val="auto"/>
          <w:w w:val="95"/>
          <w:sz w:val="100"/>
          <w:szCs w:val="96"/>
        </w:rPr>
      </w:pPr>
      <w:r>
        <w:rPr>
          <w:rFonts w:eastAsia="华文行楷"/>
          <w:color w:val="auto"/>
          <w:spacing w:val="40"/>
          <w:w w:val="95"/>
          <w:sz w:val="100"/>
          <w:szCs w:val="96"/>
        </w:rPr>
        <w:t>环境影响报告表</w:t>
      </w:r>
    </w:p>
    <w:p>
      <w:pPr>
        <w:rPr>
          <w:rFonts w:eastAsia="黑体"/>
          <w:color w:val="auto"/>
          <w:sz w:val="48"/>
          <w:szCs w:val="48"/>
          <w:lang w:val="en-GB"/>
        </w:rPr>
      </w:pPr>
    </w:p>
    <w:p>
      <w:pPr>
        <w:rPr>
          <w:color w:val="auto"/>
          <w:sz w:val="24"/>
        </w:rPr>
      </w:pPr>
    </w:p>
    <w:p>
      <w:pPr>
        <w:rPr>
          <w:color w:val="auto"/>
          <w:sz w:val="24"/>
        </w:rPr>
      </w:pPr>
    </w:p>
    <w:p>
      <w:pPr>
        <w:rPr>
          <w:color w:val="auto"/>
          <w:sz w:val="24"/>
        </w:rPr>
      </w:pPr>
    </w:p>
    <w:p>
      <w:pPr>
        <w:rPr>
          <w:color w:val="auto"/>
          <w:sz w:val="24"/>
        </w:rPr>
      </w:pPr>
    </w:p>
    <w:p>
      <w:pPr>
        <w:rPr>
          <w:color w:val="auto"/>
          <w:sz w:val="24"/>
        </w:rPr>
      </w:pPr>
    </w:p>
    <w:p>
      <w:pPr>
        <w:rPr>
          <w:color w:val="auto"/>
          <w:sz w:val="24"/>
        </w:rPr>
      </w:pPr>
    </w:p>
    <w:p>
      <w:pPr>
        <w:rPr>
          <w:color w:val="auto"/>
          <w:sz w:val="24"/>
        </w:rPr>
      </w:pPr>
    </w:p>
    <w:p>
      <w:pPr>
        <w:rPr>
          <w:color w:val="auto"/>
          <w:sz w:val="24"/>
        </w:rPr>
      </w:pPr>
    </w:p>
    <w:p>
      <w:pPr>
        <w:rPr>
          <w:color w:val="auto"/>
          <w:sz w:val="24"/>
        </w:rPr>
      </w:pPr>
    </w:p>
    <w:p>
      <w:pPr>
        <w:rPr>
          <w:color w:val="auto"/>
          <w:sz w:val="24"/>
        </w:rPr>
      </w:pPr>
    </w:p>
    <w:p>
      <w:pPr>
        <w:rPr>
          <w:color w:val="auto"/>
          <w:sz w:val="24"/>
        </w:rPr>
      </w:pPr>
    </w:p>
    <w:p>
      <w:pPr>
        <w:rPr>
          <w:color w:val="auto"/>
          <w:sz w:val="24"/>
        </w:rPr>
      </w:pPr>
    </w:p>
    <w:p>
      <w:pPr>
        <w:rPr>
          <w:color w:val="auto"/>
          <w:sz w:val="24"/>
        </w:rPr>
      </w:pPr>
    </w:p>
    <w:p>
      <w:pPr>
        <w:spacing w:line="360" w:lineRule="auto"/>
        <w:ind w:firstLine="1600" w:firstLineChars="500"/>
        <w:rPr>
          <w:rFonts w:eastAsia="黑体"/>
          <w:color w:val="auto"/>
          <w:sz w:val="32"/>
          <w:szCs w:val="32"/>
        </w:rPr>
      </w:pPr>
      <w:r>
        <w:rPr>
          <w:rFonts w:eastAsia="黑体"/>
          <w:color w:val="auto"/>
          <w:sz w:val="32"/>
          <w:szCs w:val="32"/>
        </w:rPr>
        <w:t>建设单位：</w:t>
      </w:r>
      <w:bookmarkStart w:id="2" w:name="_Hlk70492486"/>
      <w:r>
        <w:rPr>
          <w:rFonts w:hint="eastAsia" w:eastAsia="黑体"/>
          <w:color w:val="auto"/>
          <w:sz w:val="32"/>
          <w:szCs w:val="32"/>
          <w:lang w:val="en-US" w:eastAsia="zh-CN"/>
        </w:rPr>
        <w:t>西安童世界旅游发展有限公司</w:t>
      </w:r>
      <w:bookmarkEnd w:id="2"/>
    </w:p>
    <w:p>
      <w:pPr>
        <w:spacing w:line="360" w:lineRule="auto"/>
        <w:ind w:firstLine="1600" w:firstLineChars="500"/>
        <w:rPr>
          <w:rFonts w:eastAsia="黑体"/>
          <w:color w:val="auto"/>
          <w:sz w:val="32"/>
          <w:szCs w:val="32"/>
        </w:rPr>
      </w:pPr>
      <w:r>
        <w:rPr>
          <w:rFonts w:eastAsia="黑体"/>
          <w:color w:val="auto"/>
          <w:sz w:val="32"/>
          <w:szCs w:val="32"/>
        </w:rPr>
        <w:t>评价单位：核工业二O三研究所</w:t>
      </w:r>
    </w:p>
    <w:p>
      <w:pPr>
        <w:ind w:firstLine="1600" w:firstLineChars="500"/>
        <w:rPr>
          <w:rFonts w:ascii="仿宋_GB2312" w:hAnsi="仿宋_GB2312" w:eastAsia="仿宋_GB2312" w:cs="仿宋_GB2312"/>
          <w:color w:val="auto"/>
          <w:sz w:val="36"/>
          <w:szCs w:val="36"/>
        </w:rPr>
      </w:pPr>
      <w:r>
        <w:rPr>
          <w:rFonts w:eastAsia="黑体"/>
          <w:color w:val="auto"/>
          <w:sz w:val="32"/>
          <w:szCs w:val="32"/>
        </w:rPr>
        <w:t>编制日期：二O二一年</w:t>
      </w:r>
      <w:r>
        <w:rPr>
          <w:rFonts w:hint="eastAsia" w:eastAsia="黑体"/>
          <w:color w:val="auto"/>
          <w:sz w:val="32"/>
          <w:szCs w:val="32"/>
        </w:rPr>
        <w:t>六</w:t>
      </w:r>
      <w:r>
        <w:rPr>
          <w:rFonts w:eastAsia="黑体"/>
          <w:color w:val="auto"/>
          <w:sz w:val="32"/>
          <w:szCs w:val="32"/>
        </w:rPr>
        <w:t>月</w:t>
      </w:r>
    </w:p>
    <w:p>
      <w:pPr>
        <w:jc w:val="center"/>
        <w:rPr>
          <w:rFonts w:ascii="仿宋_GB2312" w:hAnsi="仿宋_GB2312" w:eastAsia="仿宋_GB2312" w:cs="仿宋_GB2312"/>
          <w:color w:val="auto"/>
          <w:sz w:val="36"/>
          <w:szCs w:val="36"/>
        </w:rPr>
      </w:pPr>
    </w:p>
    <w:p>
      <w:pPr>
        <w:rPr>
          <w:rFonts w:ascii="仿宋_GB2312" w:hAnsi="仿宋_GB2312" w:eastAsia="仿宋_GB2312" w:cs="仿宋_GB2312"/>
          <w:color w:val="auto"/>
          <w:sz w:val="36"/>
          <w:szCs w:val="36"/>
        </w:rPr>
      </w:pPr>
    </w:p>
    <w:p>
      <w:pPr>
        <w:rPr>
          <w:rFonts w:ascii="仿宋_GB2312" w:hAnsi="仿宋_GB2312" w:eastAsia="仿宋_GB2312" w:cs="仿宋_GB2312"/>
          <w:color w:val="auto"/>
          <w:sz w:val="36"/>
          <w:szCs w:val="36"/>
        </w:rPr>
      </w:pPr>
    </w:p>
    <w:p>
      <w:pPr>
        <w:rPr>
          <w:rFonts w:ascii="仿宋_GB2312" w:hAnsi="仿宋_GB2312" w:eastAsia="仿宋_GB2312" w:cs="仿宋_GB2312"/>
          <w:color w:val="auto"/>
          <w:sz w:val="36"/>
          <w:szCs w:val="36"/>
        </w:rPr>
      </w:pPr>
    </w:p>
    <w:p>
      <w:pPr>
        <w:rPr>
          <w:rFonts w:ascii="仿宋_GB2312" w:hAnsi="仿宋_GB2312" w:eastAsia="仿宋_GB2312" w:cs="仿宋_GB2312"/>
          <w:color w:val="auto"/>
          <w:sz w:val="36"/>
          <w:szCs w:val="36"/>
        </w:rPr>
      </w:pPr>
    </w:p>
    <w:p>
      <w:pPr>
        <w:rPr>
          <w:rFonts w:ascii="仿宋_GB2312" w:hAnsi="仿宋_GB2312" w:eastAsia="仿宋_GB2312" w:cs="仿宋_GB2312"/>
          <w:color w:val="auto"/>
          <w:sz w:val="36"/>
          <w:szCs w:val="36"/>
        </w:rPr>
      </w:pPr>
    </w:p>
    <w:bookmarkEnd w:id="0"/>
    <w:p>
      <w:pPr>
        <w:adjustRightInd w:val="0"/>
        <w:snapToGrid w:val="0"/>
        <w:jc w:val="center"/>
        <w:outlineLvl w:val="0"/>
        <w:rPr>
          <w:rFonts w:ascii="方正小标宋_GBK" w:eastAsia="方正小标宋_GBK"/>
          <w:bCs/>
          <w:color w:val="auto"/>
          <w:sz w:val="72"/>
          <w:szCs w:val="72"/>
        </w:rPr>
      </w:pPr>
      <w:r>
        <w:rPr>
          <w:rFonts w:hint="eastAsia" w:ascii="方正小标宋_GBK" w:eastAsia="方正小标宋_GBK"/>
          <w:bCs/>
          <w:color w:val="auto"/>
          <w:sz w:val="72"/>
          <w:szCs w:val="72"/>
        </w:rPr>
        <w:t>建设项目环境影响报告表</w:t>
      </w:r>
    </w:p>
    <w:p>
      <w:pPr>
        <w:adjustRightInd w:val="0"/>
        <w:snapToGrid w:val="0"/>
        <w:spacing w:before="192" w:beforeLines="80"/>
        <w:jc w:val="center"/>
        <w:rPr>
          <w:rFonts w:ascii="楷体_GB2312" w:eastAsia="楷体_GB2312"/>
          <w:bCs/>
          <w:color w:val="auto"/>
          <w:sz w:val="48"/>
          <w:szCs w:val="48"/>
        </w:rPr>
      </w:pPr>
      <w:r>
        <w:rPr>
          <w:rFonts w:hint="eastAsia" w:ascii="楷体_GB2312" w:eastAsia="楷体_GB2312"/>
          <w:bCs/>
          <w:color w:val="auto"/>
          <w:sz w:val="48"/>
          <w:szCs w:val="48"/>
        </w:rPr>
        <w:t>（生态影响类）</w:t>
      </w:r>
    </w:p>
    <w:p>
      <w:pPr>
        <w:pStyle w:val="14"/>
        <w:ind w:left="5250"/>
        <w:rPr>
          <w:color w:val="auto"/>
        </w:rPr>
      </w:pPr>
      <w:bookmarkStart w:id="3" w:name="_Hlk57883728"/>
    </w:p>
    <w:p>
      <w:pPr>
        <w:jc w:val="center"/>
        <w:rPr>
          <w:rFonts w:eastAsia="仿宋"/>
          <w:color w:val="auto"/>
          <w:sz w:val="52"/>
          <w:szCs w:val="52"/>
        </w:rPr>
      </w:pPr>
    </w:p>
    <w:p>
      <w:pPr>
        <w:ind w:firstLine="1040"/>
        <w:rPr>
          <w:rFonts w:eastAsia="仿宋"/>
          <w:color w:val="auto"/>
          <w:sz w:val="44"/>
          <w:szCs w:val="44"/>
        </w:rPr>
      </w:pPr>
    </w:p>
    <w:p>
      <w:pPr>
        <w:ind w:firstLine="1040"/>
        <w:rPr>
          <w:rFonts w:eastAsia="仿宋"/>
          <w:color w:val="auto"/>
          <w:sz w:val="44"/>
          <w:szCs w:val="44"/>
        </w:rPr>
      </w:pPr>
    </w:p>
    <w:p>
      <w:pPr>
        <w:ind w:firstLine="1040"/>
        <w:rPr>
          <w:rFonts w:eastAsia="仿宋"/>
          <w:color w:val="auto"/>
          <w:sz w:val="44"/>
          <w:szCs w:val="44"/>
        </w:rPr>
      </w:pPr>
    </w:p>
    <w:p>
      <w:pPr>
        <w:ind w:firstLine="1040"/>
        <w:rPr>
          <w:rFonts w:eastAsia="仿宋"/>
          <w:color w:val="auto"/>
          <w:sz w:val="44"/>
          <w:szCs w:val="44"/>
        </w:rPr>
      </w:pPr>
    </w:p>
    <w:bookmarkEnd w:id="3"/>
    <w:p>
      <w:pPr>
        <w:adjustRightInd w:val="0"/>
        <w:snapToGrid w:val="0"/>
        <w:spacing w:line="288" w:lineRule="auto"/>
        <w:jc w:val="both"/>
        <w:rPr>
          <w:rFonts w:hint="eastAsia" w:ascii="仿宋_GB2312" w:eastAsia="仿宋_GB2312"/>
          <w:color w:val="auto"/>
          <w:sz w:val="36"/>
          <w:szCs w:val="36"/>
          <w:u w:val="single"/>
        </w:rPr>
      </w:pPr>
      <w:r>
        <w:rPr>
          <w:rFonts w:eastAsia="仿宋_GB2312"/>
          <w:color w:val="auto"/>
          <w:sz w:val="36"/>
          <w:szCs w:val="36"/>
        </w:rPr>
        <w:t xml:space="preserve">项目名称： </w:t>
      </w:r>
      <w:r>
        <w:rPr>
          <w:rFonts w:hint="eastAsia" w:ascii="仿宋_GB2312" w:eastAsia="仿宋_GB2312"/>
          <w:color w:val="auto"/>
          <w:sz w:val="36"/>
          <w:szCs w:val="36"/>
          <w:u w:val="single"/>
          <w:lang w:val="en-US" w:eastAsia="zh-CN"/>
        </w:rPr>
        <w:t>西安恒大童世界文化旅游项目</w:t>
      </w:r>
    </w:p>
    <w:p>
      <w:pPr>
        <w:adjustRightInd w:val="0"/>
        <w:snapToGrid w:val="0"/>
        <w:spacing w:line="288" w:lineRule="auto"/>
        <w:jc w:val="both"/>
        <w:rPr>
          <w:rFonts w:hint="eastAsia" w:ascii="仿宋_GB2312" w:eastAsia="仿宋_GB2312"/>
          <w:color w:val="auto"/>
          <w:sz w:val="36"/>
          <w:szCs w:val="36"/>
          <w:u w:val="single"/>
        </w:rPr>
      </w:pPr>
      <w:r>
        <w:rPr>
          <w:rFonts w:eastAsia="仿宋_GB2312"/>
          <w:color w:val="auto"/>
          <w:sz w:val="36"/>
          <w:szCs w:val="36"/>
        </w:rPr>
        <w:t>建设单位（盖章）：</w:t>
      </w:r>
      <w:r>
        <w:rPr>
          <w:rFonts w:hint="eastAsia" w:ascii="仿宋_GB2312" w:eastAsia="仿宋_GB2312"/>
          <w:color w:val="auto"/>
          <w:sz w:val="36"/>
          <w:szCs w:val="36"/>
          <w:u w:val="single"/>
          <w:lang w:val="en-US" w:eastAsia="zh-CN"/>
        </w:rPr>
        <w:t>西安童世界旅游发展有限公司</w:t>
      </w:r>
    </w:p>
    <w:p>
      <w:pPr>
        <w:adjustRightInd w:val="0"/>
        <w:snapToGrid w:val="0"/>
        <w:spacing w:line="288" w:lineRule="auto"/>
        <w:rPr>
          <w:rFonts w:ascii="仿宋_GB2312" w:eastAsia="仿宋_GB2312"/>
          <w:color w:val="auto"/>
          <w:sz w:val="36"/>
          <w:szCs w:val="36"/>
          <w:u w:val="single"/>
        </w:rPr>
      </w:pPr>
      <w:r>
        <w:rPr>
          <w:rFonts w:eastAsia="仿宋_GB2312"/>
          <w:color w:val="auto"/>
          <w:sz w:val="36"/>
          <w:szCs w:val="36"/>
        </w:rPr>
        <w:t>编制日期：</w:t>
      </w:r>
      <w:r>
        <w:rPr>
          <w:rFonts w:eastAsia="仿宋_GB2312"/>
          <w:color w:val="auto"/>
          <w:sz w:val="36"/>
          <w:szCs w:val="36"/>
          <w:u w:val="single"/>
        </w:rPr>
        <w:t xml:space="preserve">         2021年</w:t>
      </w:r>
      <w:r>
        <w:rPr>
          <w:rFonts w:hint="eastAsia" w:eastAsia="仿宋_GB2312"/>
          <w:color w:val="auto"/>
          <w:sz w:val="36"/>
          <w:szCs w:val="36"/>
          <w:u w:val="single"/>
          <w:lang w:val="en-US" w:eastAsia="zh-CN"/>
        </w:rPr>
        <w:t>6</w:t>
      </w:r>
      <w:r>
        <w:rPr>
          <w:rFonts w:eastAsia="仿宋_GB2312"/>
          <w:color w:val="auto"/>
          <w:sz w:val="36"/>
          <w:szCs w:val="36"/>
          <w:u w:val="single"/>
        </w:rPr>
        <w:t xml:space="preserve">月                 </w:t>
      </w:r>
    </w:p>
    <w:p>
      <w:pPr>
        <w:adjustRightInd w:val="0"/>
        <w:snapToGrid w:val="0"/>
        <w:spacing w:line="288" w:lineRule="auto"/>
        <w:ind w:firstLine="1040"/>
        <w:rPr>
          <w:rFonts w:ascii="仿宋_GB2312" w:eastAsia="仿宋_GB2312"/>
          <w:color w:val="auto"/>
          <w:sz w:val="36"/>
          <w:szCs w:val="36"/>
        </w:rPr>
      </w:pPr>
    </w:p>
    <w:p>
      <w:pPr>
        <w:adjustRightInd w:val="0"/>
        <w:snapToGrid w:val="0"/>
        <w:spacing w:line="288" w:lineRule="auto"/>
        <w:ind w:firstLine="1040"/>
        <w:rPr>
          <w:rFonts w:ascii="仿宋_GB2312" w:eastAsia="仿宋_GB2312"/>
          <w:color w:val="auto"/>
          <w:sz w:val="36"/>
          <w:szCs w:val="36"/>
        </w:rPr>
      </w:pPr>
    </w:p>
    <w:p>
      <w:pPr>
        <w:adjustRightInd w:val="0"/>
        <w:snapToGrid w:val="0"/>
        <w:spacing w:line="288" w:lineRule="auto"/>
        <w:ind w:firstLine="1040"/>
        <w:rPr>
          <w:rFonts w:ascii="仿宋_GB2312" w:eastAsia="仿宋_GB2312"/>
          <w:color w:val="auto"/>
          <w:sz w:val="36"/>
          <w:szCs w:val="36"/>
        </w:rPr>
      </w:pPr>
    </w:p>
    <w:p>
      <w:pPr>
        <w:adjustRightInd w:val="0"/>
        <w:snapToGrid w:val="0"/>
        <w:spacing w:line="288" w:lineRule="auto"/>
        <w:ind w:firstLine="1040"/>
        <w:rPr>
          <w:rFonts w:ascii="仿宋_GB2312" w:eastAsia="仿宋_GB2312"/>
          <w:color w:val="auto"/>
          <w:sz w:val="36"/>
          <w:szCs w:val="36"/>
        </w:rPr>
      </w:pPr>
    </w:p>
    <w:p>
      <w:pPr>
        <w:adjustRightInd w:val="0"/>
        <w:snapToGrid w:val="0"/>
        <w:spacing w:line="288" w:lineRule="auto"/>
        <w:jc w:val="center"/>
        <w:rPr>
          <w:rFonts w:hint="eastAsia" w:ascii="楷体_GB2312" w:eastAsia="楷体_GB2312"/>
          <w:color w:val="auto"/>
          <w:sz w:val="36"/>
          <w:szCs w:val="36"/>
        </w:rPr>
      </w:pPr>
    </w:p>
    <w:p>
      <w:pPr>
        <w:adjustRightInd w:val="0"/>
        <w:snapToGrid w:val="0"/>
        <w:spacing w:line="288" w:lineRule="auto"/>
        <w:jc w:val="center"/>
        <w:rPr>
          <w:rFonts w:hint="eastAsia" w:ascii="楷体_GB2312" w:eastAsia="楷体_GB2312"/>
          <w:color w:val="auto"/>
          <w:sz w:val="36"/>
          <w:szCs w:val="36"/>
        </w:rPr>
      </w:pPr>
    </w:p>
    <w:p>
      <w:pPr>
        <w:adjustRightInd w:val="0"/>
        <w:snapToGrid w:val="0"/>
        <w:spacing w:line="288" w:lineRule="auto"/>
        <w:jc w:val="center"/>
        <w:rPr>
          <w:rFonts w:hint="eastAsia" w:ascii="楷体_GB2312" w:eastAsia="楷体_GB2312"/>
          <w:color w:val="auto"/>
          <w:sz w:val="36"/>
          <w:szCs w:val="36"/>
        </w:rPr>
      </w:pPr>
    </w:p>
    <w:p>
      <w:pPr>
        <w:adjustRightInd w:val="0"/>
        <w:snapToGrid w:val="0"/>
        <w:spacing w:line="288" w:lineRule="auto"/>
        <w:jc w:val="center"/>
        <w:rPr>
          <w:rFonts w:ascii="楷体_GB2312" w:eastAsia="楷体_GB2312"/>
          <w:color w:val="auto"/>
          <w:sz w:val="36"/>
          <w:szCs w:val="36"/>
        </w:rPr>
      </w:pPr>
      <w:r>
        <w:rPr>
          <w:rFonts w:hint="eastAsia" w:ascii="楷体_GB2312" w:eastAsia="楷体_GB2312"/>
          <w:color w:val="auto"/>
          <w:sz w:val="36"/>
          <w:szCs w:val="36"/>
        </w:rPr>
        <w:t>中华人民共和国生态环境部制</w:t>
      </w:r>
    </w:p>
    <w:p>
      <w:pPr>
        <w:adjustRightInd w:val="0"/>
        <w:snapToGrid w:val="0"/>
        <w:spacing w:line="288" w:lineRule="auto"/>
        <w:ind w:firstLine="1040"/>
        <w:rPr>
          <w:rFonts w:ascii="仿宋_GB2312" w:eastAsia="仿宋_GB2312"/>
          <w:color w:val="auto"/>
          <w:sz w:val="36"/>
          <w:szCs w:val="36"/>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start="21"/>
          <w:cols w:space="720" w:num="1"/>
          <w:docGrid w:linePitch="312" w:charSpace="0"/>
        </w:sectPr>
      </w:pPr>
    </w:p>
    <w:p>
      <w:pPr>
        <w:pStyle w:val="19"/>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一、建设项目基本情况</w:t>
      </w:r>
    </w:p>
    <w:tbl>
      <w:tblPr>
        <w:tblStyle w:val="24"/>
        <w:tblpPr w:leftFromText="180" w:rightFromText="180" w:vertAnchor="text" w:tblpXSpec="right" w:tblpY="1"/>
        <w:tblOverlap w:val="never"/>
        <w:tblW w:w="9039"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226"/>
        <w:gridCol w:w="2043"/>
        <w:gridCol w:w="1827"/>
        <w:gridCol w:w="29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62" w:hRule="atLeast"/>
        </w:trPr>
        <w:tc>
          <w:tcPr>
            <w:tcW w:w="2226" w:type="dxa"/>
            <w:tcMar>
              <w:top w:w="16" w:type="dxa"/>
              <w:left w:w="16" w:type="dxa"/>
              <w:right w:w="16" w:type="dxa"/>
            </w:tcMar>
            <w:vAlign w:val="center"/>
          </w:tcPr>
          <w:p>
            <w:pPr>
              <w:adjustRightInd w:val="0"/>
              <w:snapToGrid w:val="0"/>
              <w:jc w:val="center"/>
              <w:rPr>
                <w:rFonts w:ascii="宋体" w:hAnsi="宋体" w:cs="宋体"/>
                <w:color w:val="auto"/>
                <w:sz w:val="24"/>
              </w:rPr>
            </w:pPr>
            <w:r>
              <w:rPr>
                <w:rFonts w:hint="eastAsia" w:ascii="宋体" w:hAnsi="宋体" w:cs="宋体"/>
                <w:color w:val="auto"/>
                <w:sz w:val="24"/>
              </w:rPr>
              <w:t>建设项目名称</w:t>
            </w:r>
          </w:p>
        </w:tc>
        <w:tc>
          <w:tcPr>
            <w:tcW w:w="6813" w:type="dxa"/>
            <w:gridSpan w:val="3"/>
            <w:vAlign w:val="center"/>
          </w:tcPr>
          <w:p>
            <w:pPr>
              <w:adjustRightInd w:val="0"/>
              <w:snapToGrid w:val="0"/>
              <w:jc w:val="center"/>
              <w:rPr>
                <w:rFonts w:ascii="宋体" w:hAnsi="宋体" w:cs="宋体"/>
                <w:color w:val="auto"/>
                <w:sz w:val="24"/>
              </w:rPr>
            </w:pPr>
            <w:r>
              <w:rPr>
                <w:rFonts w:hint="default" w:ascii="Times New Roman" w:hAnsi="Times New Roman" w:cs="Times New Roman"/>
                <w:color w:val="auto"/>
                <w:kern w:val="0"/>
                <w:sz w:val="24"/>
                <w:szCs w:val="24"/>
                <w:lang w:val="en-US" w:eastAsia="zh-CN"/>
              </w:rPr>
              <w:t>西安恒大童世界文化旅游项目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55" w:hRule="atLeast"/>
        </w:trPr>
        <w:tc>
          <w:tcPr>
            <w:tcW w:w="2226" w:type="dxa"/>
            <w:tcMar>
              <w:top w:w="16" w:type="dxa"/>
              <w:left w:w="16" w:type="dxa"/>
              <w:right w:w="16" w:type="dxa"/>
            </w:tcMar>
            <w:vAlign w:val="center"/>
          </w:tcPr>
          <w:p>
            <w:pPr>
              <w:adjustRightInd w:val="0"/>
              <w:snapToGrid w:val="0"/>
              <w:jc w:val="center"/>
              <w:rPr>
                <w:rFonts w:ascii="宋体" w:hAnsi="宋体" w:cs="宋体"/>
                <w:color w:val="auto"/>
                <w:sz w:val="24"/>
              </w:rPr>
            </w:pPr>
            <w:r>
              <w:rPr>
                <w:rFonts w:hint="eastAsia" w:ascii="宋体" w:hAnsi="宋体" w:cs="宋体"/>
                <w:color w:val="auto"/>
                <w:sz w:val="24"/>
              </w:rPr>
              <w:t>项目代码</w:t>
            </w:r>
          </w:p>
        </w:tc>
        <w:tc>
          <w:tcPr>
            <w:tcW w:w="6813" w:type="dxa"/>
            <w:gridSpan w:val="3"/>
            <w:vAlign w:val="center"/>
          </w:tcPr>
          <w:p>
            <w:pPr>
              <w:adjustRightInd w:val="0"/>
              <w:snapToGrid w:val="0"/>
              <w:jc w:val="center"/>
              <w:rPr>
                <w:rFonts w:ascii="宋体" w:hAnsi="宋体" w:cs="宋体"/>
                <w:color w:val="auto"/>
                <w:sz w:val="24"/>
              </w:rPr>
            </w:pPr>
            <w:r>
              <w:rPr>
                <w:rFonts w:hint="default" w:ascii="Times New Roman" w:hAnsi="Times New Roman" w:cs="Times New Roman"/>
                <w:color w:val="auto"/>
                <w:kern w:val="0"/>
                <w:sz w:val="24"/>
                <w:szCs w:val="24"/>
                <w:lang w:val="en-US" w:eastAsia="zh-CN"/>
              </w:rPr>
              <w:t>2102-611102-04-02-795325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62" w:hRule="atLeast"/>
        </w:trPr>
        <w:tc>
          <w:tcPr>
            <w:tcW w:w="2226" w:type="dxa"/>
            <w:tcMar>
              <w:top w:w="16" w:type="dxa"/>
              <w:left w:w="16" w:type="dxa"/>
              <w:right w:w="16" w:type="dxa"/>
            </w:tcMar>
            <w:vAlign w:val="center"/>
          </w:tcPr>
          <w:p>
            <w:pPr>
              <w:adjustRightInd w:val="0"/>
              <w:snapToGrid w:val="0"/>
              <w:jc w:val="center"/>
              <w:rPr>
                <w:rFonts w:ascii="宋体" w:hAnsi="宋体" w:cs="宋体"/>
                <w:color w:val="auto"/>
                <w:sz w:val="24"/>
              </w:rPr>
            </w:pPr>
            <w:r>
              <w:rPr>
                <w:rFonts w:hint="eastAsia" w:ascii="宋体" w:hAnsi="宋体" w:cs="宋体"/>
                <w:color w:val="auto"/>
                <w:sz w:val="24"/>
              </w:rPr>
              <w:t>建设单位联系人</w:t>
            </w:r>
          </w:p>
        </w:tc>
        <w:tc>
          <w:tcPr>
            <w:tcW w:w="2043" w:type="dxa"/>
            <w:vAlign w:val="center"/>
          </w:tcPr>
          <w:p>
            <w:pPr>
              <w:adjustRightInd w:val="0"/>
              <w:snapToGrid w:val="0"/>
              <w:jc w:val="center"/>
              <w:rPr>
                <w:rFonts w:ascii="宋体" w:hAnsi="宋体" w:cs="宋体"/>
                <w:color w:val="auto"/>
                <w:sz w:val="24"/>
              </w:rPr>
            </w:pPr>
            <w:r>
              <w:rPr>
                <w:rFonts w:hint="default" w:ascii="Times New Roman" w:hAnsi="Times New Roman" w:cs="Times New Roman"/>
                <w:color w:val="auto"/>
                <w:kern w:val="0"/>
                <w:sz w:val="24"/>
                <w:szCs w:val="24"/>
                <w:lang w:val="en-US" w:eastAsia="zh-CN"/>
              </w:rPr>
              <w:t>周明</w:t>
            </w:r>
          </w:p>
        </w:tc>
        <w:tc>
          <w:tcPr>
            <w:tcW w:w="1827" w:type="dxa"/>
            <w:vAlign w:val="center"/>
          </w:tcPr>
          <w:p>
            <w:pPr>
              <w:adjustRightInd w:val="0"/>
              <w:snapToGrid w:val="0"/>
              <w:jc w:val="center"/>
              <w:rPr>
                <w:rFonts w:ascii="宋体" w:hAnsi="宋体" w:cs="宋体"/>
                <w:color w:val="auto"/>
                <w:sz w:val="24"/>
              </w:rPr>
            </w:pPr>
            <w:r>
              <w:rPr>
                <w:rFonts w:hint="eastAsia" w:ascii="宋体" w:hAnsi="宋体" w:cs="宋体"/>
                <w:color w:val="auto"/>
                <w:sz w:val="24"/>
              </w:rPr>
              <w:t>联系方式</w:t>
            </w:r>
          </w:p>
        </w:tc>
        <w:tc>
          <w:tcPr>
            <w:tcW w:w="2943" w:type="dxa"/>
            <w:vAlign w:val="center"/>
          </w:tcPr>
          <w:p>
            <w:pPr>
              <w:adjustRightInd w:val="0"/>
              <w:snapToGrid w:val="0"/>
              <w:jc w:val="center"/>
              <w:rPr>
                <w:rFonts w:ascii="宋体" w:hAnsi="宋体" w:cs="宋体"/>
                <w:color w:val="auto"/>
                <w:sz w:val="24"/>
              </w:rPr>
            </w:pPr>
            <w:r>
              <w:rPr>
                <w:rFonts w:hint="default" w:ascii="Times New Roman" w:hAnsi="Times New Roman" w:cs="Times New Roman"/>
                <w:color w:val="auto"/>
                <w:kern w:val="0"/>
                <w:sz w:val="24"/>
                <w:szCs w:val="24"/>
                <w:lang w:val="en-US" w:eastAsia="zh-CN"/>
              </w:rPr>
              <w:t>13891815789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62" w:hRule="atLeast"/>
        </w:trPr>
        <w:tc>
          <w:tcPr>
            <w:tcW w:w="2226" w:type="dxa"/>
            <w:tcMar>
              <w:top w:w="16" w:type="dxa"/>
              <w:left w:w="16" w:type="dxa"/>
              <w:right w:w="16" w:type="dxa"/>
            </w:tcMar>
            <w:vAlign w:val="center"/>
          </w:tcPr>
          <w:p>
            <w:pPr>
              <w:adjustRightInd w:val="0"/>
              <w:snapToGrid w:val="0"/>
              <w:jc w:val="center"/>
              <w:rPr>
                <w:rFonts w:ascii="宋体" w:hAnsi="宋体" w:cs="宋体"/>
                <w:color w:val="auto"/>
                <w:sz w:val="24"/>
              </w:rPr>
            </w:pPr>
            <w:r>
              <w:rPr>
                <w:rFonts w:hint="eastAsia" w:ascii="宋体" w:hAnsi="宋体" w:cs="宋体"/>
                <w:color w:val="auto"/>
                <w:sz w:val="24"/>
              </w:rPr>
              <w:t>建设地点</w:t>
            </w:r>
          </w:p>
        </w:tc>
        <w:tc>
          <w:tcPr>
            <w:tcW w:w="6813" w:type="dxa"/>
            <w:gridSpan w:val="3"/>
            <w:vAlign w:val="center"/>
          </w:tcPr>
          <w:p>
            <w:pPr>
              <w:adjustRightInd w:val="0"/>
              <w:snapToGrid w:val="0"/>
              <w:jc w:val="center"/>
              <w:rPr>
                <w:rFonts w:hint="default" w:ascii="Times New Roman" w:hAnsi="Times New Roman" w:cs="Times New Roman"/>
                <w:color w:val="auto"/>
                <w:sz w:val="24"/>
                <w:szCs w:val="24"/>
                <w:u w:val="none"/>
                <w:lang w:val="en-US" w:eastAsia="zh-CN"/>
              </w:rPr>
            </w:pPr>
            <w:r>
              <w:rPr>
                <w:rFonts w:hint="default" w:ascii="Times New Roman" w:hAnsi="Times New Roman" w:cs="Times New Roman"/>
                <w:color w:val="auto"/>
                <w:sz w:val="24"/>
                <w:szCs w:val="24"/>
                <w:u w:val="none"/>
                <w:lang w:val="en-US" w:eastAsia="zh-CN"/>
              </w:rPr>
              <w:t>沣泾大道以北，</w:t>
            </w:r>
            <w:r>
              <w:rPr>
                <w:rFonts w:hint="eastAsia" w:cs="Times New Roman"/>
                <w:color w:val="auto"/>
                <w:sz w:val="24"/>
                <w:szCs w:val="24"/>
                <w:u w:val="none"/>
                <w:lang w:val="en-US" w:eastAsia="zh-CN"/>
              </w:rPr>
              <w:t>规划的</w:t>
            </w:r>
            <w:r>
              <w:rPr>
                <w:rFonts w:hint="default" w:ascii="Times New Roman" w:hAnsi="Times New Roman" w:cs="Times New Roman"/>
                <w:color w:val="auto"/>
                <w:sz w:val="24"/>
                <w:szCs w:val="24"/>
                <w:u w:val="none"/>
                <w:lang w:val="en-US" w:eastAsia="zh-CN"/>
              </w:rPr>
              <w:t>望夷路以南，</w:t>
            </w:r>
            <w:r>
              <w:rPr>
                <w:rFonts w:hint="eastAsia" w:cs="Times New Roman"/>
                <w:color w:val="auto"/>
                <w:sz w:val="24"/>
                <w:szCs w:val="24"/>
                <w:u w:val="none"/>
                <w:lang w:val="en-US" w:eastAsia="zh-CN"/>
              </w:rPr>
              <w:t>规划的</w:t>
            </w:r>
            <w:r>
              <w:rPr>
                <w:rFonts w:hint="eastAsia" w:ascii="Times New Roman" w:hAnsi="Times New Roman" w:cs="Times New Roman"/>
                <w:color w:val="auto"/>
                <w:sz w:val="24"/>
                <w:szCs w:val="24"/>
                <w:u w:val="none"/>
                <w:lang w:val="en-US" w:eastAsia="zh-CN"/>
              </w:rPr>
              <w:t>汉风路</w:t>
            </w:r>
            <w:r>
              <w:rPr>
                <w:rFonts w:hint="default" w:ascii="Times New Roman" w:hAnsi="Times New Roman" w:cs="Times New Roman"/>
                <w:color w:val="auto"/>
                <w:sz w:val="24"/>
                <w:szCs w:val="24"/>
                <w:u w:val="none"/>
                <w:lang w:val="en-US" w:eastAsia="zh-CN"/>
              </w:rPr>
              <w:t>以西，</w:t>
            </w:r>
          </w:p>
          <w:p>
            <w:pPr>
              <w:adjustRightInd w:val="0"/>
              <w:snapToGrid w:val="0"/>
              <w:jc w:val="center"/>
              <w:rPr>
                <w:rFonts w:ascii="宋体" w:hAnsi="宋体" w:cs="宋体"/>
                <w:color w:val="auto"/>
                <w:sz w:val="24"/>
              </w:rPr>
            </w:pPr>
            <w:r>
              <w:rPr>
                <w:rFonts w:hint="default" w:ascii="Times New Roman" w:hAnsi="Times New Roman" w:cs="Times New Roman"/>
                <w:color w:val="auto"/>
                <w:sz w:val="24"/>
                <w:szCs w:val="24"/>
                <w:u w:val="none"/>
                <w:lang w:val="en-US" w:eastAsia="zh-CN"/>
              </w:rPr>
              <w:t>规划的汉风三路以东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55" w:hRule="atLeast"/>
        </w:trPr>
        <w:tc>
          <w:tcPr>
            <w:tcW w:w="2226" w:type="dxa"/>
            <w:tcMar>
              <w:top w:w="16" w:type="dxa"/>
              <w:left w:w="16" w:type="dxa"/>
              <w:right w:w="16" w:type="dxa"/>
            </w:tcMar>
            <w:vAlign w:val="center"/>
          </w:tcPr>
          <w:p>
            <w:pPr>
              <w:adjustRightInd w:val="0"/>
              <w:snapToGrid w:val="0"/>
              <w:jc w:val="center"/>
              <w:rPr>
                <w:rFonts w:ascii="宋体" w:hAnsi="宋体" w:cs="宋体"/>
                <w:color w:val="auto"/>
                <w:sz w:val="24"/>
              </w:rPr>
            </w:pPr>
            <w:r>
              <w:rPr>
                <w:rFonts w:hint="eastAsia" w:ascii="宋体" w:hAnsi="宋体" w:cs="宋体"/>
                <w:color w:val="auto"/>
                <w:sz w:val="24"/>
              </w:rPr>
              <w:t>地理坐标</w:t>
            </w:r>
          </w:p>
        </w:tc>
        <w:tc>
          <w:tcPr>
            <w:tcW w:w="6813" w:type="dxa"/>
            <w:gridSpan w:val="3"/>
            <w:vAlign w:val="center"/>
          </w:tcPr>
          <w:p>
            <w:pPr>
              <w:adjustRightInd w:val="0"/>
              <w:snapToGrid w:val="0"/>
              <w:jc w:val="center"/>
              <w:rPr>
                <w:rFonts w:ascii="宋体" w:hAnsi="宋体" w:cs="宋体"/>
                <w:color w:val="auto"/>
                <w:sz w:val="24"/>
              </w:rPr>
            </w:pP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u w:val="single"/>
                <w:lang w:val="en-US" w:eastAsia="zh-CN"/>
              </w:rPr>
              <w:t>108</w:t>
            </w:r>
            <w:r>
              <w:rPr>
                <w:rFonts w:hint="default" w:ascii="Times New Roman" w:hAnsi="Times New Roman" w:cs="Times New Roman"/>
                <w:color w:val="auto"/>
                <w:sz w:val="24"/>
                <w:szCs w:val="24"/>
              </w:rPr>
              <w:t>度</w:t>
            </w:r>
            <w:r>
              <w:rPr>
                <w:rFonts w:hint="default" w:ascii="Times New Roman" w:hAnsi="Times New Roman" w:cs="Times New Roman"/>
                <w:color w:val="auto"/>
                <w:sz w:val="24"/>
                <w:szCs w:val="24"/>
                <w:u w:val="single"/>
                <w:lang w:val="en-US" w:eastAsia="zh-CN"/>
              </w:rPr>
              <w:t>50</w:t>
            </w:r>
            <w:r>
              <w:rPr>
                <w:rFonts w:hint="default" w:ascii="Times New Roman" w:hAnsi="Times New Roman" w:cs="Times New Roman"/>
                <w:color w:val="auto"/>
                <w:sz w:val="24"/>
                <w:szCs w:val="24"/>
              </w:rPr>
              <w:t>分</w:t>
            </w:r>
            <w:r>
              <w:rPr>
                <w:rFonts w:hint="default" w:ascii="Times New Roman" w:hAnsi="Times New Roman" w:cs="Times New Roman"/>
                <w:color w:val="auto"/>
                <w:sz w:val="24"/>
                <w:szCs w:val="24"/>
                <w:u w:val="single"/>
                <w:lang w:val="en-US" w:eastAsia="zh-CN"/>
              </w:rPr>
              <w:t>41.95</w:t>
            </w:r>
            <w:r>
              <w:rPr>
                <w:rFonts w:hint="eastAsia" w:cs="Times New Roman"/>
                <w:color w:val="auto"/>
                <w:sz w:val="24"/>
                <w:szCs w:val="24"/>
                <w:u w:val="single"/>
                <w:lang w:val="en-US" w:eastAsia="zh-CN"/>
              </w:rPr>
              <w:t>1</w:t>
            </w:r>
            <w:r>
              <w:rPr>
                <w:rFonts w:hint="default" w:ascii="Times New Roman" w:hAnsi="Times New Roman" w:cs="Times New Roman"/>
                <w:color w:val="auto"/>
                <w:sz w:val="24"/>
                <w:szCs w:val="24"/>
              </w:rPr>
              <w:t>秒，</w:t>
            </w:r>
            <w:r>
              <w:rPr>
                <w:rFonts w:hint="default" w:ascii="Times New Roman" w:hAnsi="Times New Roman" w:cs="Times New Roman"/>
                <w:color w:val="auto"/>
                <w:sz w:val="24"/>
                <w:szCs w:val="24"/>
                <w:u w:val="single"/>
                <w:lang w:val="en-US" w:eastAsia="zh-CN"/>
              </w:rPr>
              <w:t>34</w:t>
            </w:r>
            <w:r>
              <w:rPr>
                <w:rFonts w:hint="default" w:ascii="Times New Roman" w:hAnsi="Times New Roman" w:cs="Times New Roman"/>
                <w:color w:val="auto"/>
                <w:sz w:val="24"/>
                <w:szCs w:val="24"/>
              </w:rPr>
              <w:t>度</w:t>
            </w:r>
            <w:r>
              <w:rPr>
                <w:rFonts w:hint="default" w:ascii="Times New Roman" w:hAnsi="Times New Roman" w:cs="Times New Roman"/>
                <w:color w:val="auto"/>
                <w:sz w:val="24"/>
                <w:szCs w:val="24"/>
                <w:u w:val="single"/>
                <w:lang w:val="en-US" w:eastAsia="zh-CN"/>
              </w:rPr>
              <w:t>28</w:t>
            </w:r>
            <w:r>
              <w:rPr>
                <w:rFonts w:hint="default" w:ascii="Times New Roman" w:hAnsi="Times New Roman" w:cs="Times New Roman"/>
                <w:color w:val="auto"/>
                <w:sz w:val="24"/>
                <w:szCs w:val="24"/>
              </w:rPr>
              <w:t>分</w:t>
            </w:r>
            <w:r>
              <w:rPr>
                <w:rFonts w:hint="default" w:ascii="Times New Roman" w:hAnsi="Times New Roman" w:cs="Times New Roman"/>
                <w:color w:val="auto"/>
                <w:sz w:val="24"/>
                <w:szCs w:val="24"/>
                <w:u w:val="single"/>
                <w:lang w:val="en-US" w:eastAsia="zh-CN"/>
              </w:rPr>
              <w:t>47.72</w:t>
            </w:r>
            <w:r>
              <w:rPr>
                <w:rFonts w:hint="eastAsia" w:cs="Times New Roman"/>
                <w:color w:val="auto"/>
                <w:sz w:val="24"/>
                <w:szCs w:val="24"/>
                <w:u w:val="single"/>
                <w:lang w:val="en-US" w:eastAsia="zh-CN"/>
              </w:rPr>
              <w:t>3</w:t>
            </w:r>
            <w:r>
              <w:rPr>
                <w:rFonts w:hint="default" w:ascii="Times New Roman" w:hAnsi="Times New Roman" w:cs="Times New Roman"/>
                <w:color w:val="auto"/>
                <w:sz w:val="24"/>
                <w:szCs w:val="24"/>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715" w:hRule="atLeast"/>
        </w:trPr>
        <w:tc>
          <w:tcPr>
            <w:tcW w:w="2226" w:type="dxa"/>
            <w:tcMar>
              <w:top w:w="16" w:type="dxa"/>
              <w:left w:w="16" w:type="dxa"/>
              <w:right w:w="16" w:type="dxa"/>
            </w:tcMar>
            <w:vAlign w:val="center"/>
          </w:tcPr>
          <w:p>
            <w:pPr>
              <w:adjustRightInd w:val="0"/>
              <w:snapToGrid w:val="0"/>
              <w:jc w:val="center"/>
              <w:rPr>
                <w:rFonts w:ascii="宋体" w:hAnsi="宋体" w:cs="宋体"/>
                <w:color w:val="auto"/>
                <w:sz w:val="24"/>
              </w:rPr>
            </w:pPr>
            <w:r>
              <w:rPr>
                <w:rFonts w:hint="eastAsia" w:ascii="宋体" w:hAnsi="宋体" w:cs="宋体"/>
                <w:color w:val="auto"/>
                <w:sz w:val="24"/>
              </w:rPr>
              <w:t>建设项目</w:t>
            </w:r>
          </w:p>
          <w:p>
            <w:pPr>
              <w:adjustRightInd w:val="0"/>
              <w:snapToGrid w:val="0"/>
              <w:jc w:val="center"/>
              <w:rPr>
                <w:rFonts w:ascii="宋体" w:hAnsi="宋体" w:cs="宋体"/>
                <w:color w:val="auto"/>
                <w:sz w:val="24"/>
              </w:rPr>
            </w:pPr>
            <w:r>
              <w:rPr>
                <w:rFonts w:hint="eastAsia" w:ascii="宋体" w:hAnsi="宋体" w:cs="宋体"/>
                <w:color w:val="auto"/>
                <w:sz w:val="24"/>
              </w:rPr>
              <w:t>行业类别</w:t>
            </w:r>
          </w:p>
        </w:tc>
        <w:tc>
          <w:tcPr>
            <w:tcW w:w="2043" w:type="dxa"/>
            <w:vAlign w:val="center"/>
          </w:tcPr>
          <w:p>
            <w:pPr>
              <w:adjustRightInd w:val="0"/>
              <w:snapToGrid w:val="0"/>
              <w:jc w:val="center"/>
              <w:rPr>
                <w:rFonts w:ascii="宋体" w:hAnsi="宋体" w:cs="宋体"/>
                <w:color w:val="auto"/>
                <w:sz w:val="24"/>
              </w:rPr>
            </w:pPr>
            <w:r>
              <w:rPr>
                <w:rFonts w:hint="default" w:ascii="Times New Roman" w:hAnsi="Times New Roman" w:cs="Times New Roman"/>
                <w:color w:val="auto"/>
                <w:sz w:val="24"/>
              </w:rPr>
              <w:t>五十、社会事业与服务业 114</w:t>
            </w:r>
            <w:r>
              <w:rPr>
                <w:rFonts w:hint="eastAsia" w:cs="Times New Roman"/>
                <w:color w:val="auto"/>
                <w:sz w:val="24"/>
                <w:lang w:val="en-US" w:eastAsia="zh-CN"/>
              </w:rPr>
              <w:t>公园</w:t>
            </w:r>
            <w:r>
              <w:rPr>
                <w:rFonts w:hint="default" w:ascii="Times New Roman" w:hAnsi="Times New Roman" w:cs="Times New Roman"/>
                <w:color w:val="auto"/>
                <w:sz w:val="24"/>
              </w:rPr>
              <w:t>-其他</w:t>
            </w:r>
          </w:p>
        </w:tc>
        <w:tc>
          <w:tcPr>
            <w:tcW w:w="1827" w:type="dxa"/>
            <w:vAlign w:val="center"/>
          </w:tcPr>
          <w:p>
            <w:pPr>
              <w:adjustRightInd w:val="0"/>
              <w:snapToGrid w:val="0"/>
              <w:jc w:val="center"/>
              <w:rPr>
                <w:rFonts w:ascii="宋体" w:hAnsi="宋体" w:cs="宋体"/>
                <w:color w:val="auto"/>
                <w:sz w:val="24"/>
              </w:rPr>
            </w:pPr>
            <w:r>
              <w:rPr>
                <w:rFonts w:hint="eastAsia" w:ascii="宋体" w:hAnsi="宋体" w:cs="宋体"/>
                <w:color w:val="auto"/>
                <w:sz w:val="24"/>
              </w:rPr>
              <w:t>用地（用海）面积（</w:t>
            </w:r>
            <w:r>
              <w:rPr>
                <w:rFonts w:ascii="宋体" w:hAnsi="宋体" w:cs="宋体"/>
                <w:color w:val="auto"/>
                <w:sz w:val="24"/>
              </w:rPr>
              <w:t>m</w:t>
            </w:r>
            <w:r>
              <w:rPr>
                <w:rFonts w:ascii="宋体" w:hAnsi="宋体" w:cs="宋体"/>
                <w:color w:val="auto"/>
                <w:sz w:val="24"/>
                <w:vertAlign w:val="superscript"/>
              </w:rPr>
              <w:t>2</w:t>
            </w:r>
            <w:r>
              <w:rPr>
                <w:rFonts w:hint="eastAsia" w:ascii="宋体" w:hAnsi="宋体" w:cs="宋体"/>
                <w:color w:val="auto"/>
                <w:sz w:val="24"/>
              </w:rPr>
              <w:t>）</w:t>
            </w:r>
            <w:r>
              <w:rPr>
                <w:rFonts w:ascii="宋体" w:hAnsi="宋体" w:cs="宋体"/>
                <w:color w:val="auto"/>
                <w:sz w:val="24"/>
              </w:rPr>
              <w:t>/</w:t>
            </w:r>
            <w:r>
              <w:rPr>
                <w:rFonts w:hint="eastAsia" w:ascii="宋体" w:hAnsi="宋体" w:cs="宋体"/>
                <w:color w:val="auto"/>
                <w:sz w:val="24"/>
              </w:rPr>
              <w:t>长度（</w:t>
            </w:r>
            <w:r>
              <w:rPr>
                <w:rFonts w:ascii="宋体" w:hAnsi="宋体" w:cs="宋体"/>
                <w:color w:val="auto"/>
                <w:sz w:val="24"/>
              </w:rPr>
              <w:t>km</w:t>
            </w:r>
            <w:r>
              <w:rPr>
                <w:rFonts w:hint="eastAsia" w:ascii="宋体" w:hAnsi="宋体" w:cs="宋体"/>
                <w:color w:val="auto"/>
                <w:sz w:val="24"/>
              </w:rPr>
              <w:t>）</w:t>
            </w:r>
          </w:p>
        </w:tc>
        <w:tc>
          <w:tcPr>
            <w:tcW w:w="2943" w:type="dxa"/>
            <w:vAlign w:val="center"/>
          </w:tcPr>
          <w:p>
            <w:pPr>
              <w:adjustRightInd w:val="0"/>
              <w:snapToGrid w:val="0"/>
              <w:jc w:val="center"/>
              <w:rPr>
                <w:rFonts w:ascii="宋体" w:hAnsi="宋体" w:cs="宋体"/>
                <w:color w:val="auto"/>
                <w:sz w:val="24"/>
              </w:rPr>
            </w:pPr>
            <w:r>
              <w:rPr>
                <w:rFonts w:hint="default" w:ascii="Times New Roman" w:hAnsi="Times New Roman" w:cs="Times New Roman"/>
                <w:color w:val="auto"/>
                <w:sz w:val="24"/>
                <w:szCs w:val="24"/>
                <w:lang w:val="en-US" w:eastAsia="zh-CN"/>
              </w:rPr>
              <w:t>808171.02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104" w:hRule="atLeast"/>
        </w:trPr>
        <w:tc>
          <w:tcPr>
            <w:tcW w:w="2226" w:type="dxa"/>
            <w:tcMar>
              <w:top w:w="16" w:type="dxa"/>
              <w:left w:w="16" w:type="dxa"/>
              <w:right w:w="16" w:type="dxa"/>
            </w:tcMar>
            <w:vAlign w:val="center"/>
          </w:tcPr>
          <w:p>
            <w:pPr>
              <w:adjustRightInd w:val="0"/>
              <w:snapToGrid w:val="0"/>
              <w:jc w:val="center"/>
              <w:rPr>
                <w:rFonts w:ascii="宋体" w:hAnsi="宋体" w:cs="宋体"/>
                <w:color w:val="auto"/>
                <w:sz w:val="24"/>
              </w:rPr>
            </w:pPr>
            <w:r>
              <w:rPr>
                <w:rFonts w:hint="eastAsia" w:ascii="宋体" w:hAnsi="宋体" w:cs="宋体"/>
                <w:color w:val="auto"/>
                <w:sz w:val="24"/>
              </w:rPr>
              <w:t>建设性质</w:t>
            </w:r>
          </w:p>
        </w:tc>
        <w:tc>
          <w:tcPr>
            <w:tcW w:w="2043" w:type="dxa"/>
            <w:vAlign w:val="center"/>
          </w:tcPr>
          <w:p>
            <w:pPr>
              <w:adjustRightInd w:val="0"/>
              <w:snapToGrid w:val="0"/>
              <w:jc w:val="left"/>
              <w:rPr>
                <w:rFonts w:ascii="宋体" w:hAnsi="宋体" w:cs="宋体"/>
                <w:color w:val="auto"/>
                <w:sz w:val="24"/>
              </w:rPr>
            </w:pPr>
            <w:r>
              <w:rPr>
                <w:color w:val="auto"/>
                <w:sz w:val="24"/>
              </w:rPr>
              <w:t>√</w:t>
            </w:r>
            <w:r>
              <w:rPr>
                <w:rFonts w:hint="eastAsia" w:ascii="宋体" w:hAnsi="宋体" w:cs="宋体"/>
                <w:color w:val="auto"/>
                <w:sz w:val="24"/>
              </w:rPr>
              <w:t>新建（迁建）</w:t>
            </w:r>
          </w:p>
          <w:p>
            <w:pPr>
              <w:adjustRightInd w:val="0"/>
              <w:snapToGrid w:val="0"/>
              <w:jc w:val="left"/>
              <w:rPr>
                <w:rFonts w:ascii="宋体" w:hAnsi="宋体" w:cs="宋体"/>
                <w:color w:val="auto"/>
                <w:sz w:val="24"/>
              </w:rPr>
            </w:pPr>
            <w:r>
              <w:rPr>
                <w:rFonts w:hint="eastAsia" w:ascii="宋体" w:hAnsi="宋体" w:cs="宋体"/>
                <w:color w:val="auto"/>
                <w:sz w:val="24"/>
              </w:rPr>
              <w:t>□改建</w:t>
            </w:r>
          </w:p>
          <w:p>
            <w:pPr>
              <w:adjustRightInd w:val="0"/>
              <w:snapToGrid w:val="0"/>
              <w:jc w:val="left"/>
              <w:rPr>
                <w:rFonts w:ascii="宋体" w:hAnsi="宋体" w:cs="宋体"/>
                <w:color w:val="auto"/>
                <w:sz w:val="24"/>
              </w:rPr>
            </w:pPr>
            <w:r>
              <w:rPr>
                <w:rFonts w:hint="eastAsia" w:ascii="宋体" w:hAnsi="宋体" w:cs="宋体"/>
                <w:color w:val="auto"/>
                <w:sz w:val="24"/>
              </w:rPr>
              <w:t>□扩建</w:t>
            </w:r>
          </w:p>
          <w:p>
            <w:pPr>
              <w:adjustRightInd w:val="0"/>
              <w:snapToGrid w:val="0"/>
              <w:jc w:val="left"/>
              <w:rPr>
                <w:rFonts w:ascii="宋体" w:hAnsi="宋体" w:cs="宋体"/>
                <w:color w:val="auto"/>
                <w:sz w:val="24"/>
              </w:rPr>
            </w:pPr>
            <w:r>
              <w:rPr>
                <w:rFonts w:hint="eastAsia" w:ascii="宋体" w:hAnsi="宋体" w:cs="宋体"/>
                <w:color w:val="auto"/>
                <w:sz w:val="24"/>
              </w:rPr>
              <w:t>□技术改造</w:t>
            </w:r>
          </w:p>
        </w:tc>
        <w:tc>
          <w:tcPr>
            <w:tcW w:w="1827" w:type="dxa"/>
            <w:vAlign w:val="center"/>
          </w:tcPr>
          <w:p>
            <w:pPr>
              <w:adjustRightInd w:val="0"/>
              <w:snapToGrid w:val="0"/>
              <w:jc w:val="center"/>
              <w:rPr>
                <w:rFonts w:ascii="宋体" w:hAnsi="宋体" w:cs="宋体"/>
                <w:color w:val="auto"/>
                <w:sz w:val="24"/>
              </w:rPr>
            </w:pPr>
            <w:r>
              <w:rPr>
                <w:rFonts w:hint="eastAsia" w:ascii="宋体" w:hAnsi="宋体" w:cs="宋体"/>
                <w:color w:val="auto"/>
                <w:sz w:val="24"/>
              </w:rPr>
              <w:t>建设项目</w:t>
            </w:r>
          </w:p>
          <w:p>
            <w:pPr>
              <w:adjustRightInd w:val="0"/>
              <w:snapToGrid w:val="0"/>
              <w:jc w:val="center"/>
              <w:rPr>
                <w:rFonts w:ascii="宋体" w:hAnsi="宋体" w:cs="宋体"/>
                <w:color w:val="auto"/>
                <w:sz w:val="24"/>
              </w:rPr>
            </w:pPr>
            <w:r>
              <w:rPr>
                <w:rFonts w:hint="eastAsia" w:ascii="宋体" w:hAnsi="宋体" w:cs="宋体"/>
                <w:color w:val="auto"/>
                <w:sz w:val="24"/>
              </w:rPr>
              <w:t>申报情形</w:t>
            </w:r>
          </w:p>
        </w:tc>
        <w:tc>
          <w:tcPr>
            <w:tcW w:w="2943" w:type="dxa"/>
            <w:vAlign w:val="center"/>
          </w:tcPr>
          <w:p>
            <w:pPr>
              <w:adjustRightInd w:val="0"/>
              <w:snapToGrid w:val="0"/>
              <w:jc w:val="left"/>
              <w:rPr>
                <w:rFonts w:ascii="宋体" w:hAnsi="宋体" w:cs="宋体"/>
                <w:color w:val="auto"/>
                <w:sz w:val="24"/>
              </w:rPr>
            </w:pPr>
            <w:r>
              <w:rPr>
                <w:color w:val="auto"/>
                <w:sz w:val="24"/>
              </w:rPr>
              <w:t>√</w:t>
            </w:r>
            <w:r>
              <w:rPr>
                <w:rFonts w:hint="eastAsia" w:ascii="宋体" w:hAnsi="宋体" w:cs="宋体"/>
                <w:color w:val="auto"/>
                <w:sz w:val="24"/>
              </w:rPr>
              <w:t>首次申报项目</w:t>
            </w:r>
          </w:p>
          <w:p>
            <w:pPr>
              <w:adjustRightInd w:val="0"/>
              <w:snapToGrid w:val="0"/>
              <w:jc w:val="left"/>
              <w:rPr>
                <w:rFonts w:ascii="宋体" w:hAnsi="宋体" w:cs="宋体"/>
                <w:color w:val="auto"/>
                <w:sz w:val="24"/>
              </w:rPr>
            </w:pPr>
            <w:r>
              <w:rPr>
                <w:rFonts w:hint="eastAsia" w:ascii="宋体" w:hAnsi="宋体" w:cs="宋体"/>
                <w:color w:val="auto"/>
                <w:sz w:val="24"/>
              </w:rPr>
              <w:t>□不予批准后再次申报项目</w:t>
            </w:r>
          </w:p>
          <w:p>
            <w:pPr>
              <w:adjustRightInd w:val="0"/>
              <w:snapToGrid w:val="0"/>
              <w:jc w:val="left"/>
              <w:rPr>
                <w:rFonts w:ascii="宋体" w:hAnsi="宋体" w:cs="宋体"/>
                <w:color w:val="auto"/>
                <w:sz w:val="24"/>
              </w:rPr>
            </w:pPr>
            <w:r>
              <w:rPr>
                <w:rFonts w:hint="eastAsia" w:ascii="宋体" w:hAnsi="宋体" w:cs="宋体"/>
                <w:color w:val="auto"/>
                <w:sz w:val="24"/>
              </w:rPr>
              <w:t>□超五年重新审核项目</w:t>
            </w:r>
          </w:p>
          <w:p>
            <w:pPr>
              <w:adjustRightInd w:val="0"/>
              <w:snapToGrid w:val="0"/>
              <w:rPr>
                <w:rFonts w:ascii="宋体" w:hAnsi="宋体" w:cs="宋体"/>
                <w:color w:val="auto"/>
                <w:sz w:val="24"/>
              </w:rPr>
            </w:pPr>
            <w:r>
              <w:rPr>
                <w:rFonts w:hint="eastAsia" w:ascii="宋体" w:hAnsi="宋体" w:cs="宋体"/>
                <w:color w:val="auto"/>
                <w:sz w:val="24"/>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762" w:hRule="atLeast"/>
        </w:trPr>
        <w:tc>
          <w:tcPr>
            <w:tcW w:w="2226" w:type="dxa"/>
            <w:tcMar>
              <w:top w:w="16" w:type="dxa"/>
              <w:left w:w="16" w:type="dxa"/>
              <w:right w:w="16" w:type="dxa"/>
            </w:tcMar>
            <w:vAlign w:val="center"/>
          </w:tcPr>
          <w:p>
            <w:pPr>
              <w:adjustRightInd w:val="0"/>
              <w:snapToGrid w:val="0"/>
              <w:jc w:val="center"/>
              <w:rPr>
                <w:rFonts w:ascii="宋体" w:hAnsi="宋体" w:cs="宋体"/>
                <w:color w:val="auto"/>
                <w:sz w:val="24"/>
              </w:rPr>
            </w:pPr>
            <w:r>
              <w:rPr>
                <w:rFonts w:hint="eastAsia" w:ascii="宋体" w:hAnsi="宋体" w:cs="宋体"/>
                <w:color w:val="auto"/>
                <w:sz w:val="24"/>
              </w:rPr>
              <w:t>项目审批（核准</w:t>
            </w:r>
            <w:r>
              <w:rPr>
                <w:rFonts w:ascii="宋体" w:hAnsi="宋体" w:cs="宋体"/>
                <w:color w:val="auto"/>
                <w:sz w:val="24"/>
              </w:rPr>
              <w:t>/</w:t>
            </w:r>
          </w:p>
          <w:p>
            <w:pPr>
              <w:adjustRightInd w:val="0"/>
              <w:snapToGrid w:val="0"/>
              <w:jc w:val="center"/>
              <w:rPr>
                <w:rFonts w:ascii="宋体" w:hAnsi="宋体" w:cs="宋体"/>
                <w:color w:val="auto"/>
                <w:sz w:val="24"/>
              </w:rPr>
            </w:pPr>
            <w:r>
              <w:rPr>
                <w:rFonts w:hint="eastAsia" w:ascii="宋体" w:hAnsi="宋体" w:cs="宋体"/>
                <w:color w:val="auto"/>
                <w:sz w:val="24"/>
              </w:rPr>
              <w:t>备案）部门（选填）</w:t>
            </w:r>
          </w:p>
        </w:tc>
        <w:tc>
          <w:tcPr>
            <w:tcW w:w="2043" w:type="dxa"/>
            <w:vAlign w:val="center"/>
          </w:tcPr>
          <w:p>
            <w:pPr>
              <w:adjustRightInd w:val="0"/>
              <w:snapToGrid w:val="0"/>
              <w:jc w:val="center"/>
              <w:rPr>
                <w:rFonts w:ascii="宋体" w:hAnsi="宋体" w:cs="宋体"/>
                <w:color w:val="auto"/>
                <w:sz w:val="24"/>
              </w:rPr>
            </w:pPr>
            <w:r>
              <w:rPr>
                <w:rFonts w:hint="default" w:ascii="Times New Roman" w:hAnsi="Times New Roman" w:cs="Times New Roman"/>
                <w:color w:val="auto"/>
                <w:sz w:val="24"/>
                <w:lang w:val="en-US" w:eastAsia="zh-CN"/>
              </w:rPr>
              <w:t>秦汉新城行政审批与政务服务局</w:t>
            </w:r>
          </w:p>
        </w:tc>
        <w:tc>
          <w:tcPr>
            <w:tcW w:w="1827" w:type="dxa"/>
            <w:vAlign w:val="center"/>
          </w:tcPr>
          <w:p>
            <w:pPr>
              <w:adjustRightInd w:val="0"/>
              <w:snapToGrid w:val="0"/>
              <w:jc w:val="center"/>
              <w:rPr>
                <w:rFonts w:ascii="宋体" w:hAnsi="宋体" w:cs="宋体"/>
                <w:color w:val="auto"/>
                <w:sz w:val="24"/>
              </w:rPr>
            </w:pPr>
            <w:r>
              <w:rPr>
                <w:rFonts w:hint="eastAsia" w:ascii="宋体" w:hAnsi="宋体" w:cs="宋体"/>
                <w:color w:val="auto"/>
                <w:sz w:val="24"/>
              </w:rPr>
              <w:t>项目审批（核准</w:t>
            </w:r>
            <w:r>
              <w:rPr>
                <w:rFonts w:ascii="宋体" w:hAnsi="宋体" w:cs="宋体"/>
                <w:color w:val="auto"/>
                <w:sz w:val="24"/>
              </w:rPr>
              <w:t>/</w:t>
            </w:r>
          </w:p>
          <w:p>
            <w:pPr>
              <w:adjustRightInd w:val="0"/>
              <w:snapToGrid w:val="0"/>
              <w:jc w:val="center"/>
              <w:rPr>
                <w:rFonts w:ascii="宋体" w:hAnsi="宋体" w:cs="宋体"/>
                <w:color w:val="auto"/>
                <w:sz w:val="24"/>
              </w:rPr>
            </w:pPr>
            <w:r>
              <w:rPr>
                <w:rFonts w:hint="eastAsia" w:ascii="宋体" w:hAnsi="宋体" w:cs="宋体"/>
                <w:color w:val="auto"/>
                <w:sz w:val="24"/>
              </w:rPr>
              <w:t>备案）文号（选填）</w:t>
            </w:r>
          </w:p>
        </w:tc>
        <w:tc>
          <w:tcPr>
            <w:tcW w:w="2943" w:type="dxa"/>
            <w:vAlign w:val="center"/>
          </w:tcPr>
          <w:p>
            <w:pPr>
              <w:adjustRightInd w:val="0"/>
              <w:snapToGrid w:val="0"/>
              <w:jc w:val="center"/>
              <w:rPr>
                <w:rFonts w:ascii="宋体" w:hAnsi="宋体" w:cs="宋体"/>
                <w:color w:val="auto"/>
                <w:sz w:val="24"/>
              </w:rPr>
            </w:pPr>
            <w:r>
              <w:rPr>
                <w:rFonts w:hint="default" w:ascii="Times New Roman" w:hAnsi="Times New Roman" w:cs="Times New Roman"/>
                <w:color w:val="auto"/>
                <w:sz w:val="24"/>
                <w:szCs w:val="24"/>
                <w:lang w:val="en-US" w:eastAsia="zh-CN"/>
              </w:rPr>
              <w:t>2020-611204-88-03-030508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55" w:hRule="atLeast"/>
        </w:trPr>
        <w:tc>
          <w:tcPr>
            <w:tcW w:w="2226" w:type="dxa"/>
            <w:tcMar>
              <w:top w:w="16" w:type="dxa"/>
              <w:left w:w="16" w:type="dxa"/>
              <w:right w:w="16" w:type="dxa"/>
            </w:tcMar>
            <w:vAlign w:val="center"/>
          </w:tcPr>
          <w:p>
            <w:pPr>
              <w:adjustRightInd w:val="0"/>
              <w:snapToGrid w:val="0"/>
              <w:jc w:val="center"/>
              <w:rPr>
                <w:rFonts w:ascii="宋体" w:hAnsi="宋体" w:cs="宋体"/>
                <w:color w:val="auto"/>
                <w:sz w:val="24"/>
              </w:rPr>
            </w:pPr>
            <w:r>
              <w:rPr>
                <w:rFonts w:hint="eastAsia" w:ascii="宋体" w:hAnsi="宋体" w:cs="宋体"/>
                <w:color w:val="auto"/>
                <w:sz w:val="24"/>
              </w:rPr>
              <w:t>总投资（万元）</w:t>
            </w:r>
          </w:p>
        </w:tc>
        <w:tc>
          <w:tcPr>
            <w:tcW w:w="2043" w:type="dxa"/>
            <w:vAlign w:val="center"/>
          </w:tcPr>
          <w:p>
            <w:pPr>
              <w:adjustRightInd w:val="0"/>
              <w:snapToGrid w:val="0"/>
              <w:jc w:val="center"/>
              <w:rPr>
                <w:rFonts w:ascii="宋体" w:hAnsi="宋体" w:cs="宋体"/>
                <w:color w:val="auto"/>
                <w:sz w:val="24"/>
              </w:rPr>
            </w:pPr>
            <w:r>
              <w:rPr>
                <w:rFonts w:hint="default" w:ascii="Times New Roman" w:hAnsi="Times New Roman" w:cs="Times New Roman"/>
                <w:color w:val="auto"/>
                <w:sz w:val="24"/>
                <w:lang w:val="en-US" w:eastAsia="zh-CN"/>
              </w:rPr>
              <w:t>490000</w:t>
            </w:r>
          </w:p>
        </w:tc>
        <w:tc>
          <w:tcPr>
            <w:tcW w:w="1827" w:type="dxa"/>
            <w:tcMar>
              <w:top w:w="16" w:type="dxa"/>
              <w:left w:w="16" w:type="dxa"/>
              <w:right w:w="16" w:type="dxa"/>
            </w:tcMar>
            <w:vAlign w:val="center"/>
          </w:tcPr>
          <w:p>
            <w:pPr>
              <w:adjustRightInd w:val="0"/>
              <w:snapToGrid w:val="0"/>
              <w:jc w:val="center"/>
              <w:rPr>
                <w:rFonts w:ascii="宋体" w:hAnsi="宋体" w:cs="宋体"/>
                <w:color w:val="auto"/>
                <w:sz w:val="24"/>
              </w:rPr>
            </w:pPr>
            <w:r>
              <w:rPr>
                <w:rFonts w:hint="eastAsia" w:ascii="宋体" w:hAnsi="宋体" w:cs="宋体"/>
                <w:color w:val="auto"/>
                <w:sz w:val="24"/>
              </w:rPr>
              <w:t>环保投资（万元）</w:t>
            </w:r>
          </w:p>
        </w:tc>
        <w:tc>
          <w:tcPr>
            <w:tcW w:w="2943" w:type="dxa"/>
            <w:vAlign w:val="center"/>
          </w:tcPr>
          <w:p>
            <w:pPr>
              <w:adjustRightInd w:val="0"/>
              <w:snapToGrid w:val="0"/>
              <w:jc w:val="center"/>
              <w:rPr>
                <w:rFonts w:ascii="宋体" w:hAnsi="宋体" w:cs="宋体"/>
                <w:color w:val="auto"/>
                <w:sz w:val="24"/>
              </w:rPr>
            </w:pPr>
            <w:r>
              <w:rPr>
                <w:rFonts w:hint="eastAsia" w:cs="Times New Roman"/>
                <w:color w:val="auto"/>
                <w:sz w:val="24"/>
                <w:lang w:val="en-US" w:eastAsia="zh-CN"/>
              </w:rPr>
              <w:t>247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64" w:hRule="atLeast"/>
        </w:trPr>
        <w:tc>
          <w:tcPr>
            <w:tcW w:w="2226" w:type="dxa"/>
            <w:tcMar>
              <w:top w:w="16" w:type="dxa"/>
              <w:left w:w="16" w:type="dxa"/>
              <w:right w:w="16" w:type="dxa"/>
            </w:tcMar>
            <w:vAlign w:val="center"/>
          </w:tcPr>
          <w:p>
            <w:pPr>
              <w:adjustRightInd w:val="0"/>
              <w:snapToGrid w:val="0"/>
              <w:jc w:val="center"/>
              <w:rPr>
                <w:rFonts w:ascii="宋体" w:hAnsi="宋体" w:cs="宋体"/>
                <w:color w:val="auto"/>
                <w:sz w:val="24"/>
              </w:rPr>
            </w:pPr>
            <w:r>
              <w:rPr>
                <w:rFonts w:hint="eastAsia" w:ascii="宋体" w:hAnsi="宋体" w:cs="宋体"/>
                <w:color w:val="auto"/>
                <w:sz w:val="24"/>
              </w:rPr>
              <w:t>环保投资占比（</w:t>
            </w:r>
            <w:r>
              <w:rPr>
                <w:rFonts w:ascii="宋体" w:hAnsi="宋体" w:cs="宋体"/>
                <w:color w:val="auto"/>
                <w:sz w:val="24"/>
              </w:rPr>
              <w:t>%</w:t>
            </w:r>
            <w:r>
              <w:rPr>
                <w:rFonts w:hint="eastAsia" w:ascii="宋体" w:hAnsi="宋体" w:cs="宋体"/>
                <w:color w:val="auto"/>
                <w:sz w:val="24"/>
              </w:rPr>
              <w:t>）</w:t>
            </w:r>
          </w:p>
        </w:tc>
        <w:tc>
          <w:tcPr>
            <w:tcW w:w="2043" w:type="dxa"/>
            <w:vAlign w:val="center"/>
          </w:tcPr>
          <w:p>
            <w:pPr>
              <w:adjustRightInd w:val="0"/>
              <w:snapToGrid w:val="0"/>
              <w:jc w:val="center"/>
              <w:rPr>
                <w:rFonts w:ascii="宋体" w:hAnsi="宋体" w:cs="宋体"/>
                <w:color w:val="auto"/>
                <w:sz w:val="24"/>
              </w:rPr>
            </w:pPr>
            <w:r>
              <w:rPr>
                <w:rFonts w:hint="default" w:ascii="Times New Roman" w:hAnsi="Times New Roman" w:cs="Times New Roman"/>
                <w:color w:val="auto"/>
                <w:sz w:val="24"/>
              </w:rPr>
              <w:t>0.0</w:t>
            </w:r>
            <w:r>
              <w:rPr>
                <w:rFonts w:hint="eastAsia" w:ascii="Times New Roman" w:hAnsi="Times New Roman" w:cs="Times New Roman"/>
                <w:color w:val="auto"/>
                <w:sz w:val="24"/>
                <w:lang w:val="en-US" w:eastAsia="zh-CN"/>
              </w:rPr>
              <w:t>5</w:t>
            </w:r>
          </w:p>
        </w:tc>
        <w:tc>
          <w:tcPr>
            <w:tcW w:w="1827" w:type="dxa"/>
            <w:tcMar>
              <w:top w:w="16" w:type="dxa"/>
              <w:left w:w="16" w:type="dxa"/>
              <w:right w:w="16" w:type="dxa"/>
            </w:tcMar>
            <w:vAlign w:val="center"/>
          </w:tcPr>
          <w:p>
            <w:pPr>
              <w:adjustRightInd w:val="0"/>
              <w:snapToGrid w:val="0"/>
              <w:jc w:val="center"/>
              <w:rPr>
                <w:rFonts w:ascii="宋体" w:hAnsi="宋体" w:cs="宋体"/>
                <w:color w:val="auto"/>
                <w:sz w:val="24"/>
              </w:rPr>
            </w:pPr>
            <w:r>
              <w:rPr>
                <w:rFonts w:hint="eastAsia" w:ascii="宋体" w:hAnsi="宋体" w:cs="宋体"/>
                <w:color w:val="auto"/>
                <w:sz w:val="24"/>
              </w:rPr>
              <w:t>施工工期</w:t>
            </w:r>
          </w:p>
        </w:tc>
        <w:tc>
          <w:tcPr>
            <w:tcW w:w="2943" w:type="dxa"/>
            <w:vAlign w:val="center"/>
          </w:tcPr>
          <w:p>
            <w:pPr>
              <w:adjustRightInd w:val="0"/>
              <w:snapToGrid w:val="0"/>
              <w:rPr>
                <w:rFonts w:ascii="宋体" w:hAnsi="宋体" w:cs="宋体"/>
                <w:color w:val="auto"/>
                <w:sz w:val="24"/>
              </w:rPr>
            </w:pPr>
            <w:r>
              <w:rPr>
                <w:rFonts w:hint="eastAsia" w:cs="Times New Roman"/>
                <w:color w:val="auto"/>
                <w:sz w:val="24"/>
                <w:szCs w:val="24"/>
                <w:lang w:val="en-US" w:eastAsia="zh-CN"/>
              </w:rPr>
              <w:t xml:space="preserve">         46个月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911" w:hRule="atLeast"/>
        </w:trPr>
        <w:tc>
          <w:tcPr>
            <w:tcW w:w="2226" w:type="dxa"/>
            <w:tcMar>
              <w:top w:w="16" w:type="dxa"/>
              <w:left w:w="16" w:type="dxa"/>
              <w:right w:w="16" w:type="dxa"/>
            </w:tcMar>
            <w:vAlign w:val="center"/>
          </w:tcPr>
          <w:p>
            <w:pPr>
              <w:adjustRightInd w:val="0"/>
              <w:snapToGrid w:val="0"/>
              <w:jc w:val="center"/>
              <w:rPr>
                <w:rFonts w:ascii="宋体" w:hAnsi="宋体" w:cs="宋体"/>
                <w:color w:val="auto"/>
                <w:sz w:val="24"/>
              </w:rPr>
            </w:pPr>
            <w:r>
              <w:rPr>
                <w:rFonts w:hint="eastAsia" w:ascii="宋体" w:hAnsi="宋体" w:cs="宋体"/>
                <w:color w:val="auto"/>
                <w:sz w:val="24"/>
              </w:rPr>
              <w:t>是否开工建设</w:t>
            </w:r>
          </w:p>
        </w:tc>
        <w:tc>
          <w:tcPr>
            <w:tcW w:w="6813" w:type="dxa"/>
            <w:gridSpan w:val="3"/>
            <w:vAlign w:val="center"/>
          </w:tcPr>
          <w:p>
            <w:pPr>
              <w:adjustRightInd w:val="0"/>
              <w:snapToGrid w:val="0"/>
              <w:ind w:firstLine="105"/>
              <w:jc w:val="left"/>
              <w:rPr>
                <w:rFonts w:ascii="宋体" w:hAnsi="宋体" w:cs="宋体"/>
                <w:color w:val="auto"/>
                <w:sz w:val="24"/>
              </w:rPr>
            </w:pPr>
            <w:r>
              <w:rPr>
                <w:color w:val="auto"/>
                <w:sz w:val="24"/>
              </w:rPr>
              <w:t>√</w:t>
            </w:r>
            <w:r>
              <w:rPr>
                <w:rFonts w:hint="eastAsia" w:ascii="宋体" w:hAnsi="宋体" w:cs="宋体"/>
                <w:color w:val="auto"/>
                <w:sz w:val="24"/>
              </w:rPr>
              <w:t>否</w:t>
            </w:r>
          </w:p>
          <w:p>
            <w:pPr>
              <w:adjustRightInd w:val="0"/>
              <w:snapToGrid w:val="0"/>
              <w:ind w:firstLine="92"/>
              <w:jc w:val="left"/>
              <w:rPr>
                <w:rFonts w:ascii="宋体" w:hAnsi="宋体" w:cs="宋体"/>
                <w:color w:val="auto"/>
                <w:sz w:val="24"/>
              </w:rPr>
            </w:pPr>
            <w:r>
              <w:rPr>
                <w:rFonts w:hint="eastAsia" w:ascii="宋体" w:hAnsi="宋体" w:cs="宋体"/>
                <w:color w:val="auto"/>
                <w:sz w:val="24"/>
              </w:rPr>
              <w:t>□是：</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911" w:hRule="atLeast"/>
        </w:trPr>
        <w:tc>
          <w:tcPr>
            <w:tcW w:w="2226" w:type="dxa"/>
            <w:tcMar>
              <w:top w:w="16" w:type="dxa"/>
              <w:left w:w="16" w:type="dxa"/>
              <w:right w:w="16" w:type="dxa"/>
            </w:tcMar>
            <w:vAlign w:val="center"/>
          </w:tcPr>
          <w:p>
            <w:pPr>
              <w:autoSpaceDE w:val="0"/>
              <w:autoSpaceDN w:val="0"/>
              <w:adjustRightInd w:val="0"/>
              <w:snapToGrid w:val="0"/>
              <w:jc w:val="center"/>
              <w:rPr>
                <w:rFonts w:ascii="宋体" w:hAnsi="宋体" w:cs="宋体"/>
                <w:color w:val="auto"/>
                <w:kern w:val="0"/>
                <w:sz w:val="24"/>
              </w:rPr>
            </w:pPr>
            <w:r>
              <w:rPr>
                <w:rFonts w:hint="eastAsia" w:ascii="宋体" w:hAnsi="宋体" w:cs="宋体"/>
                <w:color w:val="auto"/>
                <w:kern w:val="0"/>
                <w:sz w:val="24"/>
              </w:rPr>
              <w:t>专项评价设置情况</w:t>
            </w:r>
          </w:p>
        </w:tc>
        <w:tc>
          <w:tcPr>
            <w:tcW w:w="6813" w:type="dxa"/>
            <w:gridSpan w:val="3"/>
            <w:tcMar>
              <w:top w:w="16" w:type="dxa"/>
              <w:left w:w="16" w:type="dxa"/>
              <w:right w:w="16" w:type="dxa"/>
            </w:tcMar>
            <w:vAlign w:val="center"/>
          </w:tcPr>
          <w:p>
            <w:pPr>
              <w:autoSpaceDE w:val="0"/>
              <w:autoSpaceDN w:val="0"/>
              <w:adjustRightInd w:val="0"/>
              <w:snapToGrid w:val="0"/>
              <w:jc w:val="center"/>
              <w:rPr>
                <w:rFonts w:ascii="宋体" w:hAnsi="宋体" w:cs="宋体"/>
                <w:color w:val="auto"/>
                <w:kern w:val="0"/>
                <w:sz w:val="24"/>
              </w:rPr>
            </w:pPr>
            <w:r>
              <w:rPr>
                <w:rFonts w:hint="eastAsia" w:ascii="宋体" w:hAnsi="宋体" w:cs="宋体"/>
                <w:color w:val="auto"/>
                <w:kern w:val="0"/>
                <w:sz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911" w:hRule="atLeast"/>
        </w:trPr>
        <w:tc>
          <w:tcPr>
            <w:tcW w:w="2226" w:type="dxa"/>
            <w:tcMar>
              <w:top w:w="16" w:type="dxa"/>
              <w:left w:w="16" w:type="dxa"/>
              <w:right w:w="16" w:type="dxa"/>
            </w:tcMar>
            <w:vAlign w:val="center"/>
          </w:tcPr>
          <w:p>
            <w:pPr>
              <w:autoSpaceDE w:val="0"/>
              <w:autoSpaceDN w:val="0"/>
              <w:adjustRightInd w:val="0"/>
              <w:snapToGrid w:val="0"/>
              <w:jc w:val="center"/>
              <w:rPr>
                <w:rFonts w:ascii="宋体" w:hAnsi="宋体" w:cs="宋体"/>
                <w:color w:val="auto"/>
                <w:kern w:val="0"/>
                <w:sz w:val="24"/>
              </w:rPr>
            </w:pPr>
            <w:r>
              <w:rPr>
                <w:rFonts w:hint="eastAsia" w:ascii="宋体" w:hAnsi="宋体" w:cs="宋体"/>
                <w:color w:val="auto"/>
                <w:sz w:val="24"/>
              </w:rPr>
              <w:t>规划情况</w:t>
            </w:r>
          </w:p>
        </w:tc>
        <w:tc>
          <w:tcPr>
            <w:tcW w:w="6813" w:type="dxa"/>
            <w:gridSpan w:val="3"/>
            <w:tcMar>
              <w:top w:w="16" w:type="dxa"/>
              <w:left w:w="16" w:type="dxa"/>
              <w:right w:w="16" w:type="dxa"/>
            </w:tcMar>
            <w:vAlign w:val="center"/>
          </w:tcPr>
          <w:p>
            <w:pPr>
              <w:autoSpaceDE w:val="0"/>
              <w:autoSpaceDN w:val="0"/>
              <w:adjustRightInd w:val="0"/>
              <w:snapToGrid w:val="0"/>
              <w:rPr>
                <w:rFonts w:ascii="宋体" w:hAnsi="宋体" w:cs="宋体"/>
                <w:color w:val="auto"/>
                <w:kern w:val="0"/>
                <w:sz w:val="24"/>
              </w:rPr>
            </w:pPr>
            <w:r>
              <w:rPr>
                <w:rFonts w:hint="default" w:ascii="Times New Roman" w:hAnsi="Times New Roman" w:cs="Times New Roman"/>
                <w:color w:val="auto"/>
                <w:kern w:val="0"/>
                <w:sz w:val="24"/>
              </w:rPr>
              <w:t>《陕西省西咸新区秦汉新城分区规划（2016-2035）》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911" w:hRule="atLeast"/>
        </w:trPr>
        <w:tc>
          <w:tcPr>
            <w:tcW w:w="2226" w:type="dxa"/>
            <w:tcMar>
              <w:top w:w="16" w:type="dxa"/>
              <w:left w:w="16" w:type="dxa"/>
              <w:right w:w="16" w:type="dxa"/>
            </w:tcMar>
            <w:vAlign w:val="center"/>
          </w:tcPr>
          <w:p>
            <w:pPr>
              <w:autoSpaceDE w:val="0"/>
              <w:autoSpaceDN w:val="0"/>
              <w:adjustRightInd w:val="0"/>
              <w:snapToGrid w:val="0"/>
              <w:jc w:val="center"/>
              <w:rPr>
                <w:rFonts w:ascii="宋体" w:hAnsi="宋体" w:cs="宋体"/>
                <w:color w:val="auto"/>
                <w:sz w:val="24"/>
              </w:rPr>
            </w:pPr>
            <w:r>
              <w:rPr>
                <w:rFonts w:hint="eastAsia" w:ascii="宋体" w:hAnsi="宋体" w:cs="宋体"/>
                <w:color w:val="auto"/>
                <w:sz w:val="24"/>
              </w:rPr>
              <w:t>规划环境影响</w:t>
            </w:r>
          </w:p>
          <w:p>
            <w:pPr>
              <w:autoSpaceDE w:val="0"/>
              <w:autoSpaceDN w:val="0"/>
              <w:adjustRightInd w:val="0"/>
              <w:snapToGrid w:val="0"/>
              <w:jc w:val="center"/>
              <w:rPr>
                <w:rFonts w:ascii="宋体" w:hAnsi="宋体" w:cs="宋体"/>
                <w:color w:val="auto"/>
                <w:kern w:val="0"/>
                <w:sz w:val="24"/>
              </w:rPr>
            </w:pPr>
            <w:r>
              <w:rPr>
                <w:rFonts w:hint="eastAsia" w:ascii="宋体" w:hAnsi="宋体" w:cs="宋体"/>
                <w:color w:val="auto"/>
                <w:sz w:val="24"/>
              </w:rPr>
              <w:t>评价情况</w:t>
            </w:r>
          </w:p>
        </w:tc>
        <w:tc>
          <w:tcPr>
            <w:tcW w:w="6813" w:type="dxa"/>
            <w:gridSpan w:val="3"/>
            <w:tcMar>
              <w:top w:w="16" w:type="dxa"/>
              <w:left w:w="16" w:type="dxa"/>
              <w:right w:w="16" w:type="dxa"/>
            </w:tcMar>
            <w:vAlign w:val="center"/>
          </w:tcPr>
          <w:p>
            <w:pPr>
              <w:autoSpaceDE w:val="0"/>
              <w:autoSpaceDN w:val="0"/>
              <w:adjustRightInd w:val="0"/>
              <w:snapToGrid w:val="0"/>
              <w:rPr>
                <w:rFonts w:hint="default" w:ascii="Times New Roman" w:hAnsi="Times New Roman" w:cs="Times New Roman"/>
                <w:color w:val="auto"/>
                <w:kern w:val="0"/>
                <w:sz w:val="24"/>
              </w:rPr>
            </w:pPr>
            <w:r>
              <w:rPr>
                <w:rFonts w:hint="default" w:ascii="Times New Roman" w:hAnsi="Times New Roman" w:cs="Times New Roman"/>
                <w:color w:val="auto"/>
                <w:kern w:val="0"/>
                <w:sz w:val="24"/>
              </w:rPr>
              <w:t>文件名称：陕西省西咸新区秦汉新城分区规划（2016-2035）环境影响报告书</w:t>
            </w:r>
          </w:p>
          <w:p>
            <w:pPr>
              <w:autoSpaceDE w:val="0"/>
              <w:autoSpaceDN w:val="0"/>
              <w:adjustRightInd w:val="0"/>
              <w:snapToGrid w:val="0"/>
              <w:rPr>
                <w:rFonts w:hint="default" w:ascii="Times New Roman" w:hAnsi="Times New Roman" w:cs="Times New Roman"/>
                <w:color w:val="auto"/>
                <w:kern w:val="0"/>
                <w:sz w:val="24"/>
              </w:rPr>
            </w:pPr>
            <w:r>
              <w:rPr>
                <w:rFonts w:hint="default" w:ascii="Times New Roman" w:hAnsi="Times New Roman" w:cs="Times New Roman"/>
                <w:color w:val="auto"/>
                <w:kern w:val="0"/>
                <w:sz w:val="24"/>
              </w:rPr>
              <w:t>审查机关：</w:t>
            </w:r>
            <w:r>
              <w:rPr>
                <w:rFonts w:hint="default" w:ascii="Times New Roman" w:hAnsi="Times New Roman" w:cs="Times New Roman"/>
                <w:color w:val="auto"/>
                <w:kern w:val="0"/>
                <w:sz w:val="24"/>
                <w:lang w:val="en-US" w:eastAsia="zh-CN"/>
              </w:rPr>
              <w:t>陕西省西咸新区</w:t>
            </w:r>
            <w:r>
              <w:rPr>
                <w:rFonts w:hint="default" w:ascii="Times New Roman" w:hAnsi="Times New Roman" w:cs="Times New Roman"/>
                <w:color w:val="auto"/>
                <w:kern w:val="0"/>
                <w:sz w:val="24"/>
              </w:rPr>
              <w:t>环境保护局（201</w:t>
            </w:r>
            <w:r>
              <w:rPr>
                <w:rFonts w:hint="default" w:ascii="Times New Roman" w:hAnsi="Times New Roman" w:cs="Times New Roman"/>
                <w:color w:val="auto"/>
                <w:kern w:val="0"/>
                <w:sz w:val="24"/>
                <w:lang w:val="en-US" w:eastAsia="zh-CN"/>
              </w:rPr>
              <w:t>9</w:t>
            </w:r>
            <w:r>
              <w:rPr>
                <w:rFonts w:hint="default" w:ascii="Times New Roman" w:hAnsi="Times New Roman" w:cs="Times New Roman"/>
                <w:color w:val="auto"/>
                <w:kern w:val="0"/>
                <w:sz w:val="24"/>
              </w:rPr>
              <w:t>年</w:t>
            </w:r>
            <w:r>
              <w:rPr>
                <w:rFonts w:hint="default" w:ascii="Times New Roman" w:hAnsi="Times New Roman" w:cs="Times New Roman"/>
                <w:color w:val="auto"/>
                <w:kern w:val="0"/>
                <w:sz w:val="24"/>
                <w:lang w:val="en-US" w:eastAsia="zh-CN"/>
              </w:rPr>
              <w:t>1</w:t>
            </w:r>
            <w:r>
              <w:rPr>
                <w:rFonts w:hint="default" w:ascii="Times New Roman" w:hAnsi="Times New Roman" w:cs="Times New Roman"/>
                <w:color w:val="auto"/>
                <w:kern w:val="0"/>
                <w:sz w:val="24"/>
              </w:rPr>
              <w:t>月</w:t>
            </w:r>
            <w:r>
              <w:rPr>
                <w:rFonts w:hint="default" w:ascii="Times New Roman" w:hAnsi="Times New Roman" w:cs="Times New Roman"/>
                <w:color w:val="auto"/>
                <w:kern w:val="0"/>
                <w:sz w:val="24"/>
                <w:lang w:val="en-US" w:eastAsia="zh-CN"/>
              </w:rPr>
              <w:t>12</w:t>
            </w:r>
            <w:r>
              <w:rPr>
                <w:rFonts w:hint="default" w:ascii="Times New Roman" w:hAnsi="Times New Roman" w:cs="Times New Roman"/>
                <w:color w:val="auto"/>
                <w:kern w:val="0"/>
                <w:sz w:val="24"/>
              </w:rPr>
              <w:t>日）</w:t>
            </w:r>
          </w:p>
          <w:p>
            <w:pPr>
              <w:adjustRightInd w:val="0"/>
              <w:snapToGrid w:val="0"/>
              <w:jc w:val="left"/>
              <w:rPr>
                <w:rFonts w:ascii="宋体" w:hAnsi="宋体" w:cs="宋体"/>
                <w:color w:val="auto"/>
                <w:kern w:val="0"/>
                <w:sz w:val="24"/>
              </w:rPr>
            </w:pPr>
            <w:r>
              <w:rPr>
                <w:rFonts w:hint="default" w:ascii="Times New Roman" w:hAnsi="Times New Roman" w:cs="Times New Roman"/>
                <w:color w:val="auto"/>
                <w:kern w:val="0"/>
                <w:sz w:val="24"/>
              </w:rPr>
              <w:t>审查文件名称及文号：</w:t>
            </w:r>
            <w:r>
              <w:rPr>
                <w:rFonts w:hint="default" w:ascii="Times New Roman" w:hAnsi="Times New Roman" w:cs="Times New Roman"/>
                <w:color w:val="auto"/>
                <w:kern w:val="0"/>
                <w:sz w:val="24"/>
                <w:lang w:val="en-US" w:eastAsia="zh-CN"/>
              </w:rPr>
              <w:t>陕西省西咸新区</w:t>
            </w:r>
            <w:r>
              <w:rPr>
                <w:rFonts w:hint="default" w:ascii="Times New Roman" w:hAnsi="Times New Roman" w:cs="Times New Roman"/>
                <w:color w:val="auto"/>
                <w:kern w:val="0"/>
                <w:sz w:val="24"/>
              </w:rPr>
              <w:t>环境保护局关于《陕西省西咸新区秦汉新城分区规划（2016-2035）环境影响报告书》审查</w:t>
            </w:r>
            <w:r>
              <w:rPr>
                <w:rFonts w:hint="default" w:ascii="Times New Roman" w:hAnsi="Times New Roman" w:cs="Times New Roman"/>
                <w:color w:val="auto"/>
                <w:kern w:val="0"/>
                <w:sz w:val="24"/>
                <w:lang w:val="en-US" w:eastAsia="zh-CN"/>
              </w:rPr>
              <w:t>小组</w:t>
            </w:r>
            <w:r>
              <w:rPr>
                <w:rFonts w:hint="default" w:ascii="Times New Roman" w:hAnsi="Times New Roman" w:cs="Times New Roman"/>
                <w:color w:val="auto"/>
                <w:kern w:val="0"/>
                <w:sz w:val="24"/>
              </w:rPr>
              <w:t>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683" w:hRule="atLeast"/>
        </w:trPr>
        <w:tc>
          <w:tcPr>
            <w:tcW w:w="2226" w:type="dxa"/>
            <w:tcMar>
              <w:top w:w="16" w:type="dxa"/>
              <w:left w:w="16" w:type="dxa"/>
              <w:right w:w="16" w:type="dxa"/>
            </w:tcMar>
            <w:vAlign w:val="center"/>
          </w:tcPr>
          <w:p>
            <w:pPr>
              <w:autoSpaceDE w:val="0"/>
              <w:autoSpaceDN w:val="0"/>
              <w:adjustRightInd w:val="0"/>
              <w:snapToGrid w:val="0"/>
              <w:jc w:val="center"/>
              <w:rPr>
                <w:rFonts w:ascii="宋体" w:hAnsi="宋体" w:cs="宋体"/>
                <w:color w:val="auto"/>
                <w:kern w:val="0"/>
                <w:sz w:val="24"/>
              </w:rPr>
            </w:pPr>
            <w:r>
              <w:rPr>
                <w:rFonts w:hint="eastAsia" w:ascii="宋体" w:hAnsi="宋体" w:cs="宋体"/>
                <w:color w:val="auto"/>
                <w:kern w:val="0"/>
                <w:sz w:val="24"/>
              </w:rPr>
              <w:t>规划及</w:t>
            </w:r>
            <w:r>
              <w:rPr>
                <w:rFonts w:hint="eastAsia" w:ascii="宋体" w:hAnsi="宋体" w:cs="宋体"/>
                <w:color w:val="auto"/>
                <w:sz w:val="24"/>
              </w:rPr>
              <w:t>规划环境影响评价</w:t>
            </w:r>
            <w:r>
              <w:rPr>
                <w:rFonts w:hint="eastAsia" w:ascii="宋体" w:hAnsi="宋体" w:cs="宋体"/>
                <w:color w:val="auto"/>
                <w:kern w:val="0"/>
                <w:sz w:val="24"/>
              </w:rPr>
              <w:t>符合性分析</w:t>
            </w:r>
          </w:p>
        </w:tc>
        <w:tc>
          <w:tcPr>
            <w:tcW w:w="6813" w:type="dxa"/>
            <w:gridSpan w:val="3"/>
            <w:tcMar>
              <w:top w:w="16" w:type="dxa"/>
              <w:left w:w="16" w:type="dxa"/>
              <w:right w:w="16" w:type="dxa"/>
            </w:tcMar>
            <w:vAlign w:val="center"/>
          </w:tcPr>
          <w:p>
            <w:pPr>
              <w:widowControl w:val="0"/>
              <w:snapToGrid w:val="0"/>
              <w:spacing w:line="360" w:lineRule="auto"/>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表</w:t>
            </w:r>
            <w:r>
              <w:rPr>
                <w:rFonts w:hint="eastAsia" w:eastAsia="黑体" w:cs="Times New Roman"/>
                <w:color w:val="auto"/>
                <w:sz w:val="24"/>
                <w:szCs w:val="24"/>
                <w:lang w:val="en-US" w:eastAsia="zh-CN"/>
              </w:rPr>
              <w:t>1</w:t>
            </w:r>
            <w:r>
              <w:rPr>
                <w:rFonts w:hint="default" w:ascii="Times New Roman" w:hAnsi="Times New Roman" w:eastAsia="黑体" w:cs="Times New Roman"/>
                <w:color w:val="auto"/>
                <w:sz w:val="24"/>
                <w:szCs w:val="24"/>
              </w:rPr>
              <w:t xml:space="preserve">   项目与相关规划及规划环评符合性分析</w:t>
            </w:r>
          </w:p>
          <w:tbl>
            <w:tblPr>
              <w:tblStyle w:val="25"/>
              <w:tblW w:w="6751"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2722"/>
              <w:gridCol w:w="1946"/>
              <w:gridCol w:w="6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32" w:type="dxa"/>
                  <w:tcBorders>
                    <w:tl2br w:val="nil"/>
                    <w:tr2bl w:val="nil"/>
                  </w:tcBorders>
                  <w:vAlign w:val="center"/>
                </w:tcPr>
                <w:p>
                  <w:pPr>
                    <w:adjustRightInd w:val="0"/>
                    <w:snapToGrid w:val="0"/>
                    <w:spacing w:line="300" w:lineRule="exact"/>
                    <w:jc w:val="center"/>
                    <w:rPr>
                      <w:rFonts w:hint="default" w:ascii="Times New Roman" w:hAnsi="Times New Roman" w:cs="Times New Roman"/>
                      <w:b/>
                      <w:color w:val="auto"/>
                      <w:spacing w:val="-6"/>
                      <w:kern w:val="0"/>
                      <w:sz w:val="21"/>
                      <w:szCs w:val="21"/>
                      <w:lang w:val="en-GB"/>
                    </w:rPr>
                  </w:pPr>
                  <w:r>
                    <w:rPr>
                      <w:rFonts w:hint="default" w:ascii="Times New Roman" w:hAnsi="Times New Roman" w:cs="Times New Roman"/>
                      <w:b/>
                      <w:color w:val="auto"/>
                      <w:spacing w:val="-6"/>
                      <w:kern w:val="0"/>
                      <w:sz w:val="21"/>
                      <w:szCs w:val="21"/>
                    </w:rPr>
                    <w:t>内容</w:t>
                  </w:r>
                </w:p>
              </w:tc>
              <w:tc>
                <w:tcPr>
                  <w:tcW w:w="2722" w:type="dxa"/>
                  <w:tcBorders>
                    <w:tl2br w:val="nil"/>
                    <w:tr2bl w:val="nil"/>
                  </w:tcBorders>
                  <w:vAlign w:val="center"/>
                </w:tcPr>
                <w:p>
                  <w:pPr>
                    <w:adjustRightInd w:val="0"/>
                    <w:snapToGrid w:val="0"/>
                    <w:spacing w:line="300" w:lineRule="exact"/>
                    <w:jc w:val="center"/>
                    <w:rPr>
                      <w:rFonts w:hint="default" w:ascii="Times New Roman" w:hAnsi="Times New Roman" w:cs="Times New Roman"/>
                      <w:b/>
                      <w:color w:val="auto"/>
                      <w:spacing w:val="-6"/>
                      <w:kern w:val="0"/>
                      <w:sz w:val="21"/>
                      <w:szCs w:val="21"/>
                    </w:rPr>
                  </w:pPr>
                  <w:r>
                    <w:rPr>
                      <w:rFonts w:hint="default" w:ascii="Times New Roman" w:hAnsi="Times New Roman" w:cs="Times New Roman"/>
                      <w:b/>
                      <w:color w:val="auto"/>
                      <w:spacing w:val="-6"/>
                      <w:kern w:val="0"/>
                      <w:sz w:val="21"/>
                      <w:szCs w:val="21"/>
                    </w:rPr>
                    <w:t>要求</w:t>
                  </w:r>
                </w:p>
              </w:tc>
              <w:tc>
                <w:tcPr>
                  <w:tcW w:w="1946" w:type="dxa"/>
                  <w:tcBorders>
                    <w:tl2br w:val="nil"/>
                    <w:tr2bl w:val="nil"/>
                  </w:tcBorders>
                  <w:vAlign w:val="center"/>
                </w:tcPr>
                <w:p>
                  <w:pPr>
                    <w:adjustRightInd w:val="0"/>
                    <w:snapToGrid w:val="0"/>
                    <w:spacing w:line="300" w:lineRule="exact"/>
                    <w:jc w:val="center"/>
                    <w:rPr>
                      <w:rFonts w:hint="default" w:ascii="Times New Roman" w:hAnsi="Times New Roman" w:cs="Times New Roman"/>
                      <w:b/>
                      <w:color w:val="auto"/>
                      <w:spacing w:val="-6"/>
                      <w:kern w:val="0"/>
                      <w:sz w:val="21"/>
                      <w:szCs w:val="21"/>
                    </w:rPr>
                  </w:pPr>
                  <w:r>
                    <w:rPr>
                      <w:rFonts w:hint="default" w:ascii="Times New Roman" w:hAnsi="Times New Roman" w:cs="Times New Roman"/>
                      <w:b/>
                      <w:color w:val="auto"/>
                      <w:spacing w:val="-6"/>
                      <w:kern w:val="0"/>
                      <w:sz w:val="21"/>
                      <w:szCs w:val="21"/>
                    </w:rPr>
                    <w:t>本项目情况</w:t>
                  </w:r>
                </w:p>
              </w:tc>
              <w:tc>
                <w:tcPr>
                  <w:tcW w:w="651" w:type="dxa"/>
                  <w:tcBorders>
                    <w:tl2br w:val="nil"/>
                    <w:tr2bl w:val="nil"/>
                  </w:tcBorders>
                  <w:vAlign w:val="center"/>
                </w:tcPr>
                <w:p>
                  <w:pPr>
                    <w:adjustRightInd w:val="0"/>
                    <w:snapToGrid w:val="0"/>
                    <w:spacing w:line="300" w:lineRule="exact"/>
                    <w:jc w:val="center"/>
                    <w:rPr>
                      <w:rFonts w:hint="default" w:ascii="Times New Roman" w:hAnsi="Times New Roman" w:cs="Times New Roman"/>
                      <w:b/>
                      <w:color w:val="auto"/>
                      <w:spacing w:val="-6"/>
                      <w:kern w:val="0"/>
                      <w:sz w:val="21"/>
                      <w:szCs w:val="21"/>
                    </w:rPr>
                  </w:pPr>
                  <w:r>
                    <w:rPr>
                      <w:rFonts w:hint="default" w:ascii="Times New Roman" w:hAnsi="Times New Roman" w:cs="Times New Roman"/>
                      <w:b/>
                      <w:color w:val="auto"/>
                      <w:spacing w:val="-6"/>
                      <w:kern w:val="0"/>
                      <w:sz w:val="21"/>
                      <w:szCs w:val="21"/>
                    </w:rPr>
                    <w:t>符合性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32" w:type="dxa"/>
                  <w:vMerge w:val="restart"/>
                  <w:tcBorders>
                    <w:tl2br w:val="nil"/>
                    <w:tr2bl w:val="nil"/>
                  </w:tcBorders>
                  <w:vAlign w:val="center"/>
                </w:tcPr>
                <w:p>
                  <w:pPr>
                    <w:adjustRightInd w:val="0"/>
                    <w:snapToGrid w:val="0"/>
                    <w:spacing w:line="300" w:lineRule="exact"/>
                    <w:rPr>
                      <w:rFonts w:hint="default" w:ascii="Times New Roman" w:hAnsi="Times New Roman" w:cs="Times New Roman"/>
                      <w:b/>
                      <w:color w:val="auto"/>
                      <w:spacing w:val="-6"/>
                      <w:kern w:val="0"/>
                      <w:sz w:val="21"/>
                      <w:szCs w:val="21"/>
                    </w:rPr>
                  </w:pPr>
                  <w:r>
                    <w:rPr>
                      <w:rFonts w:hint="default" w:ascii="Times New Roman" w:hAnsi="Times New Roman" w:cs="Times New Roman"/>
                      <w:color w:val="auto"/>
                      <w:kern w:val="0"/>
                      <w:sz w:val="21"/>
                      <w:szCs w:val="21"/>
                    </w:rPr>
                    <w:t>《陕西省西咸新区秦汉新城分区规划（2016-2035）》</w:t>
                  </w:r>
                </w:p>
              </w:tc>
              <w:tc>
                <w:tcPr>
                  <w:tcW w:w="2722" w:type="dxa"/>
                  <w:tcBorders>
                    <w:tl2br w:val="nil"/>
                    <w:tr2bl w:val="nil"/>
                  </w:tcBorders>
                  <w:vAlign w:val="center"/>
                </w:tcPr>
                <w:p>
                  <w:pPr>
                    <w:adjustRightInd w:val="0"/>
                    <w:snapToGrid w:val="0"/>
                    <w:spacing w:line="300" w:lineRule="exact"/>
                    <w:rPr>
                      <w:rFonts w:hint="default" w:ascii="Times New Roman" w:hAnsi="Times New Roman" w:cs="Times New Roman" w:eastAsiaTheme="minorEastAsia"/>
                      <w:color w:val="auto"/>
                      <w:lang w:eastAsia="zh-CN"/>
                    </w:rPr>
                  </w:pPr>
                  <w:r>
                    <w:rPr>
                      <w:rFonts w:hint="eastAsia" w:cs="Times New Roman"/>
                      <w:color w:val="auto"/>
                      <w:lang w:eastAsia="zh-CN"/>
                    </w:rPr>
                    <w:t>（</w:t>
                  </w:r>
                  <w:r>
                    <w:rPr>
                      <w:rFonts w:hint="eastAsia" w:cs="Times New Roman"/>
                      <w:color w:val="auto"/>
                      <w:lang w:val="en-US" w:eastAsia="zh-CN"/>
                    </w:rPr>
                    <w:t>1）</w:t>
                  </w:r>
                  <w:r>
                    <w:rPr>
                      <w:rFonts w:hint="default" w:ascii="Times New Roman" w:hAnsi="Times New Roman" w:cs="Times New Roman"/>
                      <w:color w:val="auto"/>
                    </w:rPr>
                    <w:t>规划范围</w:t>
                  </w:r>
                  <w:r>
                    <w:rPr>
                      <w:rFonts w:hint="default" w:ascii="Times New Roman" w:hAnsi="Times New Roman" w:cs="Times New Roman"/>
                      <w:color w:val="auto"/>
                      <w:lang w:eastAsia="zh-CN"/>
                    </w:rPr>
                    <w:t>：</w:t>
                  </w:r>
                  <w:r>
                    <w:rPr>
                      <w:rFonts w:hint="default" w:ascii="Times New Roman" w:hAnsi="Times New Roman" w:cs="Times New Roman"/>
                      <w:color w:val="auto"/>
                    </w:rPr>
                    <w:t>规划范围为秦汉新城全域：包括渭城区的正阳、窑店、渭城镇，周陵镇福银高速</w:t>
                  </w:r>
                  <w:r>
                    <w:rPr>
                      <w:rFonts w:hint="default" w:ascii="Times New Roman" w:hAnsi="Times New Roman" w:cs="Times New Roman"/>
                      <w:color w:val="auto"/>
                      <w:kern w:val="0"/>
                      <w:sz w:val="21"/>
                      <w:szCs w:val="21"/>
                    </w:rPr>
                    <w:t>以南的区域，秦都区的双照镇及兴平市南位镇西咸北环线以东、咸铜铁路及高干渠以北区域，泾阳县的高庄镇（部分），兴平市南位镇西咸北环线以东，总面积302.84km</w:t>
                  </w:r>
                  <w:r>
                    <w:rPr>
                      <w:rFonts w:hint="default" w:ascii="Times New Roman" w:hAnsi="Times New Roman" w:cs="Times New Roman"/>
                      <w:color w:val="auto"/>
                      <w:kern w:val="0"/>
                      <w:sz w:val="21"/>
                      <w:szCs w:val="21"/>
                      <w:vertAlign w:val="superscript"/>
                    </w:rPr>
                    <w:t>2</w:t>
                  </w:r>
                  <w:r>
                    <w:rPr>
                      <w:rFonts w:hint="default" w:ascii="Times New Roman" w:hAnsi="Times New Roman" w:cs="Times New Roman"/>
                      <w:color w:val="auto"/>
                      <w:kern w:val="0"/>
                      <w:sz w:val="21"/>
                      <w:szCs w:val="21"/>
                    </w:rPr>
                    <w:t>，规划城市建设用地49.3km</w:t>
                  </w:r>
                  <w:r>
                    <w:rPr>
                      <w:rFonts w:hint="default" w:ascii="Times New Roman" w:hAnsi="Times New Roman" w:cs="Times New Roman"/>
                      <w:color w:val="auto"/>
                      <w:kern w:val="0"/>
                      <w:sz w:val="21"/>
                      <w:szCs w:val="21"/>
                      <w:vertAlign w:val="superscript"/>
                    </w:rPr>
                    <w:t>2</w:t>
                  </w:r>
                  <w:r>
                    <w:rPr>
                      <w:rFonts w:hint="default" w:ascii="Times New Roman" w:hAnsi="Times New Roman" w:cs="Times New Roman"/>
                      <w:color w:val="auto"/>
                      <w:kern w:val="0"/>
                      <w:sz w:val="21"/>
                      <w:szCs w:val="21"/>
                    </w:rPr>
                    <w:t>。</w:t>
                  </w:r>
                </w:p>
              </w:tc>
              <w:tc>
                <w:tcPr>
                  <w:tcW w:w="1946" w:type="dxa"/>
                  <w:tcBorders>
                    <w:tl2br w:val="nil"/>
                    <w:tr2bl w:val="nil"/>
                  </w:tcBorders>
                  <w:vAlign w:val="center"/>
                </w:tcPr>
                <w:p>
                  <w:pPr>
                    <w:adjustRightInd w:val="0"/>
                    <w:snapToGrid w:val="0"/>
                    <w:spacing w:line="300" w:lineRule="exact"/>
                    <w:rPr>
                      <w:rFonts w:hint="default" w:ascii="Times New Roman" w:hAnsi="Times New Roman" w:cs="Times New Roman"/>
                      <w:b/>
                      <w:color w:val="auto"/>
                      <w:spacing w:val="-6"/>
                      <w:kern w:val="0"/>
                      <w:sz w:val="21"/>
                      <w:szCs w:val="21"/>
                    </w:rPr>
                  </w:pPr>
                  <w:r>
                    <w:rPr>
                      <w:rFonts w:hint="default" w:ascii="Times New Roman" w:hAnsi="Times New Roman" w:cs="Times New Roman"/>
                      <w:color w:val="auto"/>
                      <w:kern w:val="0"/>
                      <w:sz w:val="21"/>
                      <w:szCs w:val="21"/>
                    </w:rPr>
                    <w:t>本项目属于娱乐业中的游乐园项目，位于“两带、七板块”中的镐京立体城市板块，符合新城主导产业要求。本项目用地属于娱乐康体设施用地。</w:t>
                  </w:r>
                </w:p>
              </w:tc>
              <w:tc>
                <w:tcPr>
                  <w:tcW w:w="651" w:type="dxa"/>
                  <w:tcBorders>
                    <w:tl2br w:val="nil"/>
                    <w:tr2bl w:val="nil"/>
                  </w:tcBorders>
                  <w:vAlign w:val="center"/>
                </w:tcPr>
                <w:p>
                  <w:pPr>
                    <w:adjustRightInd w:val="0"/>
                    <w:snapToGrid w:val="0"/>
                    <w:spacing w:line="300" w:lineRule="exact"/>
                    <w:jc w:val="center"/>
                    <w:rPr>
                      <w:rFonts w:hint="default" w:ascii="Times New Roman" w:hAnsi="Times New Roman" w:cs="Times New Roman"/>
                      <w:b/>
                      <w:color w:val="auto"/>
                      <w:spacing w:val="-6"/>
                      <w:kern w:val="0"/>
                      <w:sz w:val="21"/>
                      <w:szCs w:val="21"/>
                    </w:rPr>
                  </w:pPr>
                  <w:r>
                    <w:rPr>
                      <w:rFonts w:hint="default" w:ascii="Times New Roman" w:hAnsi="Times New Roman" w:cs="Times New Roman"/>
                      <w:bCs/>
                      <w:color w:val="auto"/>
                      <w:spacing w:val="-6"/>
                      <w:kern w:val="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32" w:type="dxa"/>
                  <w:vMerge w:val="continue"/>
                  <w:tcBorders>
                    <w:tl2br w:val="nil"/>
                    <w:tr2bl w:val="nil"/>
                  </w:tcBorders>
                  <w:vAlign w:val="center"/>
                </w:tcPr>
                <w:p>
                  <w:pPr>
                    <w:adjustRightInd w:val="0"/>
                    <w:snapToGrid w:val="0"/>
                    <w:spacing w:line="300" w:lineRule="exact"/>
                    <w:rPr>
                      <w:rFonts w:hint="default" w:ascii="Times New Roman" w:hAnsi="Times New Roman" w:cs="Times New Roman"/>
                      <w:color w:val="auto"/>
                      <w:kern w:val="0"/>
                      <w:sz w:val="21"/>
                      <w:szCs w:val="21"/>
                    </w:rPr>
                  </w:pPr>
                </w:p>
              </w:tc>
              <w:tc>
                <w:tcPr>
                  <w:tcW w:w="2722" w:type="dxa"/>
                  <w:tcBorders>
                    <w:tl2br w:val="nil"/>
                    <w:tr2bl w:val="nil"/>
                  </w:tcBorders>
                  <w:vAlign w:val="center"/>
                </w:tcPr>
                <w:p>
                  <w:pPr>
                    <w:adjustRightInd w:val="0"/>
                    <w:snapToGrid w:val="0"/>
                    <w:spacing w:line="300" w:lineRule="exact"/>
                    <w:rPr>
                      <w:rFonts w:hint="default" w:ascii="Times New Roman" w:hAnsi="Times New Roman" w:cs="Times New Roman" w:eastAsiaTheme="minorEastAsia"/>
                      <w:color w:val="auto"/>
                      <w:lang w:eastAsia="zh-CN"/>
                    </w:rPr>
                  </w:pPr>
                  <w:r>
                    <w:rPr>
                      <w:rFonts w:hint="default" w:ascii="Times New Roman" w:hAnsi="Times New Roman" w:cs="Times New Roman"/>
                      <w:color w:val="auto"/>
                      <w:kern w:val="0"/>
                      <w:sz w:val="21"/>
                      <w:szCs w:val="21"/>
                      <w:lang w:val="en-US" w:eastAsia="zh-CN"/>
                    </w:rPr>
                    <w:t>（2）</w:t>
                  </w:r>
                  <w:r>
                    <w:rPr>
                      <w:rFonts w:hint="eastAsia" w:ascii="Times New Roman" w:hAnsi="Times New Roman" w:cs="Times New Roman"/>
                      <w:color w:val="auto"/>
                      <w:kern w:val="0"/>
                      <w:sz w:val="21"/>
                      <w:szCs w:val="21"/>
                      <w:lang w:val="en-US" w:eastAsia="zh-CN"/>
                    </w:rPr>
                    <w:t>产业布局</w:t>
                  </w:r>
                  <w:r>
                    <w:rPr>
                      <w:rFonts w:hint="default" w:ascii="Times New Roman" w:hAnsi="Times New Roman" w:cs="Times New Roman"/>
                      <w:color w:val="auto"/>
                      <w:kern w:val="0"/>
                      <w:sz w:val="21"/>
                      <w:szCs w:val="21"/>
                      <w:lang w:eastAsia="zh-CN"/>
                    </w:rPr>
                    <w:t>：</w:t>
                  </w:r>
                  <w:r>
                    <w:rPr>
                      <w:rFonts w:hint="default" w:ascii="Times New Roman" w:hAnsi="Times New Roman" w:cs="Times New Roman"/>
                      <w:color w:val="auto"/>
                      <w:kern w:val="0"/>
                      <w:sz w:val="21"/>
                      <w:szCs w:val="21"/>
                    </w:rPr>
                    <w:t>以健康医养、文化旅游为主导产业。依托目前区内已形成的石油化工、电力能源、机械制造、建筑材料、汽车零部件制造与维修及销售等第二产业体系，新增工业产业以汽车产业服务业、工业物流、商贸物流为主。</w:t>
                  </w:r>
                </w:p>
              </w:tc>
              <w:tc>
                <w:tcPr>
                  <w:tcW w:w="1946" w:type="dxa"/>
                  <w:tcBorders>
                    <w:tl2br w:val="nil"/>
                    <w:tr2bl w:val="nil"/>
                  </w:tcBorders>
                  <w:vAlign w:val="center"/>
                </w:tcPr>
                <w:p>
                  <w:pPr>
                    <w:adjustRightInd w:val="0"/>
                    <w:snapToGrid w:val="0"/>
                    <w:spacing w:line="300" w:lineRule="exact"/>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本项目</w:t>
                  </w:r>
                  <w:r>
                    <w:rPr>
                      <w:rFonts w:hint="eastAsia" w:cs="Times New Roman"/>
                      <w:color w:val="auto"/>
                      <w:kern w:val="0"/>
                      <w:sz w:val="21"/>
                      <w:szCs w:val="21"/>
                      <w:lang w:val="en-US" w:eastAsia="zh-CN"/>
                    </w:rPr>
                    <w:t>为文化旅游</w:t>
                  </w:r>
                  <w:r>
                    <w:rPr>
                      <w:rFonts w:hint="default" w:ascii="Times New Roman" w:hAnsi="Times New Roman" w:cs="Times New Roman"/>
                      <w:color w:val="auto"/>
                      <w:kern w:val="0"/>
                      <w:sz w:val="21"/>
                      <w:szCs w:val="21"/>
                    </w:rPr>
                    <w:t>项目，</w:t>
                  </w:r>
                  <w:r>
                    <w:rPr>
                      <w:rFonts w:hint="eastAsia" w:cs="Times New Roman"/>
                      <w:color w:val="auto"/>
                      <w:kern w:val="0"/>
                      <w:sz w:val="21"/>
                      <w:szCs w:val="21"/>
                      <w:lang w:val="en-US" w:eastAsia="zh-CN"/>
                    </w:rPr>
                    <w:t>符合产业布局</w:t>
                  </w:r>
                  <w:r>
                    <w:rPr>
                      <w:rFonts w:hint="default" w:ascii="Times New Roman" w:hAnsi="Times New Roman" w:cs="Times New Roman"/>
                      <w:color w:val="auto"/>
                      <w:kern w:val="0"/>
                      <w:sz w:val="21"/>
                      <w:szCs w:val="21"/>
                    </w:rPr>
                    <w:t>。</w:t>
                  </w:r>
                </w:p>
              </w:tc>
              <w:tc>
                <w:tcPr>
                  <w:tcW w:w="651" w:type="dxa"/>
                  <w:tcBorders>
                    <w:tl2br w:val="nil"/>
                    <w:tr2bl w:val="nil"/>
                  </w:tcBorders>
                  <w:vAlign w:val="center"/>
                </w:tcPr>
                <w:p>
                  <w:pPr>
                    <w:adjustRightInd w:val="0"/>
                    <w:snapToGrid w:val="0"/>
                    <w:spacing w:line="300" w:lineRule="exact"/>
                    <w:jc w:val="center"/>
                    <w:rPr>
                      <w:rFonts w:hint="eastAsia" w:ascii="Times New Roman" w:hAnsi="Times New Roman" w:eastAsia="宋体" w:cs="Times New Roman"/>
                      <w:bCs/>
                      <w:color w:val="auto"/>
                      <w:spacing w:val="-6"/>
                      <w:kern w:val="0"/>
                      <w:sz w:val="21"/>
                      <w:szCs w:val="21"/>
                      <w:lang w:val="en-US" w:eastAsia="zh-CN"/>
                    </w:rPr>
                  </w:pPr>
                  <w:r>
                    <w:rPr>
                      <w:rFonts w:hint="eastAsia" w:ascii="Times New Roman" w:hAnsi="Times New Roman" w:cs="Times New Roman"/>
                      <w:bCs/>
                      <w:color w:val="auto"/>
                      <w:spacing w:val="-6"/>
                      <w:kern w:val="0"/>
                      <w:sz w:val="21"/>
                      <w:szCs w:val="21"/>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32" w:type="dxa"/>
                  <w:vMerge w:val="restart"/>
                  <w:tcBorders>
                    <w:tl2br w:val="nil"/>
                    <w:tr2bl w:val="nil"/>
                  </w:tcBorders>
                  <w:vAlign w:val="center"/>
                </w:tcPr>
                <w:p>
                  <w:pPr>
                    <w:widowControl/>
                    <w:adjustRightInd w:val="0"/>
                    <w:snapToGrid w:val="0"/>
                    <w:jc w:val="center"/>
                    <w:rPr>
                      <w:rFonts w:hint="eastAsia"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w:t>
                  </w:r>
                  <w:r>
                    <w:rPr>
                      <w:rFonts w:hint="eastAsia" w:ascii="Times New Roman" w:hAnsi="Times New Roman" w:cs="Times New Roman"/>
                      <w:color w:val="auto"/>
                      <w:kern w:val="0"/>
                      <w:sz w:val="21"/>
                      <w:szCs w:val="21"/>
                      <w:lang w:val="en-US" w:eastAsia="zh-CN"/>
                    </w:rPr>
                    <w:t>陕西省西咸新区</w:t>
                  </w:r>
                </w:p>
                <w:p>
                  <w:pPr>
                    <w:widowControl/>
                    <w:adjustRightInd w:val="0"/>
                    <w:snapToGrid w:val="0"/>
                    <w:jc w:val="center"/>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秦汉新城分区规划（2016-2035）</w:t>
                  </w:r>
                </w:p>
                <w:p>
                  <w:pPr>
                    <w:widowControl/>
                    <w:adjustRightInd w:val="0"/>
                    <w:snapToGrid w:val="0"/>
                    <w:jc w:val="center"/>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环境影响报告</w:t>
                  </w:r>
                  <w:r>
                    <w:rPr>
                      <w:rFonts w:hint="eastAsia" w:ascii="Times New Roman" w:hAnsi="Times New Roman" w:cs="Times New Roman"/>
                      <w:color w:val="auto"/>
                      <w:kern w:val="0"/>
                      <w:sz w:val="21"/>
                      <w:szCs w:val="21"/>
                      <w:lang w:val="en-US" w:eastAsia="zh-CN"/>
                    </w:rPr>
                    <w:t>书</w:t>
                  </w:r>
                </w:p>
                <w:p>
                  <w:pPr>
                    <w:widowControl/>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lang w:val="en-US" w:eastAsia="zh-CN"/>
                    </w:rPr>
                    <w:t>》</w:t>
                  </w:r>
                  <w:r>
                    <w:rPr>
                      <w:rFonts w:hint="eastAsia" w:cs="Times New Roman"/>
                      <w:color w:val="auto"/>
                      <w:kern w:val="0"/>
                      <w:sz w:val="21"/>
                      <w:szCs w:val="21"/>
                      <w:lang w:val="en-US" w:eastAsia="zh-CN"/>
                    </w:rPr>
                    <w:t>及审查意见</w:t>
                  </w:r>
                </w:p>
              </w:tc>
              <w:tc>
                <w:tcPr>
                  <w:tcW w:w="2722" w:type="dxa"/>
                  <w:tcBorders>
                    <w:tl2br w:val="nil"/>
                    <w:tr2bl w:val="nil"/>
                  </w:tcBorders>
                  <w:vAlign w:val="center"/>
                </w:tcPr>
                <w:p>
                  <w:pPr>
                    <w:adjustRightInd w:val="0"/>
                    <w:snapToGrid w:val="0"/>
                    <w:spacing w:line="300" w:lineRule="exact"/>
                    <w:rPr>
                      <w:rFonts w:hint="eastAsia" w:ascii="Times New Roman" w:hAnsi="Times New Roman" w:cs="Times New Roman"/>
                      <w:b/>
                      <w:bCs/>
                      <w:color w:val="auto"/>
                      <w:kern w:val="0"/>
                      <w:sz w:val="21"/>
                      <w:szCs w:val="21"/>
                      <w:lang w:val="en-US" w:eastAsia="zh-CN"/>
                    </w:rPr>
                  </w:pPr>
                  <w:r>
                    <w:rPr>
                      <w:rFonts w:hint="default" w:ascii="Times New Roman" w:hAnsi="Times New Roman" w:cs="Times New Roman"/>
                      <w:b/>
                      <w:bCs/>
                      <w:color w:val="auto"/>
                      <w:kern w:val="0"/>
                      <w:sz w:val="21"/>
                      <w:szCs w:val="21"/>
                      <w:lang w:val="en-US" w:eastAsia="zh-CN"/>
                    </w:rPr>
                    <w:t>大气环境保护措施</w:t>
                  </w:r>
                  <w:r>
                    <w:rPr>
                      <w:rFonts w:hint="eastAsia" w:ascii="Times New Roman" w:hAnsi="Times New Roman" w:cs="Times New Roman"/>
                      <w:b/>
                      <w:bCs/>
                      <w:color w:val="auto"/>
                      <w:kern w:val="0"/>
                      <w:sz w:val="21"/>
                      <w:szCs w:val="21"/>
                      <w:lang w:val="en-US" w:eastAsia="zh-CN"/>
                    </w:rPr>
                    <w:t>：</w:t>
                  </w:r>
                </w:p>
                <w:p>
                  <w:pPr>
                    <w:adjustRightInd w:val="0"/>
                    <w:snapToGrid w:val="0"/>
                    <w:spacing w:line="300" w:lineRule="exact"/>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w:t>
                  </w:r>
                  <w:r>
                    <w:rPr>
                      <w:rFonts w:hint="eastAsia" w:cs="Times New Roman"/>
                      <w:color w:val="auto"/>
                      <w:kern w:val="0"/>
                      <w:sz w:val="21"/>
                      <w:szCs w:val="21"/>
                      <w:lang w:val="en-US" w:eastAsia="zh-CN"/>
                    </w:rPr>
                    <w:t>1</w:t>
                  </w:r>
                  <w:r>
                    <w:rPr>
                      <w:rFonts w:hint="default" w:ascii="Times New Roman" w:hAnsi="Times New Roman" w:cs="Times New Roman"/>
                      <w:color w:val="auto"/>
                      <w:kern w:val="0"/>
                      <w:sz w:val="21"/>
                      <w:szCs w:val="21"/>
                      <w:lang w:val="en-US" w:eastAsia="zh-CN"/>
                    </w:rPr>
                    <w:t>）《西安市人民政府关于加强燃煤污染控制的通告》，全市建成区内的居民、单位和个体工商户停止使用燃煤设施(20蒸吨及以上达标排放的燃煤锅炉除外)，改用天然气、液化石油气、人工煤气、轻质柴油、电或其他清洁能源。（</w:t>
                  </w:r>
                  <w:r>
                    <w:rPr>
                      <w:rFonts w:hint="eastAsia" w:cs="Times New Roman"/>
                      <w:color w:val="auto"/>
                      <w:kern w:val="0"/>
                      <w:sz w:val="21"/>
                      <w:szCs w:val="21"/>
                      <w:lang w:val="en-US" w:eastAsia="zh-CN"/>
                    </w:rPr>
                    <w:t>2</w:t>
                  </w:r>
                  <w:r>
                    <w:rPr>
                      <w:rFonts w:hint="default" w:ascii="Times New Roman" w:hAnsi="Times New Roman" w:cs="Times New Roman"/>
                      <w:color w:val="auto"/>
                      <w:kern w:val="0"/>
                      <w:sz w:val="21"/>
                      <w:szCs w:val="21"/>
                      <w:lang w:val="en-US" w:eastAsia="zh-CN"/>
                    </w:rPr>
                    <w:t>）对各类施工工地应要求采取设置不低于1.8m的落地防护围栏，防止土方开挖时，土壤散播，扩大尘源面积，同时应要求及时清运土方，防止堆置的土方产生扬尘；对施工工地的建筑材料在堆放过程中应加覆盖物或采取洒水等措施</w:t>
                  </w:r>
                  <w:r>
                    <w:rPr>
                      <w:rFonts w:hint="eastAsia" w:ascii="Times New Roman" w:hAnsi="Times New Roman" w:cs="Times New Roman"/>
                      <w:color w:val="auto"/>
                      <w:kern w:val="0"/>
                      <w:sz w:val="21"/>
                      <w:szCs w:val="21"/>
                      <w:lang w:val="en-US" w:eastAsia="zh-CN"/>
                    </w:rPr>
                    <w:t>。</w:t>
                  </w:r>
                </w:p>
                <w:p>
                  <w:pPr>
                    <w:adjustRightInd w:val="0"/>
                    <w:snapToGrid w:val="0"/>
                    <w:spacing w:line="300" w:lineRule="exact"/>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w:t>
                  </w:r>
                  <w:r>
                    <w:rPr>
                      <w:rFonts w:hint="eastAsia" w:cs="Times New Roman"/>
                      <w:color w:val="auto"/>
                      <w:kern w:val="0"/>
                      <w:sz w:val="21"/>
                      <w:szCs w:val="21"/>
                      <w:lang w:val="en-US" w:eastAsia="zh-CN"/>
                    </w:rPr>
                    <w:t>3</w:t>
                  </w:r>
                  <w:r>
                    <w:rPr>
                      <w:rFonts w:hint="default" w:ascii="Times New Roman" w:hAnsi="Times New Roman" w:cs="Times New Roman"/>
                      <w:color w:val="auto"/>
                      <w:kern w:val="0"/>
                      <w:sz w:val="21"/>
                      <w:szCs w:val="21"/>
                      <w:lang w:val="en-US" w:eastAsia="zh-CN"/>
                    </w:rPr>
                    <w:t>）禁止4级以上大风天施工，要求施工工地采用商品混凝土减缓施工活动产生的颗粒物污染。另外，有些施工涉及旧房拆除，在旧房拆除过程中应采取洒水等防尘措施，对拆除的建筑垃圾要及时清理，防止风蚀造成扬尘。</w:t>
                  </w:r>
                </w:p>
                <w:p>
                  <w:pPr>
                    <w:adjustRightInd w:val="0"/>
                    <w:snapToGrid w:val="0"/>
                    <w:spacing w:line="300" w:lineRule="exact"/>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w:t>
                  </w:r>
                  <w:r>
                    <w:rPr>
                      <w:rFonts w:hint="eastAsia" w:cs="Times New Roman"/>
                      <w:color w:val="auto"/>
                      <w:kern w:val="0"/>
                      <w:sz w:val="21"/>
                      <w:szCs w:val="21"/>
                      <w:lang w:val="en-US" w:eastAsia="zh-CN"/>
                    </w:rPr>
                    <w:t>4</w:t>
                  </w:r>
                  <w:r>
                    <w:rPr>
                      <w:rFonts w:hint="default" w:ascii="Times New Roman" w:hAnsi="Times New Roman" w:cs="Times New Roman"/>
                      <w:color w:val="auto"/>
                      <w:kern w:val="0"/>
                      <w:sz w:val="21"/>
                      <w:szCs w:val="21"/>
                      <w:lang w:val="en-US" w:eastAsia="zh-CN"/>
                    </w:rPr>
                    <w:t>）加强运输车辆的管理，如对运输土方、建筑垃圾或散装建材等的车辆，控制其装载量，并要求其采用蓬布覆盖或密闭方式等，可减少路面尘源；通过机械清扫，可降低路面尘量，且可大大降低人工清扫造成的扬尘问题。施工场地出入口需设置喷淋降尘设施。</w:t>
                  </w:r>
                </w:p>
                <w:p>
                  <w:pPr>
                    <w:adjustRightInd w:val="0"/>
                    <w:snapToGrid w:val="0"/>
                    <w:spacing w:line="300" w:lineRule="exact"/>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w:t>
                  </w:r>
                  <w:r>
                    <w:rPr>
                      <w:rFonts w:hint="eastAsia" w:cs="Times New Roman"/>
                      <w:color w:val="auto"/>
                      <w:kern w:val="0"/>
                      <w:sz w:val="21"/>
                      <w:szCs w:val="21"/>
                      <w:lang w:val="en-US" w:eastAsia="zh-CN"/>
                    </w:rPr>
                    <w:t>5</w:t>
                  </w:r>
                  <w:r>
                    <w:rPr>
                      <w:rFonts w:hint="default" w:ascii="Times New Roman" w:hAnsi="Times New Roman" w:cs="Times New Roman"/>
                      <w:color w:val="auto"/>
                      <w:kern w:val="0"/>
                      <w:sz w:val="21"/>
                      <w:szCs w:val="21"/>
                      <w:lang w:val="en-US" w:eastAsia="zh-CN"/>
                    </w:rPr>
                    <w:t>）对饮食业、单位食堂等确保使用清洁能源和安装符合要求的油烟净化设施。</w:t>
                  </w:r>
                </w:p>
              </w:tc>
              <w:tc>
                <w:tcPr>
                  <w:tcW w:w="1946" w:type="dxa"/>
                  <w:tcBorders>
                    <w:tl2br w:val="nil"/>
                    <w:tr2bl w:val="nil"/>
                  </w:tcBorders>
                  <w:vAlign w:val="center"/>
                </w:tcPr>
                <w:p>
                  <w:pPr>
                    <w:adjustRightInd w:val="0"/>
                    <w:snapToGrid w:val="0"/>
                    <w:spacing w:line="300" w:lineRule="exact"/>
                    <w:rPr>
                      <w:rFonts w:hint="eastAsia"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（1）本项目冬季采暖采用市政供暖+中央空调相结合的方式，采用电能，不建设锅炉。</w:t>
                  </w:r>
                </w:p>
                <w:p>
                  <w:pPr>
                    <w:adjustRightInd w:val="0"/>
                    <w:snapToGrid w:val="0"/>
                    <w:spacing w:line="300" w:lineRule="exact"/>
                    <w:rPr>
                      <w:rFonts w:hint="eastAsia"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（2）环评要求本项目施工期设置围挡，开挖土方及时清运，露天堆放的建筑材料进行覆盖并采取洒水等措施。</w:t>
                  </w:r>
                </w:p>
                <w:p>
                  <w:pPr>
                    <w:adjustRightInd w:val="0"/>
                    <w:snapToGrid w:val="0"/>
                    <w:spacing w:line="300" w:lineRule="exact"/>
                    <w:rPr>
                      <w:rFonts w:hint="eastAsia"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（3）环评要求施工期采用商混，现场不设商混站。</w:t>
                  </w:r>
                </w:p>
                <w:p>
                  <w:pPr>
                    <w:adjustRightInd w:val="0"/>
                    <w:snapToGrid w:val="0"/>
                    <w:spacing w:line="300" w:lineRule="exact"/>
                    <w:rPr>
                      <w:rFonts w:hint="eastAsia"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（4）车辆</w:t>
                  </w:r>
                  <w:r>
                    <w:rPr>
                      <w:rFonts w:hint="default" w:ascii="Times New Roman" w:hAnsi="Times New Roman" w:cs="Times New Roman"/>
                      <w:color w:val="auto"/>
                      <w:kern w:val="0"/>
                      <w:sz w:val="21"/>
                      <w:szCs w:val="21"/>
                      <w:lang w:val="en-US" w:eastAsia="zh-CN"/>
                    </w:rPr>
                    <w:t>运输土方、建筑垃圾或散装建材等的车辆，要求采用蓬布覆盖或密闭方式等，施工场地出入口需设置喷淋降尘设施</w:t>
                  </w:r>
                  <w:r>
                    <w:rPr>
                      <w:rFonts w:hint="eastAsia" w:ascii="Times New Roman" w:hAnsi="Times New Roman" w:cs="Times New Roman"/>
                      <w:color w:val="auto"/>
                      <w:kern w:val="0"/>
                      <w:sz w:val="21"/>
                      <w:szCs w:val="21"/>
                      <w:lang w:val="en-US" w:eastAsia="zh-CN"/>
                    </w:rPr>
                    <w:t>，对进出车辆进行清洗。</w:t>
                  </w:r>
                </w:p>
                <w:p>
                  <w:pPr>
                    <w:adjustRightInd w:val="0"/>
                    <w:snapToGrid w:val="0"/>
                    <w:spacing w:line="300" w:lineRule="exact"/>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（5）园区内职工食堂设置油烟净化设施。</w:t>
                  </w:r>
                </w:p>
                <w:p>
                  <w:pPr>
                    <w:pStyle w:val="2"/>
                    <w:ind w:left="0" w:leftChars="0" w:firstLine="0" w:firstLineChars="0"/>
                    <w:rPr>
                      <w:rFonts w:hint="eastAsia"/>
                      <w:color w:val="auto"/>
                      <w:lang w:eastAsia="zh-CN"/>
                    </w:rPr>
                  </w:pPr>
                </w:p>
              </w:tc>
              <w:tc>
                <w:tcPr>
                  <w:tcW w:w="651" w:type="dxa"/>
                  <w:tcBorders>
                    <w:tl2br w:val="nil"/>
                    <w:tr2bl w:val="nil"/>
                  </w:tcBorders>
                  <w:vAlign w:val="center"/>
                </w:tcPr>
                <w:p>
                  <w:pPr>
                    <w:adjustRightInd w:val="0"/>
                    <w:snapToGrid w:val="0"/>
                    <w:spacing w:line="300" w:lineRule="exact"/>
                    <w:jc w:val="center"/>
                    <w:rPr>
                      <w:rFonts w:hint="eastAsia" w:ascii="Times New Roman" w:hAnsi="Times New Roman" w:cs="Times New Roman"/>
                      <w:bCs/>
                      <w:color w:val="auto"/>
                      <w:spacing w:val="-6"/>
                      <w:kern w:val="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1432" w:type="dxa"/>
                  <w:vMerge w:val="continue"/>
                  <w:tcBorders>
                    <w:tl2br w:val="nil"/>
                    <w:tr2bl w:val="nil"/>
                  </w:tcBorders>
                  <w:vAlign w:val="center"/>
                </w:tcPr>
                <w:p>
                  <w:pPr>
                    <w:adjustRightInd w:val="0"/>
                    <w:snapToGrid w:val="0"/>
                    <w:spacing w:line="300" w:lineRule="exact"/>
                    <w:rPr>
                      <w:rFonts w:hint="default" w:ascii="Times New Roman" w:hAnsi="Times New Roman" w:cs="Times New Roman"/>
                      <w:color w:val="auto"/>
                      <w:kern w:val="0"/>
                      <w:sz w:val="21"/>
                      <w:szCs w:val="21"/>
                    </w:rPr>
                  </w:pPr>
                </w:p>
              </w:tc>
              <w:tc>
                <w:tcPr>
                  <w:tcW w:w="2722" w:type="dxa"/>
                  <w:tcBorders>
                    <w:tl2br w:val="nil"/>
                    <w:tr2bl w:val="nil"/>
                  </w:tcBorders>
                  <w:vAlign w:val="center"/>
                </w:tcPr>
                <w:p>
                  <w:pPr>
                    <w:adjustRightInd w:val="0"/>
                    <w:snapToGrid w:val="0"/>
                    <w:spacing w:line="300" w:lineRule="exact"/>
                    <w:rPr>
                      <w:rFonts w:hint="eastAsia" w:ascii="Times New Roman" w:hAnsi="Times New Roman" w:cs="Times New Roman"/>
                      <w:color w:val="auto"/>
                      <w:kern w:val="0"/>
                      <w:sz w:val="21"/>
                      <w:szCs w:val="21"/>
                      <w:lang w:val="en-US" w:eastAsia="zh-CN"/>
                    </w:rPr>
                  </w:pPr>
                  <w:r>
                    <w:rPr>
                      <w:rFonts w:hint="default" w:ascii="Times New Roman" w:hAnsi="Times New Roman" w:cs="Times New Roman"/>
                      <w:b/>
                      <w:bCs/>
                      <w:color w:val="auto"/>
                      <w:kern w:val="0"/>
                      <w:sz w:val="21"/>
                      <w:szCs w:val="21"/>
                      <w:lang w:val="en-US" w:eastAsia="zh-CN"/>
                    </w:rPr>
                    <w:t>地表水环境保护措施</w:t>
                  </w:r>
                  <w:r>
                    <w:rPr>
                      <w:rFonts w:hint="eastAsia" w:cs="Times New Roman"/>
                      <w:b/>
                      <w:bCs/>
                      <w:color w:val="auto"/>
                      <w:kern w:val="0"/>
                      <w:sz w:val="21"/>
                      <w:szCs w:val="21"/>
                      <w:lang w:val="en-US" w:eastAsia="zh-CN"/>
                    </w:rPr>
                    <w:t>：</w:t>
                  </w:r>
                </w:p>
                <w:p>
                  <w:pPr>
                    <w:adjustRightInd w:val="0"/>
                    <w:snapToGrid w:val="0"/>
                    <w:spacing w:line="300" w:lineRule="exact"/>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按照设定的渭河、泾河河道及两侧绿地为禁止建设区的要求进行开发规划。</w:t>
                  </w:r>
                </w:p>
              </w:tc>
              <w:tc>
                <w:tcPr>
                  <w:tcW w:w="1946" w:type="dxa"/>
                  <w:tcBorders>
                    <w:tl2br w:val="nil"/>
                    <w:tr2bl w:val="nil"/>
                  </w:tcBorders>
                  <w:vAlign w:val="center"/>
                </w:tcPr>
                <w:p>
                  <w:pPr>
                    <w:adjustRightInd w:val="0"/>
                    <w:snapToGrid w:val="0"/>
                    <w:spacing w:line="300" w:lineRule="exact"/>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园区占地不属于泾河河道及两侧禁止开发的绿地。</w:t>
                  </w:r>
                </w:p>
              </w:tc>
              <w:tc>
                <w:tcPr>
                  <w:tcW w:w="651" w:type="dxa"/>
                  <w:tcBorders>
                    <w:tl2br w:val="nil"/>
                    <w:tr2bl w:val="nil"/>
                  </w:tcBorders>
                  <w:vAlign w:val="center"/>
                </w:tcPr>
                <w:p>
                  <w:pPr>
                    <w:adjustRightInd w:val="0"/>
                    <w:snapToGrid w:val="0"/>
                    <w:spacing w:line="300" w:lineRule="exact"/>
                    <w:jc w:val="center"/>
                    <w:rPr>
                      <w:rFonts w:hint="eastAsia" w:ascii="Times New Roman" w:hAnsi="Times New Roman" w:cs="Times New Roman"/>
                      <w:bCs/>
                      <w:color w:val="auto"/>
                      <w:spacing w:val="-6"/>
                      <w:kern w:val="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32" w:type="dxa"/>
                  <w:vMerge w:val="continue"/>
                  <w:tcBorders>
                    <w:tl2br w:val="nil"/>
                    <w:tr2bl w:val="nil"/>
                  </w:tcBorders>
                  <w:vAlign w:val="center"/>
                </w:tcPr>
                <w:p>
                  <w:pPr>
                    <w:adjustRightInd w:val="0"/>
                    <w:snapToGrid w:val="0"/>
                    <w:spacing w:line="300" w:lineRule="exact"/>
                    <w:rPr>
                      <w:rFonts w:hint="default" w:ascii="Times New Roman" w:hAnsi="Times New Roman" w:cs="Times New Roman"/>
                      <w:color w:val="auto"/>
                      <w:kern w:val="0"/>
                      <w:sz w:val="21"/>
                      <w:szCs w:val="21"/>
                    </w:rPr>
                  </w:pPr>
                </w:p>
              </w:tc>
              <w:tc>
                <w:tcPr>
                  <w:tcW w:w="2722" w:type="dxa"/>
                  <w:tcBorders>
                    <w:tl2br w:val="nil"/>
                    <w:tr2bl w:val="nil"/>
                  </w:tcBorders>
                  <w:vAlign w:val="center"/>
                </w:tcPr>
                <w:p>
                  <w:pPr>
                    <w:adjustRightInd w:val="0"/>
                    <w:snapToGrid w:val="0"/>
                    <w:spacing w:line="300" w:lineRule="exact"/>
                    <w:rPr>
                      <w:rFonts w:hint="default" w:ascii="Times New Roman" w:hAnsi="Times New Roman" w:cs="Times New Roman"/>
                      <w:b/>
                      <w:bCs/>
                      <w:color w:val="auto"/>
                      <w:kern w:val="0"/>
                      <w:sz w:val="21"/>
                      <w:szCs w:val="21"/>
                      <w:lang w:val="en-US" w:eastAsia="zh-CN"/>
                    </w:rPr>
                  </w:pPr>
                  <w:r>
                    <w:rPr>
                      <w:rFonts w:hint="default" w:ascii="Times New Roman" w:hAnsi="Times New Roman" w:cs="Times New Roman"/>
                      <w:b/>
                      <w:bCs/>
                      <w:color w:val="auto"/>
                      <w:kern w:val="0"/>
                      <w:sz w:val="21"/>
                      <w:szCs w:val="21"/>
                      <w:lang w:val="en-US" w:eastAsia="zh-CN"/>
                    </w:rPr>
                    <w:t>固废环境</w:t>
                  </w:r>
                  <w:r>
                    <w:rPr>
                      <w:rFonts w:hint="eastAsia" w:ascii="Times New Roman" w:hAnsi="Times New Roman" w:cs="Times New Roman"/>
                      <w:b/>
                      <w:bCs/>
                      <w:color w:val="auto"/>
                      <w:kern w:val="0"/>
                      <w:sz w:val="21"/>
                      <w:szCs w:val="21"/>
                      <w:lang w:val="en-US" w:eastAsia="zh-CN"/>
                    </w:rPr>
                    <w:t>保护</w:t>
                  </w:r>
                  <w:r>
                    <w:rPr>
                      <w:rFonts w:hint="default" w:ascii="Times New Roman" w:hAnsi="Times New Roman" w:cs="Times New Roman"/>
                      <w:b/>
                      <w:bCs/>
                      <w:color w:val="auto"/>
                      <w:kern w:val="0"/>
                      <w:sz w:val="21"/>
                      <w:szCs w:val="21"/>
                      <w:lang w:val="en-US" w:eastAsia="zh-CN"/>
                    </w:rPr>
                    <w:t>措施</w:t>
                  </w:r>
                  <w:r>
                    <w:rPr>
                      <w:rFonts w:hint="eastAsia" w:ascii="Times New Roman" w:hAnsi="Times New Roman" w:cs="Times New Roman"/>
                      <w:b/>
                      <w:bCs/>
                      <w:color w:val="auto"/>
                      <w:kern w:val="0"/>
                      <w:sz w:val="21"/>
                      <w:szCs w:val="21"/>
                      <w:lang w:val="en-US" w:eastAsia="zh-CN"/>
                    </w:rPr>
                    <w:t>：</w:t>
                  </w:r>
                </w:p>
                <w:p>
                  <w:pPr>
                    <w:adjustRightInd w:val="0"/>
                    <w:snapToGrid w:val="0"/>
                    <w:spacing w:line="300" w:lineRule="exact"/>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（1）生活垃圾</w:t>
                  </w:r>
                </w:p>
                <w:p>
                  <w:pPr>
                    <w:adjustRightInd w:val="0"/>
                    <w:snapToGrid w:val="0"/>
                    <w:spacing w:line="300" w:lineRule="exact"/>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规划建设生活垃圾无害化处理项目，日处理生活垃圾3000t/a，以及建筑垃圾再生利用厂，具体规模需规划进一步落实。</w:t>
                  </w:r>
                </w:p>
                <w:p>
                  <w:pPr>
                    <w:adjustRightInd w:val="0"/>
                    <w:snapToGrid w:val="0"/>
                    <w:spacing w:line="300" w:lineRule="exact"/>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（2）一般工业固体废物</w:t>
                  </w:r>
                </w:p>
                <w:p>
                  <w:pPr>
                    <w:adjustRightInd w:val="0"/>
                    <w:snapToGrid w:val="0"/>
                    <w:spacing w:line="300" w:lineRule="exact"/>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按照循环经济思想的指导，装备制造业产生废边角料等可以通过一定的途径，回收利用，再次进入企业的产业链（或产品链）中；另外很大一部分固废（建筑垃圾等）是不能回收利用的，必须按照《一般工业固体废物处贮存、处置场污染控制标准》（GB18599-2001）要求，进行贮存和处置。</w:t>
                  </w:r>
                </w:p>
                <w:p>
                  <w:pPr>
                    <w:adjustRightInd w:val="0"/>
                    <w:snapToGrid w:val="0"/>
                    <w:spacing w:line="300" w:lineRule="exact"/>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（3）危险废物</w:t>
                  </w:r>
                </w:p>
                <w:p>
                  <w:pPr>
                    <w:adjustRightInd w:val="0"/>
                    <w:snapToGrid w:val="0"/>
                    <w:spacing w:line="300" w:lineRule="exact"/>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危废的产生和管理按照陕西省环境保护厅颁发的《危险废物转移联单管理办法》等有关规定文件的要求，收集后送往危废处理处置中心处置，医疗垃圾送往西安市和咸阳市的医疗废物处置中心处理。</w:t>
                  </w:r>
                </w:p>
              </w:tc>
              <w:tc>
                <w:tcPr>
                  <w:tcW w:w="1946" w:type="dxa"/>
                  <w:tcBorders>
                    <w:tl2br w:val="nil"/>
                    <w:tr2bl w:val="nil"/>
                  </w:tcBorders>
                  <w:vAlign w:val="center"/>
                </w:tcPr>
                <w:p>
                  <w:pPr>
                    <w:adjustRightInd w:val="0"/>
                    <w:snapToGrid w:val="0"/>
                    <w:spacing w:line="300" w:lineRule="exact"/>
                    <w:rPr>
                      <w:rFonts w:hint="eastAsia"/>
                      <w:color w:val="auto"/>
                      <w:lang w:val="en-US" w:eastAsia="zh-CN"/>
                    </w:rPr>
                  </w:pPr>
                  <w:r>
                    <w:rPr>
                      <w:rFonts w:hint="eastAsia"/>
                      <w:color w:val="auto"/>
                      <w:lang w:val="en-US" w:eastAsia="zh-CN"/>
                    </w:rPr>
                    <w:t>（1）生活垃圾设垃圾桶是收集，由市政环卫部门统一收集清运。</w:t>
                  </w:r>
                </w:p>
                <w:p>
                  <w:pPr>
                    <w:adjustRightInd w:val="0"/>
                    <w:snapToGrid w:val="0"/>
                    <w:spacing w:line="300" w:lineRule="exact"/>
                    <w:rPr>
                      <w:rFonts w:hint="eastAsia"/>
                      <w:color w:val="auto"/>
                      <w:lang w:val="en-US" w:eastAsia="zh-CN"/>
                    </w:rPr>
                  </w:pPr>
                  <w:r>
                    <w:rPr>
                      <w:rFonts w:hint="eastAsia"/>
                      <w:color w:val="auto"/>
                      <w:lang w:val="en-US" w:eastAsia="zh-CN"/>
                    </w:rPr>
                    <w:t>（2）</w:t>
                  </w:r>
                  <w:r>
                    <w:rPr>
                      <w:rFonts w:hint="eastAsia"/>
                      <w:color w:val="auto"/>
                      <w:szCs w:val="21"/>
                      <w:lang w:val="en-US" w:eastAsia="zh-CN"/>
                    </w:rPr>
                    <w:t>一般固废均妥善处置。</w:t>
                  </w:r>
                </w:p>
                <w:p>
                  <w:pPr>
                    <w:numPr>
                      <w:ilvl w:val="0"/>
                      <w:numId w:val="1"/>
                    </w:numPr>
                    <w:adjustRightInd w:val="0"/>
                    <w:snapToGrid w:val="0"/>
                    <w:spacing w:line="300" w:lineRule="exact"/>
                    <w:rPr>
                      <w:rFonts w:hint="eastAsia"/>
                      <w:color w:val="auto"/>
                      <w:lang w:val="en-US" w:eastAsia="zh-CN"/>
                    </w:rPr>
                  </w:pPr>
                  <w:r>
                    <w:rPr>
                      <w:rFonts w:hint="eastAsia"/>
                      <w:color w:val="auto"/>
                      <w:lang w:val="en-US" w:eastAsia="zh-CN"/>
                    </w:rPr>
                    <w:t>园区内设危废暂存间，危险废物在危废暂存间临时堆存，交由有资质危废单位进行处置。</w:t>
                  </w:r>
                </w:p>
                <w:p>
                  <w:pPr>
                    <w:pStyle w:val="2"/>
                    <w:numPr>
                      <w:ilvl w:val="0"/>
                      <w:numId w:val="0"/>
                    </w:numPr>
                    <w:rPr>
                      <w:rFonts w:hint="eastAsia"/>
                      <w:color w:val="auto"/>
                      <w:lang w:eastAsia="zh-CN"/>
                    </w:rPr>
                  </w:pPr>
                  <w:r>
                    <w:rPr>
                      <w:rFonts w:hint="eastAsia"/>
                      <w:color w:val="auto"/>
                      <w:lang w:eastAsia="zh-CN"/>
                    </w:rPr>
                    <w:t>（</w:t>
                  </w:r>
                  <w:r>
                    <w:rPr>
                      <w:rFonts w:hint="eastAsia"/>
                      <w:color w:val="auto"/>
                      <w:lang w:val="en-US" w:eastAsia="zh-CN"/>
                    </w:rPr>
                    <w:t>4）</w:t>
                  </w:r>
                  <w:r>
                    <w:rPr>
                      <w:color w:val="auto"/>
                      <w:szCs w:val="21"/>
                    </w:rPr>
                    <w:t>医疗废物设专用垃圾桶单独收集，医疗废物暂存间暂存（位于医务室），委托医疗废物处置公司处置。</w:t>
                  </w:r>
                </w:p>
              </w:tc>
              <w:tc>
                <w:tcPr>
                  <w:tcW w:w="651" w:type="dxa"/>
                  <w:tcBorders>
                    <w:tl2br w:val="nil"/>
                    <w:tr2bl w:val="nil"/>
                  </w:tcBorders>
                  <w:vAlign w:val="center"/>
                </w:tcPr>
                <w:p>
                  <w:pPr>
                    <w:adjustRightInd w:val="0"/>
                    <w:snapToGrid w:val="0"/>
                    <w:spacing w:line="300" w:lineRule="exact"/>
                    <w:jc w:val="center"/>
                    <w:rPr>
                      <w:rFonts w:hint="eastAsia" w:ascii="Times New Roman" w:hAnsi="Times New Roman" w:cs="Times New Roman"/>
                      <w:bCs/>
                      <w:color w:val="auto"/>
                      <w:spacing w:val="-6"/>
                      <w:kern w:val="0"/>
                      <w:sz w:val="21"/>
                      <w:szCs w:val="21"/>
                      <w:lang w:val="en-US" w:eastAsia="zh-CN"/>
                    </w:rPr>
                  </w:pPr>
                </w:p>
              </w:tc>
            </w:tr>
          </w:tbl>
          <w:p>
            <w:pPr>
              <w:autoSpaceDE w:val="0"/>
              <w:autoSpaceDN w:val="0"/>
              <w:adjustRightInd w:val="0"/>
              <w:snapToGrid w:val="0"/>
              <w:spacing w:line="360" w:lineRule="auto"/>
              <w:ind w:firstLine="480" w:firstLineChars="200"/>
              <w:rPr>
                <w:rFonts w:hint="eastAsia" w:ascii="宋体" w:hAnsi="宋体" w:eastAsia="宋体" w:cs="宋体"/>
                <w:color w:val="auto"/>
                <w:kern w:val="0"/>
                <w:sz w:val="24"/>
                <w:lang w:eastAsia="zh-CN"/>
              </w:rPr>
            </w:pPr>
            <w:r>
              <w:rPr>
                <w:rFonts w:hint="eastAsia"/>
                <w:color w:val="auto"/>
                <w:kern w:val="0"/>
                <w:sz w:val="21"/>
                <w:szCs w:val="21"/>
                <w:lang w:val="en-US" w:eastAsia="zh-CN"/>
              </w:rPr>
              <w:t>项目与</w:t>
            </w:r>
            <w:r>
              <w:rPr>
                <w:rFonts w:hint="default"/>
                <w:color w:val="auto"/>
                <w:kern w:val="0"/>
                <w:sz w:val="21"/>
                <w:szCs w:val="21"/>
                <w:lang w:val="en-US" w:eastAsia="zh-CN"/>
              </w:rPr>
              <w:t>《</w:t>
            </w:r>
            <w:r>
              <w:rPr>
                <w:rFonts w:hint="eastAsia"/>
                <w:color w:val="auto"/>
                <w:kern w:val="0"/>
                <w:sz w:val="21"/>
                <w:szCs w:val="21"/>
                <w:lang w:val="en-US" w:eastAsia="zh-CN"/>
              </w:rPr>
              <w:t>陕西省西咸新区秦汉新城分区规划（2016-2035）</w:t>
            </w:r>
            <w:r>
              <w:rPr>
                <w:rFonts w:hint="default" w:ascii="Times New Roman" w:hAnsi="Times New Roman" w:cs="Times New Roman"/>
                <w:color w:val="auto"/>
                <w:kern w:val="0"/>
                <w:sz w:val="21"/>
                <w:szCs w:val="21"/>
                <w:lang w:val="en-GB"/>
              </w:rPr>
              <w:t>》</w:t>
            </w:r>
            <w:r>
              <w:rPr>
                <w:rFonts w:hint="eastAsia" w:cs="Times New Roman"/>
                <w:color w:val="auto"/>
                <w:kern w:val="0"/>
                <w:sz w:val="21"/>
                <w:szCs w:val="21"/>
                <w:lang w:val="en-US" w:eastAsia="zh-CN"/>
              </w:rPr>
              <w:t>规划的相符性见图1。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1431" w:hRule="atLeast"/>
        </w:trPr>
        <w:tc>
          <w:tcPr>
            <w:tcW w:w="2226" w:type="dxa"/>
            <w:tcMar>
              <w:top w:w="16" w:type="dxa"/>
              <w:left w:w="16" w:type="dxa"/>
              <w:right w:w="16" w:type="dxa"/>
            </w:tcMar>
            <w:vAlign w:val="center"/>
          </w:tcPr>
          <w:p>
            <w:pPr>
              <w:autoSpaceDE w:val="0"/>
              <w:autoSpaceDN w:val="0"/>
              <w:adjustRightInd w:val="0"/>
              <w:snapToGrid w:val="0"/>
              <w:jc w:val="center"/>
              <w:rPr>
                <w:rFonts w:ascii="宋体" w:hAnsi="宋体" w:cs="宋体"/>
                <w:color w:val="auto"/>
                <w:kern w:val="0"/>
                <w:sz w:val="24"/>
              </w:rPr>
            </w:pPr>
            <w:bookmarkStart w:id="4" w:name="_Hlk56690880"/>
            <w:r>
              <w:rPr>
                <w:rFonts w:hint="eastAsia" w:ascii="宋体" w:hAnsi="宋体" w:cs="宋体"/>
                <w:color w:val="auto"/>
                <w:kern w:val="0"/>
                <w:sz w:val="24"/>
              </w:rPr>
              <w:t>其他符合性分析</w:t>
            </w:r>
            <w:bookmarkEnd w:id="4"/>
          </w:p>
        </w:tc>
        <w:tc>
          <w:tcPr>
            <w:tcW w:w="6813" w:type="dxa"/>
            <w:gridSpan w:val="3"/>
            <w:tcMar>
              <w:top w:w="16" w:type="dxa"/>
              <w:left w:w="16" w:type="dxa"/>
              <w:right w:w="16" w:type="dxa"/>
            </w:tcMar>
            <w:vAlign w:val="center"/>
          </w:tcPr>
          <w:p>
            <w:pPr>
              <w:widowControl/>
              <w:spacing w:line="360" w:lineRule="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GB" w:eastAsia="zh-CN"/>
              </w:rPr>
              <w:t>与</w:t>
            </w:r>
            <w:r>
              <w:rPr>
                <w:rFonts w:hint="default" w:ascii="Times New Roman" w:hAnsi="Times New Roman" w:cs="Times New Roman"/>
                <w:color w:val="auto"/>
                <w:sz w:val="24"/>
                <w:szCs w:val="24"/>
                <w:lang w:val="en-US" w:eastAsia="zh-CN"/>
              </w:rPr>
              <w:t>相关技术政策及环境管理的相符性分析</w:t>
            </w:r>
          </w:p>
          <w:p>
            <w:pPr>
              <w:widowControl w:val="0"/>
              <w:snapToGrid w:val="0"/>
              <w:spacing w:line="360" w:lineRule="auto"/>
              <w:jc w:val="center"/>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项目与相关技术政策及环境管理的相符性分析见下表</w:t>
            </w:r>
            <w:r>
              <w:rPr>
                <w:rFonts w:hint="eastAsia"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lang w:val="en-US" w:eastAsia="zh-CN"/>
              </w:rPr>
              <w:t>。</w:t>
            </w:r>
          </w:p>
          <w:p>
            <w:pPr>
              <w:widowControl w:val="0"/>
              <w:snapToGrid w:val="0"/>
              <w:spacing w:line="360" w:lineRule="auto"/>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表</w:t>
            </w:r>
            <w:r>
              <w:rPr>
                <w:rFonts w:hint="eastAsia" w:ascii="Times New Roman" w:hAnsi="Times New Roman" w:eastAsia="黑体" w:cs="Times New Roman"/>
                <w:color w:val="auto"/>
                <w:sz w:val="24"/>
                <w:szCs w:val="24"/>
                <w:lang w:val="en-US" w:eastAsia="zh-CN"/>
              </w:rPr>
              <w:t>2</w:t>
            </w:r>
            <w:r>
              <w:rPr>
                <w:rFonts w:hint="default" w:ascii="Times New Roman" w:hAnsi="Times New Roman" w:eastAsia="黑体" w:cs="Times New Roman"/>
                <w:color w:val="auto"/>
                <w:sz w:val="24"/>
                <w:szCs w:val="24"/>
              </w:rPr>
              <w:t xml:space="preserve">   与相关环保政策符合性分析</w:t>
            </w:r>
          </w:p>
          <w:tbl>
            <w:tblPr>
              <w:tblStyle w:val="25"/>
              <w:tblW w:w="6751"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3041"/>
              <w:gridCol w:w="1572"/>
              <w:gridCol w:w="7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55" w:type="dxa"/>
                  <w:tcBorders>
                    <w:tl2br w:val="nil"/>
                    <w:tr2bl w:val="nil"/>
                  </w:tcBorders>
                  <w:vAlign w:val="center"/>
                </w:tcPr>
                <w:p>
                  <w:pPr>
                    <w:adjustRightInd w:val="0"/>
                    <w:snapToGrid w:val="0"/>
                    <w:spacing w:line="300" w:lineRule="exact"/>
                    <w:jc w:val="center"/>
                    <w:rPr>
                      <w:rFonts w:hint="default" w:ascii="Times New Roman" w:hAnsi="Times New Roman" w:cs="Times New Roman"/>
                      <w:color w:val="auto"/>
                      <w:kern w:val="0"/>
                      <w:sz w:val="21"/>
                      <w:szCs w:val="21"/>
                      <w:lang w:val="en-GB"/>
                    </w:rPr>
                  </w:pPr>
                  <w:r>
                    <w:rPr>
                      <w:rFonts w:hint="default" w:ascii="Times New Roman" w:hAnsi="Times New Roman" w:cs="Times New Roman"/>
                      <w:b/>
                      <w:color w:val="auto"/>
                      <w:spacing w:val="-6"/>
                      <w:kern w:val="0"/>
                      <w:sz w:val="21"/>
                      <w:szCs w:val="21"/>
                    </w:rPr>
                    <w:t>内容</w:t>
                  </w:r>
                </w:p>
              </w:tc>
              <w:tc>
                <w:tcPr>
                  <w:tcW w:w="3041" w:type="dxa"/>
                  <w:tcBorders>
                    <w:tl2br w:val="nil"/>
                    <w:tr2bl w:val="nil"/>
                  </w:tcBorders>
                  <w:vAlign w:val="center"/>
                </w:tcPr>
                <w:p>
                  <w:pPr>
                    <w:adjustRightInd w:val="0"/>
                    <w:snapToGrid w:val="0"/>
                    <w:spacing w:line="300" w:lineRule="exact"/>
                    <w:jc w:val="center"/>
                    <w:rPr>
                      <w:rFonts w:hint="default" w:ascii="Times New Roman" w:hAnsi="Times New Roman" w:cs="Times New Roman"/>
                      <w:bCs/>
                      <w:color w:val="auto"/>
                      <w:spacing w:val="-6"/>
                      <w:kern w:val="0"/>
                      <w:sz w:val="21"/>
                      <w:szCs w:val="21"/>
                    </w:rPr>
                  </w:pPr>
                  <w:r>
                    <w:rPr>
                      <w:rFonts w:hint="default" w:ascii="Times New Roman" w:hAnsi="Times New Roman" w:cs="Times New Roman"/>
                      <w:b/>
                      <w:color w:val="auto"/>
                      <w:spacing w:val="-6"/>
                      <w:kern w:val="0"/>
                      <w:sz w:val="21"/>
                      <w:szCs w:val="21"/>
                    </w:rPr>
                    <w:t>要求</w:t>
                  </w:r>
                </w:p>
              </w:tc>
              <w:tc>
                <w:tcPr>
                  <w:tcW w:w="1572" w:type="dxa"/>
                  <w:tcBorders>
                    <w:tl2br w:val="nil"/>
                    <w:tr2bl w:val="nil"/>
                  </w:tcBorders>
                  <w:vAlign w:val="center"/>
                </w:tcPr>
                <w:p>
                  <w:pPr>
                    <w:adjustRightInd w:val="0"/>
                    <w:snapToGrid w:val="0"/>
                    <w:spacing w:line="300" w:lineRule="exact"/>
                    <w:jc w:val="center"/>
                    <w:rPr>
                      <w:rFonts w:hint="default" w:ascii="Times New Roman" w:hAnsi="Times New Roman" w:cs="Times New Roman"/>
                      <w:color w:val="auto"/>
                      <w:kern w:val="0"/>
                      <w:sz w:val="21"/>
                      <w:szCs w:val="21"/>
                    </w:rPr>
                  </w:pPr>
                  <w:r>
                    <w:rPr>
                      <w:rFonts w:hint="default" w:ascii="Times New Roman" w:hAnsi="Times New Roman" w:cs="Times New Roman"/>
                      <w:b/>
                      <w:color w:val="auto"/>
                      <w:spacing w:val="-6"/>
                      <w:kern w:val="0"/>
                      <w:sz w:val="21"/>
                      <w:szCs w:val="21"/>
                    </w:rPr>
                    <w:t>本项目情况</w:t>
                  </w:r>
                </w:p>
              </w:tc>
              <w:tc>
                <w:tcPr>
                  <w:tcW w:w="783" w:type="dxa"/>
                  <w:tcBorders>
                    <w:tl2br w:val="nil"/>
                    <w:tr2bl w:val="nil"/>
                  </w:tcBorders>
                  <w:vAlign w:val="center"/>
                </w:tcPr>
                <w:p>
                  <w:pPr>
                    <w:adjustRightInd w:val="0"/>
                    <w:snapToGrid w:val="0"/>
                    <w:spacing w:line="300" w:lineRule="exact"/>
                    <w:jc w:val="center"/>
                    <w:rPr>
                      <w:rFonts w:hint="default" w:ascii="Times New Roman" w:hAnsi="Times New Roman" w:cs="Times New Roman"/>
                      <w:bCs/>
                      <w:color w:val="auto"/>
                      <w:spacing w:val="-6"/>
                      <w:kern w:val="0"/>
                      <w:sz w:val="21"/>
                      <w:szCs w:val="21"/>
                    </w:rPr>
                  </w:pPr>
                  <w:r>
                    <w:rPr>
                      <w:rFonts w:hint="default" w:ascii="Times New Roman" w:hAnsi="Times New Roman" w:cs="Times New Roman"/>
                      <w:b/>
                      <w:color w:val="auto"/>
                      <w:spacing w:val="-6"/>
                      <w:kern w:val="0"/>
                      <w:sz w:val="21"/>
                      <w:szCs w:val="21"/>
                    </w:rPr>
                    <w:t>符合性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55" w:type="dxa"/>
                  <w:vMerge w:val="restart"/>
                  <w:tcBorders>
                    <w:tl2br w:val="nil"/>
                    <w:tr2bl w:val="nil"/>
                  </w:tcBorders>
                  <w:vAlign w:val="center"/>
                </w:tcPr>
                <w:p>
                  <w:pPr>
                    <w:adjustRightInd w:val="0"/>
                    <w:snapToGrid w:val="0"/>
                    <w:spacing w:line="300" w:lineRule="exact"/>
                    <w:rPr>
                      <w:rFonts w:hint="default" w:ascii="Times New Roman" w:hAnsi="Times New Roman" w:cs="Times New Roman"/>
                      <w:color w:val="auto"/>
                      <w:kern w:val="0"/>
                      <w:sz w:val="21"/>
                      <w:szCs w:val="21"/>
                      <w:lang w:val="en-GB"/>
                    </w:rPr>
                  </w:pPr>
                  <w:r>
                    <w:rPr>
                      <w:rFonts w:hint="default" w:ascii="Times New Roman" w:hAnsi="Times New Roman" w:cs="Times New Roman"/>
                      <w:color w:val="auto"/>
                      <w:kern w:val="0"/>
                      <w:sz w:val="21"/>
                      <w:szCs w:val="21"/>
                      <w:lang w:val="en-GB"/>
                    </w:rPr>
                    <w:t>《西咸新区铁腕治霾打赢蓝天保卫战三年行动实施方案（2018-2020年）（修订版）》</w:t>
                  </w:r>
                </w:p>
              </w:tc>
              <w:tc>
                <w:tcPr>
                  <w:tcW w:w="3041" w:type="dxa"/>
                  <w:tcBorders>
                    <w:tl2br w:val="nil"/>
                    <w:tr2bl w:val="nil"/>
                  </w:tcBorders>
                  <w:vAlign w:val="center"/>
                </w:tcPr>
                <w:p>
                  <w:pPr>
                    <w:adjustRightInd w:val="0"/>
                    <w:snapToGrid w:val="0"/>
                    <w:spacing w:line="300" w:lineRule="exact"/>
                    <w:rPr>
                      <w:rFonts w:hint="default" w:ascii="Times New Roman" w:hAnsi="Times New Roman" w:cs="Times New Roman"/>
                      <w:bCs/>
                      <w:color w:val="auto"/>
                      <w:spacing w:val="-6"/>
                      <w:kern w:val="0"/>
                      <w:sz w:val="21"/>
                      <w:szCs w:val="21"/>
                    </w:rPr>
                  </w:pPr>
                  <w:r>
                    <w:rPr>
                      <w:rFonts w:hint="default" w:ascii="Times New Roman" w:hAnsi="Times New Roman" w:cs="Times New Roman"/>
                      <w:color w:val="auto"/>
                      <w:kern w:val="0"/>
                      <w:sz w:val="21"/>
                      <w:szCs w:val="21"/>
                    </w:rPr>
                    <w:t>18.全面提升施工扬尘管控水平。严格管控施工扬尘，全面落实建筑施工“六个100%管理+红黄绿牌结果管理”的防治联动制度，施工工地安装视频监控设施，并与主管部门管理平台联网。对落实扬尘管控措施不力的施工工地</w:t>
                  </w:r>
                  <w:r>
                    <w:rPr>
                      <w:rFonts w:hint="default" w:ascii="Times New Roman" w:hAnsi="Times New Roman" w:cs="Times New Roman"/>
                      <w:color w:val="auto"/>
                      <w:kern w:val="0"/>
                      <w:sz w:val="21"/>
                      <w:szCs w:val="21"/>
                      <w:lang w:eastAsia="zh-CN"/>
                    </w:rPr>
                    <w:t>。</w:t>
                  </w:r>
                </w:p>
              </w:tc>
              <w:tc>
                <w:tcPr>
                  <w:tcW w:w="1572" w:type="dxa"/>
                  <w:tcBorders>
                    <w:tl2br w:val="nil"/>
                    <w:tr2bl w:val="nil"/>
                  </w:tcBorders>
                  <w:vAlign w:val="center"/>
                </w:tcPr>
                <w:p>
                  <w:pPr>
                    <w:adjustRightInd w:val="0"/>
                    <w:snapToGrid w:val="0"/>
                    <w:spacing w:line="300" w:lineRule="exact"/>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本项目在施工期，严格参考行动方案要求，加强施工扬尘控制，强化渣土运输车辆全过程管理</w:t>
                  </w:r>
                  <w:r>
                    <w:rPr>
                      <w:rFonts w:hint="default" w:ascii="Times New Roman" w:hAnsi="Times New Roman" w:cs="Times New Roman"/>
                      <w:color w:val="auto"/>
                      <w:kern w:val="0"/>
                      <w:sz w:val="21"/>
                      <w:szCs w:val="21"/>
                      <w:lang w:eastAsia="zh-CN"/>
                    </w:rPr>
                    <w:t>。</w:t>
                  </w:r>
                </w:p>
              </w:tc>
              <w:tc>
                <w:tcPr>
                  <w:tcW w:w="783" w:type="dxa"/>
                  <w:tcBorders>
                    <w:tl2br w:val="nil"/>
                    <w:tr2bl w:val="nil"/>
                  </w:tcBorders>
                  <w:vAlign w:val="center"/>
                </w:tcPr>
                <w:p>
                  <w:pPr>
                    <w:adjustRightInd w:val="0"/>
                    <w:snapToGrid w:val="0"/>
                    <w:spacing w:line="300" w:lineRule="exact"/>
                    <w:jc w:val="center"/>
                    <w:rPr>
                      <w:rFonts w:hint="default" w:ascii="Times New Roman" w:hAnsi="Times New Roman" w:cs="Times New Roman"/>
                      <w:bCs/>
                      <w:color w:val="auto"/>
                      <w:spacing w:val="-6"/>
                      <w:kern w:val="0"/>
                      <w:sz w:val="21"/>
                      <w:szCs w:val="21"/>
                    </w:rPr>
                  </w:pPr>
                  <w:r>
                    <w:rPr>
                      <w:rFonts w:hint="default" w:ascii="Times New Roman" w:hAnsi="Times New Roman" w:cs="Times New Roman"/>
                      <w:bCs/>
                      <w:color w:val="auto"/>
                      <w:spacing w:val="-6"/>
                      <w:kern w:val="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55" w:type="dxa"/>
                  <w:vMerge w:val="continue"/>
                  <w:tcBorders>
                    <w:tl2br w:val="nil"/>
                    <w:tr2bl w:val="nil"/>
                  </w:tcBorders>
                  <w:vAlign w:val="center"/>
                </w:tcPr>
                <w:p>
                  <w:pPr>
                    <w:adjustRightInd w:val="0"/>
                    <w:snapToGrid w:val="0"/>
                    <w:spacing w:line="300" w:lineRule="exact"/>
                    <w:rPr>
                      <w:rFonts w:hint="default" w:ascii="Times New Roman" w:hAnsi="Times New Roman" w:cs="Times New Roman"/>
                      <w:color w:val="auto"/>
                      <w:kern w:val="0"/>
                      <w:sz w:val="21"/>
                      <w:szCs w:val="21"/>
                      <w:lang w:val="en-GB"/>
                    </w:rPr>
                  </w:pPr>
                </w:p>
              </w:tc>
              <w:tc>
                <w:tcPr>
                  <w:tcW w:w="3041" w:type="dxa"/>
                  <w:tcBorders>
                    <w:tl2br w:val="nil"/>
                    <w:tr2bl w:val="nil"/>
                  </w:tcBorders>
                  <w:vAlign w:val="center"/>
                </w:tcPr>
                <w:p>
                  <w:pPr>
                    <w:adjustRightInd w:val="0"/>
                    <w:snapToGrid w:val="0"/>
                    <w:spacing w:line="300" w:lineRule="exact"/>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lang w:val="en-US" w:eastAsia="zh-CN"/>
                    </w:rPr>
                    <w:t>23.</w:t>
                  </w:r>
                  <w:r>
                    <w:rPr>
                      <w:rFonts w:hint="default" w:ascii="Times New Roman" w:hAnsi="Times New Roman" w:cs="Times New Roman"/>
                      <w:color w:val="auto"/>
                      <w:kern w:val="0"/>
                      <w:sz w:val="21"/>
                      <w:szCs w:val="21"/>
                    </w:rPr>
                    <w:t>排放油烟的饮食业单位全部安装油烟净化装置并实现达标排放，凡达不到《饮食业油烟排放标准(GB18483-2001)》排放限值的，一律停业整改。</w:t>
                  </w:r>
                </w:p>
              </w:tc>
              <w:tc>
                <w:tcPr>
                  <w:tcW w:w="1572" w:type="dxa"/>
                  <w:tcBorders>
                    <w:tl2br w:val="nil"/>
                    <w:tr2bl w:val="nil"/>
                  </w:tcBorders>
                  <w:vAlign w:val="center"/>
                </w:tcPr>
                <w:p>
                  <w:pPr>
                    <w:adjustRightInd w:val="0"/>
                    <w:snapToGrid w:val="0"/>
                    <w:spacing w:line="300" w:lineRule="exact"/>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lang w:val="en-US" w:eastAsia="zh-CN"/>
                    </w:rPr>
                    <w:t>本项目职工食堂均安装油烟净化装置，油烟废弃均能做到达标排放。</w:t>
                  </w:r>
                </w:p>
              </w:tc>
              <w:tc>
                <w:tcPr>
                  <w:tcW w:w="783" w:type="dxa"/>
                  <w:tcBorders>
                    <w:tl2br w:val="nil"/>
                    <w:tr2bl w:val="nil"/>
                  </w:tcBorders>
                  <w:vAlign w:val="center"/>
                </w:tcPr>
                <w:p>
                  <w:pPr>
                    <w:adjustRightInd w:val="0"/>
                    <w:snapToGrid w:val="0"/>
                    <w:spacing w:line="300" w:lineRule="exact"/>
                    <w:jc w:val="center"/>
                    <w:rPr>
                      <w:rFonts w:hint="default" w:ascii="Times New Roman" w:hAnsi="Times New Roman" w:eastAsia="宋体" w:cs="Times New Roman"/>
                      <w:bCs/>
                      <w:color w:val="auto"/>
                      <w:spacing w:val="-6"/>
                      <w:kern w:val="0"/>
                      <w:sz w:val="21"/>
                      <w:szCs w:val="21"/>
                      <w:lang w:val="en-US" w:eastAsia="zh-CN"/>
                    </w:rPr>
                  </w:pPr>
                  <w:r>
                    <w:rPr>
                      <w:rFonts w:hint="default" w:ascii="Times New Roman" w:hAnsi="Times New Roman" w:cs="Times New Roman"/>
                      <w:bCs/>
                      <w:color w:val="auto"/>
                      <w:spacing w:val="-6"/>
                      <w:kern w:val="0"/>
                      <w:sz w:val="21"/>
                      <w:szCs w:val="21"/>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55" w:type="dxa"/>
                  <w:vMerge w:val="restart"/>
                  <w:tcBorders>
                    <w:tl2br w:val="nil"/>
                    <w:tr2bl w:val="nil"/>
                  </w:tcBorders>
                  <w:vAlign w:val="center"/>
                </w:tcPr>
                <w:p>
                  <w:pPr>
                    <w:adjustRightInd w:val="0"/>
                    <w:snapToGrid w:val="0"/>
                    <w:spacing w:line="300" w:lineRule="exact"/>
                    <w:rPr>
                      <w:rFonts w:hint="default" w:ascii="Times New Roman" w:hAnsi="Times New Roman" w:cs="Times New Roman"/>
                      <w:color w:val="auto"/>
                      <w:kern w:val="0"/>
                      <w:sz w:val="21"/>
                      <w:szCs w:val="21"/>
                      <w:lang w:val="en-GB"/>
                    </w:rPr>
                  </w:pPr>
                  <w:r>
                    <w:rPr>
                      <w:rFonts w:hint="default" w:ascii="Times New Roman" w:hAnsi="Times New Roman" w:cs="Times New Roman"/>
                      <w:color w:val="auto"/>
                      <w:kern w:val="0"/>
                      <w:sz w:val="21"/>
                      <w:szCs w:val="21"/>
                      <w:lang w:val="en-GB"/>
                    </w:rPr>
                    <w:t>《陕西省2020年蓝天保卫战工作方案》</w:t>
                  </w:r>
                </w:p>
              </w:tc>
              <w:tc>
                <w:tcPr>
                  <w:tcW w:w="3041" w:type="dxa"/>
                  <w:tcBorders>
                    <w:tl2br w:val="nil"/>
                    <w:tr2bl w:val="nil"/>
                  </w:tcBorders>
                  <w:vAlign w:val="center"/>
                </w:tcPr>
                <w:p>
                  <w:pPr>
                    <w:adjustRightInd w:val="0"/>
                    <w:snapToGrid w:val="0"/>
                    <w:spacing w:line="300" w:lineRule="exact"/>
                    <w:rPr>
                      <w:rFonts w:hint="default" w:ascii="Times New Roman" w:hAnsi="Times New Roman" w:cs="Times New Roman"/>
                      <w:bCs/>
                      <w:color w:val="auto"/>
                      <w:spacing w:val="-6"/>
                      <w:kern w:val="0"/>
                      <w:sz w:val="21"/>
                      <w:szCs w:val="21"/>
                    </w:rPr>
                  </w:pPr>
                  <w:r>
                    <w:rPr>
                      <w:rFonts w:hint="default" w:ascii="Times New Roman" w:hAnsi="Times New Roman" w:cs="Times New Roman"/>
                      <w:color w:val="auto"/>
                      <w:kern w:val="0"/>
                      <w:sz w:val="21"/>
                      <w:szCs w:val="21"/>
                      <w:lang w:eastAsia="zh-CN"/>
                    </w:rPr>
                    <w:t>（</w:t>
                  </w:r>
                  <w:r>
                    <w:rPr>
                      <w:rFonts w:hint="default" w:ascii="Times New Roman" w:hAnsi="Times New Roman" w:cs="Times New Roman"/>
                      <w:color w:val="auto"/>
                      <w:kern w:val="0"/>
                      <w:sz w:val="21"/>
                      <w:szCs w:val="21"/>
                      <w:lang w:val="en-US" w:eastAsia="zh-CN"/>
                    </w:rPr>
                    <w:t>一）</w:t>
                  </w:r>
                  <w:r>
                    <w:rPr>
                      <w:rFonts w:hint="default" w:ascii="Times New Roman" w:hAnsi="Times New Roman" w:cs="Times New Roman"/>
                      <w:color w:val="auto"/>
                      <w:kern w:val="0"/>
                      <w:sz w:val="21"/>
                      <w:szCs w:val="21"/>
                    </w:rPr>
                    <w:t>严格建筑施工扬尘监管。城市施工工地要严格执行工地周边围挡、物料堆放覆盖、路面硬化、出入车辆清洗、土方开挖湿法作业、渣土车辆密闭运输“六个百分之百”。重点区域和5000㎡及以上土石方建筑工地要安装在线监测和视频监控设施，并与当地有关主管部门联网。</w:t>
                  </w:r>
                </w:p>
              </w:tc>
              <w:tc>
                <w:tcPr>
                  <w:tcW w:w="1572" w:type="dxa"/>
                  <w:tcBorders>
                    <w:tl2br w:val="nil"/>
                    <w:tr2bl w:val="nil"/>
                  </w:tcBorders>
                  <w:vAlign w:val="center"/>
                </w:tcPr>
                <w:p>
                  <w:pPr>
                    <w:adjustRightInd w:val="0"/>
                    <w:snapToGrid w:val="0"/>
                    <w:spacing w:line="300" w:lineRule="exact"/>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本项目在施工期，</w:t>
                  </w:r>
                  <w:r>
                    <w:rPr>
                      <w:rFonts w:hint="default" w:ascii="Times New Roman" w:hAnsi="Times New Roman" w:cs="Times New Roman"/>
                      <w:color w:val="auto"/>
                      <w:kern w:val="0"/>
                      <w:sz w:val="21"/>
                      <w:szCs w:val="21"/>
                      <w:lang w:val="en-US" w:eastAsia="zh-CN"/>
                    </w:rPr>
                    <w:t>严格建筑施工扬尘监管。施工工地周边</w:t>
                  </w:r>
                  <w:r>
                    <w:rPr>
                      <w:rFonts w:hint="eastAsia" w:cs="Times New Roman"/>
                      <w:color w:val="auto"/>
                      <w:kern w:val="0"/>
                      <w:sz w:val="21"/>
                      <w:szCs w:val="21"/>
                      <w:lang w:val="en-US" w:eastAsia="zh-CN"/>
                    </w:rPr>
                    <w:t>设</w:t>
                  </w:r>
                  <w:r>
                    <w:rPr>
                      <w:rFonts w:hint="default" w:ascii="Times New Roman" w:hAnsi="Times New Roman" w:cs="Times New Roman"/>
                      <w:color w:val="auto"/>
                      <w:kern w:val="0"/>
                      <w:sz w:val="21"/>
                      <w:szCs w:val="21"/>
                      <w:lang w:val="en-US" w:eastAsia="zh-CN"/>
                    </w:rPr>
                    <w:t>围挡</w:t>
                  </w:r>
                  <w:r>
                    <w:rPr>
                      <w:rFonts w:hint="default" w:ascii="Times New Roman" w:hAnsi="Times New Roman" w:cs="Times New Roman"/>
                      <w:color w:val="auto"/>
                      <w:kern w:val="0"/>
                      <w:sz w:val="21"/>
                      <w:szCs w:val="21"/>
                    </w:rPr>
                    <w:t>、</w:t>
                  </w:r>
                  <w:r>
                    <w:rPr>
                      <w:rFonts w:hint="eastAsia" w:cs="Times New Roman"/>
                      <w:color w:val="auto"/>
                      <w:kern w:val="0"/>
                      <w:sz w:val="21"/>
                      <w:szCs w:val="21"/>
                      <w:lang w:val="en-US" w:eastAsia="zh-CN"/>
                    </w:rPr>
                    <w:t>露天</w:t>
                  </w:r>
                  <w:r>
                    <w:rPr>
                      <w:rFonts w:hint="default" w:ascii="Times New Roman" w:hAnsi="Times New Roman" w:cs="Times New Roman"/>
                      <w:color w:val="auto"/>
                      <w:kern w:val="0"/>
                      <w:sz w:val="21"/>
                      <w:szCs w:val="21"/>
                      <w:lang w:val="en-US" w:eastAsia="zh-CN"/>
                    </w:rPr>
                    <w:t>物料堆放</w:t>
                  </w:r>
                  <w:r>
                    <w:rPr>
                      <w:rFonts w:hint="eastAsia" w:cs="Times New Roman"/>
                      <w:color w:val="auto"/>
                      <w:kern w:val="0"/>
                      <w:sz w:val="21"/>
                      <w:szCs w:val="21"/>
                      <w:lang w:val="en-US" w:eastAsia="zh-CN"/>
                    </w:rPr>
                    <w:t>进行</w:t>
                  </w:r>
                  <w:r>
                    <w:rPr>
                      <w:rFonts w:hint="default" w:ascii="Times New Roman" w:hAnsi="Times New Roman" w:cs="Times New Roman"/>
                      <w:color w:val="auto"/>
                      <w:kern w:val="0"/>
                      <w:sz w:val="21"/>
                      <w:szCs w:val="21"/>
                      <w:lang w:val="en-US" w:eastAsia="zh-CN"/>
                    </w:rPr>
                    <w:t>覆盖</w:t>
                  </w:r>
                  <w:r>
                    <w:rPr>
                      <w:rFonts w:hint="default" w:ascii="Times New Roman" w:hAnsi="Times New Roman" w:cs="Times New Roman"/>
                      <w:color w:val="auto"/>
                      <w:kern w:val="0"/>
                      <w:sz w:val="21"/>
                      <w:szCs w:val="21"/>
                    </w:rPr>
                    <w:t>、</w:t>
                  </w:r>
                  <w:r>
                    <w:rPr>
                      <w:rFonts w:hint="default" w:ascii="Times New Roman" w:hAnsi="Times New Roman" w:cs="Times New Roman"/>
                      <w:color w:val="auto"/>
                      <w:kern w:val="0"/>
                      <w:sz w:val="21"/>
                      <w:szCs w:val="21"/>
                      <w:lang w:val="en-US" w:eastAsia="zh-CN"/>
                    </w:rPr>
                    <w:t>路面硬化</w:t>
                  </w:r>
                  <w:r>
                    <w:rPr>
                      <w:rFonts w:hint="default" w:ascii="Times New Roman" w:hAnsi="Times New Roman" w:cs="Times New Roman"/>
                      <w:color w:val="auto"/>
                      <w:kern w:val="0"/>
                      <w:sz w:val="21"/>
                      <w:szCs w:val="21"/>
                    </w:rPr>
                    <w:t>、</w:t>
                  </w:r>
                  <w:r>
                    <w:rPr>
                      <w:rFonts w:hint="default" w:ascii="Times New Roman" w:hAnsi="Times New Roman" w:cs="Times New Roman"/>
                      <w:color w:val="auto"/>
                      <w:kern w:val="0"/>
                      <w:sz w:val="21"/>
                      <w:szCs w:val="21"/>
                      <w:lang w:val="en-US" w:eastAsia="zh-CN"/>
                    </w:rPr>
                    <w:t>出入车辆设清洗设施</w:t>
                  </w:r>
                  <w:r>
                    <w:rPr>
                      <w:rFonts w:hint="default" w:ascii="Times New Roman" w:hAnsi="Times New Roman" w:cs="Times New Roman"/>
                      <w:color w:val="auto"/>
                      <w:kern w:val="0"/>
                      <w:sz w:val="21"/>
                      <w:szCs w:val="21"/>
                    </w:rPr>
                    <w:t>、</w:t>
                  </w:r>
                  <w:r>
                    <w:rPr>
                      <w:rFonts w:hint="default" w:ascii="Times New Roman" w:hAnsi="Times New Roman" w:cs="Times New Roman"/>
                      <w:color w:val="auto"/>
                      <w:kern w:val="0"/>
                      <w:sz w:val="21"/>
                      <w:szCs w:val="21"/>
                      <w:lang w:val="en-US" w:eastAsia="zh-CN"/>
                    </w:rPr>
                    <w:t>土方阶段进行湿法开挖</w:t>
                  </w:r>
                  <w:r>
                    <w:rPr>
                      <w:rFonts w:hint="default" w:ascii="Times New Roman" w:hAnsi="Times New Roman" w:cs="Times New Roman"/>
                      <w:color w:val="auto"/>
                      <w:kern w:val="0"/>
                      <w:sz w:val="21"/>
                      <w:szCs w:val="21"/>
                    </w:rPr>
                    <w:t>、</w:t>
                  </w:r>
                  <w:r>
                    <w:rPr>
                      <w:rFonts w:hint="default" w:ascii="Times New Roman" w:hAnsi="Times New Roman" w:cs="Times New Roman"/>
                      <w:color w:val="auto"/>
                      <w:kern w:val="0"/>
                      <w:sz w:val="21"/>
                      <w:szCs w:val="21"/>
                      <w:lang w:val="en-US" w:eastAsia="zh-CN"/>
                    </w:rPr>
                    <w:t>渣土车密闭运输</w:t>
                  </w:r>
                  <w:r>
                    <w:rPr>
                      <w:rFonts w:hint="default" w:ascii="Times New Roman" w:hAnsi="Times New Roman" w:cs="Times New Roman"/>
                      <w:color w:val="auto"/>
                      <w:kern w:val="0"/>
                      <w:sz w:val="21"/>
                      <w:szCs w:val="21"/>
                    </w:rPr>
                    <w:t>、</w:t>
                  </w:r>
                  <w:r>
                    <w:rPr>
                      <w:rFonts w:hint="default" w:ascii="Times New Roman" w:hAnsi="Times New Roman" w:cs="Times New Roman"/>
                      <w:color w:val="auto"/>
                      <w:kern w:val="0"/>
                      <w:sz w:val="21"/>
                      <w:szCs w:val="21"/>
                      <w:lang w:val="en-US" w:eastAsia="zh-CN"/>
                    </w:rPr>
                    <w:t>建筑工地安装在线监测和视频监控设施</w:t>
                  </w:r>
                  <w:r>
                    <w:rPr>
                      <w:rFonts w:hint="eastAsia" w:ascii="Times New Roman" w:hAnsi="Times New Roman" w:cs="Times New Roman"/>
                      <w:color w:val="auto"/>
                      <w:kern w:val="0"/>
                      <w:sz w:val="21"/>
                      <w:szCs w:val="21"/>
                      <w:lang w:val="en-US" w:eastAsia="zh-CN"/>
                    </w:rPr>
                    <w:t>，并于当地主管部门联网。</w:t>
                  </w:r>
                </w:p>
              </w:tc>
              <w:tc>
                <w:tcPr>
                  <w:tcW w:w="783" w:type="dxa"/>
                  <w:tcBorders>
                    <w:tl2br w:val="nil"/>
                    <w:tr2bl w:val="nil"/>
                  </w:tcBorders>
                  <w:vAlign w:val="center"/>
                </w:tcPr>
                <w:p>
                  <w:pPr>
                    <w:adjustRightInd w:val="0"/>
                    <w:snapToGrid w:val="0"/>
                    <w:spacing w:line="300" w:lineRule="exact"/>
                    <w:jc w:val="center"/>
                    <w:rPr>
                      <w:rFonts w:hint="default" w:ascii="Times New Roman" w:hAnsi="Times New Roman" w:cs="Times New Roman"/>
                      <w:bCs/>
                      <w:color w:val="auto"/>
                      <w:spacing w:val="-6"/>
                      <w:kern w:val="0"/>
                      <w:sz w:val="21"/>
                      <w:szCs w:val="21"/>
                    </w:rPr>
                  </w:pPr>
                  <w:r>
                    <w:rPr>
                      <w:rFonts w:hint="default" w:ascii="Times New Roman" w:hAnsi="Times New Roman" w:cs="Times New Roman"/>
                      <w:bCs/>
                      <w:color w:val="auto"/>
                      <w:spacing w:val="-6"/>
                      <w:kern w:val="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55" w:type="dxa"/>
                  <w:vMerge w:val="continue"/>
                  <w:tcBorders>
                    <w:tl2br w:val="nil"/>
                    <w:tr2bl w:val="nil"/>
                  </w:tcBorders>
                  <w:vAlign w:val="center"/>
                </w:tcPr>
                <w:p>
                  <w:pPr>
                    <w:adjustRightInd w:val="0"/>
                    <w:snapToGrid w:val="0"/>
                    <w:spacing w:line="300" w:lineRule="exact"/>
                    <w:rPr>
                      <w:rFonts w:hint="default" w:ascii="Times New Roman" w:hAnsi="Times New Roman" w:cs="Times New Roman"/>
                      <w:color w:val="auto"/>
                      <w:kern w:val="0"/>
                      <w:sz w:val="21"/>
                      <w:szCs w:val="21"/>
                      <w:lang w:val="en-GB"/>
                    </w:rPr>
                  </w:pPr>
                </w:p>
              </w:tc>
              <w:tc>
                <w:tcPr>
                  <w:tcW w:w="3041" w:type="dxa"/>
                  <w:tcBorders>
                    <w:tl2br w:val="nil"/>
                    <w:tr2bl w:val="nil"/>
                  </w:tcBorders>
                  <w:vAlign w:val="center"/>
                </w:tcPr>
                <w:p>
                  <w:pPr>
                    <w:adjustRightInd w:val="0"/>
                    <w:snapToGrid w:val="0"/>
                    <w:spacing w:line="300" w:lineRule="exact"/>
                    <w:rPr>
                      <w:rFonts w:hint="default" w:ascii="Times New Roman" w:hAnsi="Times New Roman" w:cs="Times New Roman"/>
                      <w:color w:val="auto"/>
                      <w:kern w:val="0"/>
                      <w:sz w:val="21"/>
                      <w:szCs w:val="21"/>
                      <w:lang w:eastAsia="zh-CN"/>
                    </w:rPr>
                  </w:pPr>
                  <w:r>
                    <w:rPr>
                      <w:rFonts w:hint="default" w:ascii="Times New Roman" w:hAnsi="Times New Roman" w:cs="Times New Roman"/>
                      <w:color w:val="auto"/>
                      <w:kern w:val="0"/>
                      <w:sz w:val="21"/>
                      <w:szCs w:val="21"/>
                      <w:lang w:eastAsia="zh-CN"/>
                    </w:rPr>
                    <w:t>（</w:t>
                  </w:r>
                  <w:r>
                    <w:rPr>
                      <w:rFonts w:hint="default" w:ascii="Times New Roman" w:hAnsi="Times New Roman" w:cs="Times New Roman"/>
                      <w:color w:val="auto"/>
                      <w:kern w:val="0"/>
                      <w:sz w:val="21"/>
                      <w:szCs w:val="21"/>
                      <w:lang w:val="en-US" w:eastAsia="zh-CN"/>
                    </w:rPr>
                    <w:t>二）</w:t>
                  </w:r>
                  <w:r>
                    <w:rPr>
                      <w:rFonts w:hint="default" w:ascii="Times New Roman" w:hAnsi="Times New Roman" w:cs="Times New Roman"/>
                      <w:color w:val="auto"/>
                      <w:kern w:val="0"/>
                      <w:sz w:val="21"/>
                      <w:szCs w:val="21"/>
                    </w:rPr>
                    <w:t>加大餐饮油烟治理力度。各地要认真贯彻落实《城市饮食业单位油烟污染治理三年行动方案2018-2020》，排放油烟的饮食单位全部安装油烟净化装置并实现达标排放。</w:t>
                  </w:r>
                </w:p>
              </w:tc>
              <w:tc>
                <w:tcPr>
                  <w:tcW w:w="1572" w:type="dxa"/>
                  <w:tcBorders>
                    <w:tl2br w:val="nil"/>
                    <w:tr2bl w:val="nil"/>
                  </w:tcBorders>
                  <w:vAlign w:val="center"/>
                </w:tcPr>
                <w:p>
                  <w:pPr>
                    <w:adjustRightInd w:val="0"/>
                    <w:snapToGrid w:val="0"/>
                    <w:spacing w:line="300" w:lineRule="exact"/>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本项目职工食堂均安装油烟净化装置，油烟废弃均能做到达标排放。</w:t>
                  </w:r>
                </w:p>
              </w:tc>
              <w:tc>
                <w:tcPr>
                  <w:tcW w:w="783" w:type="dxa"/>
                  <w:tcBorders>
                    <w:tl2br w:val="nil"/>
                    <w:tr2bl w:val="nil"/>
                  </w:tcBorders>
                  <w:vAlign w:val="center"/>
                </w:tcPr>
                <w:p>
                  <w:pPr>
                    <w:adjustRightInd w:val="0"/>
                    <w:snapToGrid w:val="0"/>
                    <w:spacing w:line="300" w:lineRule="exact"/>
                    <w:jc w:val="center"/>
                    <w:rPr>
                      <w:rFonts w:hint="default" w:ascii="Times New Roman" w:hAnsi="Times New Roman" w:eastAsia="宋体" w:cs="Times New Roman"/>
                      <w:bCs/>
                      <w:color w:val="auto"/>
                      <w:spacing w:val="-6"/>
                      <w:kern w:val="0"/>
                      <w:sz w:val="21"/>
                      <w:szCs w:val="21"/>
                      <w:lang w:val="en-US" w:eastAsia="zh-CN"/>
                    </w:rPr>
                  </w:pPr>
                  <w:r>
                    <w:rPr>
                      <w:rFonts w:hint="default" w:ascii="Times New Roman" w:hAnsi="Times New Roman" w:cs="Times New Roman"/>
                      <w:bCs/>
                      <w:color w:val="auto"/>
                      <w:spacing w:val="-6"/>
                      <w:kern w:val="0"/>
                      <w:sz w:val="21"/>
                      <w:szCs w:val="21"/>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55" w:type="dxa"/>
                  <w:tcBorders>
                    <w:tl2br w:val="nil"/>
                    <w:tr2bl w:val="nil"/>
                  </w:tcBorders>
                  <w:vAlign w:val="center"/>
                </w:tcPr>
                <w:p>
                  <w:pPr>
                    <w:adjustRightInd w:val="0"/>
                    <w:snapToGrid w:val="0"/>
                    <w:spacing w:line="300" w:lineRule="exact"/>
                    <w:rPr>
                      <w:rFonts w:hint="default" w:ascii="Times New Roman" w:hAnsi="Times New Roman" w:cs="Times New Roman"/>
                      <w:color w:val="auto"/>
                      <w:kern w:val="0"/>
                      <w:sz w:val="21"/>
                      <w:szCs w:val="21"/>
                      <w:lang w:val="en-GB"/>
                    </w:rPr>
                  </w:pPr>
                  <w:r>
                    <w:rPr>
                      <w:rFonts w:hint="default" w:ascii="Times New Roman" w:hAnsi="Times New Roman" w:cs="Times New Roman"/>
                      <w:color w:val="auto"/>
                      <w:kern w:val="0"/>
                      <w:sz w:val="21"/>
                      <w:szCs w:val="21"/>
                      <w:lang w:val="en-GB"/>
                    </w:rPr>
                    <w:t>《国务院办公厅关于坚决制止耕地“非农化”行为的通知》（国办发明电〔2020〕24号）</w:t>
                  </w:r>
                </w:p>
              </w:tc>
              <w:tc>
                <w:tcPr>
                  <w:tcW w:w="3041" w:type="dxa"/>
                  <w:tcBorders>
                    <w:tl2br w:val="nil"/>
                    <w:tr2bl w:val="nil"/>
                  </w:tcBorders>
                  <w:vAlign w:val="center"/>
                </w:tcPr>
                <w:p>
                  <w:pPr>
                    <w:adjustRightInd w:val="0"/>
                    <w:snapToGrid w:val="0"/>
                    <w:spacing w:line="300" w:lineRule="exact"/>
                    <w:rPr>
                      <w:rFonts w:hint="default" w:ascii="Times New Roman" w:hAnsi="Times New Roman" w:cs="Times New Roman"/>
                      <w:bCs/>
                      <w:color w:val="auto"/>
                      <w:spacing w:val="-6"/>
                      <w:kern w:val="0"/>
                      <w:sz w:val="21"/>
                      <w:szCs w:val="21"/>
                    </w:rPr>
                  </w:pPr>
                  <w:r>
                    <w:rPr>
                      <w:rFonts w:hint="default" w:ascii="Times New Roman" w:hAnsi="Times New Roman" w:cs="Times New Roman"/>
                      <w:bCs/>
                      <w:color w:val="auto"/>
                      <w:spacing w:val="-6"/>
                      <w:kern w:val="0"/>
                      <w:sz w:val="21"/>
                      <w:szCs w:val="21"/>
                    </w:rPr>
                    <w:t>严禁违规占用耕地挖湖造景：禁止以河流、湿地、湖泊治理为名，擅自占用耕地及永久基本农田挖田造湖、挖湖造景。不准在城市建设中违规占用耕地建设人造湿地公园、人造水利景观。确需占用的，应符合国土空间规划，依法办理建设用地审批和规划许可手续。未履行审批手续的在建项目，应立即停止并纠正；占用永久基本农田的，要限期恢复，确实无法恢复的按照有关规定进行补划。</w:t>
                  </w:r>
                </w:p>
              </w:tc>
              <w:tc>
                <w:tcPr>
                  <w:tcW w:w="1572" w:type="dxa"/>
                  <w:vMerge w:val="restart"/>
                  <w:tcBorders>
                    <w:tl2br w:val="nil"/>
                    <w:tr2bl w:val="nil"/>
                  </w:tcBorders>
                  <w:vAlign w:val="center"/>
                </w:tcPr>
                <w:p>
                  <w:pPr>
                    <w:adjustRightInd w:val="0"/>
                    <w:snapToGrid w:val="0"/>
                    <w:spacing w:line="300" w:lineRule="exact"/>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本项目为游乐公园项目，根据《陕西省西咸新区秦汉新城分区规划（2016-2035）》中本项目用地规划为娱乐康体用地；同时，项目建设的内容均为游乐设施，无湖景观，不属于挖田造湖项目。</w:t>
                  </w:r>
                </w:p>
              </w:tc>
              <w:tc>
                <w:tcPr>
                  <w:tcW w:w="783" w:type="dxa"/>
                  <w:tcBorders>
                    <w:tl2br w:val="nil"/>
                    <w:tr2bl w:val="nil"/>
                  </w:tcBorders>
                  <w:vAlign w:val="center"/>
                </w:tcPr>
                <w:p>
                  <w:pPr>
                    <w:adjustRightInd w:val="0"/>
                    <w:snapToGrid w:val="0"/>
                    <w:spacing w:line="300" w:lineRule="exact"/>
                    <w:jc w:val="center"/>
                    <w:rPr>
                      <w:rFonts w:hint="default" w:ascii="Times New Roman" w:hAnsi="Times New Roman" w:eastAsia="宋体" w:cs="Times New Roman"/>
                      <w:bCs/>
                      <w:color w:val="auto"/>
                      <w:spacing w:val="-6"/>
                      <w:kern w:val="0"/>
                      <w:sz w:val="21"/>
                      <w:szCs w:val="21"/>
                      <w:lang w:val="en-US" w:eastAsia="zh-CN"/>
                    </w:rPr>
                  </w:pPr>
                  <w:r>
                    <w:rPr>
                      <w:rFonts w:hint="default" w:ascii="Times New Roman" w:hAnsi="Times New Roman" w:cs="Times New Roman"/>
                      <w:bCs/>
                      <w:color w:val="auto"/>
                      <w:spacing w:val="-6"/>
                      <w:kern w:val="0"/>
                      <w:sz w:val="21"/>
                      <w:szCs w:val="21"/>
                      <w:lang w:val="en-US" w:eastAsia="zh-CN"/>
                    </w:rPr>
                    <w:t>不属于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55" w:type="dxa"/>
                  <w:tcBorders>
                    <w:tl2br w:val="nil"/>
                    <w:tr2bl w:val="nil"/>
                  </w:tcBorders>
                  <w:vAlign w:val="center"/>
                </w:tcPr>
                <w:p>
                  <w:pPr>
                    <w:adjustRightInd w:val="0"/>
                    <w:snapToGrid w:val="0"/>
                    <w:spacing w:line="300" w:lineRule="exact"/>
                    <w:rPr>
                      <w:rFonts w:hint="default" w:ascii="Times New Roman" w:hAnsi="Times New Roman" w:cs="Times New Roman"/>
                      <w:color w:val="auto"/>
                      <w:kern w:val="0"/>
                      <w:sz w:val="21"/>
                      <w:szCs w:val="21"/>
                      <w:lang w:val="en-GB"/>
                    </w:rPr>
                  </w:pPr>
                  <w:r>
                    <w:rPr>
                      <w:rFonts w:hint="default" w:ascii="Times New Roman" w:hAnsi="Times New Roman" w:cs="Times New Roman"/>
                      <w:color w:val="auto"/>
                      <w:kern w:val="0"/>
                      <w:sz w:val="21"/>
                      <w:szCs w:val="21"/>
                      <w:lang w:val="en-GB"/>
                    </w:rPr>
                    <w:t>《关于防止脱离实际造景造湖推进城市建设高质量发展的意见》（陕建发〔2020〕1034号）</w:t>
                  </w:r>
                </w:p>
              </w:tc>
              <w:tc>
                <w:tcPr>
                  <w:tcW w:w="3041" w:type="dxa"/>
                  <w:tcBorders>
                    <w:tl2br w:val="nil"/>
                    <w:tr2bl w:val="nil"/>
                  </w:tcBorders>
                  <w:vAlign w:val="center"/>
                </w:tcPr>
                <w:p>
                  <w:pPr>
                    <w:adjustRightInd w:val="0"/>
                    <w:snapToGrid w:val="0"/>
                    <w:spacing w:line="300" w:lineRule="exact"/>
                    <w:rPr>
                      <w:rFonts w:hint="default" w:ascii="Times New Roman" w:hAnsi="Times New Roman" w:cs="Times New Roman"/>
                      <w:bCs/>
                      <w:color w:val="auto"/>
                      <w:spacing w:val="-6"/>
                      <w:kern w:val="0"/>
                      <w:sz w:val="21"/>
                      <w:szCs w:val="21"/>
                    </w:rPr>
                  </w:pPr>
                  <w:r>
                    <w:rPr>
                      <w:rFonts w:hint="default" w:ascii="Times New Roman" w:hAnsi="Times New Roman" w:cs="Times New Roman"/>
                      <w:bCs/>
                      <w:color w:val="auto"/>
                      <w:spacing w:val="-6"/>
                      <w:kern w:val="0"/>
                      <w:sz w:val="21"/>
                      <w:szCs w:val="21"/>
                      <w:lang w:val="en-GB"/>
                    </w:rPr>
                    <w:t>坚守法规底线，严格建设用地管理：各地、各有关部门要按照《中华人民共和国环境保护法》《中华人民共和国城乡规划法》《中华人民共和国土地管理法》《中华人民共和国建筑法》等有关法律法规以及基本建设审批程序的要求，严格造景造湖项目的审批。要严格巡查监管，加大巡查力度，及时发现、及时制止、及时上报，切实将违法行为发现在初始阶段、解决在萌芽状态。对发现的未批先建、未供即用等违法用地行为及时进行立案查处，对涉及相关行政责任人的，依法移送纪检监察部门，严厉打击各类违法建设行为。要严格用地审查，在用地报批中，严格掌握政策，从严控制标准，依法依规，严格审查，不断完善建设用地审查报批会审制度，对重大项目要进行实地踏勘，要严格耕地保护，对占用优质耕地的项目从严把关，对不符合生态保护用地条件的不予受理，对占用基本农田的严格按照有关规定从严审查后报国家审批，确保各类建设用地依法合规。</w:t>
                  </w:r>
                </w:p>
              </w:tc>
              <w:tc>
                <w:tcPr>
                  <w:tcW w:w="1572" w:type="dxa"/>
                  <w:vMerge w:val="continue"/>
                  <w:tcBorders>
                    <w:tl2br w:val="nil"/>
                    <w:tr2bl w:val="nil"/>
                  </w:tcBorders>
                  <w:vAlign w:val="center"/>
                </w:tcPr>
                <w:p>
                  <w:pPr>
                    <w:adjustRightInd w:val="0"/>
                    <w:snapToGrid w:val="0"/>
                    <w:spacing w:line="300" w:lineRule="exact"/>
                    <w:rPr>
                      <w:rFonts w:hint="default" w:ascii="Times New Roman" w:hAnsi="Times New Roman" w:cs="Times New Roman"/>
                      <w:color w:val="auto"/>
                      <w:kern w:val="0"/>
                      <w:sz w:val="21"/>
                      <w:szCs w:val="21"/>
                    </w:rPr>
                  </w:pPr>
                </w:p>
              </w:tc>
              <w:tc>
                <w:tcPr>
                  <w:tcW w:w="783" w:type="dxa"/>
                  <w:tcBorders>
                    <w:tl2br w:val="nil"/>
                    <w:tr2bl w:val="nil"/>
                  </w:tcBorders>
                  <w:vAlign w:val="center"/>
                </w:tcPr>
                <w:p>
                  <w:pPr>
                    <w:adjustRightInd w:val="0"/>
                    <w:snapToGrid w:val="0"/>
                    <w:spacing w:line="300" w:lineRule="exact"/>
                    <w:jc w:val="center"/>
                    <w:rPr>
                      <w:rFonts w:hint="default" w:ascii="Times New Roman" w:hAnsi="Times New Roman" w:eastAsia="宋体" w:cs="Times New Roman"/>
                      <w:bCs/>
                      <w:color w:val="auto"/>
                      <w:spacing w:val="-6"/>
                      <w:kern w:val="0"/>
                      <w:sz w:val="21"/>
                      <w:szCs w:val="21"/>
                      <w:lang w:val="en-US" w:eastAsia="zh-CN"/>
                    </w:rPr>
                  </w:pPr>
                  <w:r>
                    <w:rPr>
                      <w:rFonts w:hint="default" w:ascii="Times New Roman" w:hAnsi="Times New Roman" w:cs="Times New Roman"/>
                      <w:bCs/>
                      <w:color w:val="auto"/>
                      <w:spacing w:val="-6"/>
                      <w:kern w:val="0"/>
                      <w:sz w:val="21"/>
                      <w:szCs w:val="21"/>
                      <w:lang w:val="en-US" w:eastAsia="zh-CN"/>
                    </w:rPr>
                    <w:t>不属于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55" w:type="dxa"/>
                  <w:tcBorders>
                    <w:tl2br w:val="nil"/>
                    <w:tr2bl w:val="nil"/>
                  </w:tcBorders>
                  <w:vAlign w:val="center"/>
                </w:tcPr>
                <w:p>
                  <w:pPr>
                    <w:adjustRightInd w:val="0"/>
                    <w:snapToGrid w:val="0"/>
                    <w:spacing w:line="300" w:lineRule="exact"/>
                    <w:rPr>
                      <w:rFonts w:hint="default" w:ascii="Times New Roman" w:hAnsi="Times New Roman" w:cs="Times New Roman"/>
                      <w:bCs/>
                      <w:color w:val="auto"/>
                      <w:spacing w:val="-6"/>
                      <w:kern w:val="0"/>
                      <w:sz w:val="21"/>
                      <w:szCs w:val="21"/>
                      <w:lang w:val="en-GB"/>
                    </w:rPr>
                  </w:pPr>
                  <w:r>
                    <w:rPr>
                      <w:rFonts w:hint="default" w:ascii="Times New Roman" w:hAnsi="Times New Roman" w:cs="Times New Roman"/>
                      <w:bCs/>
                      <w:color w:val="auto"/>
                      <w:spacing w:val="-6"/>
                      <w:kern w:val="0"/>
                      <w:sz w:val="21"/>
                      <w:szCs w:val="21"/>
                      <w:lang w:val="en-GB"/>
                    </w:rPr>
                    <w:t>《</w:t>
                  </w:r>
                  <w:r>
                    <w:rPr>
                      <w:rFonts w:hint="eastAsia" w:ascii="Times New Roman" w:hAnsi="Times New Roman" w:cs="Times New Roman"/>
                      <w:bCs/>
                      <w:color w:val="auto"/>
                      <w:spacing w:val="-6"/>
                      <w:kern w:val="0"/>
                      <w:sz w:val="21"/>
                      <w:szCs w:val="21"/>
                      <w:lang w:val="en-GB"/>
                    </w:rPr>
                    <w:t>关于规范主题公园建设发展的指导意见》</w:t>
                  </w:r>
                </w:p>
              </w:tc>
              <w:tc>
                <w:tcPr>
                  <w:tcW w:w="3041" w:type="dxa"/>
                  <w:tcBorders>
                    <w:tl2br w:val="nil"/>
                    <w:tr2bl w:val="nil"/>
                  </w:tcBorders>
                  <w:vAlign w:val="center"/>
                </w:tcPr>
                <w:p>
                  <w:pPr>
                    <w:adjustRightInd w:val="0"/>
                    <w:snapToGrid w:val="0"/>
                    <w:spacing w:line="300" w:lineRule="exact"/>
                    <w:rPr>
                      <w:rFonts w:hint="default" w:ascii="Times New Roman" w:hAnsi="Times New Roman" w:cs="Times New Roman"/>
                      <w:bCs/>
                      <w:color w:val="auto"/>
                      <w:spacing w:val="-6"/>
                      <w:kern w:val="0"/>
                      <w:sz w:val="21"/>
                      <w:szCs w:val="21"/>
                      <w:lang w:val="en-GB"/>
                    </w:rPr>
                  </w:pPr>
                  <w:r>
                    <w:rPr>
                      <w:rFonts w:hint="eastAsia" w:ascii="Times New Roman" w:hAnsi="Times New Roman" w:cs="Times New Roman"/>
                      <w:bCs/>
                      <w:color w:val="auto"/>
                      <w:spacing w:val="-6"/>
                      <w:kern w:val="0"/>
                      <w:sz w:val="21"/>
                      <w:szCs w:val="21"/>
                      <w:lang w:val="en-GB" w:eastAsia="zh-CN"/>
                    </w:rPr>
                    <w:t>“</w:t>
                  </w:r>
                  <w:r>
                    <w:rPr>
                      <w:rFonts w:hint="eastAsia" w:ascii="Times New Roman" w:hAnsi="Times New Roman" w:cs="Times New Roman"/>
                      <w:bCs/>
                      <w:color w:val="auto"/>
                      <w:spacing w:val="-6"/>
                      <w:kern w:val="0"/>
                      <w:sz w:val="21"/>
                      <w:szCs w:val="21"/>
                      <w:lang w:val="en-GB"/>
                    </w:rPr>
                    <w:t>（三）合理界定范围。本意见中所称的主题公园，是指以营利为目的兴建的，占地、投资达到一定规模，实行封闭管理，具有一个或多个特定文化旅游主题，为游客有偿提供休闲体验、文化娱乐产品或服务的园区。主要包括：以大型游乐设施为主体的游乐园，大型微缩景观公园，以及提供情景模拟、环境体验为主要内容的各类影视城、动漫城等园区。政府建设的各类公益性的城镇公园、动植物园等不属于主题公园。</w:t>
                  </w:r>
                  <w:r>
                    <w:rPr>
                      <w:rFonts w:hint="eastAsia" w:ascii="Times New Roman" w:hAnsi="Times New Roman" w:cs="Times New Roman"/>
                      <w:bCs/>
                      <w:color w:val="auto"/>
                      <w:spacing w:val="-6"/>
                      <w:kern w:val="0"/>
                      <w:sz w:val="21"/>
                      <w:szCs w:val="21"/>
                      <w:lang w:val="en-GB" w:eastAsia="zh-CN"/>
                    </w:rPr>
                    <w:t>”</w:t>
                  </w:r>
                  <w:r>
                    <w:rPr>
                      <w:rFonts w:hint="eastAsia" w:ascii="Times New Roman" w:hAnsi="Times New Roman" w:cs="Times New Roman"/>
                      <w:bCs/>
                      <w:color w:val="auto"/>
                      <w:spacing w:val="-6"/>
                      <w:kern w:val="0"/>
                      <w:sz w:val="21"/>
                      <w:szCs w:val="21"/>
                      <w:lang w:val="en-US" w:eastAsia="zh-CN"/>
                    </w:rPr>
                    <w:t>本项目的备案确认书中提及“景区实行开放式管理”，</w:t>
                  </w:r>
                </w:p>
              </w:tc>
              <w:tc>
                <w:tcPr>
                  <w:tcW w:w="1572" w:type="dxa"/>
                  <w:tcBorders>
                    <w:tl2br w:val="nil"/>
                    <w:tr2bl w:val="nil"/>
                  </w:tcBorders>
                  <w:vAlign w:val="center"/>
                </w:tcPr>
                <w:p>
                  <w:pPr>
                    <w:adjustRightInd w:val="0"/>
                    <w:snapToGrid w:val="0"/>
                    <w:spacing w:line="300" w:lineRule="exact"/>
                    <w:rPr>
                      <w:rFonts w:hint="eastAsia" w:ascii="Times New Roman" w:hAnsi="Times New Roman" w:cs="Times New Roman"/>
                      <w:bCs/>
                      <w:color w:val="auto"/>
                      <w:spacing w:val="-6"/>
                      <w:kern w:val="0"/>
                      <w:sz w:val="21"/>
                      <w:szCs w:val="21"/>
                      <w:lang w:val="en-US" w:eastAsia="zh-CN"/>
                    </w:rPr>
                  </w:pPr>
                  <w:r>
                    <w:rPr>
                      <w:rFonts w:hint="eastAsia" w:ascii="Times New Roman" w:hAnsi="Times New Roman" w:cs="Times New Roman"/>
                      <w:bCs/>
                      <w:color w:val="auto"/>
                      <w:spacing w:val="-6"/>
                      <w:kern w:val="0"/>
                      <w:sz w:val="21"/>
                      <w:szCs w:val="21"/>
                      <w:lang w:val="en-US" w:eastAsia="zh-CN"/>
                    </w:rPr>
                    <w:t>本项目的备案确认书中提及</w:t>
                  </w:r>
                  <w:r>
                    <w:rPr>
                      <w:rFonts w:hint="eastAsia" w:cs="Times New Roman"/>
                      <w:bCs/>
                      <w:color w:val="auto"/>
                      <w:spacing w:val="-6"/>
                      <w:kern w:val="0"/>
                      <w:sz w:val="21"/>
                      <w:szCs w:val="21"/>
                      <w:lang w:val="en-US" w:eastAsia="zh-CN"/>
                    </w:rPr>
                    <w:t>本项目</w:t>
                  </w:r>
                  <w:r>
                    <w:rPr>
                      <w:rFonts w:hint="eastAsia" w:ascii="Times New Roman" w:hAnsi="Times New Roman" w:cs="Times New Roman"/>
                      <w:bCs/>
                      <w:color w:val="auto"/>
                      <w:spacing w:val="-6"/>
                      <w:kern w:val="0"/>
                      <w:sz w:val="21"/>
                      <w:szCs w:val="21"/>
                      <w:lang w:val="en-US" w:eastAsia="zh-CN"/>
                    </w:rPr>
                    <w:t>“景区实行开放式管理”，因此，本项目不属于主题公园</w:t>
                  </w:r>
                  <w:r>
                    <w:rPr>
                      <w:rFonts w:hint="eastAsia" w:cs="Times New Roman"/>
                      <w:bCs/>
                      <w:color w:val="auto"/>
                      <w:spacing w:val="-6"/>
                      <w:kern w:val="0"/>
                      <w:sz w:val="21"/>
                      <w:szCs w:val="21"/>
                      <w:lang w:val="en-US" w:eastAsia="zh-CN"/>
                    </w:rPr>
                    <w:t>，</w:t>
                  </w:r>
                  <w:r>
                    <w:rPr>
                      <w:rFonts w:hint="eastAsia" w:ascii="Times New Roman" w:hAnsi="Times New Roman" w:cs="Times New Roman"/>
                      <w:bCs/>
                      <w:color w:val="auto"/>
                      <w:spacing w:val="-6"/>
                      <w:kern w:val="0"/>
                      <w:sz w:val="21"/>
                      <w:szCs w:val="21"/>
                      <w:lang w:val="en-US" w:eastAsia="zh-CN"/>
                    </w:rPr>
                    <w:t>应属于</w:t>
                  </w:r>
                  <w:r>
                    <w:rPr>
                      <w:rFonts w:hint="eastAsia" w:ascii="Times New Roman" w:hAnsi="Times New Roman" w:cs="Times New Roman"/>
                      <w:bCs/>
                      <w:color w:val="auto"/>
                      <w:spacing w:val="-6"/>
                      <w:kern w:val="0"/>
                      <w:sz w:val="21"/>
                      <w:szCs w:val="21"/>
                      <w:lang w:val="en-GB"/>
                    </w:rPr>
                    <w:t>《建设项目环境影响评价分类管理名录》（2021年版）</w:t>
                  </w:r>
                  <w:r>
                    <w:rPr>
                      <w:rFonts w:hint="eastAsia" w:ascii="Times New Roman" w:hAnsi="Times New Roman" w:cs="Times New Roman"/>
                      <w:bCs/>
                      <w:color w:val="auto"/>
                      <w:spacing w:val="-6"/>
                      <w:kern w:val="0"/>
                      <w:sz w:val="21"/>
                      <w:szCs w:val="21"/>
                      <w:lang w:val="en-US" w:eastAsia="zh-CN"/>
                    </w:rPr>
                    <w:t>中的五十社会事业与服务业中114公园</w:t>
                  </w:r>
                  <w:r>
                    <w:rPr>
                      <w:rFonts w:hint="eastAsia" w:ascii="Times New Roman" w:hAnsi="Times New Roman" w:cs="Times New Roman"/>
                      <w:bCs/>
                      <w:color w:val="auto"/>
                      <w:spacing w:val="-6"/>
                      <w:kern w:val="0"/>
                      <w:sz w:val="21"/>
                      <w:szCs w:val="21"/>
                      <w:lang w:val="en-GB"/>
                    </w:rPr>
                    <w:t>（含动物园、主题公园；不含城市公园、植物园、村庄公园）</w:t>
                  </w:r>
                  <w:r>
                    <w:rPr>
                      <w:rFonts w:hint="eastAsia" w:ascii="Times New Roman" w:hAnsi="Times New Roman" w:cs="Times New Roman"/>
                      <w:bCs/>
                      <w:color w:val="auto"/>
                      <w:spacing w:val="-6"/>
                      <w:kern w:val="0"/>
                      <w:sz w:val="21"/>
                      <w:szCs w:val="21"/>
                      <w:lang w:val="en-US" w:eastAsia="zh-CN"/>
                    </w:rPr>
                    <w:t>中的</w:t>
                  </w:r>
                  <w:r>
                    <w:rPr>
                      <w:rFonts w:hint="eastAsia" w:ascii="Times New Roman" w:hAnsi="Times New Roman" w:cs="Times New Roman"/>
                      <w:bCs/>
                      <w:color w:val="auto"/>
                      <w:spacing w:val="-6"/>
                      <w:kern w:val="0"/>
                      <w:sz w:val="21"/>
                      <w:szCs w:val="21"/>
                      <w:lang w:val="en-GB"/>
                    </w:rPr>
                    <w:t>其他公园</w:t>
                  </w:r>
                  <w:r>
                    <w:rPr>
                      <w:rFonts w:hint="eastAsia" w:ascii="Times New Roman" w:hAnsi="Times New Roman" w:cs="Times New Roman"/>
                      <w:bCs/>
                      <w:color w:val="auto"/>
                      <w:spacing w:val="-6"/>
                      <w:kern w:val="0"/>
                      <w:sz w:val="21"/>
                      <w:szCs w:val="21"/>
                      <w:lang w:val="en-US" w:eastAsia="zh-CN"/>
                    </w:rPr>
                    <w:t>类</w:t>
                  </w:r>
                  <w:r>
                    <w:rPr>
                      <w:rFonts w:hint="eastAsia" w:cs="Times New Roman"/>
                      <w:bCs/>
                      <w:color w:val="auto"/>
                      <w:spacing w:val="-6"/>
                      <w:kern w:val="0"/>
                      <w:sz w:val="21"/>
                      <w:szCs w:val="21"/>
                      <w:lang w:val="en-US" w:eastAsia="zh-CN"/>
                    </w:rPr>
                    <w:t>。</w:t>
                  </w:r>
                </w:p>
                <w:p>
                  <w:pPr>
                    <w:adjustRightInd w:val="0"/>
                    <w:snapToGrid w:val="0"/>
                    <w:spacing w:line="300" w:lineRule="exact"/>
                    <w:rPr>
                      <w:rFonts w:hint="default" w:ascii="Times New Roman" w:hAnsi="Times New Roman" w:cs="Times New Roman"/>
                      <w:bCs/>
                      <w:color w:val="auto"/>
                      <w:spacing w:val="-6"/>
                      <w:kern w:val="0"/>
                      <w:sz w:val="21"/>
                      <w:szCs w:val="21"/>
                      <w:lang w:val="en-GB"/>
                    </w:rPr>
                  </w:pPr>
                </w:p>
              </w:tc>
              <w:tc>
                <w:tcPr>
                  <w:tcW w:w="783" w:type="dxa"/>
                  <w:tcBorders>
                    <w:tl2br w:val="nil"/>
                    <w:tr2bl w:val="nil"/>
                  </w:tcBorders>
                  <w:vAlign w:val="center"/>
                </w:tcPr>
                <w:p>
                  <w:pPr>
                    <w:adjustRightInd w:val="0"/>
                    <w:snapToGrid w:val="0"/>
                    <w:spacing w:line="300" w:lineRule="exact"/>
                    <w:jc w:val="center"/>
                    <w:rPr>
                      <w:rFonts w:hint="default" w:ascii="Times New Roman" w:hAnsi="Times New Roman" w:cs="Times New Roman"/>
                      <w:bCs/>
                      <w:color w:val="auto"/>
                      <w:spacing w:val="-6"/>
                      <w:kern w:val="0"/>
                      <w:sz w:val="21"/>
                      <w:szCs w:val="21"/>
                      <w:lang w:val="en-US" w:eastAsia="zh-CN"/>
                    </w:rPr>
                  </w:pPr>
                  <w:r>
                    <w:rPr>
                      <w:rFonts w:hint="eastAsia" w:cs="Times New Roman"/>
                      <w:bCs/>
                      <w:color w:val="auto"/>
                      <w:spacing w:val="-6"/>
                      <w:kern w:val="0"/>
                      <w:sz w:val="21"/>
                      <w:szCs w:val="21"/>
                      <w:lang w:val="en-US" w:eastAsia="zh-CN"/>
                    </w:rPr>
                    <w:t>不属于主体公园，属于其它公园</w:t>
                  </w:r>
                </w:p>
              </w:tc>
            </w:tr>
          </w:tbl>
          <w:p>
            <w:pPr>
              <w:autoSpaceDE w:val="0"/>
              <w:autoSpaceDN w:val="0"/>
              <w:adjustRightInd w:val="0"/>
              <w:snapToGrid w:val="0"/>
              <w:spacing w:line="360" w:lineRule="auto"/>
              <w:ind w:firstLine="480" w:firstLineChars="200"/>
              <w:rPr>
                <w:color w:val="auto"/>
                <w:kern w:val="0"/>
                <w:sz w:val="24"/>
              </w:rPr>
            </w:pPr>
          </w:p>
        </w:tc>
      </w:tr>
    </w:tbl>
    <w:p>
      <w:pPr>
        <w:autoSpaceDE w:val="0"/>
        <w:autoSpaceDN w:val="0"/>
        <w:adjustRightInd w:val="0"/>
        <w:snapToGrid w:val="0"/>
        <w:spacing w:line="360" w:lineRule="auto"/>
        <w:ind w:firstLine="480" w:firstLineChars="200"/>
        <w:rPr>
          <w:color w:val="auto"/>
          <w:kern w:val="0"/>
          <w:sz w:val="21"/>
          <w:szCs w:val="21"/>
        </w:rPr>
      </w:pPr>
      <w:r>
        <w:rPr>
          <w:rFonts w:hint="eastAsia"/>
          <w:color w:val="auto"/>
          <w:kern w:val="0"/>
          <w:sz w:val="21"/>
          <w:szCs w:val="21"/>
        </w:rPr>
        <w:t>注：本项目属于五十、社会事业与服务业 114公园-其他公园，根据《建设项目环境影响报告表编制技术指南》（生态影响类）（试行）中生态影响为主要特征的建设项目适用范围：社会事业与服务业（不包括有化学或生物实验室的学校、胶片洗印厂、加油加气站、洗车场、汽车或摩托车维修场所、殡仪馆、动物医院），故公园属于生态影响类项目；</w:t>
      </w:r>
      <w:r>
        <w:rPr>
          <w:rFonts w:hint="eastAsia"/>
          <w:color w:val="auto"/>
          <w:kern w:val="0"/>
          <w:sz w:val="21"/>
          <w:szCs w:val="21"/>
        </w:rPr>
        <w:t>同时，本项目</w:t>
      </w:r>
      <w:r>
        <w:rPr>
          <w:rFonts w:hint="eastAsia"/>
          <w:color w:val="auto"/>
          <w:kern w:val="0"/>
          <w:sz w:val="21"/>
          <w:szCs w:val="21"/>
          <w:lang w:val="en-US" w:eastAsia="zh-CN"/>
        </w:rPr>
        <w:t>建设职工食堂、地下停车场、备用发电机</w:t>
      </w:r>
      <w:r>
        <w:rPr>
          <w:rFonts w:hint="eastAsia"/>
          <w:color w:val="auto"/>
          <w:kern w:val="0"/>
          <w:sz w:val="21"/>
          <w:szCs w:val="21"/>
        </w:rPr>
        <w:t>，属于污染影响类项目，根据</w:t>
      </w:r>
      <w:r>
        <w:rPr>
          <w:rFonts w:hint="eastAsia"/>
          <w:color w:val="auto"/>
          <w:kern w:val="0"/>
          <w:sz w:val="21"/>
          <w:szCs w:val="21"/>
        </w:rPr>
        <w:t>《建设项目环境影响报告表编制技术指南》（污染影响类）（试行）适用范围为规定同时涉及污染和生态影响的建设项目，填写《建设项目环境影响报告表（生态影响类）》</w:t>
      </w:r>
      <w:r>
        <w:rPr>
          <w:rFonts w:hint="eastAsia"/>
          <w:color w:val="auto"/>
          <w:kern w:val="0"/>
          <w:sz w:val="21"/>
          <w:szCs w:val="21"/>
          <w:lang w:eastAsia="zh-CN"/>
        </w:rPr>
        <w:t>。</w:t>
      </w:r>
    </w:p>
    <w:p>
      <w:pPr>
        <w:autoSpaceDE w:val="0"/>
        <w:autoSpaceDN w:val="0"/>
        <w:adjustRightInd w:val="0"/>
        <w:snapToGrid w:val="0"/>
        <w:spacing w:line="360" w:lineRule="auto"/>
        <w:ind w:firstLine="480" w:firstLineChars="200"/>
        <w:rPr>
          <w:color w:val="auto"/>
          <w:kern w:val="0"/>
          <w:sz w:val="21"/>
          <w:szCs w:val="21"/>
        </w:rPr>
      </w:pPr>
      <w:r>
        <w:rPr>
          <w:rFonts w:hint="eastAsia"/>
          <w:color w:val="auto"/>
          <w:kern w:val="0"/>
          <w:sz w:val="21"/>
          <w:szCs w:val="21"/>
        </w:rPr>
        <w:t>故本项目按照《建设项目环境影响报告表（生态影响类）填写。</w:t>
      </w:r>
    </w:p>
    <w:p>
      <w:pPr>
        <w:autoSpaceDE w:val="0"/>
        <w:autoSpaceDN w:val="0"/>
        <w:adjustRightInd w:val="0"/>
        <w:snapToGrid w:val="0"/>
        <w:spacing w:line="360" w:lineRule="auto"/>
        <w:ind w:firstLine="480" w:firstLineChars="200"/>
        <w:rPr>
          <w:color w:val="auto"/>
          <w:kern w:val="0"/>
          <w:sz w:val="24"/>
        </w:rPr>
      </w:pPr>
    </w:p>
    <w:p>
      <w:pPr>
        <w:pStyle w:val="14"/>
        <w:ind w:left="5250"/>
        <w:rPr>
          <w:color w:val="auto"/>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pPr>
        <w:pStyle w:val="19"/>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二、建设内容</w:t>
      </w:r>
    </w:p>
    <w:tbl>
      <w:tblPr>
        <w:tblStyle w:val="24"/>
        <w:tblW w:w="912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2"/>
        <w:gridCol w:w="840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jc w:val="center"/>
        </w:trPr>
        <w:tc>
          <w:tcPr>
            <w:tcW w:w="712" w:type="dxa"/>
            <w:vAlign w:val="center"/>
          </w:tcPr>
          <w:p>
            <w:pPr>
              <w:adjustRightInd w:val="0"/>
              <w:snapToGrid w:val="0"/>
              <w:jc w:val="center"/>
              <w:rPr>
                <w:rFonts w:ascii="宋体" w:hAnsi="宋体" w:cs="宋体"/>
                <w:color w:val="auto"/>
                <w:kern w:val="0"/>
                <w:sz w:val="24"/>
              </w:rPr>
            </w:pPr>
            <w:r>
              <w:rPr>
                <w:rFonts w:hint="eastAsia" w:ascii="宋体" w:hAnsi="宋体" w:cs="宋体"/>
                <w:color w:val="auto"/>
                <w:kern w:val="0"/>
                <w:sz w:val="24"/>
              </w:rPr>
              <w:t>地理位置</w:t>
            </w:r>
          </w:p>
        </w:tc>
        <w:tc>
          <w:tcPr>
            <w:tcW w:w="8408" w:type="dxa"/>
            <w:vAlign w:val="center"/>
          </w:tcPr>
          <w:p>
            <w:pPr>
              <w:spacing w:line="360" w:lineRule="auto"/>
              <w:ind w:right="-38" w:rightChars="-18"/>
              <w:rPr>
                <w:color w:val="auto"/>
                <w:kern w:val="0"/>
                <w:sz w:val="24"/>
              </w:rPr>
            </w:pPr>
            <w:r>
              <w:rPr>
                <w:rFonts w:hint="eastAsia"/>
                <w:color w:val="auto"/>
                <w:sz w:val="24"/>
                <w:lang w:val="en-US" w:eastAsia="zh-CN"/>
              </w:rPr>
              <w:t xml:space="preserve">    该项目位于西咸新区秦汉新城，</w:t>
            </w:r>
            <w:r>
              <w:rPr>
                <w:rFonts w:hint="eastAsia" w:ascii="宋体" w:hAnsi="宋体" w:cs="宋体"/>
                <w:color w:val="auto"/>
                <w:sz w:val="24"/>
                <w:szCs w:val="24"/>
                <w:u w:val="single"/>
                <w:lang w:val="en-US" w:eastAsia="zh-CN"/>
              </w:rPr>
              <w:t>北侧紧邻规划的望夷路，南邻沣泾大道，西与恒大C地块住宅区以规划的汉风三路相隔</w:t>
            </w:r>
            <w:r>
              <w:rPr>
                <w:rFonts w:hint="eastAsia"/>
                <w:color w:val="auto"/>
                <w:sz w:val="24"/>
                <w:lang w:val="en-US" w:eastAsia="zh-CN"/>
              </w:rPr>
              <w:t>，东邻规划的汉风路，地理位置见附图2。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780" w:hRule="atLeast"/>
          <w:jc w:val="center"/>
        </w:trPr>
        <w:tc>
          <w:tcPr>
            <w:tcW w:w="712" w:type="dxa"/>
            <w:vAlign w:val="center"/>
          </w:tcPr>
          <w:p>
            <w:pPr>
              <w:adjustRightInd w:val="0"/>
              <w:snapToGrid w:val="0"/>
              <w:jc w:val="center"/>
              <w:rPr>
                <w:rFonts w:ascii="宋体" w:hAnsi="宋体" w:cs="宋体"/>
                <w:color w:val="auto"/>
                <w:kern w:val="0"/>
                <w:sz w:val="24"/>
              </w:rPr>
            </w:pPr>
            <w:r>
              <w:rPr>
                <w:rFonts w:hint="eastAsia" w:ascii="宋体" w:hAnsi="宋体" w:cs="宋体"/>
                <w:color w:val="auto"/>
                <w:kern w:val="0"/>
                <w:sz w:val="24"/>
              </w:rPr>
              <w:t>项目组成及规模</w:t>
            </w:r>
          </w:p>
        </w:tc>
        <w:tc>
          <w:tcPr>
            <w:tcW w:w="8408" w:type="dxa"/>
            <w:vAlign w:val="center"/>
          </w:tcPr>
          <w:p>
            <w:pPr>
              <w:pStyle w:val="10"/>
              <w:spacing w:after="0" w:line="360" w:lineRule="auto"/>
              <w:rPr>
                <w:b/>
                <w:bCs/>
                <w:color w:val="auto"/>
                <w:sz w:val="24"/>
                <w:szCs w:val="24"/>
              </w:rPr>
            </w:pPr>
            <w:r>
              <w:rPr>
                <w:rFonts w:hint="eastAsia"/>
                <w:b/>
                <w:bCs/>
                <w:color w:val="auto"/>
                <w:sz w:val="24"/>
                <w:szCs w:val="24"/>
                <w:lang w:val="en-US" w:eastAsia="zh-CN"/>
              </w:rPr>
              <w:t>1、项目</w:t>
            </w:r>
            <w:r>
              <w:rPr>
                <w:b/>
                <w:bCs/>
                <w:color w:val="auto"/>
                <w:sz w:val="24"/>
                <w:szCs w:val="24"/>
              </w:rPr>
              <w:t>建设内容</w:t>
            </w:r>
          </w:p>
          <w:p>
            <w:pPr>
              <w:spacing w:line="360" w:lineRule="auto"/>
              <w:ind w:right="-38" w:rightChars="-18" w:firstLine="480"/>
              <w:rPr>
                <w:rFonts w:hint="eastAsia"/>
                <w:color w:val="auto"/>
                <w:sz w:val="24"/>
                <w:lang w:val="en-US" w:eastAsia="zh-CN"/>
              </w:rPr>
            </w:pPr>
            <w:r>
              <w:rPr>
                <w:rFonts w:hint="eastAsia"/>
                <w:color w:val="auto"/>
                <w:sz w:val="24"/>
                <w:lang w:val="en-US" w:eastAsia="zh-CN"/>
              </w:rPr>
              <w:t>本项目主要建设内容包括主城堡、六个主题区及配套设施，总占地面积809104.7m</w:t>
            </w:r>
            <w:r>
              <w:rPr>
                <w:rFonts w:hint="eastAsia"/>
                <w:color w:val="auto"/>
                <w:sz w:val="24"/>
                <w:vertAlign w:val="superscript"/>
                <w:lang w:val="en-US" w:eastAsia="zh-CN"/>
              </w:rPr>
              <w:t>2</w:t>
            </w:r>
            <w:r>
              <w:rPr>
                <w:rFonts w:hint="eastAsia"/>
                <w:color w:val="auto"/>
                <w:sz w:val="24"/>
                <w:lang w:val="en-US" w:eastAsia="zh-CN"/>
              </w:rPr>
              <w:t>，六个主题区分别为璀璨中华区、神秘古国区、漫游海洋区、穿越太空区、探险南美区、魔幻西欧区，总建筑面积405942.6m</w:t>
            </w:r>
            <w:r>
              <w:rPr>
                <w:rFonts w:hint="eastAsia"/>
                <w:color w:val="auto"/>
                <w:sz w:val="24"/>
                <w:vertAlign w:val="superscript"/>
                <w:lang w:val="en-US" w:eastAsia="zh-CN"/>
              </w:rPr>
              <w:t>2</w:t>
            </w:r>
            <w:r>
              <w:rPr>
                <w:rFonts w:hint="eastAsia"/>
                <w:color w:val="auto"/>
                <w:sz w:val="24"/>
                <w:lang w:val="en-US" w:eastAsia="zh-CN"/>
              </w:rPr>
              <w:t>。其中地上面积是290346.79m</w:t>
            </w:r>
            <w:r>
              <w:rPr>
                <w:rFonts w:hint="eastAsia"/>
                <w:color w:val="auto"/>
                <w:sz w:val="24"/>
                <w:vertAlign w:val="superscript"/>
                <w:lang w:val="en-US" w:eastAsia="zh-CN"/>
              </w:rPr>
              <w:t>2</w:t>
            </w:r>
            <w:r>
              <w:rPr>
                <w:rFonts w:hint="eastAsia"/>
                <w:color w:val="auto"/>
                <w:sz w:val="24"/>
                <w:lang w:val="en-US" w:eastAsia="zh-CN"/>
              </w:rPr>
              <w:t>，地下建筑面积是115595.88m</w:t>
            </w:r>
            <w:r>
              <w:rPr>
                <w:rFonts w:hint="eastAsia"/>
                <w:color w:val="auto"/>
                <w:sz w:val="24"/>
                <w:vertAlign w:val="superscript"/>
                <w:lang w:val="en-US" w:eastAsia="zh-CN"/>
              </w:rPr>
              <w:t>2</w:t>
            </w:r>
            <w:r>
              <w:rPr>
                <w:rFonts w:hint="eastAsia"/>
                <w:color w:val="auto"/>
                <w:sz w:val="24"/>
                <w:lang w:val="en-US" w:eastAsia="zh-CN"/>
              </w:rPr>
              <w:t>。项目建成后，年客流量预计最高可达到600万人次。具体项目建设内容详见表3。各游乐单体设计内容见表4。</w:t>
            </w:r>
          </w:p>
          <w:p>
            <w:pPr>
              <w:widowControl w:val="0"/>
              <w:snapToGrid w:val="0"/>
              <w:spacing w:line="360" w:lineRule="auto"/>
              <w:jc w:val="center"/>
              <w:rPr>
                <w:rFonts w:hint="eastAsia" w:ascii="Times New Roman" w:hAnsi="Times New Roman" w:eastAsia="黑体" w:cs="Times New Roman"/>
                <w:color w:val="auto"/>
                <w:sz w:val="24"/>
                <w:szCs w:val="24"/>
              </w:rPr>
            </w:pPr>
            <w:r>
              <w:rPr>
                <w:rFonts w:hint="eastAsia" w:eastAsia="黑体" w:cs="Times New Roman"/>
                <w:color w:val="auto"/>
                <w:sz w:val="24"/>
                <w:szCs w:val="24"/>
                <w:lang w:val="en-US" w:eastAsia="zh-CN"/>
              </w:rPr>
              <w:t xml:space="preserve"> </w:t>
            </w:r>
            <w:r>
              <w:rPr>
                <w:rFonts w:hint="eastAsia" w:ascii="Times New Roman" w:hAnsi="Times New Roman" w:eastAsia="黑体" w:cs="Times New Roman"/>
                <w:color w:val="auto"/>
                <w:sz w:val="24"/>
                <w:szCs w:val="24"/>
              </w:rPr>
              <w:t>表</w:t>
            </w:r>
            <w:r>
              <w:rPr>
                <w:rFonts w:hint="eastAsia" w:eastAsia="黑体" w:cs="Times New Roman"/>
                <w:color w:val="auto"/>
                <w:sz w:val="24"/>
                <w:szCs w:val="24"/>
                <w:lang w:val="en-US" w:eastAsia="zh-CN"/>
              </w:rPr>
              <w:t>3</w:t>
            </w:r>
            <w:r>
              <w:rPr>
                <w:rFonts w:hint="eastAsia" w:ascii="Times New Roman" w:hAnsi="Times New Roman" w:eastAsia="黑体" w:cs="Times New Roman"/>
                <w:color w:val="auto"/>
                <w:sz w:val="24"/>
                <w:szCs w:val="24"/>
              </w:rPr>
              <w:t xml:space="preserve">   </w:t>
            </w:r>
            <w:r>
              <w:rPr>
                <w:rFonts w:hint="eastAsia" w:eastAsia="黑体" w:cs="Times New Roman"/>
                <w:color w:val="auto"/>
                <w:sz w:val="24"/>
                <w:szCs w:val="24"/>
                <w:lang w:val="en-US" w:eastAsia="zh-CN"/>
              </w:rPr>
              <w:t xml:space="preserve">     </w:t>
            </w:r>
            <w:r>
              <w:rPr>
                <w:rFonts w:hint="eastAsia" w:ascii="Times New Roman" w:hAnsi="Times New Roman" w:eastAsia="黑体" w:cs="Times New Roman"/>
                <w:color w:val="auto"/>
                <w:sz w:val="24"/>
                <w:szCs w:val="24"/>
              </w:rPr>
              <w:t>项目主要建设内容</w:t>
            </w:r>
          </w:p>
          <w:tbl>
            <w:tblPr>
              <w:tblStyle w:val="24"/>
              <w:tblW w:w="786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496"/>
              <w:gridCol w:w="420"/>
              <w:gridCol w:w="50"/>
              <w:gridCol w:w="369"/>
              <w:gridCol w:w="136"/>
              <w:gridCol w:w="215"/>
              <w:gridCol w:w="185"/>
              <w:gridCol w:w="302"/>
              <w:gridCol w:w="1"/>
              <w:gridCol w:w="90"/>
              <w:gridCol w:w="5093"/>
              <w:gridCol w:w="5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2173" w:type="dxa"/>
                  <w:gridSpan w:val="8"/>
                  <w:vAlign w:val="center"/>
                </w:tcPr>
                <w:p>
                  <w:pPr>
                    <w:adjustRightInd w:val="0"/>
                    <w:snapToGrid w:val="0"/>
                    <w:jc w:val="center"/>
                    <w:rPr>
                      <w:b/>
                      <w:color w:val="auto"/>
                      <w:szCs w:val="21"/>
                    </w:rPr>
                  </w:pPr>
                  <w:r>
                    <w:rPr>
                      <w:b/>
                      <w:color w:val="auto"/>
                      <w:szCs w:val="21"/>
                    </w:rPr>
                    <w:t>工程名称</w:t>
                  </w:r>
                </w:p>
              </w:tc>
              <w:tc>
                <w:tcPr>
                  <w:tcW w:w="5184" w:type="dxa"/>
                  <w:gridSpan w:val="3"/>
                  <w:vAlign w:val="center"/>
                </w:tcPr>
                <w:p>
                  <w:pPr>
                    <w:adjustRightInd w:val="0"/>
                    <w:snapToGrid w:val="0"/>
                    <w:jc w:val="center"/>
                    <w:rPr>
                      <w:b/>
                      <w:color w:val="auto"/>
                      <w:szCs w:val="21"/>
                    </w:rPr>
                  </w:pPr>
                  <w:r>
                    <w:rPr>
                      <w:b/>
                      <w:color w:val="auto"/>
                      <w:szCs w:val="21"/>
                    </w:rPr>
                    <w:t>建设内容</w:t>
                  </w:r>
                </w:p>
              </w:tc>
              <w:tc>
                <w:tcPr>
                  <w:tcW w:w="505" w:type="dxa"/>
                  <w:vAlign w:val="center"/>
                </w:tcPr>
                <w:p>
                  <w:pPr>
                    <w:adjustRightInd w:val="0"/>
                    <w:snapToGrid w:val="0"/>
                    <w:jc w:val="center"/>
                    <w:rPr>
                      <w:b/>
                      <w:color w:val="auto"/>
                      <w:szCs w:val="21"/>
                    </w:rPr>
                  </w:pPr>
                  <w:r>
                    <w:rPr>
                      <w:b/>
                      <w:color w:val="auto"/>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48" w:hRule="atLeast"/>
                <w:jc w:val="center"/>
              </w:trPr>
              <w:tc>
                <w:tcPr>
                  <w:tcW w:w="496" w:type="dxa"/>
                  <w:vMerge w:val="restart"/>
                  <w:tcBorders>
                    <w:top w:val="single" w:color="auto" w:sz="4" w:space="0"/>
                  </w:tcBorders>
                  <w:vAlign w:val="center"/>
                </w:tcPr>
                <w:p>
                  <w:pPr>
                    <w:adjustRightInd w:val="0"/>
                    <w:snapToGrid w:val="0"/>
                    <w:jc w:val="center"/>
                    <w:rPr>
                      <w:color w:val="auto"/>
                      <w:szCs w:val="21"/>
                    </w:rPr>
                  </w:pPr>
                  <w:r>
                    <w:rPr>
                      <w:color w:val="auto"/>
                      <w:szCs w:val="21"/>
                    </w:rPr>
                    <w:t>主体</w:t>
                  </w:r>
                </w:p>
                <w:p>
                  <w:pPr>
                    <w:adjustRightInd w:val="0"/>
                    <w:snapToGrid w:val="0"/>
                    <w:jc w:val="center"/>
                    <w:rPr>
                      <w:color w:val="auto"/>
                      <w:szCs w:val="21"/>
                    </w:rPr>
                  </w:pPr>
                  <w:r>
                    <w:rPr>
                      <w:color w:val="auto"/>
                      <w:szCs w:val="21"/>
                    </w:rPr>
                    <w:t>工程</w:t>
                  </w:r>
                </w:p>
              </w:tc>
              <w:tc>
                <w:tcPr>
                  <w:tcW w:w="1677" w:type="dxa"/>
                  <w:gridSpan w:val="7"/>
                  <w:vAlign w:val="center"/>
                </w:tcPr>
                <w:p>
                  <w:pPr>
                    <w:adjustRightInd w:val="0"/>
                    <w:snapToGrid w:val="0"/>
                    <w:jc w:val="center"/>
                    <w:rPr>
                      <w:rFonts w:hint="eastAsia" w:eastAsia="宋体"/>
                      <w:color w:val="auto"/>
                      <w:szCs w:val="21"/>
                      <w:lang w:val="en-US" w:eastAsia="zh-CN"/>
                    </w:rPr>
                  </w:pPr>
                  <w:r>
                    <w:rPr>
                      <w:rFonts w:hint="eastAsia"/>
                      <w:color w:val="auto"/>
                      <w:szCs w:val="21"/>
                      <w:lang w:val="en-US" w:eastAsia="zh-CN"/>
                    </w:rPr>
                    <w:t>主城堡</w:t>
                  </w:r>
                </w:p>
              </w:tc>
              <w:tc>
                <w:tcPr>
                  <w:tcW w:w="5184" w:type="dxa"/>
                  <w:gridSpan w:val="3"/>
                  <w:tcBorders>
                    <w:top w:val="single" w:color="auto" w:sz="4" w:space="0"/>
                  </w:tcBorders>
                  <w:tcMar>
                    <w:top w:w="0" w:type="dxa"/>
                    <w:left w:w="57" w:type="dxa"/>
                    <w:bottom w:w="0" w:type="dxa"/>
                    <w:right w:w="57" w:type="dxa"/>
                  </w:tcMar>
                  <w:vAlign w:val="center"/>
                </w:tcPr>
                <w:p>
                  <w:pPr>
                    <w:adjustRightInd w:val="0"/>
                    <w:snapToGrid w:val="0"/>
                    <w:rPr>
                      <w:color w:val="auto"/>
                      <w:szCs w:val="21"/>
                    </w:rPr>
                  </w:pPr>
                  <w:r>
                    <w:rPr>
                      <w:rFonts w:hint="eastAsia"/>
                      <w:color w:val="auto"/>
                      <w:szCs w:val="21"/>
                      <w:lang w:val="en-US" w:eastAsia="zh-CN"/>
                    </w:rPr>
                    <w:t>为项目</w:t>
                  </w:r>
                  <w:r>
                    <w:rPr>
                      <w:rFonts w:hint="eastAsia"/>
                      <w:color w:val="auto"/>
                      <w:szCs w:val="21"/>
                    </w:rPr>
                    <w:t>标志性建筑</w:t>
                  </w:r>
                  <w:r>
                    <w:rPr>
                      <w:rFonts w:hint="eastAsia"/>
                      <w:color w:val="auto"/>
                      <w:szCs w:val="21"/>
                      <w:lang w:eastAsia="zh-CN"/>
                    </w:rPr>
                    <w:t>，</w:t>
                  </w:r>
                  <w:r>
                    <w:rPr>
                      <w:rFonts w:hint="eastAsia"/>
                      <w:color w:val="auto"/>
                      <w:szCs w:val="21"/>
                    </w:rPr>
                    <w:t>主城堡以奇幻精灵为设计灵感来源，通过卡通灵动的元素造型设计，充分展示神奇梦幻的特点。</w:t>
                  </w:r>
                  <w:r>
                    <w:rPr>
                      <w:rFonts w:hint="eastAsia"/>
                      <w:color w:val="auto"/>
                      <w:szCs w:val="21"/>
                      <w:lang w:val="en-US" w:eastAsia="zh-CN"/>
                    </w:rPr>
                    <w:t>功能为服务类乐园建筑，</w:t>
                  </w:r>
                  <w:r>
                    <w:rPr>
                      <w:rFonts w:hint="eastAsia"/>
                      <w:color w:val="auto"/>
                      <w:szCs w:val="21"/>
                    </w:rPr>
                    <w:t>兼顾乐园主入口、游客服务</w:t>
                  </w:r>
                  <w:r>
                    <w:rPr>
                      <w:rFonts w:hint="eastAsia"/>
                      <w:color w:val="auto"/>
                      <w:szCs w:val="21"/>
                      <w:lang w:val="en-US" w:eastAsia="zh-CN"/>
                    </w:rPr>
                    <w:t>及重要交通枢纽功能</w:t>
                  </w:r>
                  <w:r>
                    <w:rPr>
                      <w:rFonts w:hint="eastAsia"/>
                      <w:color w:val="auto"/>
                      <w:szCs w:val="21"/>
                    </w:rPr>
                    <w:t>等</w:t>
                  </w:r>
                  <w:r>
                    <w:rPr>
                      <w:rFonts w:hint="eastAsia"/>
                      <w:color w:val="auto"/>
                      <w:szCs w:val="21"/>
                      <w:lang w:eastAsia="zh-CN"/>
                    </w:rPr>
                    <w:t>。</w:t>
                  </w:r>
                  <w:r>
                    <w:rPr>
                      <w:rFonts w:hint="eastAsia"/>
                      <w:color w:val="auto"/>
                      <w:szCs w:val="21"/>
                      <w:lang w:val="en-US" w:eastAsia="zh-CN"/>
                    </w:rPr>
                    <w:t>总建筑面积134118.56</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地上3层，地下2层，</w:t>
                  </w:r>
                  <w:r>
                    <w:rPr>
                      <w:rFonts w:hint="eastAsia"/>
                      <w:color w:val="auto"/>
                      <w:szCs w:val="21"/>
                    </w:rPr>
                    <w:t>其中地上</w:t>
                  </w:r>
                  <w:r>
                    <w:rPr>
                      <w:rFonts w:hint="eastAsia"/>
                      <w:color w:val="auto"/>
                      <w:szCs w:val="21"/>
                      <w:lang w:val="en-US" w:eastAsia="zh-CN"/>
                    </w:rPr>
                    <w:t>36849.07</w:t>
                  </w:r>
                  <w:r>
                    <w:rPr>
                      <w:rFonts w:hint="eastAsia"/>
                      <w:color w:val="auto"/>
                      <w:szCs w:val="21"/>
                    </w:rPr>
                    <w:t>m</w:t>
                  </w:r>
                  <w:r>
                    <w:rPr>
                      <w:rFonts w:hint="eastAsia"/>
                      <w:color w:val="auto"/>
                      <w:szCs w:val="21"/>
                      <w:vertAlign w:val="superscript"/>
                    </w:rPr>
                    <w:t>2</w:t>
                  </w:r>
                  <w:r>
                    <w:rPr>
                      <w:rFonts w:hint="eastAsia"/>
                      <w:color w:val="auto"/>
                      <w:szCs w:val="21"/>
                    </w:rPr>
                    <w:t>，地下</w:t>
                  </w:r>
                  <w:r>
                    <w:rPr>
                      <w:rFonts w:hint="eastAsia"/>
                      <w:color w:val="auto"/>
                      <w:szCs w:val="21"/>
                      <w:lang w:val="en-US" w:eastAsia="zh-CN"/>
                    </w:rPr>
                    <w:t>97269.49</w:t>
                  </w:r>
                  <w:r>
                    <w:rPr>
                      <w:rFonts w:hint="eastAsia"/>
                      <w:color w:val="auto"/>
                      <w:szCs w:val="21"/>
                    </w:rPr>
                    <w:t>m</w:t>
                  </w:r>
                  <w:r>
                    <w:rPr>
                      <w:rFonts w:hint="eastAsia"/>
                      <w:color w:val="auto"/>
                      <w:szCs w:val="21"/>
                      <w:vertAlign w:val="superscript"/>
                    </w:rPr>
                    <w:t>2</w:t>
                  </w:r>
                  <w:r>
                    <w:rPr>
                      <w:rFonts w:hint="eastAsia"/>
                      <w:color w:val="auto"/>
                      <w:szCs w:val="21"/>
                      <w:lang w:eastAsia="zh-CN"/>
                    </w:rPr>
                    <w:t>。</w:t>
                  </w:r>
                </w:p>
              </w:tc>
              <w:tc>
                <w:tcPr>
                  <w:tcW w:w="505" w:type="dxa"/>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r>
                    <w:rPr>
                      <w:rFonts w:hint="eastAsia"/>
                      <w:color w:val="auto"/>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01" w:hRule="atLeast"/>
                <w:jc w:val="center"/>
              </w:trPr>
              <w:tc>
                <w:tcPr>
                  <w:tcW w:w="496" w:type="dxa"/>
                  <w:vMerge w:val="continue"/>
                  <w:vAlign w:val="center"/>
                </w:tcPr>
                <w:p>
                  <w:pPr>
                    <w:adjustRightInd w:val="0"/>
                    <w:snapToGrid w:val="0"/>
                    <w:jc w:val="center"/>
                    <w:rPr>
                      <w:color w:val="auto"/>
                      <w:szCs w:val="21"/>
                    </w:rPr>
                  </w:pPr>
                </w:p>
              </w:tc>
              <w:tc>
                <w:tcPr>
                  <w:tcW w:w="420" w:type="dxa"/>
                  <w:vMerge w:val="restart"/>
                  <w:vAlign w:val="center"/>
                </w:tcPr>
                <w:p>
                  <w:pPr>
                    <w:adjustRightInd w:val="0"/>
                    <w:snapToGrid w:val="0"/>
                    <w:jc w:val="center"/>
                    <w:rPr>
                      <w:rFonts w:hint="eastAsia"/>
                      <w:color w:val="auto"/>
                      <w:szCs w:val="21"/>
                      <w:lang w:val="en-US" w:eastAsia="zh-CN"/>
                    </w:rPr>
                  </w:pPr>
                  <w:r>
                    <w:rPr>
                      <w:rFonts w:hint="eastAsia"/>
                      <w:color w:val="auto"/>
                      <w:szCs w:val="21"/>
                      <w:lang w:val="en-US" w:eastAsia="zh-CN"/>
                    </w:rPr>
                    <w:t>璀璨中华区</w:t>
                  </w:r>
                </w:p>
              </w:tc>
              <w:tc>
                <w:tcPr>
                  <w:tcW w:w="6441" w:type="dxa"/>
                  <w:gridSpan w:val="9"/>
                  <w:vAlign w:val="center"/>
                </w:tcPr>
                <w:p>
                  <w:pPr>
                    <w:adjustRightInd w:val="0"/>
                    <w:snapToGrid w:val="0"/>
                    <w:rPr>
                      <w:color w:val="auto"/>
                      <w:szCs w:val="21"/>
                    </w:rPr>
                  </w:pPr>
                  <w:r>
                    <w:rPr>
                      <w:rFonts w:hint="eastAsia"/>
                      <w:color w:val="auto"/>
                      <w:szCs w:val="21"/>
                      <w:lang w:val="en-US" w:eastAsia="zh-CN"/>
                    </w:rPr>
                    <w:t>建筑共包括13个单体建筑，功能为游乐设施及配套建筑。总建筑面积 100033.96m</w:t>
                  </w:r>
                  <w:r>
                    <w:rPr>
                      <w:rFonts w:hint="eastAsia"/>
                      <w:color w:val="auto"/>
                      <w:szCs w:val="21"/>
                      <w:vertAlign w:val="superscript"/>
                      <w:lang w:val="en-US" w:eastAsia="zh-CN"/>
                    </w:rPr>
                    <w:t>2</w:t>
                  </w:r>
                  <w:r>
                    <w:rPr>
                      <w:rFonts w:hint="eastAsia"/>
                      <w:color w:val="auto"/>
                      <w:szCs w:val="21"/>
                      <w:lang w:val="en-US" w:eastAsia="zh-CN"/>
                    </w:rPr>
                    <w:t>。建筑单体为钢筋混凝土框架结构，钢结构。</w:t>
                  </w:r>
                </w:p>
              </w:tc>
              <w:tc>
                <w:tcPr>
                  <w:tcW w:w="505" w:type="dxa"/>
                  <w:vMerge w:val="restart"/>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r>
                    <w:rPr>
                      <w:rFonts w:hint="eastAsia"/>
                      <w:color w:val="auto"/>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01"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hint="eastAsia"/>
                      <w:color w:val="auto"/>
                      <w:szCs w:val="21"/>
                      <w:lang w:val="en-US" w:eastAsia="zh-CN"/>
                    </w:rPr>
                  </w:pPr>
                </w:p>
              </w:tc>
              <w:tc>
                <w:tcPr>
                  <w:tcW w:w="1258" w:type="dxa"/>
                  <w:gridSpan w:val="7"/>
                  <w:vAlign w:val="center"/>
                </w:tcPr>
                <w:p>
                  <w:pPr>
                    <w:adjustRightInd w:val="0"/>
                    <w:snapToGrid w:val="0"/>
                    <w:rPr>
                      <w:rFonts w:hint="eastAsia"/>
                      <w:color w:val="auto"/>
                      <w:szCs w:val="21"/>
                      <w:lang w:val="en-US" w:eastAsia="zh-CN"/>
                    </w:rPr>
                  </w:pPr>
                  <w:r>
                    <w:rPr>
                      <w:rFonts w:hint="eastAsia"/>
                      <w:color w:val="auto"/>
                      <w:szCs w:val="21"/>
                      <w:lang w:val="en-US" w:eastAsia="zh-CN"/>
                    </w:rPr>
                    <w:t>多媒体互动战船</w:t>
                  </w:r>
                </w:p>
              </w:tc>
              <w:tc>
                <w:tcPr>
                  <w:tcW w:w="5183" w:type="dxa"/>
                  <w:gridSpan w:val="2"/>
                  <w:tcMar>
                    <w:top w:w="0" w:type="dxa"/>
                    <w:left w:w="57" w:type="dxa"/>
                    <w:bottom w:w="0" w:type="dxa"/>
                    <w:right w:w="57" w:type="dxa"/>
                  </w:tcMar>
                  <w:vAlign w:val="center"/>
                </w:tcPr>
                <w:p>
                  <w:pPr>
                    <w:adjustRightInd w:val="0"/>
                    <w:snapToGrid w:val="0"/>
                    <w:rPr>
                      <w:rFonts w:hint="eastAsia"/>
                      <w:color w:val="auto"/>
                      <w:szCs w:val="21"/>
                    </w:rPr>
                  </w:pPr>
                  <w:r>
                    <w:rPr>
                      <w:rFonts w:hint="eastAsia"/>
                      <w:color w:val="auto"/>
                      <w:szCs w:val="21"/>
                    </w:rPr>
                    <w:t>为</w:t>
                  </w:r>
                  <w:r>
                    <w:rPr>
                      <w:rFonts w:hint="eastAsia"/>
                      <w:color w:val="auto"/>
                      <w:szCs w:val="21"/>
                      <w:lang w:val="en-US" w:eastAsia="zh-CN"/>
                    </w:rPr>
                    <w:t>轨道类乐园建筑，总建筑面积11903.66</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地上2层，地下1层，</w:t>
                  </w:r>
                  <w:r>
                    <w:rPr>
                      <w:rFonts w:hint="eastAsia"/>
                      <w:color w:val="auto"/>
                      <w:szCs w:val="21"/>
                    </w:rPr>
                    <w:t>其中地上</w:t>
                  </w:r>
                  <w:r>
                    <w:rPr>
                      <w:rFonts w:hint="eastAsia"/>
                      <w:color w:val="auto"/>
                      <w:szCs w:val="21"/>
                      <w:lang w:val="en-US" w:eastAsia="zh-CN"/>
                    </w:rPr>
                    <w:t>11700.07</w:t>
                  </w:r>
                  <w:r>
                    <w:rPr>
                      <w:rFonts w:hint="eastAsia"/>
                      <w:color w:val="auto"/>
                      <w:szCs w:val="21"/>
                    </w:rPr>
                    <w:t>m</w:t>
                  </w:r>
                  <w:r>
                    <w:rPr>
                      <w:rFonts w:hint="eastAsia"/>
                      <w:color w:val="auto"/>
                      <w:szCs w:val="21"/>
                      <w:vertAlign w:val="superscript"/>
                    </w:rPr>
                    <w:t>2</w:t>
                  </w:r>
                  <w:r>
                    <w:rPr>
                      <w:rFonts w:hint="eastAsia"/>
                      <w:color w:val="auto"/>
                      <w:szCs w:val="21"/>
                    </w:rPr>
                    <w:t>，地下</w:t>
                  </w:r>
                  <w:r>
                    <w:rPr>
                      <w:rFonts w:hint="eastAsia"/>
                      <w:color w:val="auto"/>
                      <w:szCs w:val="21"/>
                      <w:lang w:val="en-US" w:eastAsia="zh-CN"/>
                    </w:rPr>
                    <w:t>203.59</w:t>
                  </w:r>
                  <w:r>
                    <w:rPr>
                      <w:rFonts w:hint="eastAsia"/>
                      <w:color w:val="auto"/>
                      <w:szCs w:val="21"/>
                    </w:rPr>
                    <w:t>m</w:t>
                  </w:r>
                  <w:r>
                    <w:rPr>
                      <w:rFonts w:hint="eastAsia"/>
                      <w:color w:val="auto"/>
                      <w:szCs w:val="21"/>
                      <w:vertAlign w:val="superscript"/>
                    </w:rPr>
                    <w:t>2</w:t>
                  </w:r>
                  <w:r>
                    <w:rPr>
                      <w:rFonts w:hint="eastAsia"/>
                      <w:color w:val="auto"/>
                      <w:szCs w:val="21"/>
                      <w:lang w:eastAsia="zh-CN"/>
                    </w:rPr>
                    <w:t>。</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hint="eastAsia"/>
                      <w:color w:val="auto"/>
                      <w:szCs w:val="21"/>
                      <w:lang w:val="en-US" w:eastAsia="zh-CN"/>
                    </w:rPr>
                  </w:pPr>
                </w:p>
              </w:tc>
              <w:tc>
                <w:tcPr>
                  <w:tcW w:w="1258" w:type="dxa"/>
                  <w:gridSpan w:val="7"/>
                  <w:vAlign w:val="center"/>
                </w:tcPr>
                <w:p>
                  <w:pPr>
                    <w:adjustRightInd w:val="0"/>
                    <w:snapToGrid w:val="0"/>
                    <w:rPr>
                      <w:rFonts w:hint="eastAsia"/>
                      <w:color w:val="auto"/>
                      <w:szCs w:val="21"/>
                      <w:lang w:val="en-US" w:eastAsia="zh-CN"/>
                    </w:rPr>
                  </w:pPr>
                  <w:r>
                    <w:rPr>
                      <w:rFonts w:hint="eastAsia"/>
                      <w:color w:val="auto"/>
                      <w:szCs w:val="21"/>
                      <w:lang w:val="en-US" w:eastAsia="zh-CN"/>
                    </w:rPr>
                    <w:t>飞翔影院</w:t>
                  </w:r>
                </w:p>
              </w:tc>
              <w:tc>
                <w:tcPr>
                  <w:tcW w:w="5183" w:type="dxa"/>
                  <w:gridSpan w:val="2"/>
                  <w:tcMar>
                    <w:top w:w="0" w:type="dxa"/>
                    <w:left w:w="57" w:type="dxa"/>
                    <w:bottom w:w="0" w:type="dxa"/>
                    <w:right w:w="57" w:type="dxa"/>
                  </w:tcMar>
                  <w:vAlign w:val="center"/>
                </w:tcPr>
                <w:p>
                  <w:pPr>
                    <w:adjustRightInd w:val="0"/>
                    <w:snapToGrid w:val="0"/>
                    <w:rPr>
                      <w:color w:val="auto"/>
                      <w:szCs w:val="21"/>
                    </w:rPr>
                  </w:pPr>
                  <w:r>
                    <w:rPr>
                      <w:rFonts w:hint="eastAsia"/>
                      <w:color w:val="auto"/>
                      <w:szCs w:val="21"/>
                    </w:rPr>
                    <w:t>为</w:t>
                  </w:r>
                  <w:r>
                    <w:rPr>
                      <w:rFonts w:hint="eastAsia"/>
                      <w:color w:val="auto"/>
                      <w:szCs w:val="21"/>
                      <w:lang w:val="en-US" w:eastAsia="zh-CN"/>
                    </w:rPr>
                    <w:t>轨道类乐园建筑，总建筑面积9708.73</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地上3层。</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4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hint="eastAsia"/>
                      <w:color w:val="auto"/>
                      <w:szCs w:val="21"/>
                      <w:lang w:val="en-US" w:eastAsia="zh-CN"/>
                    </w:rPr>
                  </w:pPr>
                </w:p>
              </w:tc>
              <w:tc>
                <w:tcPr>
                  <w:tcW w:w="1258" w:type="dxa"/>
                  <w:gridSpan w:val="7"/>
                  <w:vAlign w:val="center"/>
                </w:tcPr>
                <w:p>
                  <w:pPr>
                    <w:adjustRightInd w:val="0"/>
                    <w:snapToGrid w:val="0"/>
                    <w:rPr>
                      <w:rFonts w:hint="eastAsia"/>
                      <w:color w:val="auto"/>
                      <w:szCs w:val="21"/>
                      <w:lang w:val="en-US" w:eastAsia="zh-CN"/>
                    </w:rPr>
                  </w:pPr>
                  <w:r>
                    <w:rPr>
                      <w:rFonts w:hint="eastAsia"/>
                      <w:color w:val="auto"/>
                      <w:szCs w:val="21"/>
                      <w:lang w:val="en-US" w:eastAsia="zh-CN"/>
                    </w:rPr>
                    <w:t>转转杯</w:t>
                  </w:r>
                </w:p>
              </w:tc>
              <w:tc>
                <w:tcPr>
                  <w:tcW w:w="5183" w:type="dxa"/>
                  <w:gridSpan w:val="2"/>
                  <w:tcMar>
                    <w:top w:w="0" w:type="dxa"/>
                    <w:left w:w="57" w:type="dxa"/>
                    <w:bottom w:w="0" w:type="dxa"/>
                    <w:right w:w="57" w:type="dxa"/>
                  </w:tcMar>
                  <w:vAlign w:val="center"/>
                </w:tcPr>
                <w:p>
                  <w:pPr>
                    <w:adjustRightInd w:val="0"/>
                    <w:snapToGrid w:val="0"/>
                    <w:rPr>
                      <w:color w:val="auto"/>
                      <w:szCs w:val="21"/>
                    </w:rPr>
                  </w:pPr>
                  <w:r>
                    <w:rPr>
                      <w:rFonts w:hint="eastAsia"/>
                      <w:color w:val="auto"/>
                      <w:szCs w:val="21"/>
                    </w:rPr>
                    <w:t>为</w:t>
                  </w:r>
                  <w:r>
                    <w:rPr>
                      <w:rFonts w:hint="eastAsia"/>
                      <w:color w:val="auto"/>
                      <w:szCs w:val="21"/>
                      <w:lang w:val="en-US" w:eastAsia="zh-CN"/>
                    </w:rPr>
                    <w:t>轨道类乐园建筑，总建筑面积896.81</w:t>
                  </w:r>
                  <w:r>
                    <w:rPr>
                      <w:rFonts w:hint="eastAsia"/>
                      <w:color w:val="auto"/>
                      <w:szCs w:val="21"/>
                    </w:rPr>
                    <w:t>m</w:t>
                  </w:r>
                  <w:r>
                    <w:rPr>
                      <w:rFonts w:hint="eastAsia"/>
                      <w:color w:val="auto"/>
                      <w:szCs w:val="21"/>
                      <w:vertAlign w:val="superscript"/>
                    </w:rPr>
                    <w:t>2</w:t>
                  </w:r>
                  <w:r>
                    <w:rPr>
                      <w:rFonts w:hint="eastAsia"/>
                      <w:color w:val="auto"/>
                      <w:szCs w:val="21"/>
                      <w:lang w:val="en-US" w:eastAsia="zh-CN"/>
                    </w:rPr>
                    <w:t>。</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4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hint="eastAsia"/>
                      <w:color w:val="auto"/>
                      <w:szCs w:val="21"/>
                      <w:lang w:val="en-US" w:eastAsia="zh-CN"/>
                    </w:rPr>
                  </w:pPr>
                </w:p>
              </w:tc>
              <w:tc>
                <w:tcPr>
                  <w:tcW w:w="1258" w:type="dxa"/>
                  <w:gridSpan w:val="7"/>
                  <w:vAlign w:val="center"/>
                </w:tcPr>
                <w:p>
                  <w:pPr>
                    <w:adjustRightInd w:val="0"/>
                    <w:snapToGrid w:val="0"/>
                    <w:rPr>
                      <w:rFonts w:hint="eastAsia"/>
                      <w:color w:val="auto"/>
                      <w:szCs w:val="21"/>
                      <w:lang w:val="en-US" w:eastAsia="zh-CN"/>
                    </w:rPr>
                  </w:pPr>
                  <w:r>
                    <w:rPr>
                      <w:rFonts w:hint="eastAsia"/>
                      <w:color w:val="auto"/>
                      <w:szCs w:val="21"/>
                      <w:lang w:val="en-US" w:eastAsia="zh-CN"/>
                    </w:rPr>
                    <w:t>动感穿越</w:t>
                  </w:r>
                </w:p>
              </w:tc>
              <w:tc>
                <w:tcPr>
                  <w:tcW w:w="5183" w:type="dxa"/>
                  <w:gridSpan w:val="2"/>
                  <w:tcMar>
                    <w:top w:w="0" w:type="dxa"/>
                    <w:left w:w="57" w:type="dxa"/>
                    <w:bottom w:w="0" w:type="dxa"/>
                    <w:right w:w="57" w:type="dxa"/>
                  </w:tcMar>
                  <w:vAlign w:val="center"/>
                </w:tcPr>
                <w:p>
                  <w:pPr>
                    <w:adjustRightInd w:val="0"/>
                    <w:snapToGrid w:val="0"/>
                    <w:rPr>
                      <w:color w:val="auto"/>
                      <w:szCs w:val="21"/>
                    </w:rPr>
                  </w:pPr>
                  <w:r>
                    <w:rPr>
                      <w:rFonts w:hint="eastAsia"/>
                      <w:color w:val="auto"/>
                      <w:szCs w:val="21"/>
                    </w:rPr>
                    <w:t>为</w:t>
                  </w:r>
                  <w:r>
                    <w:rPr>
                      <w:rFonts w:hint="eastAsia"/>
                      <w:color w:val="auto"/>
                      <w:szCs w:val="21"/>
                      <w:lang w:val="en-US" w:eastAsia="zh-CN"/>
                    </w:rPr>
                    <w:t>轨道类乐园建筑，总建筑面积11555.11</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地上2层。</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4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hint="eastAsia"/>
                      <w:color w:val="auto"/>
                      <w:szCs w:val="21"/>
                      <w:lang w:val="en-US" w:eastAsia="zh-CN"/>
                    </w:rPr>
                  </w:pPr>
                </w:p>
              </w:tc>
              <w:tc>
                <w:tcPr>
                  <w:tcW w:w="1258" w:type="dxa"/>
                  <w:gridSpan w:val="7"/>
                  <w:vAlign w:val="center"/>
                </w:tcPr>
                <w:p>
                  <w:pPr>
                    <w:adjustRightInd w:val="0"/>
                    <w:snapToGrid w:val="0"/>
                    <w:rPr>
                      <w:rFonts w:hint="eastAsia"/>
                      <w:color w:val="auto"/>
                      <w:szCs w:val="21"/>
                      <w:lang w:val="en-US" w:eastAsia="zh-CN"/>
                    </w:rPr>
                  </w:pPr>
                  <w:r>
                    <w:rPr>
                      <w:rFonts w:hint="eastAsia"/>
                      <w:color w:val="auto"/>
                      <w:szCs w:val="21"/>
                      <w:lang w:val="en-US" w:eastAsia="zh-CN"/>
                    </w:rPr>
                    <w:t>互动黑暗乘骑</w:t>
                  </w:r>
                </w:p>
              </w:tc>
              <w:tc>
                <w:tcPr>
                  <w:tcW w:w="5183" w:type="dxa"/>
                  <w:gridSpan w:val="2"/>
                  <w:tcMar>
                    <w:top w:w="0" w:type="dxa"/>
                    <w:left w:w="57" w:type="dxa"/>
                    <w:bottom w:w="0" w:type="dxa"/>
                    <w:right w:w="57" w:type="dxa"/>
                  </w:tcMar>
                  <w:vAlign w:val="center"/>
                </w:tcPr>
                <w:p>
                  <w:pPr>
                    <w:adjustRightInd w:val="0"/>
                    <w:snapToGrid w:val="0"/>
                    <w:rPr>
                      <w:color w:val="auto"/>
                      <w:szCs w:val="21"/>
                    </w:rPr>
                  </w:pPr>
                  <w:r>
                    <w:rPr>
                      <w:rFonts w:hint="eastAsia"/>
                      <w:color w:val="auto"/>
                      <w:szCs w:val="21"/>
                    </w:rPr>
                    <w:t>为</w:t>
                  </w:r>
                  <w:r>
                    <w:rPr>
                      <w:rFonts w:hint="eastAsia"/>
                      <w:color w:val="auto"/>
                      <w:szCs w:val="21"/>
                      <w:lang w:val="en-US" w:eastAsia="zh-CN"/>
                    </w:rPr>
                    <w:t>轨道类乐园建筑，总建筑面积7656.42</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地上2层。</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3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hint="eastAsia"/>
                      <w:color w:val="auto"/>
                      <w:szCs w:val="21"/>
                      <w:lang w:val="en-US" w:eastAsia="zh-CN"/>
                    </w:rPr>
                  </w:pPr>
                </w:p>
              </w:tc>
              <w:tc>
                <w:tcPr>
                  <w:tcW w:w="1258" w:type="dxa"/>
                  <w:gridSpan w:val="7"/>
                  <w:vAlign w:val="center"/>
                </w:tcPr>
                <w:p>
                  <w:pPr>
                    <w:adjustRightInd w:val="0"/>
                    <w:snapToGrid w:val="0"/>
                    <w:rPr>
                      <w:rFonts w:hint="eastAsia"/>
                      <w:color w:val="auto"/>
                      <w:szCs w:val="21"/>
                      <w:lang w:val="en-US" w:eastAsia="zh-CN"/>
                    </w:rPr>
                  </w:pPr>
                  <w:r>
                    <w:rPr>
                      <w:rFonts w:hint="eastAsia"/>
                      <w:color w:val="auto"/>
                      <w:szCs w:val="21"/>
                      <w:lang w:val="en-US" w:eastAsia="zh-CN"/>
                    </w:rPr>
                    <w:t>5D环境剧场</w:t>
                  </w:r>
                </w:p>
              </w:tc>
              <w:tc>
                <w:tcPr>
                  <w:tcW w:w="5183" w:type="dxa"/>
                  <w:gridSpan w:val="2"/>
                  <w:tcMar>
                    <w:top w:w="0" w:type="dxa"/>
                    <w:left w:w="57" w:type="dxa"/>
                    <w:bottom w:w="0" w:type="dxa"/>
                    <w:right w:w="57" w:type="dxa"/>
                  </w:tcMar>
                  <w:vAlign w:val="center"/>
                </w:tcPr>
                <w:p>
                  <w:pPr>
                    <w:adjustRightInd w:val="0"/>
                    <w:snapToGrid w:val="0"/>
                    <w:rPr>
                      <w:color w:val="auto"/>
                      <w:szCs w:val="21"/>
                    </w:rPr>
                  </w:pPr>
                  <w:r>
                    <w:rPr>
                      <w:rFonts w:hint="eastAsia"/>
                      <w:color w:val="auto"/>
                      <w:szCs w:val="21"/>
                    </w:rPr>
                    <w:t>为</w:t>
                  </w:r>
                  <w:r>
                    <w:rPr>
                      <w:rFonts w:hint="eastAsia"/>
                      <w:color w:val="auto"/>
                      <w:szCs w:val="21"/>
                      <w:lang w:val="en-US" w:eastAsia="zh-CN"/>
                    </w:rPr>
                    <w:t>剧场类建筑，总建筑面积5702.69</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地上2层。</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4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hint="eastAsia"/>
                      <w:color w:val="auto"/>
                      <w:szCs w:val="21"/>
                      <w:lang w:val="en-US" w:eastAsia="zh-CN"/>
                    </w:rPr>
                  </w:pPr>
                </w:p>
              </w:tc>
              <w:tc>
                <w:tcPr>
                  <w:tcW w:w="1258" w:type="dxa"/>
                  <w:gridSpan w:val="7"/>
                  <w:vAlign w:val="center"/>
                </w:tcPr>
                <w:p>
                  <w:pPr>
                    <w:adjustRightInd w:val="0"/>
                    <w:snapToGrid w:val="0"/>
                    <w:rPr>
                      <w:rFonts w:hint="eastAsia"/>
                      <w:color w:val="auto"/>
                      <w:szCs w:val="21"/>
                      <w:lang w:val="en-US" w:eastAsia="zh-CN"/>
                    </w:rPr>
                  </w:pPr>
                  <w:r>
                    <w:rPr>
                      <w:rFonts w:hint="eastAsia"/>
                      <w:color w:val="auto"/>
                      <w:szCs w:val="21"/>
                      <w:lang w:val="en-US" w:eastAsia="zh-CN"/>
                    </w:rPr>
                    <w:t>歌舞剧场</w:t>
                  </w:r>
                </w:p>
              </w:tc>
              <w:tc>
                <w:tcPr>
                  <w:tcW w:w="5183" w:type="dxa"/>
                  <w:gridSpan w:val="2"/>
                  <w:tcMar>
                    <w:top w:w="0" w:type="dxa"/>
                    <w:left w:w="57" w:type="dxa"/>
                    <w:bottom w:w="0" w:type="dxa"/>
                    <w:right w:w="57" w:type="dxa"/>
                  </w:tcMar>
                  <w:vAlign w:val="center"/>
                </w:tcPr>
                <w:p>
                  <w:pPr>
                    <w:adjustRightInd w:val="0"/>
                    <w:snapToGrid w:val="0"/>
                    <w:rPr>
                      <w:rFonts w:hint="eastAsia"/>
                      <w:color w:val="auto"/>
                      <w:szCs w:val="21"/>
                    </w:rPr>
                  </w:pPr>
                  <w:r>
                    <w:rPr>
                      <w:rFonts w:hint="eastAsia"/>
                      <w:color w:val="auto"/>
                      <w:szCs w:val="21"/>
                    </w:rPr>
                    <w:t>为</w:t>
                  </w:r>
                  <w:r>
                    <w:rPr>
                      <w:rFonts w:hint="eastAsia"/>
                      <w:color w:val="auto"/>
                      <w:szCs w:val="21"/>
                      <w:lang w:val="en-US" w:eastAsia="zh-CN"/>
                    </w:rPr>
                    <w:t>剧场类建筑，总建筑面积4477.93</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地上4层。</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4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hint="eastAsia"/>
                      <w:color w:val="auto"/>
                      <w:szCs w:val="21"/>
                      <w:lang w:val="en-US" w:eastAsia="zh-CN"/>
                    </w:rPr>
                  </w:pPr>
                </w:p>
              </w:tc>
              <w:tc>
                <w:tcPr>
                  <w:tcW w:w="1258" w:type="dxa"/>
                  <w:gridSpan w:val="7"/>
                  <w:vAlign w:val="center"/>
                </w:tcPr>
                <w:p>
                  <w:pPr>
                    <w:adjustRightInd w:val="0"/>
                    <w:snapToGrid w:val="0"/>
                    <w:rPr>
                      <w:rFonts w:hint="eastAsia"/>
                      <w:color w:val="auto"/>
                      <w:szCs w:val="21"/>
                      <w:lang w:val="en-US" w:eastAsia="zh-CN"/>
                    </w:rPr>
                  </w:pPr>
                  <w:r>
                    <w:rPr>
                      <w:rFonts w:hint="eastAsia"/>
                      <w:color w:val="auto"/>
                      <w:szCs w:val="21"/>
                      <w:lang w:val="en-US" w:eastAsia="zh-CN"/>
                    </w:rPr>
                    <w:t>特技剧场</w:t>
                  </w:r>
                </w:p>
              </w:tc>
              <w:tc>
                <w:tcPr>
                  <w:tcW w:w="5183" w:type="dxa"/>
                  <w:gridSpan w:val="2"/>
                  <w:tcMar>
                    <w:top w:w="0" w:type="dxa"/>
                    <w:left w:w="57" w:type="dxa"/>
                    <w:bottom w:w="0" w:type="dxa"/>
                    <w:right w:w="57" w:type="dxa"/>
                  </w:tcMar>
                  <w:vAlign w:val="center"/>
                </w:tcPr>
                <w:p>
                  <w:pPr>
                    <w:adjustRightInd w:val="0"/>
                    <w:snapToGrid w:val="0"/>
                    <w:rPr>
                      <w:rFonts w:hint="eastAsia"/>
                      <w:color w:val="auto"/>
                      <w:szCs w:val="21"/>
                    </w:rPr>
                  </w:pPr>
                  <w:r>
                    <w:rPr>
                      <w:rFonts w:hint="eastAsia"/>
                      <w:color w:val="auto"/>
                      <w:szCs w:val="21"/>
                    </w:rPr>
                    <w:t>为</w:t>
                  </w:r>
                  <w:r>
                    <w:rPr>
                      <w:rFonts w:hint="eastAsia"/>
                      <w:color w:val="auto"/>
                      <w:szCs w:val="21"/>
                      <w:lang w:val="en-US" w:eastAsia="zh-CN"/>
                    </w:rPr>
                    <w:t>剧场类建筑，总建筑面积25538.36</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地上4层，地下2层，</w:t>
                  </w:r>
                  <w:r>
                    <w:rPr>
                      <w:rFonts w:hint="eastAsia"/>
                      <w:color w:val="auto"/>
                      <w:szCs w:val="21"/>
                    </w:rPr>
                    <w:t>其中地上</w:t>
                  </w:r>
                  <w:r>
                    <w:rPr>
                      <w:rFonts w:hint="eastAsia"/>
                      <w:color w:val="auto"/>
                      <w:szCs w:val="21"/>
                      <w:lang w:val="en-US" w:eastAsia="zh-CN"/>
                    </w:rPr>
                    <w:t>22088.56</w:t>
                  </w:r>
                  <w:r>
                    <w:rPr>
                      <w:rFonts w:hint="eastAsia"/>
                      <w:color w:val="auto"/>
                      <w:szCs w:val="21"/>
                    </w:rPr>
                    <w:t>m</w:t>
                  </w:r>
                  <w:r>
                    <w:rPr>
                      <w:rFonts w:hint="eastAsia"/>
                      <w:color w:val="auto"/>
                      <w:szCs w:val="21"/>
                      <w:vertAlign w:val="superscript"/>
                    </w:rPr>
                    <w:t>2</w:t>
                  </w:r>
                  <w:r>
                    <w:rPr>
                      <w:rFonts w:hint="eastAsia"/>
                      <w:color w:val="auto"/>
                      <w:szCs w:val="21"/>
                    </w:rPr>
                    <w:t>，地下</w:t>
                  </w:r>
                  <w:r>
                    <w:rPr>
                      <w:rFonts w:hint="eastAsia"/>
                      <w:color w:val="auto"/>
                      <w:szCs w:val="21"/>
                      <w:lang w:val="en-US" w:eastAsia="zh-CN"/>
                    </w:rPr>
                    <w:t>3449.8</w:t>
                  </w:r>
                  <w:r>
                    <w:rPr>
                      <w:rFonts w:hint="eastAsia"/>
                      <w:color w:val="auto"/>
                      <w:szCs w:val="21"/>
                    </w:rPr>
                    <w:t>m</w:t>
                  </w:r>
                  <w:r>
                    <w:rPr>
                      <w:rFonts w:hint="eastAsia"/>
                      <w:color w:val="auto"/>
                      <w:szCs w:val="21"/>
                      <w:vertAlign w:val="superscript"/>
                    </w:rPr>
                    <w:t>2</w:t>
                  </w:r>
                  <w:r>
                    <w:rPr>
                      <w:rFonts w:hint="eastAsia"/>
                      <w:color w:val="auto"/>
                      <w:szCs w:val="21"/>
                      <w:lang w:eastAsia="zh-CN"/>
                    </w:rPr>
                    <w:t>。</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5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hint="eastAsia"/>
                      <w:color w:val="auto"/>
                      <w:szCs w:val="21"/>
                      <w:lang w:val="en-US" w:eastAsia="zh-CN"/>
                    </w:rPr>
                  </w:pPr>
                </w:p>
              </w:tc>
              <w:tc>
                <w:tcPr>
                  <w:tcW w:w="1258" w:type="dxa"/>
                  <w:gridSpan w:val="7"/>
                  <w:vAlign w:val="center"/>
                </w:tcPr>
                <w:p>
                  <w:pPr>
                    <w:adjustRightInd w:val="0"/>
                    <w:snapToGrid w:val="0"/>
                    <w:rPr>
                      <w:rFonts w:hint="eastAsia"/>
                      <w:color w:val="auto"/>
                      <w:szCs w:val="21"/>
                      <w:lang w:val="en-US" w:eastAsia="zh-CN"/>
                    </w:rPr>
                  </w:pPr>
                  <w:r>
                    <w:rPr>
                      <w:rFonts w:hint="eastAsia"/>
                      <w:color w:val="auto"/>
                      <w:szCs w:val="21"/>
                      <w:lang w:val="en-US" w:eastAsia="zh-CN"/>
                    </w:rPr>
                    <w:t>悬挂飞行乘骑</w:t>
                  </w:r>
                </w:p>
              </w:tc>
              <w:tc>
                <w:tcPr>
                  <w:tcW w:w="5183" w:type="dxa"/>
                  <w:gridSpan w:val="2"/>
                  <w:tcMar>
                    <w:top w:w="0" w:type="dxa"/>
                    <w:left w:w="57" w:type="dxa"/>
                    <w:bottom w:w="0" w:type="dxa"/>
                    <w:right w:w="57" w:type="dxa"/>
                  </w:tcMar>
                  <w:vAlign w:val="center"/>
                </w:tcPr>
                <w:p>
                  <w:pPr>
                    <w:adjustRightInd w:val="0"/>
                    <w:snapToGrid w:val="0"/>
                    <w:rPr>
                      <w:rFonts w:hint="eastAsia"/>
                      <w:color w:val="auto"/>
                      <w:szCs w:val="21"/>
                    </w:rPr>
                  </w:pPr>
                  <w:r>
                    <w:rPr>
                      <w:rFonts w:hint="eastAsia"/>
                      <w:color w:val="auto"/>
                      <w:szCs w:val="21"/>
                    </w:rPr>
                    <w:t>为</w:t>
                  </w:r>
                  <w:r>
                    <w:rPr>
                      <w:rFonts w:hint="eastAsia"/>
                      <w:color w:val="auto"/>
                      <w:szCs w:val="21"/>
                      <w:lang w:val="en-US" w:eastAsia="zh-CN"/>
                    </w:rPr>
                    <w:t>轨道类乐园建筑，总建筑面积10352.82</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地上2层。</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2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hint="eastAsia"/>
                      <w:color w:val="auto"/>
                      <w:szCs w:val="21"/>
                      <w:lang w:val="en-US" w:eastAsia="zh-CN"/>
                    </w:rPr>
                  </w:pPr>
                </w:p>
              </w:tc>
              <w:tc>
                <w:tcPr>
                  <w:tcW w:w="1258" w:type="dxa"/>
                  <w:gridSpan w:val="7"/>
                  <w:vAlign w:val="center"/>
                </w:tcPr>
                <w:p>
                  <w:pPr>
                    <w:adjustRightInd w:val="0"/>
                    <w:snapToGrid w:val="0"/>
                    <w:rPr>
                      <w:rFonts w:hint="eastAsia"/>
                      <w:color w:val="auto"/>
                      <w:szCs w:val="21"/>
                      <w:lang w:val="en-US" w:eastAsia="zh-CN"/>
                    </w:rPr>
                  </w:pPr>
                  <w:r>
                    <w:rPr>
                      <w:rFonts w:hint="eastAsia"/>
                      <w:color w:val="auto"/>
                      <w:szCs w:val="21"/>
                      <w:lang w:val="en-US" w:eastAsia="zh-CN"/>
                    </w:rPr>
                    <w:t>自控飞机</w:t>
                  </w:r>
                </w:p>
              </w:tc>
              <w:tc>
                <w:tcPr>
                  <w:tcW w:w="5183" w:type="dxa"/>
                  <w:gridSpan w:val="2"/>
                  <w:tcMar>
                    <w:top w:w="0" w:type="dxa"/>
                    <w:left w:w="57" w:type="dxa"/>
                    <w:bottom w:w="0" w:type="dxa"/>
                    <w:right w:w="57" w:type="dxa"/>
                  </w:tcMar>
                  <w:vAlign w:val="center"/>
                </w:tcPr>
                <w:p>
                  <w:pPr>
                    <w:adjustRightInd w:val="0"/>
                    <w:snapToGrid w:val="0"/>
                    <w:rPr>
                      <w:rFonts w:hint="eastAsia"/>
                      <w:color w:val="auto"/>
                      <w:szCs w:val="21"/>
                    </w:rPr>
                  </w:pPr>
                  <w:r>
                    <w:rPr>
                      <w:rFonts w:hint="eastAsia"/>
                      <w:color w:val="auto"/>
                      <w:szCs w:val="21"/>
                    </w:rPr>
                    <w:t>为</w:t>
                  </w:r>
                  <w:r>
                    <w:rPr>
                      <w:rFonts w:hint="eastAsia"/>
                      <w:color w:val="auto"/>
                      <w:szCs w:val="21"/>
                      <w:lang w:val="en-US" w:eastAsia="zh-CN"/>
                    </w:rPr>
                    <w:t>轨道类乐园建筑，总建筑面积1402.89</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地上1层。</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3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hint="eastAsia"/>
                      <w:color w:val="auto"/>
                      <w:szCs w:val="21"/>
                      <w:lang w:val="en-US" w:eastAsia="zh-CN"/>
                    </w:rPr>
                  </w:pPr>
                </w:p>
              </w:tc>
              <w:tc>
                <w:tcPr>
                  <w:tcW w:w="1258" w:type="dxa"/>
                  <w:gridSpan w:val="7"/>
                  <w:vAlign w:val="center"/>
                </w:tcPr>
                <w:p>
                  <w:pPr>
                    <w:adjustRightInd w:val="0"/>
                    <w:snapToGrid w:val="0"/>
                    <w:rPr>
                      <w:rFonts w:hint="eastAsia"/>
                      <w:color w:val="auto"/>
                      <w:szCs w:val="21"/>
                      <w:lang w:val="en-US" w:eastAsia="zh-CN"/>
                    </w:rPr>
                  </w:pPr>
                  <w:r>
                    <w:rPr>
                      <w:rFonts w:hint="eastAsia"/>
                      <w:color w:val="auto"/>
                      <w:szCs w:val="21"/>
                      <w:lang w:val="en-US" w:eastAsia="zh-CN"/>
                    </w:rPr>
                    <w:t>秋千</w:t>
                  </w:r>
                </w:p>
              </w:tc>
              <w:tc>
                <w:tcPr>
                  <w:tcW w:w="5183" w:type="dxa"/>
                  <w:gridSpan w:val="2"/>
                  <w:tcMar>
                    <w:top w:w="0" w:type="dxa"/>
                    <w:left w:w="57" w:type="dxa"/>
                    <w:bottom w:w="0" w:type="dxa"/>
                    <w:right w:w="57" w:type="dxa"/>
                  </w:tcMar>
                  <w:vAlign w:val="center"/>
                </w:tcPr>
                <w:p>
                  <w:pPr>
                    <w:adjustRightInd w:val="0"/>
                    <w:snapToGrid w:val="0"/>
                    <w:rPr>
                      <w:rFonts w:hint="eastAsia"/>
                      <w:color w:val="auto"/>
                      <w:szCs w:val="21"/>
                    </w:rPr>
                  </w:pPr>
                  <w:r>
                    <w:rPr>
                      <w:rFonts w:hint="eastAsia"/>
                      <w:color w:val="auto"/>
                      <w:szCs w:val="21"/>
                    </w:rPr>
                    <w:t>为</w:t>
                  </w:r>
                  <w:r>
                    <w:rPr>
                      <w:rFonts w:hint="eastAsia"/>
                      <w:color w:val="auto"/>
                      <w:szCs w:val="21"/>
                      <w:lang w:val="en-US" w:eastAsia="zh-CN"/>
                    </w:rPr>
                    <w:t>轨道类乐园建筑，总建筑面积1387.09</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地上1层。</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3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hint="eastAsia"/>
                      <w:color w:val="auto"/>
                      <w:szCs w:val="21"/>
                      <w:lang w:val="en-US" w:eastAsia="zh-CN"/>
                    </w:rPr>
                  </w:pPr>
                </w:p>
              </w:tc>
              <w:tc>
                <w:tcPr>
                  <w:tcW w:w="1258" w:type="dxa"/>
                  <w:gridSpan w:val="7"/>
                  <w:vAlign w:val="center"/>
                </w:tcPr>
                <w:p>
                  <w:pPr>
                    <w:adjustRightInd w:val="0"/>
                    <w:snapToGrid w:val="0"/>
                    <w:rPr>
                      <w:rFonts w:hint="eastAsia"/>
                      <w:color w:val="auto"/>
                      <w:szCs w:val="21"/>
                      <w:lang w:val="en-US" w:eastAsia="zh-CN"/>
                    </w:rPr>
                  </w:pPr>
                  <w:r>
                    <w:rPr>
                      <w:rFonts w:hint="eastAsia"/>
                      <w:color w:val="auto"/>
                      <w:szCs w:val="21"/>
                      <w:lang w:val="en-US" w:eastAsia="zh-CN"/>
                    </w:rPr>
                    <w:t>动感影院</w:t>
                  </w:r>
                </w:p>
              </w:tc>
              <w:tc>
                <w:tcPr>
                  <w:tcW w:w="5183" w:type="dxa"/>
                  <w:gridSpan w:val="2"/>
                  <w:tcMar>
                    <w:top w:w="0" w:type="dxa"/>
                    <w:left w:w="57" w:type="dxa"/>
                    <w:bottom w:w="0" w:type="dxa"/>
                    <w:right w:w="57" w:type="dxa"/>
                  </w:tcMar>
                  <w:vAlign w:val="center"/>
                </w:tcPr>
                <w:p>
                  <w:pPr>
                    <w:adjustRightInd w:val="0"/>
                    <w:snapToGrid w:val="0"/>
                    <w:rPr>
                      <w:rFonts w:hint="eastAsia"/>
                      <w:color w:val="auto"/>
                      <w:szCs w:val="21"/>
                    </w:rPr>
                  </w:pPr>
                  <w:r>
                    <w:rPr>
                      <w:rFonts w:hint="eastAsia"/>
                      <w:color w:val="auto"/>
                      <w:szCs w:val="21"/>
                    </w:rPr>
                    <w:t>为</w:t>
                  </w:r>
                  <w:r>
                    <w:rPr>
                      <w:rFonts w:hint="eastAsia"/>
                      <w:color w:val="auto"/>
                      <w:szCs w:val="21"/>
                      <w:lang w:val="en-US" w:eastAsia="zh-CN"/>
                    </w:rPr>
                    <w:t>影院类建筑，总建筑面积4487.02</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地上2层，地下1层，，</w:t>
                  </w:r>
                  <w:r>
                    <w:rPr>
                      <w:rFonts w:hint="eastAsia"/>
                      <w:color w:val="auto"/>
                      <w:szCs w:val="21"/>
                    </w:rPr>
                    <w:t>其中地上</w:t>
                  </w:r>
                  <w:r>
                    <w:rPr>
                      <w:rFonts w:hint="eastAsia"/>
                      <w:color w:val="auto"/>
                      <w:szCs w:val="21"/>
                      <w:lang w:val="en-US" w:eastAsia="zh-CN"/>
                    </w:rPr>
                    <w:t>4043.5</w:t>
                  </w:r>
                  <w:r>
                    <w:rPr>
                      <w:rFonts w:hint="eastAsia"/>
                      <w:color w:val="auto"/>
                      <w:szCs w:val="21"/>
                    </w:rPr>
                    <w:t>m</w:t>
                  </w:r>
                  <w:r>
                    <w:rPr>
                      <w:rFonts w:hint="eastAsia"/>
                      <w:color w:val="auto"/>
                      <w:szCs w:val="21"/>
                      <w:vertAlign w:val="superscript"/>
                    </w:rPr>
                    <w:t>2</w:t>
                  </w:r>
                  <w:r>
                    <w:rPr>
                      <w:rFonts w:hint="eastAsia"/>
                      <w:color w:val="auto"/>
                      <w:szCs w:val="21"/>
                    </w:rPr>
                    <w:t>，地下</w:t>
                  </w:r>
                  <w:r>
                    <w:rPr>
                      <w:rFonts w:hint="eastAsia"/>
                      <w:color w:val="auto"/>
                      <w:szCs w:val="21"/>
                      <w:lang w:val="en-US" w:eastAsia="zh-CN"/>
                    </w:rPr>
                    <w:t>443.52</w:t>
                  </w:r>
                  <w:r>
                    <w:rPr>
                      <w:rFonts w:hint="eastAsia"/>
                      <w:color w:val="auto"/>
                      <w:szCs w:val="21"/>
                    </w:rPr>
                    <w:t>m</w:t>
                  </w:r>
                  <w:r>
                    <w:rPr>
                      <w:rFonts w:hint="eastAsia"/>
                      <w:color w:val="auto"/>
                      <w:szCs w:val="21"/>
                      <w:vertAlign w:val="superscript"/>
                    </w:rPr>
                    <w:t>2</w:t>
                  </w:r>
                  <w:r>
                    <w:rPr>
                      <w:rFonts w:hint="eastAsia"/>
                      <w:color w:val="auto"/>
                      <w:szCs w:val="21"/>
                      <w:lang w:eastAsia="zh-CN"/>
                    </w:rPr>
                    <w:t>。</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hint="eastAsia"/>
                      <w:color w:val="auto"/>
                      <w:szCs w:val="21"/>
                      <w:lang w:val="en-US" w:eastAsia="zh-CN"/>
                    </w:rPr>
                  </w:pPr>
                </w:p>
              </w:tc>
              <w:tc>
                <w:tcPr>
                  <w:tcW w:w="1258" w:type="dxa"/>
                  <w:gridSpan w:val="7"/>
                  <w:vAlign w:val="center"/>
                </w:tcPr>
                <w:p>
                  <w:pPr>
                    <w:adjustRightInd w:val="0"/>
                    <w:snapToGrid w:val="0"/>
                    <w:rPr>
                      <w:rFonts w:hint="eastAsia"/>
                      <w:color w:val="auto"/>
                      <w:szCs w:val="21"/>
                      <w:lang w:val="en-US" w:eastAsia="zh-CN"/>
                    </w:rPr>
                  </w:pPr>
                  <w:r>
                    <w:rPr>
                      <w:rFonts w:hint="eastAsia"/>
                      <w:color w:val="auto"/>
                      <w:szCs w:val="21"/>
                      <w:lang w:val="en-US" w:eastAsia="zh-CN"/>
                    </w:rPr>
                    <w:t>互动体验剧场</w:t>
                  </w:r>
                </w:p>
              </w:tc>
              <w:tc>
                <w:tcPr>
                  <w:tcW w:w="5183" w:type="dxa"/>
                  <w:gridSpan w:val="2"/>
                  <w:tcMar>
                    <w:top w:w="0" w:type="dxa"/>
                    <w:left w:w="57" w:type="dxa"/>
                    <w:bottom w:w="0" w:type="dxa"/>
                    <w:right w:w="57" w:type="dxa"/>
                  </w:tcMar>
                  <w:vAlign w:val="center"/>
                </w:tcPr>
                <w:p>
                  <w:pPr>
                    <w:adjustRightInd w:val="0"/>
                    <w:snapToGrid w:val="0"/>
                    <w:rPr>
                      <w:rFonts w:hint="eastAsia"/>
                      <w:color w:val="auto"/>
                      <w:szCs w:val="21"/>
                    </w:rPr>
                  </w:pPr>
                  <w:r>
                    <w:rPr>
                      <w:rFonts w:hint="eastAsia"/>
                      <w:color w:val="auto"/>
                      <w:szCs w:val="21"/>
                    </w:rPr>
                    <w:t>为</w:t>
                  </w:r>
                  <w:r>
                    <w:rPr>
                      <w:rFonts w:hint="eastAsia"/>
                      <w:color w:val="auto"/>
                      <w:szCs w:val="21"/>
                      <w:lang w:val="en-US" w:eastAsia="zh-CN"/>
                    </w:rPr>
                    <w:t>剧场类建筑，总建筑面积4964.43</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地上2层。</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420" w:type="dxa"/>
                  <w:vMerge w:val="restart"/>
                  <w:vAlign w:val="center"/>
                </w:tcPr>
                <w:p>
                  <w:pPr>
                    <w:adjustRightInd w:val="0"/>
                    <w:snapToGrid w:val="0"/>
                    <w:jc w:val="center"/>
                    <w:rPr>
                      <w:rFonts w:hint="eastAsia"/>
                      <w:color w:val="auto"/>
                      <w:szCs w:val="21"/>
                      <w:lang w:val="en-US" w:eastAsia="zh-CN"/>
                    </w:rPr>
                  </w:pPr>
                  <w:r>
                    <w:rPr>
                      <w:rFonts w:hint="eastAsia"/>
                      <w:color w:val="auto"/>
                      <w:szCs w:val="21"/>
                      <w:lang w:val="en-US" w:eastAsia="zh-CN"/>
                    </w:rPr>
                    <w:t>神秘古国区</w:t>
                  </w:r>
                </w:p>
              </w:tc>
              <w:tc>
                <w:tcPr>
                  <w:tcW w:w="6441" w:type="dxa"/>
                  <w:gridSpan w:val="9"/>
                  <w:vAlign w:val="center"/>
                </w:tcPr>
                <w:p>
                  <w:pPr>
                    <w:adjustRightInd w:val="0"/>
                    <w:snapToGrid w:val="0"/>
                    <w:rPr>
                      <w:rFonts w:hint="eastAsia"/>
                      <w:color w:val="auto"/>
                      <w:szCs w:val="21"/>
                    </w:rPr>
                  </w:pPr>
                  <w:r>
                    <w:rPr>
                      <w:rFonts w:hint="eastAsia"/>
                      <w:color w:val="auto"/>
                      <w:szCs w:val="21"/>
                      <w:lang w:val="en-US" w:eastAsia="zh-CN"/>
                    </w:rPr>
                    <w:t>包含5个单体建筑，功能为游乐设施及配套建筑。总建筑面积35273.36m</w:t>
                  </w:r>
                  <w:r>
                    <w:rPr>
                      <w:rFonts w:hint="eastAsia"/>
                      <w:color w:val="auto"/>
                      <w:szCs w:val="21"/>
                      <w:vertAlign w:val="superscript"/>
                      <w:lang w:val="en-US" w:eastAsia="zh-CN"/>
                    </w:rPr>
                    <w:t>2</w:t>
                  </w:r>
                  <w:r>
                    <w:rPr>
                      <w:rFonts w:hint="eastAsia"/>
                      <w:color w:val="auto"/>
                      <w:szCs w:val="21"/>
                      <w:lang w:val="en-US" w:eastAsia="zh-CN"/>
                    </w:rPr>
                    <w:t>。建筑单体为钢筋混凝土框架结构，钢结构。</w:t>
                  </w:r>
                </w:p>
              </w:tc>
              <w:tc>
                <w:tcPr>
                  <w:tcW w:w="505" w:type="dxa"/>
                  <w:vMerge w:val="restart"/>
                  <w:tcMar>
                    <w:top w:w="0" w:type="dxa"/>
                    <w:left w:w="57" w:type="dxa"/>
                    <w:bottom w:w="0" w:type="dxa"/>
                    <w:right w:w="57" w:type="dxa"/>
                  </w:tcMar>
                  <w:vAlign w:val="center"/>
                </w:tcPr>
                <w:p>
                  <w:pPr>
                    <w:adjustRightInd w:val="0"/>
                    <w:snapToGrid w:val="0"/>
                    <w:jc w:val="center"/>
                    <w:rPr>
                      <w:rFonts w:hint="eastAsia"/>
                      <w:color w:val="auto"/>
                      <w:szCs w:val="21"/>
                      <w:lang w:val="en-US" w:eastAsia="zh-CN"/>
                    </w:rPr>
                  </w:pPr>
                  <w:r>
                    <w:rPr>
                      <w:rFonts w:hint="eastAsia"/>
                      <w:color w:val="auto"/>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hint="eastAsia"/>
                      <w:color w:val="auto"/>
                      <w:szCs w:val="21"/>
                      <w:lang w:val="en-US" w:eastAsia="zh-CN"/>
                    </w:rPr>
                  </w:pPr>
                </w:p>
              </w:tc>
              <w:tc>
                <w:tcPr>
                  <w:tcW w:w="1258" w:type="dxa"/>
                  <w:gridSpan w:val="7"/>
                  <w:vAlign w:val="center"/>
                </w:tcPr>
                <w:p>
                  <w:pPr>
                    <w:adjustRightInd w:val="0"/>
                    <w:snapToGrid w:val="0"/>
                    <w:rPr>
                      <w:rFonts w:hint="eastAsia"/>
                      <w:color w:val="auto"/>
                      <w:szCs w:val="21"/>
                      <w:lang w:val="en-US" w:eastAsia="zh-CN"/>
                    </w:rPr>
                  </w:pPr>
                  <w:r>
                    <w:rPr>
                      <w:rFonts w:hint="eastAsia"/>
                      <w:color w:val="auto"/>
                      <w:szCs w:val="21"/>
                      <w:lang w:val="en-US" w:eastAsia="zh-CN"/>
                    </w:rPr>
                    <w:t>多媒体情景互动过山车</w:t>
                  </w:r>
                </w:p>
              </w:tc>
              <w:tc>
                <w:tcPr>
                  <w:tcW w:w="5183" w:type="dxa"/>
                  <w:gridSpan w:val="2"/>
                  <w:tcMar>
                    <w:top w:w="0" w:type="dxa"/>
                    <w:left w:w="57" w:type="dxa"/>
                    <w:bottom w:w="0" w:type="dxa"/>
                    <w:right w:w="57" w:type="dxa"/>
                  </w:tcMar>
                  <w:vAlign w:val="center"/>
                </w:tcPr>
                <w:p>
                  <w:pPr>
                    <w:adjustRightInd w:val="0"/>
                    <w:snapToGrid w:val="0"/>
                    <w:rPr>
                      <w:rFonts w:hint="eastAsia"/>
                      <w:color w:val="auto"/>
                      <w:szCs w:val="21"/>
                    </w:rPr>
                  </w:pPr>
                  <w:r>
                    <w:rPr>
                      <w:rFonts w:hint="eastAsia"/>
                      <w:color w:val="auto"/>
                      <w:szCs w:val="21"/>
                    </w:rPr>
                    <w:t>为</w:t>
                  </w:r>
                  <w:r>
                    <w:rPr>
                      <w:rFonts w:hint="eastAsia"/>
                      <w:color w:val="auto"/>
                      <w:szCs w:val="21"/>
                      <w:lang w:val="en-US" w:eastAsia="zh-CN"/>
                    </w:rPr>
                    <w:t>轨道类乐园建筑，总建筑面积11878.03</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地上1层，地下1层。</w:t>
                  </w:r>
                  <w:r>
                    <w:rPr>
                      <w:rFonts w:hint="eastAsia"/>
                      <w:color w:val="auto"/>
                      <w:szCs w:val="21"/>
                    </w:rPr>
                    <w:t>其中地上</w:t>
                  </w:r>
                  <w:r>
                    <w:rPr>
                      <w:rFonts w:hint="eastAsia"/>
                      <w:color w:val="auto"/>
                      <w:szCs w:val="21"/>
                      <w:lang w:val="en-US" w:eastAsia="zh-CN"/>
                    </w:rPr>
                    <w:t>10609.44</w:t>
                  </w:r>
                  <w:r>
                    <w:rPr>
                      <w:rFonts w:hint="eastAsia"/>
                      <w:color w:val="auto"/>
                      <w:szCs w:val="21"/>
                    </w:rPr>
                    <w:t>m</w:t>
                  </w:r>
                  <w:r>
                    <w:rPr>
                      <w:rFonts w:hint="eastAsia"/>
                      <w:color w:val="auto"/>
                      <w:szCs w:val="21"/>
                      <w:vertAlign w:val="superscript"/>
                    </w:rPr>
                    <w:t>2</w:t>
                  </w:r>
                  <w:r>
                    <w:rPr>
                      <w:rFonts w:hint="eastAsia"/>
                      <w:color w:val="auto"/>
                      <w:szCs w:val="21"/>
                    </w:rPr>
                    <w:t>，地下</w:t>
                  </w:r>
                  <w:r>
                    <w:rPr>
                      <w:rFonts w:hint="eastAsia"/>
                      <w:color w:val="auto"/>
                      <w:szCs w:val="21"/>
                      <w:lang w:val="en-US" w:eastAsia="zh-CN"/>
                    </w:rPr>
                    <w:t>1268.59</w:t>
                  </w:r>
                  <w:r>
                    <w:rPr>
                      <w:rFonts w:hint="eastAsia"/>
                      <w:color w:val="auto"/>
                      <w:szCs w:val="21"/>
                    </w:rPr>
                    <w:t>m</w:t>
                  </w:r>
                  <w:r>
                    <w:rPr>
                      <w:rFonts w:hint="eastAsia"/>
                      <w:color w:val="auto"/>
                      <w:szCs w:val="21"/>
                      <w:vertAlign w:val="superscript"/>
                    </w:rPr>
                    <w:t>2</w:t>
                  </w:r>
                  <w:r>
                    <w:rPr>
                      <w:rFonts w:hint="eastAsia"/>
                      <w:color w:val="auto"/>
                      <w:szCs w:val="21"/>
                      <w:lang w:eastAsia="zh-CN"/>
                    </w:rPr>
                    <w:t>。</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8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hint="eastAsia"/>
                      <w:color w:val="auto"/>
                      <w:szCs w:val="21"/>
                      <w:lang w:val="en-US" w:eastAsia="zh-CN"/>
                    </w:rPr>
                  </w:pPr>
                </w:p>
              </w:tc>
              <w:tc>
                <w:tcPr>
                  <w:tcW w:w="1258" w:type="dxa"/>
                  <w:gridSpan w:val="7"/>
                  <w:vAlign w:val="center"/>
                </w:tcPr>
                <w:p>
                  <w:pPr>
                    <w:adjustRightInd w:val="0"/>
                    <w:snapToGrid w:val="0"/>
                    <w:rPr>
                      <w:rFonts w:hint="eastAsia"/>
                      <w:color w:val="auto"/>
                      <w:szCs w:val="21"/>
                      <w:lang w:val="en-US" w:eastAsia="zh-CN"/>
                    </w:rPr>
                  </w:pPr>
                  <w:r>
                    <w:rPr>
                      <w:rFonts w:hint="eastAsia"/>
                      <w:color w:val="auto"/>
                      <w:szCs w:val="21"/>
                      <w:lang w:val="en-US" w:eastAsia="zh-CN"/>
                    </w:rPr>
                    <w:t>迷宫步行场景</w:t>
                  </w:r>
                </w:p>
              </w:tc>
              <w:tc>
                <w:tcPr>
                  <w:tcW w:w="5183" w:type="dxa"/>
                  <w:gridSpan w:val="2"/>
                  <w:tcMar>
                    <w:top w:w="0" w:type="dxa"/>
                    <w:left w:w="57" w:type="dxa"/>
                    <w:bottom w:w="0" w:type="dxa"/>
                    <w:right w:w="57" w:type="dxa"/>
                  </w:tcMar>
                  <w:vAlign w:val="center"/>
                </w:tcPr>
                <w:p>
                  <w:pPr>
                    <w:adjustRightInd w:val="0"/>
                    <w:snapToGrid w:val="0"/>
                    <w:rPr>
                      <w:rFonts w:hint="eastAsia"/>
                      <w:color w:val="auto"/>
                      <w:szCs w:val="21"/>
                    </w:rPr>
                  </w:pPr>
                  <w:r>
                    <w:rPr>
                      <w:rFonts w:hint="eastAsia"/>
                      <w:color w:val="auto"/>
                      <w:szCs w:val="21"/>
                    </w:rPr>
                    <w:t>为</w:t>
                  </w:r>
                  <w:r>
                    <w:rPr>
                      <w:rFonts w:hint="eastAsia"/>
                      <w:color w:val="auto"/>
                      <w:szCs w:val="21"/>
                      <w:lang w:val="en-US" w:eastAsia="zh-CN"/>
                    </w:rPr>
                    <w:t>步行场景类乐园建筑，总建筑面积3649.74</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地上1层。</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6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hint="eastAsia"/>
                      <w:color w:val="auto"/>
                      <w:szCs w:val="21"/>
                      <w:lang w:val="en-US" w:eastAsia="zh-CN"/>
                    </w:rPr>
                  </w:pPr>
                </w:p>
              </w:tc>
              <w:tc>
                <w:tcPr>
                  <w:tcW w:w="1258" w:type="dxa"/>
                  <w:gridSpan w:val="7"/>
                  <w:vAlign w:val="center"/>
                </w:tcPr>
                <w:p>
                  <w:pPr>
                    <w:adjustRightInd w:val="0"/>
                    <w:snapToGrid w:val="0"/>
                    <w:rPr>
                      <w:rFonts w:hint="eastAsia"/>
                      <w:color w:val="auto"/>
                      <w:szCs w:val="21"/>
                      <w:lang w:val="en-US" w:eastAsia="zh-CN"/>
                    </w:rPr>
                  </w:pPr>
                  <w:r>
                    <w:rPr>
                      <w:rFonts w:hint="eastAsia"/>
                      <w:color w:val="auto"/>
                      <w:szCs w:val="21"/>
                      <w:lang w:val="en-US" w:eastAsia="zh-CN"/>
                    </w:rPr>
                    <w:t>轨道互动射击</w:t>
                  </w:r>
                </w:p>
              </w:tc>
              <w:tc>
                <w:tcPr>
                  <w:tcW w:w="5183" w:type="dxa"/>
                  <w:gridSpan w:val="2"/>
                  <w:tcMar>
                    <w:top w:w="0" w:type="dxa"/>
                    <w:left w:w="57" w:type="dxa"/>
                    <w:bottom w:w="0" w:type="dxa"/>
                    <w:right w:w="57" w:type="dxa"/>
                  </w:tcMar>
                  <w:vAlign w:val="center"/>
                </w:tcPr>
                <w:p>
                  <w:pPr>
                    <w:adjustRightInd w:val="0"/>
                    <w:snapToGrid w:val="0"/>
                    <w:rPr>
                      <w:rFonts w:hint="eastAsia"/>
                      <w:color w:val="auto"/>
                      <w:szCs w:val="21"/>
                    </w:rPr>
                  </w:pPr>
                  <w:r>
                    <w:rPr>
                      <w:rFonts w:hint="eastAsia"/>
                      <w:color w:val="auto"/>
                      <w:szCs w:val="21"/>
                    </w:rPr>
                    <w:t>为</w:t>
                  </w:r>
                  <w:r>
                    <w:rPr>
                      <w:rFonts w:hint="eastAsia"/>
                      <w:color w:val="auto"/>
                      <w:szCs w:val="21"/>
                      <w:lang w:val="en-US" w:eastAsia="zh-CN"/>
                    </w:rPr>
                    <w:t>小车类乐园建筑，总建筑面积7434.82</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地上2层。</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hint="eastAsia"/>
                      <w:color w:val="auto"/>
                      <w:szCs w:val="21"/>
                      <w:lang w:val="en-US" w:eastAsia="zh-CN"/>
                    </w:rPr>
                  </w:pPr>
                </w:p>
              </w:tc>
              <w:tc>
                <w:tcPr>
                  <w:tcW w:w="1258" w:type="dxa"/>
                  <w:gridSpan w:val="7"/>
                  <w:vAlign w:val="center"/>
                </w:tcPr>
                <w:p>
                  <w:pPr>
                    <w:adjustRightInd w:val="0"/>
                    <w:snapToGrid w:val="0"/>
                    <w:rPr>
                      <w:rFonts w:hint="eastAsia"/>
                      <w:color w:val="auto"/>
                      <w:szCs w:val="21"/>
                      <w:lang w:val="en-US" w:eastAsia="zh-CN"/>
                    </w:rPr>
                  </w:pPr>
                  <w:r>
                    <w:rPr>
                      <w:rFonts w:hint="eastAsia"/>
                      <w:color w:val="auto"/>
                      <w:szCs w:val="21"/>
                      <w:lang w:val="en-US" w:eastAsia="zh-CN"/>
                    </w:rPr>
                    <w:t>魔幻剧场</w:t>
                  </w:r>
                </w:p>
              </w:tc>
              <w:tc>
                <w:tcPr>
                  <w:tcW w:w="5183" w:type="dxa"/>
                  <w:gridSpan w:val="2"/>
                  <w:tcMar>
                    <w:top w:w="0" w:type="dxa"/>
                    <w:left w:w="57" w:type="dxa"/>
                    <w:bottom w:w="0" w:type="dxa"/>
                    <w:right w:w="57" w:type="dxa"/>
                  </w:tcMar>
                  <w:vAlign w:val="center"/>
                </w:tcPr>
                <w:p>
                  <w:pPr>
                    <w:adjustRightInd w:val="0"/>
                    <w:snapToGrid w:val="0"/>
                    <w:rPr>
                      <w:rFonts w:hint="eastAsia"/>
                      <w:color w:val="auto"/>
                      <w:szCs w:val="21"/>
                    </w:rPr>
                  </w:pPr>
                  <w:r>
                    <w:rPr>
                      <w:rFonts w:hint="eastAsia"/>
                      <w:color w:val="auto"/>
                      <w:szCs w:val="21"/>
                    </w:rPr>
                    <w:t>为</w:t>
                  </w:r>
                  <w:r>
                    <w:rPr>
                      <w:rFonts w:hint="eastAsia"/>
                      <w:color w:val="auto"/>
                      <w:szCs w:val="21"/>
                      <w:lang w:val="en-US" w:eastAsia="zh-CN"/>
                    </w:rPr>
                    <w:t>演艺剧场类乐园建筑，总建筑面积7852.14</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地上2层，地下2层，</w:t>
                  </w:r>
                  <w:r>
                    <w:rPr>
                      <w:rFonts w:hint="eastAsia"/>
                      <w:color w:val="auto"/>
                      <w:szCs w:val="21"/>
                    </w:rPr>
                    <w:t>其中地上</w:t>
                  </w:r>
                  <w:r>
                    <w:rPr>
                      <w:rFonts w:hint="eastAsia"/>
                      <w:color w:val="auto"/>
                      <w:szCs w:val="21"/>
                      <w:lang w:val="en-US" w:eastAsia="zh-CN"/>
                    </w:rPr>
                    <w:t>6253.34</w:t>
                  </w:r>
                  <w:r>
                    <w:rPr>
                      <w:rFonts w:hint="eastAsia"/>
                      <w:color w:val="auto"/>
                      <w:szCs w:val="21"/>
                    </w:rPr>
                    <w:t>m</w:t>
                  </w:r>
                  <w:r>
                    <w:rPr>
                      <w:rFonts w:hint="eastAsia"/>
                      <w:color w:val="auto"/>
                      <w:szCs w:val="21"/>
                      <w:vertAlign w:val="superscript"/>
                    </w:rPr>
                    <w:t>2</w:t>
                  </w:r>
                  <w:r>
                    <w:rPr>
                      <w:rFonts w:hint="eastAsia"/>
                      <w:color w:val="auto"/>
                      <w:szCs w:val="21"/>
                    </w:rPr>
                    <w:t>，地下</w:t>
                  </w:r>
                  <w:r>
                    <w:rPr>
                      <w:rFonts w:hint="eastAsia"/>
                      <w:color w:val="auto"/>
                      <w:szCs w:val="21"/>
                      <w:lang w:val="en-US" w:eastAsia="zh-CN"/>
                    </w:rPr>
                    <w:t>1598.8</w:t>
                  </w:r>
                  <w:r>
                    <w:rPr>
                      <w:rFonts w:hint="eastAsia"/>
                      <w:color w:val="auto"/>
                      <w:szCs w:val="21"/>
                    </w:rPr>
                    <w:t>m</w:t>
                  </w:r>
                  <w:r>
                    <w:rPr>
                      <w:rFonts w:hint="eastAsia"/>
                      <w:color w:val="auto"/>
                      <w:szCs w:val="21"/>
                      <w:vertAlign w:val="superscript"/>
                    </w:rPr>
                    <w:t>2</w:t>
                  </w:r>
                  <w:r>
                    <w:rPr>
                      <w:rFonts w:hint="eastAsia"/>
                      <w:color w:val="auto"/>
                      <w:szCs w:val="21"/>
                      <w:lang w:eastAsia="zh-CN"/>
                    </w:rPr>
                    <w:t>。</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6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hint="eastAsia"/>
                      <w:color w:val="auto"/>
                      <w:szCs w:val="21"/>
                      <w:lang w:val="en-US" w:eastAsia="zh-CN"/>
                    </w:rPr>
                  </w:pPr>
                </w:p>
              </w:tc>
              <w:tc>
                <w:tcPr>
                  <w:tcW w:w="1258" w:type="dxa"/>
                  <w:gridSpan w:val="7"/>
                  <w:vAlign w:val="center"/>
                </w:tcPr>
                <w:p>
                  <w:pPr>
                    <w:adjustRightInd w:val="0"/>
                    <w:snapToGrid w:val="0"/>
                    <w:rPr>
                      <w:rFonts w:hint="eastAsia"/>
                      <w:color w:val="auto"/>
                      <w:szCs w:val="21"/>
                      <w:lang w:val="en-US" w:eastAsia="zh-CN"/>
                    </w:rPr>
                  </w:pPr>
                  <w:r>
                    <w:rPr>
                      <w:rFonts w:hint="eastAsia"/>
                      <w:color w:val="auto"/>
                      <w:szCs w:val="21"/>
                      <w:lang w:val="en-US" w:eastAsia="zh-CN"/>
                    </w:rPr>
                    <w:t>机械翻滚</w:t>
                  </w:r>
                </w:p>
              </w:tc>
              <w:tc>
                <w:tcPr>
                  <w:tcW w:w="5183" w:type="dxa"/>
                  <w:gridSpan w:val="2"/>
                  <w:tcMar>
                    <w:top w:w="0" w:type="dxa"/>
                    <w:left w:w="57" w:type="dxa"/>
                    <w:bottom w:w="0" w:type="dxa"/>
                    <w:right w:w="57" w:type="dxa"/>
                  </w:tcMar>
                  <w:vAlign w:val="center"/>
                </w:tcPr>
                <w:p>
                  <w:pPr>
                    <w:adjustRightInd w:val="0"/>
                    <w:snapToGrid w:val="0"/>
                    <w:rPr>
                      <w:rFonts w:hint="eastAsia"/>
                      <w:color w:val="auto"/>
                      <w:szCs w:val="21"/>
                    </w:rPr>
                  </w:pPr>
                  <w:r>
                    <w:rPr>
                      <w:rFonts w:hint="eastAsia"/>
                      <w:color w:val="auto"/>
                      <w:szCs w:val="21"/>
                    </w:rPr>
                    <w:t>为</w:t>
                  </w:r>
                  <w:r>
                    <w:rPr>
                      <w:rFonts w:hint="eastAsia"/>
                      <w:color w:val="auto"/>
                      <w:szCs w:val="21"/>
                      <w:lang w:val="en-US" w:eastAsia="zh-CN"/>
                    </w:rPr>
                    <w:t>机械类乐园建筑，总建筑面积4458.63</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地上2层。</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420" w:type="dxa"/>
                  <w:vMerge w:val="restart"/>
                  <w:vAlign w:val="center"/>
                </w:tcPr>
                <w:p>
                  <w:pPr>
                    <w:adjustRightInd w:val="0"/>
                    <w:snapToGrid w:val="0"/>
                    <w:jc w:val="center"/>
                    <w:rPr>
                      <w:rFonts w:hint="eastAsia"/>
                      <w:color w:val="auto"/>
                      <w:szCs w:val="21"/>
                      <w:lang w:val="en-US" w:eastAsia="zh-CN"/>
                    </w:rPr>
                  </w:pPr>
                  <w:r>
                    <w:rPr>
                      <w:rFonts w:hint="eastAsia"/>
                      <w:color w:val="auto"/>
                      <w:szCs w:val="21"/>
                      <w:lang w:val="en-US" w:eastAsia="zh-CN"/>
                    </w:rPr>
                    <w:t>探险南美区</w:t>
                  </w:r>
                </w:p>
              </w:tc>
              <w:tc>
                <w:tcPr>
                  <w:tcW w:w="6441" w:type="dxa"/>
                  <w:gridSpan w:val="9"/>
                  <w:vAlign w:val="center"/>
                </w:tcPr>
                <w:p>
                  <w:pPr>
                    <w:adjustRightInd w:val="0"/>
                    <w:snapToGrid w:val="0"/>
                    <w:rPr>
                      <w:rFonts w:hint="eastAsia"/>
                      <w:color w:val="auto"/>
                      <w:szCs w:val="21"/>
                    </w:rPr>
                  </w:pPr>
                  <w:r>
                    <w:rPr>
                      <w:rFonts w:hint="eastAsia"/>
                      <w:color w:val="auto"/>
                      <w:szCs w:val="21"/>
                    </w:rPr>
                    <w:t>共包含3个单体建筑，功能为游乐设施及配套建筑。总建筑面积29890.89</w:t>
                  </w:r>
                  <w:r>
                    <w:rPr>
                      <w:rFonts w:hint="eastAsia"/>
                      <w:color w:val="auto"/>
                      <w:szCs w:val="21"/>
                      <w:lang w:val="en-US" w:eastAsia="zh-CN"/>
                    </w:rPr>
                    <w:t>m</w:t>
                  </w:r>
                  <w:r>
                    <w:rPr>
                      <w:rFonts w:hint="eastAsia"/>
                      <w:color w:val="auto"/>
                      <w:szCs w:val="21"/>
                      <w:vertAlign w:val="superscript"/>
                      <w:lang w:val="en-US" w:eastAsia="zh-CN"/>
                    </w:rPr>
                    <w:t>2</w:t>
                  </w:r>
                  <w:r>
                    <w:rPr>
                      <w:rFonts w:hint="eastAsia"/>
                      <w:color w:val="auto"/>
                      <w:szCs w:val="21"/>
                    </w:rPr>
                    <w:t>。</w:t>
                  </w:r>
                  <w:r>
                    <w:rPr>
                      <w:rFonts w:hint="eastAsia"/>
                      <w:color w:val="auto"/>
                      <w:szCs w:val="21"/>
                      <w:lang w:val="en-US" w:eastAsia="zh-CN"/>
                    </w:rPr>
                    <w:t>建筑单体为钢筋混凝土框架结构，钢结构。</w:t>
                  </w:r>
                </w:p>
              </w:tc>
              <w:tc>
                <w:tcPr>
                  <w:tcW w:w="505" w:type="dxa"/>
                  <w:vMerge w:val="restart"/>
                  <w:tcMar>
                    <w:top w:w="0" w:type="dxa"/>
                    <w:left w:w="57" w:type="dxa"/>
                    <w:bottom w:w="0" w:type="dxa"/>
                    <w:right w:w="57" w:type="dxa"/>
                  </w:tcMar>
                  <w:vAlign w:val="center"/>
                </w:tcPr>
                <w:p>
                  <w:pPr>
                    <w:adjustRightInd w:val="0"/>
                    <w:snapToGrid w:val="0"/>
                    <w:jc w:val="center"/>
                    <w:rPr>
                      <w:rFonts w:hint="eastAsia"/>
                      <w:color w:val="auto"/>
                      <w:szCs w:val="21"/>
                      <w:lang w:val="en-US" w:eastAsia="zh-CN"/>
                    </w:rPr>
                  </w:pPr>
                  <w:r>
                    <w:rPr>
                      <w:rFonts w:hint="eastAsia"/>
                      <w:color w:val="auto"/>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0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hint="eastAsia"/>
                      <w:color w:val="auto"/>
                      <w:szCs w:val="21"/>
                      <w:lang w:val="en-US" w:eastAsia="zh-CN"/>
                    </w:rPr>
                  </w:pPr>
                </w:p>
              </w:tc>
              <w:tc>
                <w:tcPr>
                  <w:tcW w:w="1258" w:type="dxa"/>
                  <w:gridSpan w:val="7"/>
                  <w:vAlign w:val="center"/>
                </w:tcPr>
                <w:p>
                  <w:pPr>
                    <w:adjustRightInd w:val="0"/>
                    <w:snapToGrid w:val="0"/>
                    <w:rPr>
                      <w:rFonts w:hint="eastAsia"/>
                      <w:color w:val="auto"/>
                      <w:szCs w:val="21"/>
                      <w:lang w:val="en-US" w:eastAsia="zh-CN"/>
                    </w:rPr>
                  </w:pPr>
                  <w:r>
                    <w:rPr>
                      <w:rFonts w:hint="eastAsia"/>
                      <w:color w:val="auto"/>
                      <w:szCs w:val="21"/>
                      <w:lang w:val="en-US" w:eastAsia="zh-CN"/>
                    </w:rPr>
                    <w:t>无动力攀爬</w:t>
                  </w:r>
                </w:p>
              </w:tc>
              <w:tc>
                <w:tcPr>
                  <w:tcW w:w="5183" w:type="dxa"/>
                  <w:gridSpan w:val="2"/>
                  <w:tcMar>
                    <w:top w:w="0" w:type="dxa"/>
                    <w:left w:w="57" w:type="dxa"/>
                    <w:bottom w:w="0" w:type="dxa"/>
                    <w:right w:w="57" w:type="dxa"/>
                  </w:tcMar>
                  <w:vAlign w:val="center"/>
                </w:tcPr>
                <w:p>
                  <w:pPr>
                    <w:adjustRightInd w:val="0"/>
                    <w:snapToGrid w:val="0"/>
                    <w:rPr>
                      <w:rFonts w:hint="eastAsia"/>
                      <w:color w:val="auto"/>
                      <w:szCs w:val="21"/>
                    </w:rPr>
                  </w:pPr>
                  <w:r>
                    <w:rPr>
                      <w:rFonts w:hint="eastAsia"/>
                      <w:color w:val="auto"/>
                      <w:szCs w:val="21"/>
                    </w:rPr>
                    <w:t>为</w:t>
                  </w:r>
                  <w:r>
                    <w:rPr>
                      <w:rFonts w:hint="eastAsia"/>
                      <w:color w:val="auto"/>
                      <w:szCs w:val="21"/>
                      <w:lang w:val="en-US" w:eastAsia="zh-CN"/>
                    </w:rPr>
                    <w:t>轨道类乐园建筑，总建筑面积1984.01</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地上1层，地下1层，</w:t>
                  </w:r>
                  <w:r>
                    <w:rPr>
                      <w:rFonts w:hint="eastAsia"/>
                      <w:color w:val="auto"/>
                      <w:szCs w:val="21"/>
                    </w:rPr>
                    <w:t>其中地上</w:t>
                  </w:r>
                  <w:r>
                    <w:rPr>
                      <w:rFonts w:hint="eastAsia"/>
                      <w:color w:val="auto"/>
                      <w:szCs w:val="21"/>
                      <w:lang w:val="en-US" w:eastAsia="zh-CN"/>
                    </w:rPr>
                    <w:t>988.73</w:t>
                  </w:r>
                  <w:r>
                    <w:rPr>
                      <w:rFonts w:hint="eastAsia"/>
                      <w:color w:val="auto"/>
                      <w:szCs w:val="21"/>
                    </w:rPr>
                    <w:t>m</w:t>
                  </w:r>
                  <w:r>
                    <w:rPr>
                      <w:rFonts w:hint="eastAsia"/>
                      <w:color w:val="auto"/>
                      <w:szCs w:val="21"/>
                      <w:vertAlign w:val="superscript"/>
                    </w:rPr>
                    <w:t>2</w:t>
                  </w:r>
                  <w:r>
                    <w:rPr>
                      <w:rFonts w:hint="eastAsia"/>
                      <w:color w:val="auto"/>
                      <w:szCs w:val="21"/>
                    </w:rPr>
                    <w:t>，地下</w:t>
                  </w:r>
                  <w:r>
                    <w:rPr>
                      <w:rFonts w:hint="eastAsia"/>
                      <w:color w:val="auto"/>
                      <w:szCs w:val="21"/>
                      <w:lang w:val="en-US" w:eastAsia="zh-CN"/>
                    </w:rPr>
                    <w:t>995.28</w:t>
                  </w:r>
                  <w:r>
                    <w:rPr>
                      <w:rFonts w:hint="eastAsia"/>
                      <w:color w:val="auto"/>
                      <w:szCs w:val="21"/>
                    </w:rPr>
                    <w:t>m</w:t>
                  </w:r>
                  <w:r>
                    <w:rPr>
                      <w:rFonts w:hint="eastAsia"/>
                      <w:color w:val="auto"/>
                      <w:szCs w:val="21"/>
                      <w:vertAlign w:val="superscript"/>
                    </w:rPr>
                    <w:t>2</w:t>
                  </w:r>
                  <w:r>
                    <w:rPr>
                      <w:rFonts w:hint="eastAsia"/>
                      <w:color w:val="auto"/>
                      <w:szCs w:val="21"/>
                      <w:lang w:eastAsia="zh-CN"/>
                    </w:rPr>
                    <w:t>。</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hint="eastAsia"/>
                      <w:color w:val="auto"/>
                      <w:szCs w:val="21"/>
                      <w:lang w:val="en-US" w:eastAsia="zh-CN"/>
                    </w:rPr>
                  </w:pPr>
                </w:p>
              </w:tc>
              <w:tc>
                <w:tcPr>
                  <w:tcW w:w="1258" w:type="dxa"/>
                  <w:gridSpan w:val="7"/>
                  <w:vAlign w:val="center"/>
                </w:tcPr>
                <w:p>
                  <w:pPr>
                    <w:adjustRightInd w:val="0"/>
                    <w:snapToGrid w:val="0"/>
                    <w:rPr>
                      <w:rFonts w:hint="eastAsia"/>
                      <w:color w:val="auto"/>
                      <w:szCs w:val="21"/>
                      <w:lang w:val="en-US" w:eastAsia="zh-CN"/>
                    </w:rPr>
                  </w:pPr>
                  <w:r>
                    <w:rPr>
                      <w:rFonts w:hint="eastAsia"/>
                      <w:color w:val="auto"/>
                      <w:szCs w:val="21"/>
                      <w:lang w:val="en-US" w:eastAsia="zh-CN"/>
                    </w:rPr>
                    <w:t>情景激流勇进</w:t>
                  </w:r>
                </w:p>
              </w:tc>
              <w:tc>
                <w:tcPr>
                  <w:tcW w:w="5183" w:type="dxa"/>
                  <w:gridSpan w:val="2"/>
                  <w:tcMar>
                    <w:top w:w="0" w:type="dxa"/>
                    <w:left w:w="57" w:type="dxa"/>
                    <w:bottom w:w="0" w:type="dxa"/>
                    <w:right w:w="57" w:type="dxa"/>
                  </w:tcMar>
                  <w:vAlign w:val="center"/>
                </w:tcPr>
                <w:p>
                  <w:pPr>
                    <w:adjustRightInd w:val="0"/>
                    <w:snapToGrid w:val="0"/>
                    <w:rPr>
                      <w:rFonts w:hint="eastAsia"/>
                      <w:color w:val="auto"/>
                      <w:szCs w:val="21"/>
                    </w:rPr>
                  </w:pPr>
                  <w:r>
                    <w:rPr>
                      <w:rFonts w:hint="eastAsia"/>
                      <w:color w:val="auto"/>
                      <w:szCs w:val="21"/>
                      <w:lang w:val="en-US" w:eastAsia="zh-CN"/>
                    </w:rPr>
                    <w:t>为轨道类乐园建筑，总建筑面积22255.34</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地上1层，地下1层，</w:t>
                  </w:r>
                  <w:r>
                    <w:rPr>
                      <w:rFonts w:hint="eastAsia"/>
                      <w:color w:val="auto"/>
                      <w:szCs w:val="21"/>
                    </w:rPr>
                    <w:t>其中地上</w:t>
                  </w:r>
                  <w:r>
                    <w:rPr>
                      <w:rFonts w:hint="eastAsia"/>
                      <w:color w:val="auto"/>
                      <w:szCs w:val="21"/>
                      <w:lang w:val="en-US" w:eastAsia="zh-CN"/>
                    </w:rPr>
                    <w:t>21013.72</w:t>
                  </w:r>
                  <w:r>
                    <w:rPr>
                      <w:rFonts w:hint="eastAsia"/>
                      <w:color w:val="auto"/>
                      <w:szCs w:val="21"/>
                    </w:rPr>
                    <w:t>m</w:t>
                  </w:r>
                  <w:r>
                    <w:rPr>
                      <w:rFonts w:hint="eastAsia"/>
                      <w:color w:val="auto"/>
                      <w:szCs w:val="21"/>
                      <w:vertAlign w:val="superscript"/>
                    </w:rPr>
                    <w:t>2</w:t>
                  </w:r>
                  <w:r>
                    <w:rPr>
                      <w:rFonts w:hint="eastAsia"/>
                      <w:color w:val="auto"/>
                      <w:szCs w:val="21"/>
                    </w:rPr>
                    <w:t>，地下</w:t>
                  </w:r>
                  <w:r>
                    <w:rPr>
                      <w:rFonts w:hint="eastAsia"/>
                      <w:color w:val="auto"/>
                      <w:szCs w:val="21"/>
                      <w:lang w:val="en-US" w:eastAsia="zh-CN"/>
                    </w:rPr>
                    <w:t>1241.62</w:t>
                  </w:r>
                  <w:r>
                    <w:rPr>
                      <w:rFonts w:hint="eastAsia"/>
                      <w:color w:val="auto"/>
                      <w:szCs w:val="21"/>
                    </w:rPr>
                    <w:t>m</w:t>
                  </w:r>
                  <w:r>
                    <w:rPr>
                      <w:rFonts w:hint="eastAsia"/>
                      <w:color w:val="auto"/>
                      <w:szCs w:val="21"/>
                      <w:vertAlign w:val="superscript"/>
                    </w:rPr>
                    <w:t>2</w:t>
                  </w:r>
                  <w:r>
                    <w:rPr>
                      <w:rFonts w:hint="eastAsia"/>
                      <w:color w:val="auto"/>
                      <w:szCs w:val="21"/>
                      <w:lang w:eastAsia="zh-CN"/>
                    </w:rPr>
                    <w:t>。</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6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hint="eastAsia"/>
                      <w:color w:val="auto"/>
                      <w:szCs w:val="21"/>
                      <w:lang w:val="en-US" w:eastAsia="zh-CN"/>
                    </w:rPr>
                  </w:pPr>
                </w:p>
              </w:tc>
              <w:tc>
                <w:tcPr>
                  <w:tcW w:w="1258" w:type="dxa"/>
                  <w:gridSpan w:val="7"/>
                  <w:vAlign w:val="center"/>
                </w:tcPr>
                <w:p>
                  <w:pPr>
                    <w:adjustRightInd w:val="0"/>
                    <w:snapToGrid w:val="0"/>
                    <w:rPr>
                      <w:rFonts w:hint="eastAsia"/>
                      <w:color w:val="auto"/>
                      <w:szCs w:val="21"/>
                      <w:lang w:val="en-US" w:eastAsia="zh-CN"/>
                    </w:rPr>
                  </w:pPr>
                  <w:r>
                    <w:rPr>
                      <w:rFonts w:hint="eastAsia"/>
                      <w:color w:val="auto"/>
                      <w:szCs w:val="21"/>
                      <w:lang w:val="en-US" w:eastAsia="zh-CN"/>
                    </w:rPr>
                    <w:t>万圣节鬼屋</w:t>
                  </w:r>
                </w:p>
              </w:tc>
              <w:tc>
                <w:tcPr>
                  <w:tcW w:w="5183" w:type="dxa"/>
                  <w:gridSpan w:val="2"/>
                  <w:tcMar>
                    <w:top w:w="0" w:type="dxa"/>
                    <w:left w:w="57" w:type="dxa"/>
                    <w:bottom w:w="0" w:type="dxa"/>
                    <w:right w:w="57" w:type="dxa"/>
                  </w:tcMar>
                  <w:vAlign w:val="center"/>
                </w:tcPr>
                <w:p>
                  <w:pPr>
                    <w:adjustRightInd w:val="0"/>
                    <w:snapToGrid w:val="0"/>
                    <w:rPr>
                      <w:rFonts w:hint="eastAsia"/>
                      <w:color w:val="auto"/>
                      <w:szCs w:val="21"/>
                    </w:rPr>
                  </w:pPr>
                  <w:r>
                    <w:rPr>
                      <w:rFonts w:hint="eastAsia"/>
                      <w:color w:val="auto"/>
                      <w:szCs w:val="21"/>
                    </w:rPr>
                    <w:t>为</w:t>
                  </w:r>
                  <w:r>
                    <w:rPr>
                      <w:rFonts w:hint="eastAsia"/>
                      <w:color w:val="auto"/>
                      <w:szCs w:val="21"/>
                      <w:lang w:val="en-US" w:eastAsia="zh-CN"/>
                    </w:rPr>
                    <w:t>乐园建筑，总建筑面积5651.54</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地上2层。</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67" w:hRule="atLeast"/>
                <w:jc w:val="center"/>
              </w:trPr>
              <w:tc>
                <w:tcPr>
                  <w:tcW w:w="496" w:type="dxa"/>
                  <w:vMerge w:val="continue"/>
                  <w:vAlign w:val="center"/>
                </w:tcPr>
                <w:p>
                  <w:pPr>
                    <w:adjustRightInd w:val="0"/>
                    <w:snapToGrid w:val="0"/>
                    <w:jc w:val="center"/>
                    <w:rPr>
                      <w:color w:val="auto"/>
                      <w:szCs w:val="21"/>
                    </w:rPr>
                  </w:pPr>
                </w:p>
              </w:tc>
              <w:tc>
                <w:tcPr>
                  <w:tcW w:w="420" w:type="dxa"/>
                  <w:vMerge w:val="restart"/>
                  <w:vAlign w:val="center"/>
                </w:tcPr>
                <w:p>
                  <w:pPr>
                    <w:adjustRightInd w:val="0"/>
                    <w:snapToGrid w:val="0"/>
                    <w:jc w:val="center"/>
                    <w:rPr>
                      <w:rFonts w:hint="eastAsia"/>
                      <w:color w:val="auto"/>
                      <w:szCs w:val="21"/>
                      <w:lang w:val="en-US" w:eastAsia="zh-CN"/>
                    </w:rPr>
                  </w:pPr>
                  <w:r>
                    <w:rPr>
                      <w:rFonts w:hint="eastAsia"/>
                      <w:color w:val="auto"/>
                      <w:szCs w:val="21"/>
                      <w:lang w:val="en-US" w:eastAsia="zh-CN"/>
                    </w:rPr>
                    <w:t>穿越太空区</w:t>
                  </w:r>
                </w:p>
              </w:tc>
              <w:tc>
                <w:tcPr>
                  <w:tcW w:w="6441" w:type="dxa"/>
                  <w:gridSpan w:val="9"/>
                  <w:vAlign w:val="center"/>
                </w:tcPr>
                <w:p>
                  <w:pPr>
                    <w:adjustRightInd w:val="0"/>
                    <w:snapToGrid w:val="0"/>
                    <w:rPr>
                      <w:rFonts w:hint="eastAsia"/>
                      <w:color w:val="auto"/>
                      <w:szCs w:val="21"/>
                    </w:rPr>
                  </w:pPr>
                  <w:r>
                    <w:rPr>
                      <w:rFonts w:hint="eastAsia"/>
                      <w:color w:val="auto"/>
                      <w:szCs w:val="21"/>
                      <w:lang w:val="en-US" w:eastAsia="zh-CN"/>
                    </w:rPr>
                    <w:t>包含3个单体建筑，功能为游乐设施及配套建筑。总建筑面积27099.4m</w:t>
                  </w:r>
                  <w:r>
                    <w:rPr>
                      <w:rFonts w:hint="eastAsia"/>
                      <w:color w:val="auto"/>
                      <w:szCs w:val="21"/>
                      <w:vertAlign w:val="superscript"/>
                      <w:lang w:val="en-US" w:eastAsia="zh-CN"/>
                    </w:rPr>
                    <w:t>2</w:t>
                  </w:r>
                  <w:r>
                    <w:rPr>
                      <w:rFonts w:hint="eastAsia"/>
                      <w:color w:val="auto"/>
                      <w:szCs w:val="21"/>
                      <w:lang w:val="en-US" w:eastAsia="zh-CN"/>
                    </w:rPr>
                    <w:t>。建筑单体为钢筋混凝土框架结构，钢结构。</w:t>
                  </w:r>
                </w:p>
              </w:tc>
              <w:tc>
                <w:tcPr>
                  <w:tcW w:w="505" w:type="dxa"/>
                  <w:vMerge w:val="restart"/>
                  <w:tcMar>
                    <w:top w:w="0" w:type="dxa"/>
                    <w:left w:w="57" w:type="dxa"/>
                    <w:bottom w:w="0" w:type="dxa"/>
                    <w:right w:w="57" w:type="dxa"/>
                  </w:tcMar>
                  <w:vAlign w:val="center"/>
                </w:tcPr>
                <w:p>
                  <w:pPr>
                    <w:adjustRightInd w:val="0"/>
                    <w:snapToGrid w:val="0"/>
                    <w:jc w:val="center"/>
                    <w:rPr>
                      <w:rFonts w:hint="eastAsia"/>
                      <w:color w:val="auto"/>
                      <w:szCs w:val="21"/>
                      <w:lang w:val="en-US" w:eastAsia="zh-CN"/>
                    </w:rPr>
                  </w:pPr>
                  <w:r>
                    <w:rPr>
                      <w:rFonts w:hint="eastAsia"/>
                      <w:color w:val="auto"/>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6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hint="eastAsia"/>
                      <w:color w:val="auto"/>
                      <w:szCs w:val="21"/>
                      <w:lang w:val="en-US" w:eastAsia="zh-CN"/>
                    </w:rPr>
                  </w:pPr>
                </w:p>
              </w:tc>
              <w:tc>
                <w:tcPr>
                  <w:tcW w:w="1258" w:type="dxa"/>
                  <w:gridSpan w:val="7"/>
                  <w:vAlign w:val="center"/>
                </w:tcPr>
                <w:p>
                  <w:pPr>
                    <w:adjustRightInd w:val="0"/>
                    <w:snapToGrid w:val="0"/>
                    <w:rPr>
                      <w:rFonts w:hint="eastAsia"/>
                      <w:color w:val="auto"/>
                      <w:szCs w:val="21"/>
                      <w:lang w:val="en-US" w:eastAsia="zh-CN"/>
                    </w:rPr>
                  </w:pPr>
                  <w:r>
                    <w:rPr>
                      <w:rFonts w:hint="eastAsia"/>
                      <w:color w:val="auto"/>
                      <w:szCs w:val="21"/>
                      <w:lang w:val="en-US" w:eastAsia="zh-CN"/>
                    </w:rPr>
                    <w:t>三自由度体验式互动射击</w:t>
                  </w:r>
                </w:p>
              </w:tc>
              <w:tc>
                <w:tcPr>
                  <w:tcW w:w="5183" w:type="dxa"/>
                  <w:gridSpan w:val="2"/>
                  <w:tcMar>
                    <w:top w:w="0" w:type="dxa"/>
                    <w:left w:w="57" w:type="dxa"/>
                    <w:bottom w:w="0" w:type="dxa"/>
                    <w:right w:w="57" w:type="dxa"/>
                  </w:tcMar>
                  <w:vAlign w:val="center"/>
                </w:tcPr>
                <w:p>
                  <w:pPr>
                    <w:adjustRightInd w:val="0"/>
                    <w:snapToGrid w:val="0"/>
                    <w:rPr>
                      <w:rFonts w:hint="eastAsia"/>
                      <w:color w:val="auto"/>
                      <w:szCs w:val="21"/>
                    </w:rPr>
                  </w:pPr>
                  <w:r>
                    <w:rPr>
                      <w:rFonts w:hint="eastAsia"/>
                      <w:color w:val="auto"/>
                      <w:szCs w:val="21"/>
                      <w:lang w:val="en-US" w:eastAsia="zh-CN"/>
                    </w:rPr>
                    <w:t>为轨道类乐园建筑，总建筑面积6118.17</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地上1层。</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6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hint="eastAsia"/>
                      <w:color w:val="auto"/>
                      <w:szCs w:val="21"/>
                      <w:lang w:val="en-US" w:eastAsia="zh-CN"/>
                    </w:rPr>
                  </w:pPr>
                </w:p>
              </w:tc>
              <w:tc>
                <w:tcPr>
                  <w:tcW w:w="1258" w:type="dxa"/>
                  <w:gridSpan w:val="7"/>
                  <w:vAlign w:val="center"/>
                </w:tcPr>
                <w:p>
                  <w:pPr>
                    <w:adjustRightInd w:val="0"/>
                    <w:snapToGrid w:val="0"/>
                    <w:rPr>
                      <w:rFonts w:hint="eastAsia"/>
                      <w:color w:val="auto"/>
                      <w:szCs w:val="21"/>
                      <w:lang w:val="en-US" w:eastAsia="zh-CN"/>
                    </w:rPr>
                  </w:pPr>
                  <w:r>
                    <w:rPr>
                      <w:rFonts w:hint="eastAsia"/>
                      <w:color w:val="auto"/>
                      <w:szCs w:val="21"/>
                      <w:lang w:val="en-US" w:eastAsia="zh-CN"/>
                    </w:rPr>
                    <w:t>室内特效剧场</w:t>
                  </w:r>
                </w:p>
              </w:tc>
              <w:tc>
                <w:tcPr>
                  <w:tcW w:w="5183" w:type="dxa"/>
                  <w:gridSpan w:val="2"/>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为剧场建筑，总建筑面积11966.89</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地上3层，地下1层，，</w:t>
                  </w:r>
                  <w:r>
                    <w:rPr>
                      <w:rFonts w:hint="eastAsia"/>
                      <w:color w:val="auto"/>
                      <w:szCs w:val="21"/>
                    </w:rPr>
                    <w:t>其中地上</w:t>
                  </w:r>
                  <w:r>
                    <w:rPr>
                      <w:rFonts w:hint="eastAsia"/>
                      <w:color w:val="auto"/>
                      <w:szCs w:val="21"/>
                      <w:lang w:val="en-US" w:eastAsia="zh-CN"/>
                    </w:rPr>
                    <w:t>10307.07</w:t>
                  </w:r>
                  <w:r>
                    <w:rPr>
                      <w:rFonts w:hint="eastAsia"/>
                      <w:color w:val="auto"/>
                      <w:szCs w:val="21"/>
                    </w:rPr>
                    <w:t>m</w:t>
                  </w:r>
                  <w:r>
                    <w:rPr>
                      <w:rFonts w:hint="eastAsia"/>
                      <w:color w:val="auto"/>
                      <w:szCs w:val="21"/>
                      <w:vertAlign w:val="superscript"/>
                    </w:rPr>
                    <w:t>2</w:t>
                  </w:r>
                  <w:r>
                    <w:rPr>
                      <w:rFonts w:hint="eastAsia"/>
                      <w:color w:val="auto"/>
                      <w:szCs w:val="21"/>
                    </w:rPr>
                    <w:t>，地下</w:t>
                  </w:r>
                  <w:r>
                    <w:rPr>
                      <w:rFonts w:hint="eastAsia"/>
                      <w:color w:val="auto"/>
                      <w:szCs w:val="21"/>
                      <w:lang w:val="en-US" w:eastAsia="zh-CN"/>
                    </w:rPr>
                    <w:t>1659.82</w:t>
                  </w:r>
                  <w:r>
                    <w:rPr>
                      <w:rFonts w:hint="eastAsia"/>
                      <w:color w:val="auto"/>
                      <w:szCs w:val="21"/>
                    </w:rPr>
                    <w:t>m</w:t>
                  </w:r>
                  <w:r>
                    <w:rPr>
                      <w:rFonts w:hint="eastAsia"/>
                      <w:color w:val="auto"/>
                      <w:szCs w:val="21"/>
                      <w:vertAlign w:val="superscript"/>
                    </w:rPr>
                    <w:t>2</w:t>
                  </w:r>
                  <w:r>
                    <w:rPr>
                      <w:rFonts w:hint="eastAsia"/>
                      <w:color w:val="auto"/>
                      <w:szCs w:val="21"/>
                      <w:lang w:eastAsia="zh-CN"/>
                    </w:rPr>
                    <w:t>。</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6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hint="eastAsia"/>
                      <w:color w:val="auto"/>
                      <w:szCs w:val="21"/>
                      <w:lang w:val="en-US" w:eastAsia="zh-CN"/>
                    </w:rPr>
                  </w:pPr>
                </w:p>
              </w:tc>
              <w:tc>
                <w:tcPr>
                  <w:tcW w:w="1258" w:type="dxa"/>
                  <w:gridSpan w:val="7"/>
                  <w:vAlign w:val="center"/>
                </w:tcPr>
                <w:p>
                  <w:pPr>
                    <w:adjustRightInd w:val="0"/>
                    <w:snapToGrid w:val="0"/>
                    <w:rPr>
                      <w:rFonts w:hint="eastAsia"/>
                      <w:color w:val="auto"/>
                      <w:szCs w:val="21"/>
                      <w:lang w:val="en-US" w:eastAsia="zh-CN"/>
                    </w:rPr>
                  </w:pPr>
                  <w:r>
                    <w:rPr>
                      <w:rFonts w:hint="eastAsia"/>
                      <w:color w:val="auto"/>
                      <w:szCs w:val="21"/>
                      <w:lang w:val="en-US" w:eastAsia="zh-CN"/>
                    </w:rPr>
                    <w:t>循环链骑乘</w:t>
                  </w:r>
                </w:p>
              </w:tc>
              <w:tc>
                <w:tcPr>
                  <w:tcW w:w="5183" w:type="dxa"/>
                  <w:gridSpan w:val="2"/>
                  <w:tcMar>
                    <w:top w:w="0" w:type="dxa"/>
                    <w:left w:w="57" w:type="dxa"/>
                    <w:bottom w:w="0" w:type="dxa"/>
                    <w:right w:w="57" w:type="dxa"/>
                  </w:tcMar>
                  <w:vAlign w:val="center"/>
                </w:tcPr>
                <w:p>
                  <w:pPr>
                    <w:adjustRightInd w:val="0"/>
                    <w:snapToGrid w:val="0"/>
                    <w:rPr>
                      <w:rFonts w:hint="eastAsia"/>
                      <w:color w:val="auto"/>
                      <w:szCs w:val="21"/>
                    </w:rPr>
                  </w:pPr>
                  <w:r>
                    <w:rPr>
                      <w:rFonts w:hint="eastAsia"/>
                      <w:color w:val="auto"/>
                      <w:szCs w:val="21"/>
                      <w:lang w:val="en-US" w:eastAsia="zh-CN"/>
                    </w:rPr>
                    <w:t>为轨道类乐园建筑，总建筑面积9014.54</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地上2层。</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67" w:hRule="atLeast"/>
                <w:jc w:val="center"/>
              </w:trPr>
              <w:tc>
                <w:tcPr>
                  <w:tcW w:w="496" w:type="dxa"/>
                  <w:vMerge w:val="continue"/>
                  <w:vAlign w:val="center"/>
                </w:tcPr>
                <w:p>
                  <w:pPr>
                    <w:adjustRightInd w:val="0"/>
                    <w:snapToGrid w:val="0"/>
                    <w:jc w:val="center"/>
                    <w:rPr>
                      <w:color w:val="auto"/>
                      <w:szCs w:val="21"/>
                    </w:rPr>
                  </w:pPr>
                </w:p>
              </w:tc>
              <w:tc>
                <w:tcPr>
                  <w:tcW w:w="420" w:type="dxa"/>
                  <w:vMerge w:val="restart"/>
                  <w:vAlign w:val="center"/>
                </w:tcPr>
                <w:p>
                  <w:pPr>
                    <w:adjustRightInd w:val="0"/>
                    <w:snapToGrid w:val="0"/>
                    <w:jc w:val="center"/>
                    <w:rPr>
                      <w:rFonts w:hint="eastAsia"/>
                      <w:color w:val="auto"/>
                      <w:szCs w:val="21"/>
                      <w:lang w:val="en-US" w:eastAsia="zh-CN"/>
                    </w:rPr>
                  </w:pPr>
                  <w:r>
                    <w:rPr>
                      <w:rFonts w:hint="eastAsia"/>
                      <w:color w:val="auto"/>
                      <w:szCs w:val="21"/>
                      <w:lang w:val="en-US" w:eastAsia="zh-CN"/>
                    </w:rPr>
                    <w:t>漫游海洋区</w:t>
                  </w:r>
                </w:p>
              </w:tc>
              <w:tc>
                <w:tcPr>
                  <w:tcW w:w="6441" w:type="dxa"/>
                  <w:gridSpan w:val="9"/>
                  <w:vAlign w:val="center"/>
                </w:tcPr>
                <w:p>
                  <w:pPr>
                    <w:adjustRightInd w:val="0"/>
                    <w:snapToGrid w:val="0"/>
                    <w:rPr>
                      <w:rFonts w:hint="eastAsia"/>
                      <w:color w:val="auto"/>
                      <w:szCs w:val="21"/>
                      <w:lang w:val="en-US" w:eastAsia="zh-CN"/>
                    </w:rPr>
                  </w:pPr>
                  <w:r>
                    <w:rPr>
                      <w:rFonts w:hint="eastAsia"/>
                      <w:color w:val="auto"/>
                      <w:szCs w:val="21"/>
                      <w:lang w:val="en-US" w:eastAsia="zh-CN"/>
                    </w:rPr>
                    <w:t>包含3个单体建筑，功能为游乐设施及配套建筑。总建筑面积19937.94m</w:t>
                  </w:r>
                  <w:r>
                    <w:rPr>
                      <w:rFonts w:hint="eastAsia"/>
                      <w:color w:val="auto"/>
                      <w:szCs w:val="21"/>
                      <w:vertAlign w:val="superscript"/>
                      <w:lang w:val="en-US" w:eastAsia="zh-CN"/>
                    </w:rPr>
                    <w:t>2</w:t>
                  </w:r>
                  <w:r>
                    <w:rPr>
                      <w:rFonts w:hint="eastAsia"/>
                      <w:color w:val="auto"/>
                      <w:szCs w:val="21"/>
                      <w:lang w:val="en-US" w:eastAsia="zh-CN"/>
                    </w:rPr>
                    <w:t>。建筑单体为钢筋混凝土框架结构，钢结构。</w:t>
                  </w:r>
                </w:p>
              </w:tc>
              <w:tc>
                <w:tcPr>
                  <w:tcW w:w="505" w:type="dxa"/>
                  <w:vMerge w:val="restart"/>
                  <w:tcMar>
                    <w:top w:w="0" w:type="dxa"/>
                    <w:left w:w="57" w:type="dxa"/>
                    <w:bottom w:w="0" w:type="dxa"/>
                    <w:right w:w="57" w:type="dxa"/>
                  </w:tcMar>
                  <w:vAlign w:val="center"/>
                </w:tcPr>
                <w:p>
                  <w:pPr>
                    <w:adjustRightInd w:val="0"/>
                    <w:snapToGrid w:val="0"/>
                    <w:jc w:val="center"/>
                    <w:rPr>
                      <w:rFonts w:hint="eastAsia"/>
                      <w:color w:val="auto"/>
                      <w:szCs w:val="21"/>
                      <w:lang w:val="en-US" w:eastAsia="zh-CN"/>
                    </w:rPr>
                  </w:pPr>
                  <w:r>
                    <w:rPr>
                      <w:rFonts w:hint="eastAsia"/>
                      <w:color w:val="auto"/>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6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ascii="宋体" w:hAnsi="宋体" w:eastAsia="宋体" w:cs="宋体"/>
                      <w:color w:val="auto"/>
                      <w:sz w:val="24"/>
                      <w:szCs w:val="24"/>
                    </w:rPr>
                  </w:pPr>
                </w:p>
              </w:tc>
              <w:tc>
                <w:tcPr>
                  <w:tcW w:w="1258" w:type="dxa"/>
                  <w:gridSpan w:val="7"/>
                  <w:vAlign w:val="center"/>
                </w:tcPr>
                <w:p>
                  <w:pPr>
                    <w:adjustRightInd w:val="0"/>
                    <w:snapToGrid w:val="0"/>
                    <w:rPr>
                      <w:rFonts w:hint="eastAsia"/>
                      <w:color w:val="auto"/>
                      <w:szCs w:val="21"/>
                      <w:lang w:val="en-US" w:eastAsia="zh-CN"/>
                    </w:rPr>
                  </w:pPr>
                  <w:r>
                    <w:rPr>
                      <w:rFonts w:hint="eastAsia"/>
                      <w:color w:val="auto"/>
                      <w:szCs w:val="21"/>
                      <w:lang w:val="en-US" w:eastAsia="zh-CN"/>
                    </w:rPr>
                    <w:t>分舵式动感平台</w:t>
                  </w:r>
                </w:p>
              </w:tc>
              <w:tc>
                <w:tcPr>
                  <w:tcW w:w="5183" w:type="dxa"/>
                  <w:gridSpan w:val="2"/>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为影院影厅建筑，总建筑面积5195.63</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地上2层。</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6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ascii="宋体" w:hAnsi="宋体" w:eastAsia="宋体" w:cs="宋体"/>
                      <w:color w:val="auto"/>
                      <w:sz w:val="24"/>
                      <w:szCs w:val="24"/>
                    </w:rPr>
                  </w:pPr>
                </w:p>
              </w:tc>
              <w:tc>
                <w:tcPr>
                  <w:tcW w:w="1258" w:type="dxa"/>
                  <w:gridSpan w:val="7"/>
                  <w:vAlign w:val="center"/>
                </w:tcPr>
                <w:p>
                  <w:pPr>
                    <w:adjustRightInd w:val="0"/>
                    <w:snapToGrid w:val="0"/>
                    <w:rPr>
                      <w:rFonts w:hint="eastAsia"/>
                      <w:color w:val="auto"/>
                      <w:szCs w:val="21"/>
                      <w:lang w:val="en-US" w:eastAsia="zh-CN"/>
                    </w:rPr>
                  </w:pPr>
                  <w:r>
                    <w:rPr>
                      <w:rFonts w:hint="eastAsia"/>
                      <w:color w:val="auto"/>
                      <w:szCs w:val="21"/>
                      <w:lang w:val="en-US" w:eastAsia="zh-CN"/>
                    </w:rPr>
                    <w:t>电磁弹射式家庭过山车</w:t>
                  </w:r>
                </w:p>
              </w:tc>
              <w:tc>
                <w:tcPr>
                  <w:tcW w:w="5183" w:type="dxa"/>
                  <w:gridSpan w:val="2"/>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为轨道类乐园建筑，总建筑面积12914.09</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地上1层。</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6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ascii="宋体" w:hAnsi="宋体" w:eastAsia="宋体" w:cs="宋体"/>
                      <w:color w:val="auto"/>
                      <w:sz w:val="24"/>
                      <w:szCs w:val="24"/>
                    </w:rPr>
                  </w:pPr>
                </w:p>
              </w:tc>
              <w:tc>
                <w:tcPr>
                  <w:tcW w:w="1258" w:type="dxa"/>
                  <w:gridSpan w:val="7"/>
                  <w:vAlign w:val="center"/>
                </w:tcPr>
                <w:p>
                  <w:pPr>
                    <w:adjustRightInd w:val="0"/>
                    <w:snapToGrid w:val="0"/>
                    <w:rPr>
                      <w:rFonts w:hint="eastAsia"/>
                      <w:color w:val="auto"/>
                      <w:szCs w:val="21"/>
                      <w:lang w:val="en-US" w:eastAsia="zh-CN"/>
                    </w:rPr>
                  </w:pPr>
                  <w:r>
                    <w:rPr>
                      <w:rFonts w:hint="eastAsia"/>
                      <w:color w:val="auto"/>
                      <w:szCs w:val="21"/>
                      <w:lang w:val="en-US" w:eastAsia="zh-CN"/>
                    </w:rPr>
                    <w:t>空中竞技</w:t>
                  </w:r>
                </w:p>
              </w:tc>
              <w:tc>
                <w:tcPr>
                  <w:tcW w:w="5183" w:type="dxa"/>
                  <w:gridSpan w:val="2"/>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为轨道类乐园建筑，总建筑面积1828.22</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地上1层。</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67" w:hRule="atLeast"/>
                <w:jc w:val="center"/>
              </w:trPr>
              <w:tc>
                <w:tcPr>
                  <w:tcW w:w="496" w:type="dxa"/>
                  <w:vMerge w:val="continue"/>
                  <w:vAlign w:val="center"/>
                </w:tcPr>
                <w:p>
                  <w:pPr>
                    <w:adjustRightInd w:val="0"/>
                    <w:snapToGrid w:val="0"/>
                    <w:jc w:val="center"/>
                    <w:rPr>
                      <w:color w:val="auto"/>
                      <w:szCs w:val="21"/>
                    </w:rPr>
                  </w:pPr>
                </w:p>
              </w:tc>
              <w:tc>
                <w:tcPr>
                  <w:tcW w:w="420" w:type="dxa"/>
                  <w:vMerge w:val="restart"/>
                  <w:vAlign w:val="center"/>
                </w:tcPr>
                <w:p>
                  <w:pPr>
                    <w:adjustRightInd w:val="0"/>
                    <w:snapToGrid w:val="0"/>
                    <w:jc w:val="center"/>
                    <w:rPr>
                      <w:rFonts w:hint="eastAsia"/>
                      <w:color w:val="auto"/>
                      <w:szCs w:val="21"/>
                      <w:lang w:val="en-US" w:eastAsia="zh-CN"/>
                    </w:rPr>
                  </w:pPr>
                  <w:r>
                    <w:rPr>
                      <w:rFonts w:hint="eastAsia"/>
                      <w:color w:val="auto"/>
                      <w:szCs w:val="21"/>
                      <w:lang w:val="en-US" w:eastAsia="zh-CN"/>
                    </w:rPr>
                    <w:t>魔幻西欧区</w:t>
                  </w:r>
                </w:p>
              </w:tc>
              <w:tc>
                <w:tcPr>
                  <w:tcW w:w="6441" w:type="dxa"/>
                  <w:gridSpan w:val="9"/>
                  <w:vAlign w:val="center"/>
                </w:tcPr>
                <w:p>
                  <w:pPr>
                    <w:adjustRightInd w:val="0"/>
                    <w:snapToGrid w:val="0"/>
                    <w:rPr>
                      <w:rFonts w:hint="eastAsia"/>
                      <w:color w:val="auto"/>
                      <w:szCs w:val="21"/>
                      <w:lang w:val="en-US" w:eastAsia="zh-CN"/>
                    </w:rPr>
                  </w:pPr>
                  <w:r>
                    <w:rPr>
                      <w:rFonts w:hint="eastAsia"/>
                      <w:color w:val="auto"/>
                      <w:szCs w:val="21"/>
                      <w:lang w:val="en-US" w:eastAsia="zh-CN"/>
                    </w:rPr>
                    <w:t>共包含7个单体建筑，功能为游乐设施及配套建筑。总建筑面积41067.91m</w:t>
                  </w:r>
                  <w:r>
                    <w:rPr>
                      <w:rFonts w:hint="eastAsia"/>
                      <w:color w:val="auto"/>
                      <w:szCs w:val="21"/>
                      <w:vertAlign w:val="superscript"/>
                      <w:lang w:val="en-US" w:eastAsia="zh-CN"/>
                    </w:rPr>
                    <w:t>2</w:t>
                  </w:r>
                  <w:r>
                    <w:rPr>
                      <w:rFonts w:hint="eastAsia"/>
                      <w:color w:val="auto"/>
                      <w:szCs w:val="21"/>
                      <w:lang w:val="en-US" w:eastAsia="zh-CN"/>
                    </w:rPr>
                    <w:t>。建筑单体为钢筋混凝土框架结构，钢结构。</w:t>
                  </w:r>
                </w:p>
              </w:tc>
              <w:tc>
                <w:tcPr>
                  <w:tcW w:w="505" w:type="dxa"/>
                  <w:vMerge w:val="restart"/>
                  <w:tcMar>
                    <w:top w:w="0" w:type="dxa"/>
                    <w:left w:w="57" w:type="dxa"/>
                    <w:bottom w:w="0" w:type="dxa"/>
                    <w:right w:w="57" w:type="dxa"/>
                  </w:tcMar>
                  <w:vAlign w:val="center"/>
                </w:tcPr>
                <w:p>
                  <w:pPr>
                    <w:adjustRightInd w:val="0"/>
                    <w:snapToGrid w:val="0"/>
                    <w:jc w:val="center"/>
                    <w:rPr>
                      <w:rFonts w:hint="eastAsia"/>
                      <w:color w:val="auto"/>
                      <w:szCs w:val="21"/>
                      <w:lang w:val="en-US" w:eastAsia="zh-CN"/>
                    </w:rPr>
                  </w:pPr>
                  <w:r>
                    <w:rPr>
                      <w:rFonts w:hint="eastAsia"/>
                      <w:color w:val="auto"/>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6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rPr>
                      <w:rFonts w:hint="eastAsia"/>
                      <w:color w:val="auto"/>
                      <w:szCs w:val="21"/>
                      <w:lang w:val="en-US" w:eastAsia="zh-CN"/>
                    </w:rPr>
                  </w:pPr>
                </w:p>
              </w:tc>
              <w:tc>
                <w:tcPr>
                  <w:tcW w:w="1258" w:type="dxa"/>
                  <w:gridSpan w:val="7"/>
                  <w:vAlign w:val="center"/>
                </w:tcPr>
                <w:p>
                  <w:pPr>
                    <w:adjustRightInd w:val="0"/>
                    <w:snapToGrid w:val="0"/>
                    <w:rPr>
                      <w:rFonts w:hint="eastAsia"/>
                      <w:color w:val="auto"/>
                      <w:szCs w:val="21"/>
                      <w:lang w:val="en-US" w:eastAsia="zh-CN"/>
                    </w:rPr>
                  </w:pPr>
                  <w:r>
                    <w:rPr>
                      <w:rFonts w:hint="eastAsia"/>
                      <w:color w:val="auto"/>
                      <w:szCs w:val="21"/>
                      <w:lang w:val="en-US" w:eastAsia="zh-CN"/>
                    </w:rPr>
                    <w:t>悬挂式特效过山车</w:t>
                  </w:r>
                </w:p>
              </w:tc>
              <w:tc>
                <w:tcPr>
                  <w:tcW w:w="5183" w:type="dxa"/>
                  <w:gridSpan w:val="2"/>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为轨道类乐园建筑，总建筑面积10936.54</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地上1层。</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6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rPr>
                      <w:rFonts w:hint="eastAsia"/>
                      <w:color w:val="auto"/>
                      <w:szCs w:val="21"/>
                      <w:lang w:val="en-US" w:eastAsia="zh-CN"/>
                    </w:rPr>
                  </w:pPr>
                </w:p>
              </w:tc>
              <w:tc>
                <w:tcPr>
                  <w:tcW w:w="1258" w:type="dxa"/>
                  <w:gridSpan w:val="7"/>
                  <w:vAlign w:val="center"/>
                </w:tcPr>
                <w:p>
                  <w:pPr>
                    <w:adjustRightInd w:val="0"/>
                    <w:snapToGrid w:val="0"/>
                    <w:rPr>
                      <w:rFonts w:hint="eastAsia"/>
                      <w:color w:val="auto"/>
                      <w:szCs w:val="21"/>
                      <w:lang w:val="en-US" w:eastAsia="zh-CN"/>
                    </w:rPr>
                  </w:pPr>
                  <w:r>
                    <w:rPr>
                      <w:rFonts w:hint="eastAsia"/>
                      <w:color w:val="auto"/>
                      <w:szCs w:val="21"/>
                      <w:lang w:val="en-US" w:eastAsia="zh-CN"/>
                    </w:rPr>
                    <w:t>童话剧场</w:t>
                  </w:r>
                </w:p>
              </w:tc>
              <w:tc>
                <w:tcPr>
                  <w:tcW w:w="5183" w:type="dxa"/>
                  <w:gridSpan w:val="2"/>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为剧场建筑，总建筑面积3085.29</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地上3层。</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6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rPr>
                      <w:rFonts w:hint="eastAsia"/>
                      <w:color w:val="auto"/>
                      <w:szCs w:val="21"/>
                      <w:lang w:val="en-US" w:eastAsia="zh-CN"/>
                    </w:rPr>
                  </w:pPr>
                </w:p>
              </w:tc>
              <w:tc>
                <w:tcPr>
                  <w:tcW w:w="1258" w:type="dxa"/>
                  <w:gridSpan w:val="7"/>
                  <w:vAlign w:val="center"/>
                </w:tcPr>
                <w:p>
                  <w:pPr>
                    <w:adjustRightInd w:val="0"/>
                    <w:snapToGrid w:val="0"/>
                    <w:rPr>
                      <w:rFonts w:hint="eastAsia"/>
                      <w:color w:val="auto"/>
                      <w:szCs w:val="21"/>
                      <w:lang w:val="en-US" w:eastAsia="zh-CN"/>
                    </w:rPr>
                  </w:pPr>
                  <w:r>
                    <w:rPr>
                      <w:rFonts w:hint="eastAsia"/>
                      <w:color w:val="auto"/>
                      <w:szCs w:val="21"/>
                      <w:lang w:val="en-US" w:eastAsia="zh-CN"/>
                    </w:rPr>
                    <w:t>旋转木马</w:t>
                  </w:r>
                </w:p>
              </w:tc>
              <w:tc>
                <w:tcPr>
                  <w:tcW w:w="5183" w:type="dxa"/>
                  <w:gridSpan w:val="2"/>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为轨道类乐园建筑，总建筑面积1304.58</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地上1层。</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6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rPr>
                      <w:rFonts w:hint="eastAsia"/>
                      <w:color w:val="auto"/>
                      <w:szCs w:val="21"/>
                      <w:lang w:val="en-US" w:eastAsia="zh-CN"/>
                    </w:rPr>
                  </w:pPr>
                </w:p>
              </w:tc>
              <w:tc>
                <w:tcPr>
                  <w:tcW w:w="1258" w:type="dxa"/>
                  <w:gridSpan w:val="7"/>
                  <w:vAlign w:val="center"/>
                </w:tcPr>
                <w:p>
                  <w:pPr>
                    <w:adjustRightInd w:val="0"/>
                    <w:snapToGrid w:val="0"/>
                    <w:rPr>
                      <w:rFonts w:hint="eastAsia"/>
                      <w:color w:val="auto"/>
                      <w:szCs w:val="21"/>
                      <w:lang w:val="en-US" w:eastAsia="zh-CN"/>
                    </w:rPr>
                  </w:pPr>
                  <w:r>
                    <w:rPr>
                      <w:rFonts w:hint="eastAsia"/>
                      <w:color w:val="auto"/>
                      <w:szCs w:val="21"/>
                      <w:lang w:val="en-US" w:eastAsia="zh-CN"/>
                    </w:rPr>
                    <w:t>多媒体跳楼机</w:t>
                  </w:r>
                </w:p>
              </w:tc>
              <w:tc>
                <w:tcPr>
                  <w:tcW w:w="5183" w:type="dxa"/>
                  <w:gridSpan w:val="2"/>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为轨道类乐园建筑，总建筑面积6567.91</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地上3层。</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6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rPr>
                      <w:rFonts w:hint="eastAsia"/>
                      <w:color w:val="auto"/>
                      <w:szCs w:val="21"/>
                      <w:lang w:val="en-US" w:eastAsia="zh-CN"/>
                    </w:rPr>
                  </w:pPr>
                </w:p>
              </w:tc>
              <w:tc>
                <w:tcPr>
                  <w:tcW w:w="1258" w:type="dxa"/>
                  <w:gridSpan w:val="7"/>
                  <w:vAlign w:val="center"/>
                </w:tcPr>
                <w:p>
                  <w:pPr>
                    <w:adjustRightInd w:val="0"/>
                    <w:snapToGrid w:val="0"/>
                    <w:rPr>
                      <w:rFonts w:hint="eastAsia"/>
                      <w:color w:val="auto"/>
                      <w:szCs w:val="21"/>
                      <w:lang w:val="en-US" w:eastAsia="zh-CN"/>
                    </w:rPr>
                  </w:pPr>
                  <w:r>
                    <w:rPr>
                      <w:rFonts w:hint="eastAsia"/>
                      <w:color w:val="auto"/>
                      <w:szCs w:val="21"/>
                      <w:lang w:val="en-US" w:eastAsia="zh-CN"/>
                    </w:rPr>
                    <w:t>天幕影院</w:t>
                  </w:r>
                </w:p>
              </w:tc>
              <w:tc>
                <w:tcPr>
                  <w:tcW w:w="5183" w:type="dxa"/>
                  <w:gridSpan w:val="2"/>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rPr>
                    <w:t>为</w:t>
                  </w:r>
                  <w:r>
                    <w:rPr>
                      <w:rFonts w:hint="eastAsia"/>
                      <w:color w:val="auto"/>
                      <w:szCs w:val="21"/>
                      <w:lang w:val="en-US" w:eastAsia="zh-CN"/>
                    </w:rPr>
                    <w:t>影院类建筑，总建筑面积5357.29</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地上2层。</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6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rPr>
                      <w:rFonts w:hint="eastAsia"/>
                      <w:color w:val="auto"/>
                      <w:szCs w:val="21"/>
                      <w:lang w:val="en-US" w:eastAsia="zh-CN"/>
                    </w:rPr>
                  </w:pPr>
                </w:p>
              </w:tc>
              <w:tc>
                <w:tcPr>
                  <w:tcW w:w="1258" w:type="dxa"/>
                  <w:gridSpan w:val="7"/>
                  <w:vAlign w:val="center"/>
                </w:tcPr>
                <w:p>
                  <w:pPr>
                    <w:adjustRightInd w:val="0"/>
                    <w:snapToGrid w:val="0"/>
                    <w:rPr>
                      <w:rFonts w:hint="eastAsia"/>
                      <w:color w:val="auto"/>
                      <w:szCs w:val="21"/>
                      <w:lang w:val="en-US" w:eastAsia="zh-CN"/>
                    </w:rPr>
                  </w:pPr>
                  <w:r>
                    <w:rPr>
                      <w:rFonts w:hint="eastAsia"/>
                      <w:color w:val="auto"/>
                      <w:szCs w:val="21"/>
                      <w:lang w:val="en-US" w:eastAsia="zh-CN"/>
                    </w:rPr>
                    <w:t>旋转舞车</w:t>
                  </w:r>
                </w:p>
              </w:tc>
              <w:tc>
                <w:tcPr>
                  <w:tcW w:w="5183" w:type="dxa"/>
                  <w:gridSpan w:val="2"/>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为轨道类乐园建筑，总建筑面积2644.66</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地上1层，地下1层，</w:t>
                  </w:r>
                  <w:r>
                    <w:rPr>
                      <w:rFonts w:hint="eastAsia"/>
                      <w:color w:val="auto"/>
                      <w:szCs w:val="21"/>
                    </w:rPr>
                    <w:t>其中</w:t>
                  </w:r>
                  <w:r>
                    <w:rPr>
                      <w:rFonts w:hint="eastAsia"/>
                      <w:color w:val="auto"/>
                      <w:szCs w:val="21"/>
                      <w:lang w:eastAsia="zh-CN"/>
                    </w:rPr>
                    <w:t>：</w:t>
                  </w:r>
                  <w:r>
                    <w:rPr>
                      <w:rFonts w:hint="eastAsia"/>
                      <w:color w:val="auto"/>
                      <w:szCs w:val="21"/>
                    </w:rPr>
                    <w:t>地上</w:t>
                  </w:r>
                  <w:r>
                    <w:rPr>
                      <w:rFonts w:hint="eastAsia"/>
                      <w:color w:val="auto"/>
                      <w:szCs w:val="21"/>
                      <w:lang w:val="en-US" w:eastAsia="zh-CN"/>
                    </w:rPr>
                    <w:t>1030.18</w:t>
                  </w:r>
                  <w:r>
                    <w:rPr>
                      <w:rFonts w:hint="eastAsia"/>
                      <w:color w:val="auto"/>
                      <w:szCs w:val="21"/>
                    </w:rPr>
                    <w:t>m</w:t>
                  </w:r>
                  <w:r>
                    <w:rPr>
                      <w:rFonts w:hint="eastAsia"/>
                      <w:color w:val="auto"/>
                      <w:szCs w:val="21"/>
                      <w:vertAlign w:val="superscript"/>
                    </w:rPr>
                    <w:t>2</w:t>
                  </w:r>
                  <w:r>
                    <w:rPr>
                      <w:rFonts w:hint="eastAsia"/>
                      <w:color w:val="auto"/>
                      <w:szCs w:val="21"/>
                    </w:rPr>
                    <w:t>，地下</w:t>
                  </w:r>
                  <w:r>
                    <w:rPr>
                      <w:rFonts w:hint="eastAsia"/>
                      <w:color w:val="auto"/>
                      <w:szCs w:val="21"/>
                      <w:lang w:val="en-US" w:eastAsia="zh-CN"/>
                    </w:rPr>
                    <w:t>1614.48</w:t>
                  </w:r>
                  <w:r>
                    <w:rPr>
                      <w:rFonts w:hint="eastAsia"/>
                      <w:color w:val="auto"/>
                      <w:szCs w:val="21"/>
                    </w:rPr>
                    <w:t>m</w:t>
                  </w:r>
                  <w:r>
                    <w:rPr>
                      <w:rFonts w:hint="eastAsia"/>
                      <w:color w:val="auto"/>
                      <w:szCs w:val="21"/>
                      <w:vertAlign w:val="superscript"/>
                    </w:rPr>
                    <w:t>2</w:t>
                  </w:r>
                  <w:r>
                    <w:rPr>
                      <w:rFonts w:hint="eastAsia"/>
                      <w:color w:val="auto"/>
                      <w:szCs w:val="21"/>
                      <w:lang w:eastAsia="zh-CN"/>
                    </w:rPr>
                    <w:t>。</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6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rPr>
                      <w:rFonts w:hint="eastAsia"/>
                      <w:color w:val="auto"/>
                      <w:szCs w:val="21"/>
                      <w:lang w:val="en-US" w:eastAsia="zh-CN"/>
                    </w:rPr>
                  </w:pPr>
                </w:p>
              </w:tc>
              <w:tc>
                <w:tcPr>
                  <w:tcW w:w="1258" w:type="dxa"/>
                  <w:gridSpan w:val="7"/>
                  <w:vAlign w:val="center"/>
                </w:tcPr>
                <w:p>
                  <w:pPr>
                    <w:adjustRightInd w:val="0"/>
                    <w:snapToGrid w:val="0"/>
                    <w:rPr>
                      <w:rFonts w:hint="eastAsia"/>
                      <w:color w:val="auto"/>
                      <w:szCs w:val="21"/>
                      <w:lang w:val="en-US" w:eastAsia="zh-CN"/>
                    </w:rPr>
                  </w:pPr>
                  <w:r>
                    <w:rPr>
                      <w:rFonts w:hint="eastAsia"/>
                      <w:color w:val="auto"/>
                      <w:szCs w:val="21"/>
                      <w:lang w:val="en-US" w:eastAsia="zh-CN"/>
                    </w:rPr>
                    <w:t>梦幻屋</w:t>
                  </w:r>
                </w:p>
              </w:tc>
              <w:tc>
                <w:tcPr>
                  <w:tcW w:w="5183" w:type="dxa"/>
                  <w:gridSpan w:val="2"/>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为乐园建筑，总建筑面积11171.64</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地上1层，地下1层。</w:t>
                  </w:r>
                  <w:r>
                    <w:rPr>
                      <w:rFonts w:hint="eastAsia"/>
                      <w:color w:val="auto"/>
                      <w:szCs w:val="21"/>
                    </w:rPr>
                    <w:t>其中</w:t>
                  </w:r>
                  <w:r>
                    <w:rPr>
                      <w:rFonts w:hint="eastAsia"/>
                      <w:color w:val="auto"/>
                      <w:szCs w:val="21"/>
                      <w:lang w:eastAsia="zh-CN"/>
                    </w:rPr>
                    <w:t>：</w:t>
                  </w:r>
                  <w:r>
                    <w:rPr>
                      <w:rFonts w:hint="eastAsia"/>
                      <w:color w:val="auto"/>
                      <w:szCs w:val="21"/>
                    </w:rPr>
                    <w:t>地上</w:t>
                  </w:r>
                  <w:r>
                    <w:rPr>
                      <w:rFonts w:hint="eastAsia"/>
                      <w:color w:val="auto"/>
                      <w:szCs w:val="21"/>
                      <w:lang w:val="en-US" w:eastAsia="zh-CN"/>
                    </w:rPr>
                    <w:t>9211.87</w:t>
                  </w:r>
                  <w:r>
                    <w:rPr>
                      <w:rFonts w:hint="eastAsia"/>
                      <w:color w:val="auto"/>
                      <w:szCs w:val="21"/>
                    </w:rPr>
                    <w:t>m</w:t>
                  </w:r>
                  <w:r>
                    <w:rPr>
                      <w:rFonts w:hint="eastAsia"/>
                      <w:color w:val="auto"/>
                      <w:szCs w:val="21"/>
                      <w:vertAlign w:val="superscript"/>
                    </w:rPr>
                    <w:t>2</w:t>
                  </w:r>
                  <w:r>
                    <w:rPr>
                      <w:rFonts w:hint="eastAsia"/>
                      <w:color w:val="auto"/>
                      <w:szCs w:val="21"/>
                    </w:rPr>
                    <w:t>，地下</w:t>
                  </w:r>
                  <w:r>
                    <w:rPr>
                      <w:rFonts w:hint="eastAsia"/>
                      <w:color w:val="auto"/>
                      <w:szCs w:val="21"/>
                      <w:lang w:val="en-US" w:eastAsia="zh-CN"/>
                    </w:rPr>
                    <w:t>1959.77</w:t>
                  </w:r>
                  <w:r>
                    <w:rPr>
                      <w:rFonts w:hint="eastAsia"/>
                      <w:color w:val="auto"/>
                      <w:szCs w:val="21"/>
                    </w:rPr>
                    <w:t>m</w:t>
                  </w:r>
                  <w:r>
                    <w:rPr>
                      <w:rFonts w:hint="eastAsia"/>
                      <w:color w:val="auto"/>
                      <w:szCs w:val="21"/>
                      <w:vertAlign w:val="superscript"/>
                    </w:rPr>
                    <w:t>2</w:t>
                  </w:r>
                  <w:r>
                    <w:rPr>
                      <w:rFonts w:hint="eastAsia"/>
                      <w:color w:val="auto"/>
                      <w:szCs w:val="21"/>
                      <w:lang w:eastAsia="zh-CN"/>
                    </w:rPr>
                    <w:t>。</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67" w:hRule="atLeast"/>
                <w:jc w:val="center"/>
              </w:trPr>
              <w:tc>
                <w:tcPr>
                  <w:tcW w:w="496" w:type="dxa"/>
                  <w:vMerge w:val="continue"/>
                  <w:vAlign w:val="center"/>
                </w:tcPr>
                <w:p>
                  <w:pPr>
                    <w:adjustRightInd w:val="0"/>
                    <w:snapToGrid w:val="0"/>
                    <w:jc w:val="center"/>
                    <w:rPr>
                      <w:color w:val="auto"/>
                      <w:szCs w:val="21"/>
                    </w:rPr>
                  </w:pPr>
                </w:p>
              </w:tc>
              <w:tc>
                <w:tcPr>
                  <w:tcW w:w="1678" w:type="dxa"/>
                  <w:gridSpan w:val="8"/>
                  <w:vAlign w:val="center"/>
                </w:tcPr>
                <w:p>
                  <w:pPr>
                    <w:adjustRightInd w:val="0"/>
                    <w:snapToGrid w:val="0"/>
                    <w:rPr>
                      <w:rFonts w:hint="eastAsia"/>
                      <w:color w:val="auto"/>
                      <w:szCs w:val="21"/>
                      <w:lang w:val="en-US" w:eastAsia="zh-CN"/>
                    </w:rPr>
                  </w:pPr>
                  <w:r>
                    <w:rPr>
                      <w:rFonts w:hint="eastAsia"/>
                      <w:color w:val="auto"/>
                      <w:szCs w:val="21"/>
                      <w:lang w:val="en-US" w:eastAsia="zh-CN"/>
                    </w:rPr>
                    <w:t xml:space="preserve">    中心园林</w:t>
                  </w:r>
                </w:p>
              </w:tc>
              <w:tc>
                <w:tcPr>
                  <w:tcW w:w="5183" w:type="dxa"/>
                  <w:gridSpan w:val="2"/>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包括1个水系、4个公共卫生间、6个景观亭、10个售卖亭、2个休息廊架、1座拱桥、6个栈道、假山等其它公共景观小品。</w:t>
                  </w:r>
                </w:p>
              </w:tc>
              <w:tc>
                <w:tcPr>
                  <w:tcW w:w="505" w:type="dxa"/>
                  <w:tcMar>
                    <w:top w:w="0" w:type="dxa"/>
                    <w:left w:w="57" w:type="dxa"/>
                    <w:bottom w:w="0" w:type="dxa"/>
                    <w:right w:w="57" w:type="dxa"/>
                  </w:tcMar>
                  <w:vAlign w:val="center"/>
                </w:tcPr>
                <w:p>
                  <w:pPr>
                    <w:adjustRightInd w:val="0"/>
                    <w:snapToGrid w:val="0"/>
                    <w:jc w:val="center"/>
                    <w:rPr>
                      <w:rFonts w:hint="eastAsia"/>
                      <w:color w:val="auto"/>
                      <w:szCs w:val="21"/>
                      <w:lang w:val="en-US" w:eastAsia="zh-CN"/>
                    </w:rPr>
                  </w:pPr>
                  <w:r>
                    <w:rPr>
                      <w:rFonts w:hint="eastAsia"/>
                      <w:color w:val="auto"/>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67" w:hRule="atLeast"/>
                <w:jc w:val="center"/>
              </w:trPr>
              <w:tc>
                <w:tcPr>
                  <w:tcW w:w="496" w:type="dxa"/>
                  <w:vMerge w:val="restart"/>
                  <w:vAlign w:val="center"/>
                </w:tcPr>
                <w:p>
                  <w:pPr>
                    <w:adjustRightInd w:val="0"/>
                    <w:snapToGrid w:val="0"/>
                    <w:rPr>
                      <w:rFonts w:hint="eastAsia"/>
                      <w:color w:val="auto"/>
                      <w:szCs w:val="21"/>
                      <w:lang w:val="en-US" w:eastAsia="zh-CN"/>
                    </w:rPr>
                  </w:pPr>
                  <w:r>
                    <w:rPr>
                      <w:rFonts w:hint="eastAsia"/>
                      <w:color w:val="auto"/>
                      <w:szCs w:val="21"/>
                      <w:lang w:val="en-US" w:eastAsia="zh-CN"/>
                    </w:rPr>
                    <w:t>临时</w:t>
                  </w:r>
                  <w:r>
                    <w:rPr>
                      <w:rFonts w:hint="eastAsia"/>
                      <w:color w:val="auto"/>
                      <w:szCs w:val="21"/>
                    </w:rPr>
                    <w:t>工程</w:t>
                  </w:r>
                </w:p>
              </w:tc>
              <w:tc>
                <w:tcPr>
                  <w:tcW w:w="1678" w:type="dxa"/>
                  <w:gridSpan w:val="8"/>
                  <w:vAlign w:val="center"/>
                </w:tcPr>
                <w:p>
                  <w:pPr>
                    <w:adjustRightInd w:val="0"/>
                    <w:snapToGrid w:val="0"/>
                    <w:rPr>
                      <w:rFonts w:hint="eastAsia"/>
                      <w:color w:val="auto"/>
                      <w:szCs w:val="21"/>
                      <w:lang w:val="en-US" w:eastAsia="zh-CN"/>
                    </w:rPr>
                  </w:pPr>
                  <w:r>
                    <w:rPr>
                      <w:rFonts w:hint="eastAsia" w:ascii="宋体" w:hAnsi="宋体" w:eastAsia="宋体" w:cs="宋体"/>
                      <w:snapToGrid w:val="0"/>
                      <w:color w:val="auto"/>
                      <w:kern w:val="2"/>
                      <w:szCs w:val="21"/>
                    </w:rPr>
                    <w:t>施工临时生活</w:t>
                  </w:r>
                  <w:r>
                    <w:rPr>
                      <w:rFonts w:hint="eastAsia" w:ascii="宋体" w:hAnsi="宋体" w:cs="宋体"/>
                      <w:snapToGrid w:val="0"/>
                      <w:color w:val="auto"/>
                      <w:kern w:val="2"/>
                      <w:szCs w:val="21"/>
                      <w:lang w:val="en-US" w:eastAsia="zh-CN"/>
                    </w:rPr>
                    <w:t>营地</w:t>
                  </w:r>
                </w:p>
              </w:tc>
              <w:tc>
                <w:tcPr>
                  <w:tcW w:w="5183" w:type="dxa"/>
                  <w:gridSpan w:val="2"/>
                  <w:tcMar>
                    <w:top w:w="0" w:type="dxa"/>
                    <w:left w:w="57" w:type="dxa"/>
                    <w:bottom w:w="0" w:type="dxa"/>
                    <w:right w:w="57" w:type="dxa"/>
                  </w:tcMar>
                  <w:vAlign w:val="center"/>
                </w:tcPr>
                <w:p>
                  <w:pPr>
                    <w:pStyle w:val="53"/>
                    <w:spacing w:line="300" w:lineRule="exact"/>
                    <w:jc w:val="both"/>
                    <w:rPr>
                      <w:rFonts w:hint="eastAsia"/>
                      <w:color w:val="auto"/>
                      <w:szCs w:val="21"/>
                      <w:lang w:val="en-US" w:eastAsia="zh-CN"/>
                    </w:rPr>
                  </w:pPr>
                  <w:r>
                    <w:rPr>
                      <w:rFonts w:hint="eastAsia" w:eastAsia="宋体"/>
                      <w:color w:val="auto"/>
                      <w:kern w:val="2"/>
                      <w:szCs w:val="21"/>
                    </w:rPr>
                    <w:t>施工期</w:t>
                  </w:r>
                  <w:r>
                    <w:rPr>
                      <w:rFonts w:hint="eastAsia" w:eastAsia="宋体"/>
                      <w:color w:val="auto"/>
                      <w:kern w:val="2"/>
                      <w:szCs w:val="21"/>
                      <w:lang w:val="en-US" w:eastAsia="zh-CN"/>
                    </w:rPr>
                    <w:t>需</w:t>
                  </w:r>
                  <w:r>
                    <w:rPr>
                      <w:rFonts w:hint="eastAsia" w:eastAsia="宋体"/>
                      <w:color w:val="auto"/>
                      <w:kern w:val="2"/>
                      <w:szCs w:val="21"/>
                    </w:rPr>
                    <w:t>自建</w:t>
                  </w:r>
                  <w:r>
                    <w:rPr>
                      <w:rFonts w:hint="eastAsia" w:eastAsia="宋体"/>
                      <w:color w:val="auto"/>
                      <w:kern w:val="2"/>
                      <w:szCs w:val="21"/>
                      <w:lang w:val="en-US" w:eastAsia="zh-CN"/>
                    </w:rPr>
                    <w:t>2个</w:t>
                  </w:r>
                  <w:r>
                    <w:rPr>
                      <w:rFonts w:hint="eastAsia" w:eastAsia="宋体"/>
                      <w:color w:val="auto"/>
                      <w:kern w:val="2"/>
                      <w:szCs w:val="21"/>
                    </w:rPr>
                    <w:t>施工营地。可满足施工需求。该施工营地</w:t>
                  </w:r>
                  <w:r>
                    <w:rPr>
                      <w:rFonts w:hint="eastAsia" w:eastAsia="宋体"/>
                      <w:color w:val="auto"/>
                      <w:kern w:val="2"/>
                      <w:szCs w:val="21"/>
                      <w:lang w:val="en-US" w:eastAsia="zh-CN"/>
                    </w:rPr>
                    <w:t>分别</w:t>
                  </w:r>
                  <w:r>
                    <w:rPr>
                      <w:rFonts w:hint="eastAsia" w:eastAsia="宋体"/>
                      <w:color w:val="auto"/>
                      <w:kern w:val="2"/>
                      <w:szCs w:val="21"/>
                    </w:rPr>
                    <w:t>位于项目区域西北角</w:t>
                  </w:r>
                  <w:r>
                    <w:rPr>
                      <w:rFonts w:hint="eastAsia" w:eastAsia="宋体"/>
                      <w:color w:val="auto"/>
                      <w:kern w:val="2"/>
                      <w:szCs w:val="21"/>
                      <w:lang w:val="en-US" w:eastAsia="zh-CN"/>
                    </w:rPr>
                    <w:t>与东南角</w:t>
                  </w:r>
                  <w:r>
                    <w:rPr>
                      <w:rFonts w:hint="eastAsia" w:eastAsia="宋体"/>
                      <w:color w:val="auto"/>
                      <w:kern w:val="2"/>
                      <w:szCs w:val="21"/>
                    </w:rPr>
                    <w:t>，位于项目征地红线范围内。</w:t>
                  </w:r>
                </w:p>
              </w:tc>
              <w:tc>
                <w:tcPr>
                  <w:tcW w:w="505" w:type="dxa"/>
                  <w:vMerge w:val="restart"/>
                  <w:tcMar>
                    <w:top w:w="0" w:type="dxa"/>
                    <w:left w:w="57" w:type="dxa"/>
                    <w:bottom w:w="0" w:type="dxa"/>
                    <w:right w:w="57" w:type="dxa"/>
                  </w:tcMar>
                  <w:vAlign w:val="center"/>
                </w:tcPr>
                <w:p>
                  <w:pPr>
                    <w:adjustRightInd w:val="0"/>
                    <w:snapToGrid w:val="0"/>
                    <w:jc w:val="center"/>
                    <w:rPr>
                      <w:rFonts w:hint="eastAsia"/>
                      <w:color w:val="auto"/>
                      <w:szCs w:val="21"/>
                      <w:lang w:val="en-US" w:eastAsia="zh-CN"/>
                    </w:rPr>
                  </w:pPr>
                  <w:r>
                    <w:rPr>
                      <w:rFonts w:hint="eastAsia"/>
                      <w:color w:val="auto"/>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67" w:hRule="atLeast"/>
                <w:jc w:val="center"/>
              </w:trPr>
              <w:tc>
                <w:tcPr>
                  <w:tcW w:w="496" w:type="dxa"/>
                  <w:vMerge w:val="continue"/>
                  <w:vAlign w:val="center"/>
                </w:tcPr>
                <w:p>
                  <w:pPr>
                    <w:adjustRightInd w:val="0"/>
                    <w:snapToGrid w:val="0"/>
                    <w:rPr>
                      <w:rFonts w:hint="eastAsia"/>
                      <w:color w:val="auto"/>
                      <w:szCs w:val="21"/>
                      <w:lang w:val="en-US" w:eastAsia="zh-CN"/>
                    </w:rPr>
                  </w:pPr>
                </w:p>
              </w:tc>
              <w:tc>
                <w:tcPr>
                  <w:tcW w:w="1678" w:type="dxa"/>
                  <w:gridSpan w:val="8"/>
                  <w:vAlign w:val="center"/>
                </w:tcPr>
                <w:p>
                  <w:pPr>
                    <w:pStyle w:val="53"/>
                    <w:spacing w:line="300" w:lineRule="exact"/>
                    <w:jc w:val="both"/>
                    <w:rPr>
                      <w:rFonts w:hint="eastAsia" w:ascii="宋体" w:hAnsi="宋体" w:eastAsia="宋体" w:cs="宋体"/>
                      <w:snapToGrid w:val="0"/>
                      <w:color w:val="auto"/>
                      <w:kern w:val="2"/>
                      <w:szCs w:val="21"/>
                      <w:lang w:eastAsia="zh-CN"/>
                    </w:rPr>
                  </w:pPr>
                  <w:r>
                    <w:rPr>
                      <w:rFonts w:hint="eastAsia" w:ascii="宋体" w:hAnsi="宋体" w:eastAsia="宋体" w:cs="宋体"/>
                      <w:snapToGrid w:val="0"/>
                      <w:color w:val="auto"/>
                      <w:kern w:val="2"/>
                      <w:szCs w:val="21"/>
                      <w:lang w:val="en-US" w:eastAsia="zh-CN"/>
                    </w:rPr>
                    <w:t>施工道路</w:t>
                  </w:r>
                </w:p>
              </w:tc>
              <w:tc>
                <w:tcPr>
                  <w:tcW w:w="5183" w:type="dxa"/>
                  <w:gridSpan w:val="2"/>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hAnsi="宋体" w:eastAsia="宋体"/>
                      <w:snapToGrid w:val="0"/>
                      <w:color w:val="auto"/>
                      <w:kern w:val="2"/>
                      <w:szCs w:val="21"/>
                    </w:rPr>
                    <w:t>依托</w:t>
                  </w:r>
                  <w:r>
                    <w:rPr>
                      <w:rFonts w:hint="eastAsia" w:hAnsi="宋体"/>
                      <w:snapToGrid w:val="0"/>
                      <w:color w:val="auto"/>
                      <w:kern w:val="2"/>
                      <w:szCs w:val="21"/>
                      <w:lang w:val="en-US" w:eastAsia="zh-CN"/>
                    </w:rPr>
                    <w:t>项目地南侧沣泾大道。</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67" w:hRule="atLeast"/>
                <w:jc w:val="center"/>
              </w:trPr>
              <w:tc>
                <w:tcPr>
                  <w:tcW w:w="496" w:type="dxa"/>
                  <w:vMerge w:val="continue"/>
                  <w:vAlign w:val="center"/>
                </w:tcPr>
                <w:p>
                  <w:pPr>
                    <w:adjustRightInd w:val="0"/>
                    <w:snapToGrid w:val="0"/>
                    <w:rPr>
                      <w:rFonts w:hint="eastAsia"/>
                      <w:color w:val="auto"/>
                      <w:szCs w:val="21"/>
                      <w:lang w:val="en-US" w:eastAsia="zh-CN"/>
                    </w:rPr>
                  </w:pPr>
                </w:p>
              </w:tc>
              <w:tc>
                <w:tcPr>
                  <w:tcW w:w="1678" w:type="dxa"/>
                  <w:gridSpan w:val="8"/>
                  <w:vAlign w:val="center"/>
                </w:tcPr>
                <w:p>
                  <w:pPr>
                    <w:pStyle w:val="53"/>
                    <w:spacing w:line="300" w:lineRule="exact"/>
                    <w:jc w:val="both"/>
                    <w:rPr>
                      <w:rFonts w:hint="eastAsia" w:ascii="宋体" w:hAnsi="宋体" w:eastAsia="宋体" w:cs="宋体"/>
                      <w:snapToGrid w:val="0"/>
                      <w:color w:val="auto"/>
                      <w:kern w:val="2"/>
                      <w:szCs w:val="21"/>
                    </w:rPr>
                  </w:pPr>
                  <w:r>
                    <w:rPr>
                      <w:rFonts w:hint="eastAsia" w:ascii="宋体" w:hAnsi="宋体" w:eastAsia="宋体" w:cs="宋体"/>
                      <w:snapToGrid w:val="0"/>
                      <w:color w:val="auto"/>
                      <w:kern w:val="2"/>
                      <w:szCs w:val="21"/>
                    </w:rPr>
                    <w:t>取弃土场</w:t>
                  </w:r>
                </w:p>
              </w:tc>
              <w:tc>
                <w:tcPr>
                  <w:tcW w:w="5183" w:type="dxa"/>
                  <w:gridSpan w:val="2"/>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无</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67" w:hRule="atLeast"/>
                <w:jc w:val="center"/>
              </w:trPr>
              <w:tc>
                <w:tcPr>
                  <w:tcW w:w="496" w:type="dxa"/>
                  <w:vMerge w:val="continue"/>
                  <w:vAlign w:val="center"/>
                </w:tcPr>
                <w:p>
                  <w:pPr>
                    <w:adjustRightInd w:val="0"/>
                    <w:snapToGrid w:val="0"/>
                    <w:rPr>
                      <w:rFonts w:hint="eastAsia"/>
                      <w:color w:val="auto"/>
                      <w:szCs w:val="21"/>
                      <w:lang w:val="en-US" w:eastAsia="zh-CN"/>
                    </w:rPr>
                  </w:pPr>
                </w:p>
              </w:tc>
              <w:tc>
                <w:tcPr>
                  <w:tcW w:w="1678" w:type="dxa"/>
                  <w:gridSpan w:val="8"/>
                  <w:vAlign w:val="center"/>
                </w:tcPr>
                <w:p>
                  <w:pPr>
                    <w:pStyle w:val="53"/>
                    <w:spacing w:line="300" w:lineRule="exact"/>
                    <w:jc w:val="both"/>
                    <w:rPr>
                      <w:rFonts w:hint="eastAsia" w:ascii="宋体" w:hAnsi="宋体" w:eastAsia="宋体" w:cs="宋体"/>
                      <w:snapToGrid w:val="0"/>
                      <w:color w:val="auto"/>
                      <w:kern w:val="2"/>
                      <w:szCs w:val="21"/>
                    </w:rPr>
                  </w:pPr>
                  <w:r>
                    <w:rPr>
                      <w:rFonts w:hint="eastAsia" w:ascii="宋体" w:hAnsi="宋体" w:eastAsia="宋体" w:cs="宋体"/>
                      <w:snapToGrid w:val="0"/>
                      <w:color w:val="auto"/>
                      <w:kern w:val="2"/>
                      <w:szCs w:val="21"/>
                    </w:rPr>
                    <w:t>施工电、水供应</w:t>
                  </w:r>
                </w:p>
              </w:tc>
              <w:tc>
                <w:tcPr>
                  <w:tcW w:w="5183" w:type="dxa"/>
                  <w:gridSpan w:val="2"/>
                  <w:tcMar>
                    <w:top w:w="0" w:type="dxa"/>
                    <w:left w:w="57" w:type="dxa"/>
                    <w:bottom w:w="0" w:type="dxa"/>
                    <w:right w:w="57" w:type="dxa"/>
                  </w:tcMar>
                  <w:vAlign w:val="center"/>
                </w:tcPr>
                <w:p>
                  <w:pPr>
                    <w:pStyle w:val="53"/>
                    <w:spacing w:line="300" w:lineRule="exact"/>
                    <w:jc w:val="both"/>
                    <w:rPr>
                      <w:rFonts w:hint="eastAsia" w:eastAsia="宋体"/>
                      <w:color w:val="auto"/>
                      <w:kern w:val="2"/>
                      <w:szCs w:val="21"/>
                      <w:lang w:val="en-US"/>
                    </w:rPr>
                  </w:pPr>
                  <w:r>
                    <w:rPr>
                      <w:rFonts w:hint="eastAsia" w:eastAsia="宋体"/>
                      <w:color w:val="auto"/>
                      <w:kern w:val="2"/>
                      <w:szCs w:val="21"/>
                    </w:rPr>
                    <w:t>水：施工生活</w:t>
                  </w:r>
                  <w:r>
                    <w:rPr>
                      <w:rFonts w:hint="eastAsia" w:eastAsia="宋体"/>
                      <w:color w:val="auto"/>
                      <w:kern w:val="2"/>
                      <w:szCs w:val="21"/>
                      <w:lang w:val="en-US" w:eastAsia="zh-CN"/>
                    </w:rPr>
                    <w:t>生产</w:t>
                  </w:r>
                  <w:r>
                    <w:rPr>
                      <w:rFonts w:hint="eastAsia" w:eastAsia="宋体"/>
                      <w:color w:val="auto"/>
                      <w:kern w:val="2"/>
                      <w:szCs w:val="21"/>
                    </w:rPr>
                    <w:t>用水</w:t>
                  </w:r>
                  <w:r>
                    <w:rPr>
                      <w:rFonts w:hint="eastAsia" w:eastAsia="宋体"/>
                      <w:color w:val="auto"/>
                      <w:kern w:val="2"/>
                      <w:szCs w:val="21"/>
                      <w:lang w:val="en-US" w:eastAsia="zh-CN"/>
                    </w:rPr>
                    <w:t>采用市政给水。</w:t>
                  </w:r>
                </w:p>
                <w:p>
                  <w:pPr>
                    <w:adjustRightInd w:val="0"/>
                    <w:snapToGrid w:val="0"/>
                    <w:rPr>
                      <w:rFonts w:hint="eastAsia"/>
                      <w:color w:val="auto"/>
                      <w:szCs w:val="21"/>
                      <w:lang w:val="en-US" w:eastAsia="zh-CN"/>
                    </w:rPr>
                  </w:pPr>
                  <w:r>
                    <w:rPr>
                      <w:rFonts w:hint="eastAsia" w:eastAsia="宋体"/>
                      <w:color w:val="auto"/>
                      <w:kern w:val="2"/>
                      <w:szCs w:val="21"/>
                    </w:rPr>
                    <w:t>电：施工期用电</w:t>
                  </w:r>
                  <w:r>
                    <w:rPr>
                      <w:rFonts w:hint="eastAsia"/>
                      <w:color w:val="auto"/>
                      <w:kern w:val="2"/>
                      <w:szCs w:val="21"/>
                      <w:lang w:val="en-US" w:eastAsia="zh-CN"/>
                    </w:rPr>
                    <w:t>采用市政供电。</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496" w:type="dxa"/>
                  <w:vMerge w:val="restart"/>
                  <w:vAlign w:val="center"/>
                </w:tcPr>
                <w:p>
                  <w:pPr>
                    <w:adjustRightInd w:val="0"/>
                    <w:snapToGrid w:val="0"/>
                    <w:rPr>
                      <w:rFonts w:hint="eastAsia"/>
                      <w:color w:val="auto"/>
                      <w:szCs w:val="21"/>
                      <w:lang w:val="en-US" w:eastAsia="zh-CN"/>
                    </w:rPr>
                  </w:pPr>
                  <w:r>
                    <w:rPr>
                      <w:rFonts w:hint="eastAsia"/>
                      <w:color w:val="auto"/>
                      <w:szCs w:val="21"/>
                      <w:lang w:val="en-US" w:eastAsia="zh-CN"/>
                    </w:rPr>
                    <w:t>辅助工程</w:t>
                  </w:r>
                </w:p>
              </w:tc>
              <w:tc>
                <w:tcPr>
                  <w:tcW w:w="1678" w:type="dxa"/>
                  <w:gridSpan w:val="8"/>
                  <w:vAlign w:val="center"/>
                </w:tcPr>
                <w:p>
                  <w:pPr>
                    <w:adjustRightInd w:val="0"/>
                    <w:snapToGrid w:val="0"/>
                    <w:rPr>
                      <w:rFonts w:hint="eastAsia"/>
                      <w:color w:val="auto"/>
                      <w:szCs w:val="21"/>
                      <w:lang w:val="en-US" w:eastAsia="zh-CN"/>
                    </w:rPr>
                  </w:pPr>
                  <w:r>
                    <w:rPr>
                      <w:rFonts w:hint="eastAsia"/>
                      <w:color w:val="auto"/>
                      <w:szCs w:val="21"/>
                      <w:lang w:val="en-US" w:eastAsia="zh-CN"/>
                    </w:rPr>
                    <w:t>游客服务中心</w:t>
                  </w:r>
                </w:p>
              </w:tc>
              <w:tc>
                <w:tcPr>
                  <w:tcW w:w="5183" w:type="dxa"/>
                  <w:gridSpan w:val="2"/>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设置在主城堡内，包括售票、验票、物品储存、纪念品零售、咨询、休息等服务。</w:t>
                  </w:r>
                </w:p>
              </w:tc>
              <w:tc>
                <w:tcPr>
                  <w:tcW w:w="505" w:type="dxa"/>
                  <w:vMerge w:val="restart"/>
                  <w:tcMar>
                    <w:top w:w="0" w:type="dxa"/>
                    <w:left w:w="57" w:type="dxa"/>
                    <w:bottom w:w="0" w:type="dxa"/>
                    <w:right w:w="57" w:type="dxa"/>
                  </w:tcMar>
                  <w:vAlign w:val="center"/>
                </w:tcPr>
                <w:p>
                  <w:pPr>
                    <w:adjustRightInd w:val="0"/>
                    <w:snapToGrid w:val="0"/>
                    <w:jc w:val="center"/>
                    <w:rPr>
                      <w:rFonts w:hint="eastAsia"/>
                      <w:color w:val="auto"/>
                      <w:szCs w:val="21"/>
                      <w:lang w:val="en-US" w:eastAsia="zh-CN"/>
                    </w:rPr>
                  </w:pPr>
                  <w:r>
                    <w:rPr>
                      <w:rFonts w:hint="eastAsia"/>
                      <w:color w:val="auto"/>
                      <w:szCs w:val="21"/>
                      <w:lang w:val="en-US" w:eastAsia="zh-CN"/>
                    </w:rPr>
                    <w:t>/</w:t>
                  </w:r>
                </w:p>
                <w:p>
                  <w:pPr>
                    <w:adjustRightInd w:val="0"/>
                    <w:snapToGrid w:val="0"/>
                    <w:jc w:val="center"/>
                    <w:rPr>
                      <w:rFonts w:hint="eastAsia" w:eastAsia="宋体"/>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rPr>
                      <w:rFonts w:hint="eastAsia"/>
                      <w:color w:val="auto"/>
                      <w:szCs w:val="21"/>
                      <w:lang w:val="en-US" w:eastAsia="zh-CN"/>
                    </w:rPr>
                  </w:pPr>
                </w:p>
              </w:tc>
              <w:tc>
                <w:tcPr>
                  <w:tcW w:w="1678" w:type="dxa"/>
                  <w:gridSpan w:val="8"/>
                  <w:vAlign w:val="center"/>
                </w:tcPr>
                <w:p>
                  <w:pPr>
                    <w:adjustRightInd w:val="0"/>
                    <w:snapToGrid w:val="0"/>
                    <w:rPr>
                      <w:rFonts w:hint="eastAsia"/>
                      <w:color w:val="auto"/>
                      <w:szCs w:val="21"/>
                      <w:lang w:val="en-US" w:eastAsia="zh-CN"/>
                    </w:rPr>
                  </w:pPr>
                  <w:r>
                    <w:rPr>
                      <w:rFonts w:hint="eastAsia"/>
                      <w:color w:val="auto"/>
                      <w:szCs w:val="21"/>
                      <w:lang w:val="en-US" w:eastAsia="zh-CN"/>
                    </w:rPr>
                    <w:t>综合办公楼</w:t>
                  </w:r>
                </w:p>
              </w:tc>
              <w:tc>
                <w:tcPr>
                  <w:tcW w:w="5183" w:type="dxa"/>
                  <w:gridSpan w:val="2"/>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位于游乐园西北角801#建筑，1栋，5F，框架结构，建筑面积4472.02m</w:t>
                  </w:r>
                  <w:r>
                    <w:rPr>
                      <w:rFonts w:hint="eastAsia"/>
                      <w:color w:val="auto"/>
                      <w:szCs w:val="21"/>
                      <w:vertAlign w:val="superscript"/>
                      <w:lang w:val="en-US" w:eastAsia="zh-CN"/>
                    </w:rPr>
                    <w:t>2</w:t>
                  </w:r>
                  <w:r>
                    <w:rPr>
                      <w:rFonts w:hint="eastAsia"/>
                      <w:color w:val="auto"/>
                      <w:szCs w:val="21"/>
                      <w:lang w:val="en-US" w:eastAsia="zh-CN"/>
                    </w:rPr>
                    <w:t>，仅提供员工办公。</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rPr>
                      <w:rFonts w:hint="eastAsia"/>
                      <w:color w:val="auto"/>
                      <w:szCs w:val="21"/>
                      <w:lang w:val="en-US" w:eastAsia="zh-CN"/>
                    </w:rPr>
                  </w:pPr>
                </w:p>
              </w:tc>
              <w:tc>
                <w:tcPr>
                  <w:tcW w:w="1678" w:type="dxa"/>
                  <w:gridSpan w:val="8"/>
                  <w:vAlign w:val="center"/>
                </w:tcPr>
                <w:p>
                  <w:pPr>
                    <w:adjustRightInd w:val="0"/>
                    <w:snapToGrid w:val="0"/>
                    <w:rPr>
                      <w:rFonts w:hint="eastAsia"/>
                      <w:color w:val="auto"/>
                      <w:szCs w:val="21"/>
                      <w:lang w:val="en-US" w:eastAsia="zh-CN"/>
                    </w:rPr>
                  </w:pPr>
                  <w:r>
                    <w:rPr>
                      <w:rFonts w:hint="eastAsia"/>
                      <w:color w:val="auto"/>
                      <w:szCs w:val="21"/>
                      <w:lang w:val="en-US" w:eastAsia="zh-CN"/>
                    </w:rPr>
                    <w:t>垃圾房</w:t>
                  </w:r>
                </w:p>
              </w:tc>
              <w:tc>
                <w:tcPr>
                  <w:tcW w:w="5183" w:type="dxa"/>
                  <w:gridSpan w:val="2"/>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本项目设10个垃圾回收间，沿园区外围环路布设，建筑面积31.2m</w:t>
                  </w:r>
                  <w:r>
                    <w:rPr>
                      <w:rFonts w:hint="eastAsia"/>
                      <w:color w:val="auto"/>
                      <w:szCs w:val="21"/>
                      <w:vertAlign w:val="superscript"/>
                      <w:lang w:val="en-US" w:eastAsia="zh-CN"/>
                    </w:rPr>
                    <w:t>2</w:t>
                  </w:r>
                  <w:r>
                    <w:rPr>
                      <w:rFonts w:hint="eastAsia"/>
                      <w:color w:val="auto"/>
                      <w:szCs w:val="21"/>
                      <w:lang w:val="en-US" w:eastAsia="zh-CN"/>
                    </w:rPr>
                    <w:t>/间，总计312m</w:t>
                  </w:r>
                  <w:r>
                    <w:rPr>
                      <w:rFonts w:hint="eastAsia"/>
                      <w:color w:val="auto"/>
                      <w:szCs w:val="21"/>
                      <w:vertAlign w:val="superscript"/>
                      <w:lang w:val="en-US" w:eastAsia="zh-CN"/>
                    </w:rPr>
                    <w:t>2</w:t>
                  </w:r>
                  <w:r>
                    <w:rPr>
                      <w:rFonts w:hint="eastAsia"/>
                      <w:color w:val="auto"/>
                      <w:szCs w:val="21"/>
                      <w:lang w:val="en-US" w:eastAsia="zh-CN"/>
                    </w:rPr>
                    <w:t>，框架结构。</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1678" w:type="dxa"/>
                  <w:gridSpan w:val="8"/>
                  <w:vAlign w:val="center"/>
                </w:tcPr>
                <w:p>
                  <w:pPr>
                    <w:adjustRightInd w:val="0"/>
                    <w:snapToGrid w:val="0"/>
                    <w:jc w:val="both"/>
                    <w:rPr>
                      <w:rFonts w:hint="eastAsia"/>
                      <w:color w:val="auto"/>
                      <w:szCs w:val="21"/>
                    </w:rPr>
                  </w:pPr>
                  <w:r>
                    <w:rPr>
                      <w:rFonts w:hint="eastAsia"/>
                      <w:color w:val="auto"/>
                      <w:szCs w:val="21"/>
                    </w:rPr>
                    <w:t>医务室</w:t>
                  </w:r>
                </w:p>
              </w:tc>
              <w:tc>
                <w:tcPr>
                  <w:tcW w:w="5183" w:type="dxa"/>
                  <w:gridSpan w:val="2"/>
                  <w:tcMar>
                    <w:top w:w="0" w:type="dxa"/>
                    <w:left w:w="57" w:type="dxa"/>
                    <w:bottom w:w="0" w:type="dxa"/>
                    <w:right w:w="57" w:type="dxa"/>
                  </w:tcMar>
                  <w:vAlign w:val="center"/>
                </w:tcPr>
                <w:p>
                  <w:pPr>
                    <w:rPr>
                      <w:color w:val="auto"/>
                      <w:szCs w:val="21"/>
                    </w:rPr>
                  </w:pPr>
                  <w:r>
                    <w:rPr>
                      <w:rFonts w:hint="eastAsia"/>
                      <w:color w:val="auto"/>
                      <w:szCs w:val="21"/>
                      <w:lang w:val="en-US" w:eastAsia="zh-CN"/>
                    </w:rPr>
                    <w:t>位于璀璨中华区114#单体的3层，该单体框架结构、地上4F、地下2F，在3F布置有医务室，建筑面积92m</w:t>
                  </w:r>
                  <w:r>
                    <w:rPr>
                      <w:rFonts w:hint="eastAsia"/>
                      <w:color w:val="auto"/>
                      <w:szCs w:val="21"/>
                      <w:vertAlign w:val="superscript"/>
                      <w:lang w:val="en-US" w:eastAsia="zh-CN"/>
                    </w:rPr>
                    <w:t>2</w:t>
                  </w:r>
                  <w:r>
                    <w:rPr>
                      <w:rFonts w:hint="eastAsia"/>
                      <w:color w:val="auto"/>
                      <w:szCs w:val="21"/>
                      <w:lang w:val="en-US" w:eastAsia="zh-CN"/>
                    </w:rPr>
                    <w:t>。</w:t>
                  </w:r>
                </w:p>
              </w:tc>
              <w:tc>
                <w:tcPr>
                  <w:tcW w:w="505" w:type="dxa"/>
                  <w:vMerge w:val="continue"/>
                  <w:tcMar>
                    <w:top w:w="0" w:type="dxa"/>
                    <w:left w:w="57" w:type="dxa"/>
                    <w:bottom w:w="0" w:type="dxa"/>
                    <w:right w:w="57" w:type="dxa"/>
                  </w:tcMar>
                  <w:vAlign w:val="center"/>
                </w:tcPr>
                <w:p>
                  <w:pPr>
                    <w:adjustRightInd w:val="0"/>
                    <w:snapToGrid w:val="0"/>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1678" w:type="dxa"/>
                  <w:gridSpan w:val="8"/>
                  <w:vMerge w:val="restart"/>
                  <w:vAlign w:val="center"/>
                </w:tcPr>
                <w:p>
                  <w:pPr>
                    <w:adjustRightInd w:val="0"/>
                    <w:snapToGrid w:val="0"/>
                    <w:jc w:val="center"/>
                    <w:rPr>
                      <w:rFonts w:hint="eastAsia"/>
                      <w:color w:val="auto"/>
                      <w:szCs w:val="21"/>
                    </w:rPr>
                  </w:pPr>
                  <w:r>
                    <w:rPr>
                      <w:rFonts w:hint="eastAsia"/>
                      <w:color w:val="auto"/>
                      <w:szCs w:val="21"/>
                    </w:rPr>
                    <w:t>停车场</w:t>
                  </w:r>
                </w:p>
              </w:tc>
              <w:tc>
                <w:tcPr>
                  <w:tcW w:w="5183" w:type="dxa"/>
                  <w:gridSpan w:val="2"/>
                  <w:tcMar>
                    <w:top w:w="0" w:type="dxa"/>
                    <w:left w:w="57" w:type="dxa"/>
                    <w:bottom w:w="0" w:type="dxa"/>
                    <w:right w:w="57" w:type="dxa"/>
                  </w:tcMar>
                  <w:vAlign w:val="center"/>
                </w:tcPr>
                <w:p>
                  <w:pPr>
                    <w:adjustRightInd w:val="0"/>
                    <w:snapToGrid w:val="0"/>
                    <w:rPr>
                      <w:rFonts w:hint="eastAsia"/>
                      <w:color w:val="auto"/>
                      <w:szCs w:val="21"/>
                    </w:rPr>
                  </w:pPr>
                  <w:r>
                    <w:rPr>
                      <w:rFonts w:hint="eastAsia"/>
                      <w:color w:val="auto"/>
                      <w:szCs w:val="21"/>
                    </w:rPr>
                    <w:t>地下车位1707个，分布在主城堡地下</w:t>
                  </w:r>
                  <w:r>
                    <w:rPr>
                      <w:rFonts w:hint="eastAsia"/>
                      <w:color w:val="auto"/>
                      <w:szCs w:val="21"/>
                      <w:lang w:val="en-US" w:eastAsia="zh-CN"/>
                    </w:rPr>
                    <w:t>1F</w:t>
                  </w:r>
                  <w:r>
                    <w:rPr>
                      <w:rFonts w:hint="eastAsia"/>
                      <w:color w:val="auto"/>
                      <w:szCs w:val="21"/>
                    </w:rPr>
                    <w:t>和</w:t>
                  </w:r>
                  <w:r>
                    <w:rPr>
                      <w:rFonts w:hint="eastAsia"/>
                      <w:color w:val="auto"/>
                      <w:szCs w:val="21"/>
                      <w:lang w:val="en-US" w:eastAsia="zh-CN"/>
                    </w:rPr>
                    <w:t>2F</w:t>
                  </w:r>
                  <w:r>
                    <w:rPr>
                      <w:rFonts w:hint="eastAsia"/>
                      <w:color w:val="auto"/>
                      <w:szCs w:val="21"/>
                    </w:rPr>
                    <w:t>。</w:t>
                  </w:r>
                </w:p>
                <w:p>
                  <w:pPr>
                    <w:adjustRightInd w:val="0"/>
                    <w:snapToGrid w:val="0"/>
                    <w:rPr>
                      <w:color w:val="auto"/>
                      <w:szCs w:val="21"/>
                    </w:rPr>
                  </w:pPr>
                  <w:r>
                    <w:rPr>
                      <w:rFonts w:hint="eastAsia"/>
                      <w:color w:val="auto"/>
                      <w:szCs w:val="21"/>
                    </w:rPr>
                    <w:t>其中</w:t>
                  </w:r>
                  <w:r>
                    <w:rPr>
                      <w:rFonts w:hint="eastAsia"/>
                      <w:color w:val="auto"/>
                      <w:szCs w:val="21"/>
                      <w:lang w:eastAsia="zh-CN"/>
                    </w:rPr>
                    <w:t>：</w:t>
                  </w:r>
                  <w:r>
                    <w:rPr>
                      <w:rFonts w:hint="eastAsia"/>
                      <w:color w:val="auto"/>
                      <w:szCs w:val="21"/>
                    </w:rPr>
                    <w:t>小汽车车位数是1682个，大巴车车位数是25个</w:t>
                  </w:r>
                  <w:r>
                    <w:rPr>
                      <w:rFonts w:hint="eastAsia"/>
                      <w:color w:val="auto"/>
                      <w:szCs w:val="21"/>
                      <w:lang w:eastAsia="zh-CN"/>
                    </w:rPr>
                    <w:t>。</w:t>
                  </w:r>
                </w:p>
              </w:tc>
              <w:tc>
                <w:tcPr>
                  <w:tcW w:w="505" w:type="dxa"/>
                  <w:vMerge w:val="continue"/>
                  <w:tcMar>
                    <w:top w:w="0" w:type="dxa"/>
                    <w:left w:w="57" w:type="dxa"/>
                    <w:bottom w:w="0" w:type="dxa"/>
                    <w:right w:w="57" w:type="dxa"/>
                  </w:tcMar>
                  <w:vAlign w:val="center"/>
                </w:tcPr>
                <w:p>
                  <w:pPr>
                    <w:adjustRightInd w:val="0"/>
                    <w:snapToGrid w:val="0"/>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rFonts w:hint="eastAsia" w:eastAsia="宋体"/>
                      <w:color w:val="auto"/>
                      <w:szCs w:val="21"/>
                      <w:lang w:eastAsia="zh-CN"/>
                    </w:rPr>
                  </w:pPr>
                </w:p>
              </w:tc>
              <w:tc>
                <w:tcPr>
                  <w:tcW w:w="1678" w:type="dxa"/>
                  <w:gridSpan w:val="8"/>
                  <w:vMerge w:val="continue"/>
                  <w:vAlign w:val="center"/>
                </w:tcPr>
                <w:p>
                  <w:pPr>
                    <w:adjustRightInd w:val="0"/>
                    <w:snapToGrid w:val="0"/>
                    <w:jc w:val="center"/>
                    <w:rPr>
                      <w:color w:val="auto"/>
                      <w:szCs w:val="21"/>
                    </w:rPr>
                  </w:pPr>
                </w:p>
              </w:tc>
              <w:tc>
                <w:tcPr>
                  <w:tcW w:w="5183" w:type="dxa"/>
                  <w:gridSpan w:val="2"/>
                  <w:tcMar>
                    <w:top w:w="0" w:type="dxa"/>
                    <w:left w:w="57" w:type="dxa"/>
                    <w:bottom w:w="0" w:type="dxa"/>
                    <w:right w:w="57" w:type="dxa"/>
                  </w:tcMar>
                  <w:vAlign w:val="center"/>
                </w:tcPr>
                <w:p>
                  <w:pPr>
                    <w:adjustRightInd w:val="0"/>
                    <w:snapToGrid w:val="0"/>
                    <w:rPr>
                      <w:color w:val="auto"/>
                      <w:szCs w:val="21"/>
                    </w:rPr>
                  </w:pPr>
                  <w:r>
                    <w:rPr>
                      <w:rFonts w:hint="eastAsia"/>
                      <w:color w:val="auto"/>
                      <w:szCs w:val="21"/>
                    </w:rPr>
                    <w:t>地上停车场，车位数为</w:t>
                  </w:r>
                  <w:r>
                    <w:rPr>
                      <w:rFonts w:hint="eastAsia"/>
                      <w:color w:val="auto"/>
                      <w:szCs w:val="21"/>
                      <w:lang w:val="en-US" w:eastAsia="zh-CN"/>
                    </w:rPr>
                    <w:t>39</w:t>
                  </w:r>
                  <w:r>
                    <w:rPr>
                      <w:rFonts w:hint="eastAsia"/>
                      <w:color w:val="auto"/>
                      <w:szCs w:val="21"/>
                    </w:rPr>
                    <w:t>个</w:t>
                  </w:r>
                  <w:r>
                    <w:rPr>
                      <w:rFonts w:hint="eastAsia"/>
                      <w:color w:val="auto"/>
                      <w:szCs w:val="21"/>
                      <w:lang w:eastAsia="zh-CN"/>
                    </w:rPr>
                    <w:t>，</w:t>
                  </w:r>
                  <w:r>
                    <w:rPr>
                      <w:rFonts w:hint="eastAsia"/>
                      <w:color w:val="auto"/>
                      <w:szCs w:val="21"/>
                      <w:lang w:val="en-US" w:eastAsia="zh-CN"/>
                    </w:rPr>
                    <w:t>其中：主城堡分布19个，办公楼区域分布20个。</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rFonts w:hint="eastAsia" w:eastAsia="宋体"/>
                      <w:color w:val="auto"/>
                      <w:szCs w:val="21"/>
                      <w:lang w:val="en-US" w:eastAsia="zh-CN"/>
                    </w:rPr>
                  </w:pPr>
                </w:p>
              </w:tc>
              <w:tc>
                <w:tcPr>
                  <w:tcW w:w="1678" w:type="dxa"/>
                  <w:gridSpan w:val="8"/>
                  <w:vMerge w:val="restart"/>
                  <w:vAlign w:val="center"/>
                </w:tcPr>
                <w:p>
                  <w:pPr>
                    <w:adjustRightInd w:val="0"/>
                    <w:snapToGrid w:val="0"/>
                    <w:jc w:val="center"/>
                    <w:rPr>
                      <w:rFonts w:hint="eastAsia"/>
                      <w:color w:val="auto"/>
                      <w:szCs w:val="21"/>
                      <w:lang w:val="en-US" w:eastAsia="zh-CN"/>
                    </w:rPr>
                  </w:pPr>
                  <w:r>
                    <w:rPr>
                      <w:rFonts w:hint="eastAsia"/>
                      <w:color w:val="auto"/>
                      <w:szCs w:val="21"/>
                      <w:lang w:val="en-US" w:eastAsia="zh-CN"/>
                    </w:rPr>
                    <w:t>员工食堂</w:t>
                  </w:r>
                </w:p>
              </w:tc>
              <w:tc>
                <w:tcPr>
                  <w:tcW w:w="5183" w:type="dxa"/>
                  <w:gridSpan w:val="2"/>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位于璀璨中华区107#单体，该单体框架结构，地上2F，2层为员工餐厅，容纳108人就餐。</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1678" w:type="dxa"/>
                  <w:gridSpan w:val="8"/>
                  <w:vMerge w:val="continue"/>
                  <w:vAlign w:val="center"/>
                </w:tcPr>
                <w:p>
                  <w:pPr>
                    <w:adjustRightInd w:val="0"/>
                    <w:snapToGrid w:val="0"/>
                    <w:jc w:val="center"/>
                    <w:rPr>
                      <w:color w:val="auto"/>
                      <w:szCs w:val="21"/>
                    </w:rPr>
                  </w:pPr>
                </w:p>
              </w:tc>
              <w:tc>
                <w:tcPr>
                  <w:tcW w:w="5183" w:type="dxa"/>
                  <w:gridSpan w:val="2"/>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位于璀璨中华区108#单体，该单体框架结构，地上2F，2层为员工餐厅，容纳168人就餐。</w:t>
                  </w:r>
                </w:p>
              </w:tc>
              <w:tc>
                <w:tcPr>
                  <w:tcW w:w="505" w:type="dxa"/>
                  <w:vMerge w:val="continue"/>
                  <w:tcMar>
                    <w:top w:w="0" w:type="dxa"/>
                    <w:left w:w="57" w:type="dxa"/>
                    <w:bottom w:w="0" w:type="dxa"/>
                    <w:right w:w="57" w:type="dxa"/>
                  </w:tcMar>
                  <w:vAlign w:val="center"/>
                </w:tcPr>
                <w:p>
                  <w:pPr>
                    <w:adjustRightInd w:val="0"/>
                    <w:snapToGrid w:val="0"/>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1678" w:type="dxa"/>
                  <w:gridSpan w:val="8"/>
                  <w:vMerge w:val="continue"/>
                  <w:vAlign w:val="center"/>
                </w:tcPr>
                <w:p>
                  <w:pPr>
                    <w:adjustRightInd w:val="0"/>
                    <w:snapToGrid w:val="0"/>
                    <w:jc w:val="center"/>
                    <w:rPr>
                      <w:color w:val="auto"/>
                      <w:szCs w:val="21"/>
                    </w:rPr>
                  </w:pPr>
                </w:p>
              </w:tc>
              <w:tc>
                <w:tcPr>
                  <w:tcW w:w="5183" w:type="dxa"/>
                  <w:gridSpan w:val="2"/>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位于神秘古国区217#单体，该单体框架结构，地上2F，1层设有员工餐厅，容纳200人就餐。</w:t>
                  </w:r>
                </w:p>
              </w:tc>
              <w:tc>
                <w:tcPr>
                  <w:tcW w:w="505" w:type="dxa"/>
                  <w:vMerge w:val="continue"/>
                  <w:tcMar>
                    <w:top w:w="0" w:type="dxa"/>
                    <w:left w:w="57" w:type="dxa"/>
                    <w:bottom w:w="0" w:type="dxa"/>
                    <w:right w:w="57" w:type="dxa"/>
                  </w:tcMar>
                  <w:vAlign w:val="center"/>
                </w:tcPr>
                <w:p>
                  <w:pPr>
                    <w:adjustRightInd w:val="0"/>
                    <w:snapToGrid w:val="0"/>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496" w:type="dxa"/>
                  <w:vMerge w:val="continue"/>
                  <w:vAlign w:val="center"/>
                </w:tcPr>
                <w:p>
                  <w:pPr>
                    <w:adjustRightInd w:val="0"/>
                    <w:snapToGrid w:val="0"/>
                    <w:jc w:val="center"/>
                    <w:rPr>
                      <w:color w:val="auto"/>
                      <w:szCs w:val="21"/>
                    </w:rPr>
                  </w:pPr>
                </w:p>
              </w:tc>
              <w:tc>
                <w:tcPr>
                  <w:tcW w:w="1678" w:type="dxa"/>
                  <w:gridSpan w:val="8"/>
                  <w:vMerge w:val="continue"/>
                  <w:vAlign w:val="center"/>
                </w:tcPr>
                <w:p>
                  <w:pPr>
                    <w:adjustRightInd w:val="0"/>
                    <w:snapToGrid w:val="0"/>
                    <w:jc w:val="center"/>
                    <w:rPr>
                      <w:color w:val="auto"/>
                      <w:szCs w:val="21"/>
                    </w:rPr>
                  </w:pPr>
                </w:p>
              </w:tc>
              <w:tc>
                <w:tcPr>
                  <w:tcW w:w="5183" w:type="dxa"/>
                  <w:gridSpan w:val="2"/>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位于漫游海洋区321#单体，该单体框架结构，地上2F，2层设员工餐厅，容纳120人就餐。</w:t>
                  </w:r>
                </w:p>
              </w:tc>
              <w:tc>
                <w:tcPr>
                  <w:tcW w:w="505" w:type="dxa"/>
                  <w:vMerge w:val="continue"/>
                  <w:tcMar>
                    <w:top w:w="0" w:type="dxa"/>
                    <w:left w:w="57" w:type="dxa"/>
                    <w:bottom w:w="0" w:type="dxa"/>
                    <w:right w:w="57" w:type="dxa"/>
                  </w:tcMar>
                  <w:vAlign w:val="center"/>
                </w:tcPr>
                <w:p>
                  <w:pPr>
                    <w:adjustRightInd w:val="0"/>
                    <w:snapToGrid w:val="0"/>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1678" w:type="dxa"/>
                  <w:gridSpan w:val="8"/>
                  <w:vMerge w:val="continue"/>
                  <w:vAlign w:val="center"/>
                </w:tcPr>
                <w:p>
                  <w:pPr>
                    <w:adjustRightInd w:val="0"/>
                    <w:snapToGrid w:val="0"/>
                    <w:jc w:val="center"/>
                    <w:rPr>
                      <w:color w:val="auto"/>
                      <w:szCs w:val="21"/>
                    </w:rPr>
                  </w:pPr>
                </w:p>
              </w:tc>
              <w:tc>
                <w:tcPr>
                  <w:tcW w:w="5183" w:type="dxa"/>
                  <w:gridSpan w:val="2"/>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位于漫游海洋区424#单体，该单体框架结构，地上2F，2层设员工餐厅，容纳118人就餐。</w:t>
                  </w:r>
                </w:p>
              </w:tc>
              <w:tc>
                <w:tcPr>
                  <w:tcW w:w="505" w:type="dxa"/>
                  <w:vMerge w:val="continue"/>
                  <w:tcMar>
                    <w:top w:w="0" w:type="dxa"/>
                    <w:left w:w="57" w:type="dxa"/>
                    <w:bottom w:w="0" w:type="dxa"/>
                    <w:right w:w="57" w:type="dxa"/>
                  </w:tcMar>
                  <w:vAlign w:val="center"/>
                </w:tcPr>
                <w:p>
                  <w:pPr>
                    <w:adjustRightInd w:val="0"/>
                    <w:snapToGrid w:val="0"/>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496" w:type="dxa"/>
                  <w:vMerge w:val="continue"/>
                  <w:vAlign w:val="center"/>
                </w:tcPr>
                <w:p>
                  <w:pPr>
                    <w:adjustRightInd w:val="0"/>
                    <w:snapToGrid w:val="0"/>
                    <w:jc w:val="center"/>
                    <w:rPr>
                      <w:color w:val="auto"/>
                      <w:szCs w:val="21"/>
                    </w:rPr>
                  </w:pPr>
                </w:p>
              </w:tc>
              <w:tc>
                <w:tcPr>
                  <w:tcW w:w="1678" w:type="dxa"/>
                  <w:gridSpan w:val="8"/>
                  <w:vMerge w:val="continue"/>
                  <w:vAlign w:val="center"/>
                </w:tcPr>
                <w:p>
                  <w:pPr>
                    <w:adjustRightInd w:val="0"/>
                    <w:snapToGrid w:val="0"/>
                    <w:jc w:val="center"/>
                    <w:rPr>
                      <w:color w:val="auto"/>
                      <w:szCs w:val="21"/>
                    </w:rPr>
                  </w:pPr>
                </w:p>
              </w:tc>
              <w:tc>
                <w:tcPr>
                  <w:tcW w:w="5183" w:type="dxa"/>
                  <w:gridSpan w:val="2"/>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位于漫游海洋区633#单体，该单体框架结构，地上3F，2层设员工餐厅，容纳124人就餐。</w:t>
                  </w:r>
                </w:p>
              </w:tc>
              <w:tc>
                <w:tcPr>
                  <w:tcW w:w="505" w:type="dxa"/>
                  <w:vMerge w:val="continue"/>
                  <w:tcMar>
                    <w:top w:w="0" w:type="dxa"/>
                    <w:left w:w="57" w:type="dxa"/>
                    <w:bottom w:w="0" w:type="dxa"/>
                    <w:right w:w="57" w:type="dxa"/>
                  </w:tcMar>
                  <w:vAlign w:val="center"/>
                </w:tcPr>
                <w:p>
                  <w:pPr>
                    <w:adjustRightInd w:val="0"/>
                    <w:snapToGrid w:val="0"/>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496" w:type="dxa"/>
                  <w:vMerge w:val="continue"/>
                  <w:vAlign w:val="center"/>
                </w:tcPr>
                <w:p>
                  <w:pPr>
                    <w:adjustRightInd w:val="0"/>
                    <w:snapToGrid w:val="0"/>
                    <w:jc w:val="center"/>
                    <w:rPr>
                      <w:rFonts w:hint="eastAsia" w:eastAsia="宋体"/>
                      <w:color w:val="auto"/>
                      <w:szCs w:val="21"/>
                      <w:lang w:val="en-US" w:eastAsia="zh-CN"/>
                    </w:rPr>
                  </w:pPr>
                </w:p>
              </w:tc>
              <w:tc>
                <w:tcPr>
                  <w:tcW w:w="1678" w:type="dxa"/>
                  <w:gridSpan w:val="8"/>
                  <w:vAlign w:val="center"/>
                </w:tcPr>
                <w:p>
                  <w:pPr>
                    <w:adjustRightInd w:val="0"/>
                    <w:snapToGrid w:val="0"/>
                    <w:jc w:val="center"/>
                    <w:rPr>
                      <w:rFonts w:hint="eastAsia"/>
                      <w:color w:val="auto"/>
                      <w:szCs w:val="21"/>
                      <w:lang w:val="en-US" w:eastAsia="zh-CN"/>
                    </w:rPr>
                  </w:pPr>
                  <w:r>
                    <w:rPr>
                      <w:rFonts w:hint="eastAsia"/>
                      <w:color w:val="auto"/>
                      <w:szCs w:val="21"/>
                      <w:lang w:val="en-US" w:eastAsia="zh-CN"/>
                    </w:rPr>
                    <w:t>园区道路</w:t>
                  </w:r>
                </w:p>
              </w:tc>
              <w:tc>
                <w:tcPr>
                  <w:tcW w:w="5183" w:type="dxa"/>
                  <w:gridSpan w:val="2"/>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设计全长2.8km，宽4-8m，串联园区所有功能区。</w:t>
                  </w:r>
                </w:p>
              </w:tc>
              <w:tc>
                <w:tcPr>
                  <w:tcW w:w="505" w:type="dxa"/>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r>
                    <w:rPr>
                      <w:rFonts w:hint="eastAsia"/>
                      <w:color w:val="auto"/>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rFonts w:hint="eastAsia"/>
                      <w:color w:val="auto"/>
                      <w:szCs w:val="21"/>
                      <w:lang w:val="en-US" w:eastAsia="zh-CN"/>
                    </w:rPr>
                  </w:pPr>
                </w:p>
              </w:tc>
              <w:tc>
                <w:tcPr>
                  <w:tcW w:w="839" w:type="dxa"/>
                  <w:gridSpan w:val="3"/>
                  <w:vMerge w:val="restart"/>
                  <w:vAlign w:val="center"/>
                </w:tcPr>
                <w:p>
                  <w:pPr>
                    <w:adjustRightInd w:val="0"/>
                    <w:snapToGrid w:val="0"/>
                    <w:jc w:val="center"/>
                    <w:rPr>
                      <w:rFonts w:hint="eastAsia"/>
                      <w:color w:val="auto"/>
                      <w:szCs w:val="21"/>
                      <w:lang w:val="en-US" w:eastAsia="zh-CN"/>
                    </w:rPr>
                  </w:pPr>
                  <w:r>
                    <w:rPr>
                      <w:rFonts w:hint="eastAsia"/>
                      <w:color w:val="auto"/>
                      <w:szCs w:val="21"/>
                      <w:lang w:val="en-US" w:eastAsia="zh-CN"/>
                    </w:rPr>
                    <w:t>设备用房</w:t>
                  </w:r>
                </w:p>
              </w:tc>
              <w:tc>
                <w:tcPr>
                  <w:tcW w:w="839" w:type="dxa"/>
                  <w:gridSpan w:val="5"/>
                  <w:vMerge w:val="restart"/>
                  <w:vAlign w:val="center"/>
                </w:tcPr>
                <w:p>
                  <w:pPr>
                    <w:adjustRightInd w:val="0"/>
                    <w:snapToGrid w:val="0"/>
                    <w:jc w:val="center"/>
                    <w:rPr>
                      <w:rFonts w:hint="eastAsia"/>
                      <w:color w:val="auto"/>
                      <w:szCs w:val="21"/>
                      <w:lang w:val="en-US" w:eastAsia="zh-CN"/>
                    </w:rPr>
                  </w:pPr>
                  <w:r>
                    <w:rPr>
                      <w:rFonts w:hint="eastAsia"/>
                      <w:color w:val="auto"/>
                      <w:szCs w:val="21"/>
                      <w:lang w:val="en-US" w:eastAsia="zh-CN"/>
                    </w:rPr>
                    <w:t>水泵房</w:t>
                  </w:r>
                </w:p>
              </w:tc>
              <w:tc>
                <w:tcPr>
                  <w:tcW w:w="5183" w:type="dxa"/>
                  <w:gridSpan w:val="2"/>
                  <w:tcMar>
                    <w:top w:w="0" w:type="dxa"/>
                    <w:left w:w="57" w:type="dxa"/>
                    <w:bottom w:w="0" w:type="dxa"/>
                    <w:right w:w="57" w:type="dxa"/>
                  </w:tcMar>
                  <w:vAlign w:val="center"/>
                </w:tcPr>
                <w:p>
                  <w:pPr>
                    <w:adjustRightInd w:val="0"/>
                    <w:snapToGrid w:val="0"/>
                    <w:rPr>
                      <w:rFonts w:hint="eastAsia"/>
                      <w:color w:val="auto"/>
                      <w:szCs w:val="21"/>
                    </w:rPr>
                  </w:pPr>
                  <w:r>
                    <w:rPr>
                      <w:rFonts w:hint="eastAsia"/>
                      <w:color w:val="auto"/>
                      <w:szCs w:val="21"/>
                      <w:lang w:val="en-US" w:eastAsia="zh-CN"/>
                    </w:rPr>
                    <w:t>园区634#单体梦幻屋负1层设一个消防水泵房，框架结构。内设1座容积648m³消防水池，8台消防泵。</w:t>
                  </w:r>
                </w:p>
              </w:tc>
              <w:tc>
                <w:tcPr>
                  <w:tcW w:w="505" w:type="dxa"/>
                  <w:vMerge w:val="restart"/>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r>
                    <w:rPr>
                      <w:rFonts w:hint="eastAsia"/>
                      <w:color w:val="auto"/>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rFonts w:hint="eastAsia" w:eastAsia="宋体"/>
                      <w:color w:val="auto"/>
                      <w:szCs w:val="21"/>
                      <w:lang w:val="en-US" w:eastAsia="zh-CN"/>
                    </w:rPr>
                  </w:pPr>
                </w:p>
              </w:tc>
              <w:tc>
                <w:tcPr>
                  <w:tcW w:w="839" w:type="dxa"/>
                  <w:gridSpan w:val="3"/>
                  <w:vMerge w:val="continue"/>
                  <w:vAlign w:val="center"/>
                </w:tcPr>
                <w:p>
                  <w:pPr>
                    <w:adjustRightInd w:val="0"/>
                    <w:snapToGrid w:val="0"/>
                    <w:jc w:val="center"/>
                    <w:rPr>
                      <w:color w:val="auto"/>
                      <w:szCs w:val="21"/>
                    </w:rPr>
                  </w:pPr>
                </w:p>
              </w:tc>
              <w:tc>
                <w:tcPr>
                  <w:tcW w:w="839" w:type="dxa"/>
                  <w:gridSpan w:val="5"/>
                  <w:vMerge w:val="continue"/>
                  <w:vAlign w:val="center"/>
                </w:tcPr>
                <w:p>
                  <w:pPr>
                    <w:adjustRightInd w:val="0"/>
                    <w:snapToGrid w:val="0"/>
                    <w:jc w:val="center"/>
                    <w:rPr>
                      <w:rFonts w:hint="eastAsia"/>
                      <w:color w:val="auto"/>
                      <w:szCs w:val="21"/>
                      <w:lang w:val="en-US" w:eastAsia="zh-CN"/>
                    </w:rPr>
                  </w:pPr>
                </w:p>
              </w:tc>
              <w:tc>
                <w:tcPr>
                  <w:tcW w:w="5183" w:type="dxa"/>
                  <w:gridSpan w:val="2"/>
                  <w:tcMar>
                    <w:top w:w="0" w:type="dxa"/>
                    <w:left w:w="57" w:type="dxa"/>
                    <w:bottom w:w="0" w:type="dxa"/>
                    <w:right w:w="57" w:type="dxa"/>
                  </w:tcMar>
                  <w:vAlign w:val="center"/>
                </w:tcPr>
                <w:p>
                  <w:pPr>
                    <w:adjustRightInd w:val="0"/>
                    <w:snapToGrid w:val="0"/>
                    <w:rPr>
                      <w:rFonts w:hint="eastAsia"/>
                      <w:color w:val="auto"/>
                      <w:szCs w:val="21"/>
                    </w:rPr>
                  </w:pPr>
                  <w:r>
                    <w:rPr>
                      <w:rFonts w:hint="eastAsia"/>
                      <w:color w:val="auto"/>
                      <w:szCs w:val="21"/>
                      <w:lang w:val="en-US" w:eastAsia="zh-CN"/>
                    </w:rPr>
                    <w:t>园区528#单体情景激流勇进屋面设1个高位消防水箱间，框架结构。内设1个容积50m</w:t>
                  </w:r>
                  <w:r>
                    <w:rPr>
                      <w:rFonts w:hint="eastAsia"/>
                      <w:color w:val="auto"/>
                      <w:szCs w:val="21"/>
                      <w:vertAlign w:val="superscript"/>
                      <w:lang w:val="en-US" w:eastAsia="zh-CN"/>
                    </w:rPr>
                    <w:t>3</w:t>
                  </w:r>
                  <w:r>
                    <w:rPr>
                      <w:rFonts w:hint="eastAsia"/>
                      <w:color w:val="auto"/>
                      <w:szCs w:val="21"/>
                      <w:lang w:val="en-US" w:eastAsia="zh-CN"/>
                    </w:rPr>
                    <w:t>的高位消防水箱间，4台增压泵。</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rFonts w:hint="eastAsia" w:eastAsia="宋体"/>
                      <w:color w:val="auto"/>
                      <w:szCs w:val="21"/>
                      <w:lang w:val="en-US" w:eastAsia="zh-CN"/>
                    </w:rPr>
                  </w:pPr>
                </w:p>
              </w:tc>
              <w:tc>
                <w:tcPr>
                  <w:tcW w:w="839" w:type="dxa"/>
                  <w:gridSpan w:val="3"/>
                  <w:vMerge w:val="continue"/>
                  <w:vAlign w:val="center"/>
                </w:tcPr>
                <w:p>
                  <w:pPr>
                    <w:adjustRightInd w:val="0"/>
                    <w:snapToGrid w:val="0"/>
                    <w:jc w:val="center"/>
                    <w:rPr>
                      <w:color w:val="auto"/>
                      <w:szCs w:val="21"/>
                    </w:rPr>
                  </w:pPr>
                </w:p>
              </w:tc>
              <w:tc>
                <w:tcPr>
                  <w:tcW w:w="839" w:type="dxa"/>
                  <w:gridSpan w:val="5"/>
                  <w:vMerge w:val="continue"/>
                  <w:vAlign w:val="center"/>
                </w:tcPr>
                <w:p>
                  <w:pPr>
                    <w:adjustRightInd w:val="0"/>
                    <w:snapToGrid w:val="0"/>
                    <w:jc w:val="center"/>
                    <w:rPr>
                      <w:rFonts w:hint="eastAsia"/>
                      <w:color w:val="auto"/>
                      <w:szCs w:val="21"/>
                      <w:lang w:val="en-US" w:eastAsia="zh-CN"/>
                    </w:rPr>
                  </w:pPr>
                </w:p>
              </w:tc>
              <w:tc>
                <w:tcPr>
                  <w:tcW w:w="5183" w:type="dxa"/>
                  <w:gridSpan w:val="2"/>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园区634#单体梦幻屋负1层设1个应急加压水泵房，框架结构。内设1座容积500m³生活水箱，3台给水泵。</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496" w:type="dxa"/>
                  <w:vMerge w:val="continue"/>
                  <w:vAlign w:val="center"/>
                </w:tcPr>
                <w:p>
                  <w:pPr>
                    <w:tabs>
                      <w:tab w:val="left" w:pos="213"/>
                    </w:tabs>
                    <w:adjustRightInd w:val="0"/>
                    <w:snapToGrid w:val="0"/>
                    <w:jc w:val="left"/>
                    <w:rPr>
                      <w:rFonts w:hint="eastAsia" w:eastAsia="宋体"/>
                      <w:color w:val="auto"/>
                      <w:szCs w:val="21"/>
                      <w:lang w:eastAsia="zh-CN"/>
                    </w:rPr>
                  </w:pPr>
                </w:p>
              </w:tc>
              <w:tc>
                <w:tcPr>
                  <w:tcW w:w="839" w:type="dxa"/>
                  <w:gridSpan w:val="3"/>
                  <w:vMerge w:val="continue"/>
                  <w:vAlign w:val="center"/>
                </w:tcPr>
                <w:p>
                  <w:pPr>
                    <w:adjustRightInd w:val="0"/>
                    <w:snapToGrid w:val="0"/>
                    <w:jc w:val="center"/>
                    <w:rPr>
                      <w:color w:val="auto"/>
                      <w:szCs w:val="21"/>
                    </w:rPr>
                  </w:pPr>
                </w:p>
              </w:tc>
              <w:tc>
                <w:tcPr>
                  <w:tcW w:w="839" w:type="dxa"/>
                  <w:gridSpan w:val="5"/>
                  <w:vMerge w:val="continue"/>
                  <w:vAlign w:val="center"/>
                </w:tcPr>
                <w:p>
                  <w:pPr>
                    <w:adjustRightInd w:val="0"/>
                    <w:snapToGrid w:val="0"/>
                    <w:jc w:val="center"/>
                    <w:rPr>
                      <w:rFonts w:hint="eastAsia"/>
                      <w:color w:val="auto"/>
                      <w:szCs w:val="21"/>
                      <w:lang w:val="en-US" w:eastAsia="zh-CN"/>
                    </w:rPr>
                  </w:pPr>
                </w:p>
              </w:tc>
              <w:tc>
                <w:tcPr>
                  <w:tcW w:w="5183" w:type="dxa"/>
                  <w:gridSpan w:val="2"/>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主城堡负1层设置1个加压水泵房，框架结构。内设1座容积为250m³生活水箱，3台生活给水泵，供主城堡高区生活用水。</w:t>
                  </w:r>
                </w:p>
              </w:tc>
              <w:tc>
                <w:tcPr>
                  <w:tcW w:w="505" w:type="dxa"/>
                  <w:vMerge w:val="continue"/>
                  <w:tcMar>
                    <w:top w:w="0" w:type="dxa"/>
                    <w:left w:w="57" w:type="dxa"/>
                    <w:bottom w:w="0" w:type="dxa"/>
                    <w:right w:w="57" w:type="dxa"/>
                  </w:tcMar>
                  <w:vAlign w:val="center"/>
                </w:tcPr>
                <w:p>
                  <w:pPr>
                    <w:tabs>
                      <w:tab w:val="left" w:pos="213"/>
                    </w:tabs>
                    <w:adjustRightInd w:val="0"/>
                    <w:snapToGrid w:val="0"/>
                    <w:jc w:val="left"/>
                    <w:rPr>
                      <w:rFonts w:hint="eastAsia" w:eastAsia="宋体"/>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rFonts w:hint="eastAsia" w:eastAsia="宋体"/>
                      <w:color w:val="auto"/>
                      <w:szCs w:val="21"/>
                      <w:lang w:val="en-US" w:eastAsia="zh-CN"/>
                    </w:rPr>
                  </w:pPr>
                </w:p>
              </w:tc>
              <w:tc>
                <w:tcPr>
                  <w:tcW w:w="839" w:type="dxa"/>
                  <w:gridSpan w:val="3"/>
                  <w:vMerge w:val="continue"/>
                  <w:vAlign w:val="center"/>
                </w:tcPr>
                <w:p>
                  <w:pPr>
                    <w:adjustRightInd w:val="0"/>
                    <w:snapToGrid w:val="0"/>
                    <w:jc w:val="center"/>
                    <w:rPr>
                      <w:color w:val="auto"/>
                      <w:szCs w:val="21"/>
                    </w:rPr>
                  </w:pPr>
                </w:p>
              </w:tc>
              <w:tc>
                <w:tcPr>
                  <w:tcW w:w="839" w:type="dxa"/>
                  <w:gridSpan w:val="5"/>
                  <w:vAlign w:val="center"/>
                </w:tcPr>
                <w:p>
                  <w:pPr>
                    <w:adjustRightInd w:val="0"/>
                    <w:snapToGrid w:val="0"/>
                    <w:jc w:val="center"/>
                    <w:rPr>
                      <w:rFonts w:hint="eastAsia"/>
                      <w:color w:val="auto"/>
                      <w:szCs w:val="21"/>
                      <w:lang w:val="en-US" w:eastAsia="zh-CN"/>
                    </w:rPr>
                  </w:pPr>
                  <w:r>
                    <w:rPr>
                      <w:rFonts w:hint="eastAsia"/>
                      <w:color w:val="auto"/>
                      <w:szCs w:val="21"/>
                      <w:lang w:val="en-US" w:eastAsia="zh-CN"/>
                    </w:rPr>
                    <w:t>动力中心803A</w:t>
                  </w:r>
                </w:p>
              </w:tc>
              <w:tc>
                <w:tcPr>
                  <w:tcW w:w="5183" w:type="dxa"/>
                  <w:gridSpan w:val="2"/>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能源中心1：地上1层，地下1层，建筑面积946.50m</w:t>
                  </w:r>
                  <w:r>
                    <w:rPr>
                      <w:rFonts w:hint="eastAsia"/>
                      <w:color w:val="auto"/>
                      <w:szCs w:val="21"/>
                      <w:vertAlign w:val="superscript"/>
                      <w:lang w:val="en-US" w:eastAsia="zh-CN"/>
                    </w:rPr>
                    <w:t>2</w:t>
                  </w:r>
                  <w:r>
                    <w:rPr>
                      <w:rFonts w:hint="eastAsia"/>
                      <w:color w:val="auto"/>
                      <w:szCs w:val="21"/>
                      <w:lang w:val="en-US" w:eastAsia="zh-CN"/>
                    </w:rPr>
                    <w:t>，框架结构，内设2台中央空调冷水机组，5台冷水泵，3台冷却塔，3台换热器，4台热水泵（3用1备）。</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rFonts w:hint="eastAsia" w:eastAsia="宋体"/>
                      <w:color w:val="auto"/>
                      <w:szCs w:val="21"/>
                      <w:lang w:val="en-US" w:eastAsia="zh-CN"/>
                    </w:rPr>
                  </w:pPr>
                </w:p>
              </w:tc>
              <w:tc>
                <w:tcPr>
                  <w:tcW w:w="839" w:type="dxa"/>
                  <w:gridSpan w:val="3"/>
                  <w:vMerge w:val="continue"/>
                  <w:vAlign w:val="center"/>
                </w:tcPr>
                <w:p>
                  <w:pPr>
                    <w:adjustRightInd w:val="0"/>
                    <w:snapToGrid w:val="0"/>
                    <w:jc w:val="center"/>
                    <w:rPr>
                      <w:color w:val="auto"/>
                      <w:szCs w:val="21"/>
                    </w:rPr>
                  </w:pPr>
                </w:p>
              </w:tc>
              <w:tc>
                <w:tcPr>
                  <w:tcW w:w="839" w:type="dxa"/>
                  <w:gridSpan w:val="5"/>
                  <w:vAlign w:val="center"/>
                </w:tcPr>
                <w:p>
                  <w:pPr>
                    <w:adjustRightInd w:val="0"/>
                    <w:snapToGrid w:val="0"/>
                    <w:jc w:val="both"/>
                    <w:rPr>
                      <w:rFonts w:hint="eastAsia"/>
                      <w:color w:val="auto"/>
                      <w:szCs w:val="21"/>
                      <w:lang w:val="en-US" w:eastAsia="zh-CN"/>
                    </w:rPr>
                  </w:pPr>
                  <w:r>
                    <w:rPr>
                      <w:rFonts w:hint="eastAsia"/>
                      <w:color w:val="auto"/>
                      <w:szCs w:val="21"/>
                      <w:lang w:val="en-US" w:eastAsia="zh-CN"/>
                    </w:rPr>
                    <w:t>动力中心803B</w:t>
                  </w:r>
                </w:p>
              </w:tc>
              <w:tc>
                <w:tcPr>
                  <w:tcW w:w="5183" w:type="dxa"/>
                  <w:gridSpan w:val="2"/>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能源中心2：地上1层，地下1层，建筑面积1736m</w:t>
                  </w:r>
                  <w:r>
                    <w:rPr>
                      <w:rFonts w:hint="eastAsia"/>
                      <w:color w:val="auto"/>
                      <w:szCs w:val="21"/>
                      <w:vertAlign w:val="superscript"/>
                      <w:lang w:val="en-US" w:eastAsia="zh-CN"/>
                    </w:rPr>
                    <w:t>2</w:t>
                  </w:r>
                  <w:r>
                    <w:rPr>
                      <w:rFonts w:hint="eastAsia"/>
                      <w:color w:val="auto"/>
                      <w:szCs w:val="21"/>
                      <w:lang w:val="en-US" w:eastAsia="zh-CN"/>
                    </w:rPr>
                    <w:t>，采用3*1650RT（5083kw）+700RT（2462kw）冷水离心机组（大小机配置为适应部分负荷运行），冷水泵6台（4大2小，大小均有备用），冷却水泵台数对应冷水泵，7台超低噪声横流式冷却塔。</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rFonts w:hint="eastAsia" w:eastAsia="宋体"/>
                      <w:color w:val="auto"/>
                      <w:szCs w:val="21"/>
                      <w:lang w:val="en-US" w:eastAsia="zh-CN"/>
                    </w:rPr>
                  </w:pPr>
                </w:p>
              </w:tc>
              <w:tc>
                <w:tcPr>
                  <w:tcW w:w="839" w:type="dxa"/>
                  <w:gridSpan w:val="3"/>
                  <w:vMerge w:val="continue"/>
                  <w:vAlign w:val="center"/>
                </w:tcPr>
                <w:p>
                  <w:pPr>
                    <w:adjustRightInd w:val="0"/>
                    <w:snapToGrid w:val="0"/>
                    <w:jc w:val="center"/>
                    <w:rPr>
                      <w:color w:val="auto"/>
                      <w:szCs w:val="21"/>
                    </w:rPr>
                  </w:pPr>
                </w:p>
              </w:tc>
              <w:tc>
                <w:tcPr>
                  <w:tcW w:w="839" w:type="dxa"/>
                  <w:gridSpan w:val="5"/>
                  <w:vAlign w:val="center"/>
                </w:tcPr>
                <w:p>
                  <w:pPr>
                    <w:adjustRightInd w:val="0"/>
                    <w:snapToGrid w:val="0"/>
                    <w:jc w:val="center"/>
                    <w:rPr>
                      <w:rFonts w:hint="eastAsia"/>
                      <w:color w:val="auto"/>
                      <w:szCs w:val="21"/>
                      <w:lang w:val="en-US" w:eastAsia="zh-CN"/>
                    </w:rPr>
                  </w:pPr>
                  <w:r>
                    <w:rPr>
                      <w:rFonts w:hint="eastAsia"/>
                      <w:color w:val="auto"/>
                      <w:szCs w:val="21"/>
                      <w:lang w:val="en-US" w:eastAsia="zh-CN"/>
                    </w:rPr>
                    <w:t>动力中心803C</w:t>
                  </w:r>
                </w:p>
              </w:tc>
              <w:tc>
                <w:tcPr>
                  <w:tcW w:w="5183" w:type="dxa"/>
                  <w:gridSpan w:val="2"/>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能源中心3：地上1层，地下1层，建筑面积1659m</w:t>
                  </w:r>
                  <w:r>
                    <w:rPr>
                      <w:rFonts w:hint="eastAsia"/>
                      <w:color w:val="auto"/>
                      <w:szCs w:val="21"/>
                      <w:vertAlign w:val="superscript"/>
                      <w:lang w:val="en-US" w:eastAsia="zh-CN"/>
                    </w:rPr>
                    <w:t>2</w:t>
                  </w:r>
                  <w:r>
                    <w:rPr>
                      <w:rFonts w:hint="eastAsia"/>
                      <w:color w:val="auto"/>
                      <w:szCs w:val="21"/>
                      <w:lang w:val="en-US" w:eastAsia="zh-CN"/>
                    </w:rPr>
                    <w:t>，采用3*1650RT（5083kw）+700RT（2462kw）冷水离心机组（大小机配置为适应部分负荷运行），冷水泵6台（4大2小，大小均有备用），冷却水泵台数对应冷水泵，7台超低噪声横流式冷却塔。</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rFonts w:hint="eastAsia"/>
                      <w:color w:val="auto"/>
                      <w:szCs w:val="21"/>
                      <w:lang w:val="en-US" w:eastAsia="zh-CN"/>
                    </w:rPr>
                  </w:pPr>
                </w:p>
              </w:tc>
              <w:tc>
                <w:tcPr>
                  <w:tcW w:w="839" w:type="dxa"/>
                  <w:gridSpan w:val="3"/>
                  <w:vMerge w:val="continue"/>
                  <w:vAlign w:val="center"/>
                </w:tcPr>
                <w:p>
                  <w:pPr>
                    <w:adjustRightInd w:val="0"/>
                    <w:snapToGrid w:val="0"/>
                    <w:jc w:val="center"/>
                    <w:rPr>
                      <w:color w:val="auto"/>
                      <w:szCs w:val="21"/>
                    </w:rPr>
                  </w:pPr>
                </w:p>
              </w:tc>
              <w:tc>
                <w:tcPr>
                  <w:tcW w:w="839" w:type="dxa"/>
                  <w:gridSpan w:val="5"/>
                  <w:vMerge w:val="restart"/>
                  <w:vAlign w:val="center"/>
                </w:tcPr>
                <w:p>
                  <w:pPr>
                    <w:adjustRightInd w:val="0"/>
                    <w:snapToGrid w:val="0"/>
                    <w:jc w:val="center"/>
                    <w:rPr>
                      <w:rFonts w:hint="eastAsia"/>
                      <w:color w:val="auto"/>
                      <w:szCs w:val="21"/>
                      <w:lang w:val="en-US" w:eastAsia="zh-CN"/>
                    </w:rPr>
                  </w:pPr>
                  <w:r>
                    <w:rPr>
                      <w:rFonts w:hint="eastAsia"/>
                      <w:color w:val="auto"/>
                      <w:szCs w:val="21"/>
                      <w:lang w:val="en-US" w:eastAsia="zh-CN"/>
                    </w:rPr>
                    <w:t>发电</w:t>
                  </w:r>
                </w:p>
                <w:p>
                  <w:pPr>
                    <w:adjustRightInd w:val="0"/>
                    <w:snapToGrid w:val="0"/>
                    <w:jc w:val="center"/>
                    <w:rPr>
                      <w:rFonts w:hint="eastAsia"/>
                      <w:color w:val="auto"/>
                      <w:szCs w:val="21"/>
                      <w:lang w:val="en-US" w:eastAsia="zh-CN"/>
                    </w:rPr>
                  </w:pPr>
                  <w:r>
                    <w:rPr>
                      <w:rFonts w:hint="eastAsia"/>
                      <w:color w:val="auto"/>
                      <w:szCs w:val="21"/>
                      <w:lang w:val="en-US" w:eastAsia="zh-CN"/>
                    </w:rPr>
                    <w:t>机房</w:t>
                  </w:r>
                </w:p>
              </w:tc>
              <w:tc>
                <w:tcPr>
                  <w:tcW w:w="5183" w:type="dxa"/>
                  <w:gridSpan w:val="2"/>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1座，位于219#建筑物地下，1台700kw的备用发电机。</w:t>
                  </w:r>
                </w:p>
              </w:tc>
              <w:tc>
                <w:tcPr>
                  <w:tcW w:w="505" w:type="dxa"/>
                  <w:vMerge w:val="restart"/>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r>
                    <w:rPr>
                      <w:rFonts w:hint="eastAsia"/>
                      <w:color w:val="auto"/>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rFonts w:hint="eastAsia" w:eastAsia="宋体"/>
                      <w:color w:val="auto"/>
                      <w:szCs w:val="21"/>
                      <w:lang w:val="en-US" w:eastAsia="zh-CN"/>
                    </w:rPr>
                  </w:pPr>
                </w:p>
              </w:tc>
              <w:tc>
                <w:tcPr>
                  <w:tcW w:w="839" w:type="dxa"/>
                  <w:gridSpan w:val="3"/>
                  <w:vMerge w:val="continue"/>
                  <w:vAlign w:val="center"/>
                </w:tcPr>
                <w:p>
                  <w:pPr>
                    <w:adjustRightInd w:val="0"/>
                    <w:snapToGrid w:val="0"/>
                    <w:jc w:val="center"/>
                    <w:rPr>
                      <w:color w:val="auto"/>
                      <w:szCs w:val="21"/>
                    </w:rPr>
                  </w:pPr>
                </w:p>
              </w:tc>
              <w:tc>
                <w:tcPr>
                  <w:tcW w:w="839" w:type="dxa"/>
                  <w:gridSpan w:val="5"/>
                  <w:vMerge w:val="continue"/>
                  <w:vAlign w:val="center"/>
                </w:tcPr>
                <w:p>
                  <w:pPr>
                    <w:adjustRightInd w:val="0"/>
                    <w:snapToGrid w:val="0"/>
                    <w:jc w:val="center"/>
                    <w:rPr>
                      <w:rFonts w:hint="eastAsia"/>
                      <w:color w:val="auto"/>
                      <w:szCs w:val="21"/>
                      <w:lang w:val="en-US" w:eastAsia="zh-CN"/>
                    </w:rPr>
                  </w:pPr>
                </w:p>
              </w:tc>
              <w:tc>
                <w:tcPr>
                  <w:tcW w:w="5183" w:type="dxa"/>
                  <w:gridSpan w:val="2"/>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1座，位于425#建筑物地下，1台350kw的备用发电机。</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rFonts w:hint="eastAsia" w:eastAsia="宋体"/>
                      <w:color w:val="auto"/>
                      <w:szCs w:val="21"/>
                      <w:lang w:val="en-US" w:eastAsia="zh-CN"/>
                    </w:rPr>
                  </w:pPr>
                </w:p>
              </w:tc>
              <w:tc>
                <w:tcPr>
                  <w:tcW w:w="839" w:type="dxa"/>
                  <w:gridSpan w:val="3"/>
                  <w:vMerge w:val="continue"/>
                  <w:vAlign w:val="center"/>
                </w:tcPr>
                <w:p>
                  <w:pPr>
                    <w:adjustRightInd w:val="0"/>
                    <w:snapToGrid w:val="0"/>
                    <w:jc w:val="center"/>
                    <w:rPr>
                      <w:color w:val="auto"/>
                      <w:szCs w:val="21"/>
                    </w:rPr>
                  </w:pPr>
                </w:p>
              </w:tc>
              <w:tc>
                <w:tcPr>
                  <w:tcW w:w="839" w:type="dxa"/>
                  <w:gridSpan w:val="5"/>
                  <w:vMerge w:val="continue"/>
                  <w:vAlign w:val="center"/>
                </w:tcPr>
                <w:p>
                  <w:pPr>
                    <w:adjustRightInd w:val="0"/>
                    <w:snapToGrid w:val="0"/>
                    <w:jc w:val="center"/>
                    <w:rPr>
                      <w:rFonts w:hint="eastAsia"/>
                      <w:color w:val="auto"/>
                      <w:szCs w:val="21"/>
                      <w:lang w:val="en-US" w:eastAsia="zh-CN"/>
                    </w:rPr>
                  </w:pPr>
                </w:p>
              </w:tc>
              <w:tc>
                <w:tcPr>
                  <w:tcW w:w="5183" w:type="dxa"/>
                  <w:gridSpan w:val="2"/>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1座，位于528#建筑物地下，1台180kw的备用发电机。</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rFonts w:hint="eastAsia" w:eastAsia="宋体"/>
                      <w:color w:val="auto"/>
                      <w:szCs w:val="21"/>
                      <w:lang w:val="en-US" w:eastAsia="zh-CN"/>
                    </w:rPr>
                  </w:pPr>
                </w:p>
              </w:tc>
              <w:tc>
                <w:tcPr>
                  <w:tcW w:w="839" w:type="dxa"/>
                  <w:gridSpan w:val="3"/>
                  <w:vMerge w:val="continue"/>
                  <w:vAlign w:val="center"/>
                </w:tcPr>
                <w:p>
                  <w:pPr>
                    <w:adjustRightInd w:val="0"/>
                    <w:snapToGrid w:val="0"/>
                    <w:jc w:val="center"/>
                    <w:rPr>
                      <w:color w:val="auto"/>
                      <w:szCs w:val="21"/>
                    </w:rPr>
                  </w:pPr>
                </w:p>
              </w:tc>
              <w:tc>
                <w:tcPr>
                  <w:tcW w:w="839" w:type="dxa"/>
                  <w:gridSpan w:val="5"/>
                  <w:vMerge w:val="continue"/>
                  <w:vAlign w:val="center"/>
                </w:tcPr>
                <w:p>
                  <w:pPr>
                    <w:adjustRightInd w:val="0"/>
                    <w:snapToGrid w:val="0"/>
                    <w:jc w:val="center"/>
                    <w:rPr>
                      <w:rFonts w:hint="eastAsia"/>
                      <w:color w:val="auto"/>
                      <w:szCs w:val="21"/>
                      <w:lang w:val="en-US" w:eastAsia="zh-CN"/>
                    </w:rPr>
                  </w:pPr>
                </w:p>
              </w:tc>
              <w:tc>
                <w:tcPr>
                  <w:tcW w:w="5183" w:type="dxa"/>
                  <w:gridSpan w:val="2"/>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1座，位于634#建筑物地下，1台300kw的备用发电机。</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rFonts w:hint="eastAsia" w:eastAsia="宋体"/>
                      <w:color w:val="auto"/>
                      <w:szCs w:val="21"/>
                      <w:lang w:val="en-US" w:eastAsia="zh-CN"/>
                    </w:rPr>
                  </w:pPr>
                </w:p>
              </w:tc>
              <w:tc>
                <w:tcPr>
                  <w:tcW w:w="839" w:type="dxa"/>
                  <w:gridSpan w:val="3"/>
                  <w:vMerge w:val="continue"/>
                  <w:vAlign w:val="center"/>
                </w:tcPr>
                <w:p>
                  <w:pPr>
                    <w:adjustRightInd w:val="0"/>
                    <w:snapToGrid w:val="0"/>
                    <w:jc w:val="center"/>
                    <w:rPr>
                      <w:color w:val="auto"/>
                      <w:szCs w:val="21"/>
                    </w:rPr>
                  </w:pPr>
                </w:p>
              </w:tc>
              <w:tc>
                <w:tcPr>
                  <w:tcW w:w="839" w:type="dxa"/>
                  <w:gridSpan w:val="5"/>
                  <w:vMerge w:val="continue"/>
                  <w:vAlign w:val="center"/>
                </w:tcPr>
                <w:p>
                  <w:pPr>
                    <w:adjustRightInd w:val="0"/>
                    <w:snapToGrid w:val="0"/>
                    <w:jc w:val="center"/>
                    <w:rPr>
                      <w:rFonts w:hint="eastAsia"/>
                      <w:color w:val="auto"/>
                      <w:szCs w:val="21"/>
                      <w:lang w:val="en-US" w:eastAsia="zh-CN"/>
                    </w:rPr>
                  </w:pPr>
                </w:p>
              </w:tc>
              <w:tc>
                <w:tcPr>
                  <w:tcW w:w="5183" w:type="dxa"/>
                  <w:gridSpan w:val="2"/>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1座，位于112#建筑物地下，1台700kw的备用发电机。</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35" w:hRule="atLeast"/>
                <w:jc w:val="center"/>
              </w:trPr>
              <w:tc>
                <w:tcPr>
                  <w:tcW w:w="496" w:type="dxa"/>
                  <w:vMerge w:val="restart"/>
                  <w:vAlign w:val="center"/>
                </w:tcPr>
                <w:p>
                  <w:pPr>
                    <w:adjustRightInd w:val="0"/>
                    <w:snapToGrid w:val="0"/>
                    <w:jc w:val="center"/>
                    <w:rPr>
                      <w:color w:val="auto"/>
                      <w:szCs w:val="21"/>
                    </w:rPr>
                  </w:pPr>
                  <w:r>
                    <w:rPr>
                      <w:color w:val="auto"/>
                      <w:szCs w:val="21"/>
                    </w:rPr>
                    <w:t>公用</w:t>
                  </w:r>
                </w:p>
                <w:p>
                  <w:pPr>
                    <w:adjustRightInd w:val="0"/>
                    <w:snapToGrid w:val="0"/>
                    <w:jc w:val="center"/>
                    <w:rPr>
                      <w:color w:val="auto"/>
                      <w:szCs w:val="21"/>
                    </w:rPr>
                  </w:pPr>
                  <w:r>
                    <w:rPr>
                      <w:color w:val="auto"/>
                      <w:szCs w:val="21"/>
                    </w:rPr>
                    <w:t>工程</w:t>
                  </w:r>
                </w:p>
              </w:tc>
              <w:tc>
                <w:tcPr>
                  <w:tcW w:w="470" w:type="dxa"/>
                  <w:gridSpan w:val="2"/>
                  <w:vMerge w:val="restart"/>
                  <w:vAlign w:val="center"/>
                </w:tcPr>
                <w:p>
                  <w:pPr>
                    <w:adjustRightInd w:val="0"/>
                    <w:snapToGrid w:val="0"/>
                    <w:jc w:val="center"/>
                    <w:rPr>
                      <w:rFonts w:hint="eastAsia" w:eastAsia="宋体"/>
                      <w:color w:val="auto"/>
                      <w:szCs w:val="21"/>
                      <w:lang w:val="en-US" w:eastAsia="zh-CN"/>
                    </w:rPr>
                  </w:pPr>
                  <w:r>
                    <w:rPr>
                      <w:rFonts w:hint="eastAsia"/>
                      <w:color w:val="auto"/>
                      <w:szCs w:val="21"/>
                      <w:lang w:val="en-US" w:eastAsia="zh-CN"/>
                    </w:rPr>
                    <w:t>施工期</w:t>
                  </w:r>
                </w:p>
              </w:tc>
              <w:tc>
                <w:tcPr>
                  <w:tcW w:w="1298" w:type="dxa"/>
                  <w:gridSpan w:val="7"/>
                  <w:textDirection w:val="lrTb"/>
                  <w:vAlign w:val="center"/>
                </w:tcPr>
                <w:p>
                  <w:pPr>
                    <w:adjustRightInd w:val="0"/>
                    <w:snapToGrid w:val="0"/>
                    <w:jc w:val="center"/>
                    <w:rPr>
                      <w:color w:val="auto"/>
                      <w:szCs w:val="21"/>
                    </w:rPr>
                  </w:pPr>
                  <w:r>
                    <w:rPr>
                      <w:color w:val="auto"/>
                      <w:szCs w:val="21"/>
                    </w:rPr>
                    <w:t>给水</w:t>
                  </w:r>
                </w:p>
              </w:tc>
              <w:tc>
                <w:tcPr>
                  <w:tcW w:w="5093" w:type="dxa"/>
                  <w:tcMar>
                    <w:top w:w="0" w:type="dxa"/>
                    <w:left w:w="57" w:type="dxa"/>
                    <w:bottom w:w="0" w:type="dxa"/>
                    <w:right w:w="57" w:type="dxa"/>
                  </w:tcMar>
                  <w:vAlign w:val="center"/>
                </w:tcPr>
                <w:p>
                  <w:pPr>
                    <w:adjustRightInd w:val="0"/>
                    <w:snapToGrid w:val="0"/>
                    <w:rPr>
                      <w:rFonts w:hint="eastAsia" w:eastAsia="宋体"/>
                      <w:color w:val="auto"/>
                      <w:szCs w:val="21"/>
                      <w:lang w:val="en-US" w:eastAsia="zh-CN"/>
                    </w:rPr>
                  </w:pPr>
                  <w:r>
                    <w:rPr>
                      <w:rFonts w:hint="eastAsia"/>
                      <w:color w:val="auto"/>
                      <w:szCs w:val="21"/>
                      <w:lang w:val="en-US" w:eastAsia="zh-CN"/>
                    </w:rPr>
                    <w:t>采用市政给水系统。</w:t>
                  </w:r>
                </w:p>
              </w:tc>
              <w:tc>
                <w:tcPr>
                  <w:tcW w:w="505" w:type="dxa"/>
                  <w:vMerge w:val="restart"/>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r>
                    <w:rPr>
                      <w:rFonts w:hint="eastAsia"/>
                      <w:color w:val="auto"/>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05" w:hRule="atLeast"/>
                <w:jc w:val="center"/>
              </w:trPr>
              <w:tc>
                <w:tcPr>
                  <w:tcW w:w="496" w:type="dxa"/>
                  <w:vMerge w:val="continue"/>
                  <w:vAlign w:val="center"/>
                </w:tcPr>
                <w:p>
                  <w:pPr>
                    <w:adjustRightInd w:val="0"/>
                    <w:snapToGrid w:val="0"/>
                    <w:jc w:val="center"/>
                    <w:rPr>
                      <w:color w:val="auto"/>
                    </w:rPr>
                  </w:pPr>
                </w:p>
              </w:tc>
              <w:tc>
                <w:tcPr>
                  <w:tcW w:w="470" w:type="dxa"/>
                  <w:gridSpan w:val="2"/>
                  <w:vMerge w:val="continue"/>
                  <w:vAlign w:val="center"/>
                </w:tcPr>
                <w:p>
                  <w:pPr>
                    <w:adjustRightInd w:val="0"/>
                    <w:snapToGrid w:val="0"/>
                    <w:jc w:val="center"/>
                    <w:rPr>
                      <w:color w:val="auto"/>
                    </w:rPr>
                  </w:pPr>
                </w:p>
              </w:tc>
              <w:tc>
                <w:tcPr>
                  <w:tcW w:w="1298" w:type="dxa"/>
                  <w:gridSpan w:val="7"/>
                  <w:textDirection w:val="lrTb"/>
                  <w:vAlign w:val="center"/>
                </w:tcPr>
                <w:p>
                  <w:pPr>
                    <w:adjustRightInd w:val="0"/>
                    <w:snapToGrid w:val="0"/>
                    <w:jc w:val="center"/>
                    <w:rPr>
                      <w:color w:val="auto"/>
                      <w:szCs w:val="21"/>
                    </w:rPr>
                  </w:pPr>
                  <w:r>
                    <w:rPr>
                      <w:bCs/>
                      <w:color w:val="auto"/>
                      <w:szCs w:val="21"/>
                    </w:rPr>
                    <w:t>供电</w:t>
                  </w:r>
                </w:p>
              </w:tc>
              <w:tc>
                <w:tcPr>
                  <w:tcW w:w="5093" w:type="dxa"/>
                  <w:tcMar>
                    <w:top w:w="0" w:type="dxa"/>
                    <w:left w:w="57" w:type="dxa"/>
                    <w:bottom w:w="0" w:type="dxa"/>
                    <w:right w:w="57" w:type="dxa"/>
                  </w:tcMar>
                  <w:vAlign w:val="center"/>
                </w:tcPr>
                <w:p>
                  <w:pPr>
                    <w:adjustRightInd w:val="0"/>
                    <w:snapToGrid w:val="0"/>
                    <w:jc w:val="both"/>
                    <w:rPr>
                      <w:rFonts w:hint="eastAsia" w:eastAsia="宋体"/>
                      <w:color w:val="auto"/>
                      <w:szCs w:val="21"/>
                      <w:lang w:val="en-US" w:eastAsia="zh-CN"/>
                    </w:rPr>
                  </w:pPr>
                  <w:r>
                    <w:rPr>
                      <w:rFonts w:hint="eastAsia"/>
                      <w:color w:val="auto"/>
                      <w:szCs w:val="21"/>
                      <w:lang w:val="en-US" w:eastAsia="zh-CN"/>
                    </w:rPr>
                    <w:t>采用市政供电电网。</w:t>
                  </w:r>
                </w:p>
              </w:tc>
              <w:tc>
                <w:tcPr>
                  <w:tcW w:w="505" w:type="dxa"/>
                  <w:vMerge w:val="continue"/>
                  <w:tcMar>
                    <w:top w:w="0" w:type="dxa"/>
                    <w:left w:w="57" w:type="dxa"/>
                    <w:bottom w:w="0" w:type="dxa"/>
                    <w:right w:w="57" w:type="dxa"/>
                  </w:tcMar>
                  <w:vAlign w:val="center"/>
                </w:tcPr>
                <w:p>
                  <w:pPr>
                    <w:adjustRightInd w:val="0"/>
                    <w:snapToGrid w:val="0"/>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15" w:hRule="atLeast"/>
                <w:jc w:val="center"/>
              </w:trPr>
              <w:tc>
                <w:tcPr>
                  <w:tcW w:w="496" w:type="dxa"/>
                  <w:vMerge w:val="continue"/>
                  <w:vAlign w:val="center"/>
                </w:tcPr>
                <w:p>
                  <w:pPr>
                    <w:adjustRightInd w:val="0"/>
                    <w:snapToGrid w:val="0"/>
                    <w:jc w:val="center"/>
                    <w:rPr>
                      <w:color w:val="auto"/>
                    </w:rPr>
                  </w:pPr>
                </w:p>
              </w:tc>
              <w:tc>
                <w:tcPr>
                  <w:tcW w:w="470" w:type="dxa"/>
                  <w:gridSpan w:val="2"/>
                  <w:vMerge w:val="continue"/>
                  <w:vAlign w:val="center"/>
                </w:tcPr>
                <w:p>
                  <w:pPr>
                    <w:adjustRightInd w:val="0"/>
                    <w:snapToGrid w:val="0"/>
                    <w:jc w:val="center"/>
                    <w:rPr>
                      <w:color w:val="auto"/>
                    </w:rPr>
                  </w:pPr>
                </w:p>
              </w:tc>
              <w:tc>
                <w:tcPr>
                  <w:tcW w:w="1298" w:type="dxa"/>
                  <w:gridSpan w:val="7"/>
                  <w:textDirection w:val="lrTb"/>
                  <w:vAlign w:val="center"/>
                </w:tcPr>
                <w:p>
                  <w:pPr>
                    <w:adjustRightInd w:val="0"/>
                    <w:snapToGrid w:val="0"/>
                    <w:jc w:val="center"/>
                    <w:rPr>
                      <w:color w:val="auto"/>
                      <w:szCs w:val="21"/>
                    </w:rPr>
                  </w:pPr>
                  <w:r>
                    <w:rPr>
                      <w:color w:val="auto"/>
                      <w:szCs w:val="21"/>
                    </w:rPr>
                    <w:t>排水</w:t>
                  </w:r>
                </w:p>
              </w:tc>
              <w:tc>
                <w:tcPr>
                  <w:tcW w:w="5093" w:type="dxa"/>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r>
                    <w:rPr>
                      <w:rFonts w:hint="eastAsia"/>
                      <w:color w:val="auto"/>
                      <w:szCs w:val="21"/>
                      <w:lang w:val="en-US" w:eastAsia="zh-CN"/>
                    </w:rPr>
                    <w:t>施工人员生活污水经化粪池处理后通过市政污水管网排入城市污水厂，施工废水经沉淀池处理后回用。</w:t>
                  </w:r>
                </w:p>
              </w:tc>
              <w:tc>
                <w:tcPr>
                  <w:tcW w:w="505" w:type="dxa"/>
                  <w:vMerge w:val="continue"/>
                  <w:tcMar>
                    <w:top w:w="0" w:type="dxa"/>
                    <w:left w:w="57" w:type="dxa"/>
                    <w:bottom w:w="0" w:type="dxa"/>
                    <w:right w:w="57" w:type="dxa"/>
                  </w:tcMar>
                  <w:vAlign w:val="center"/>
                </w:tcPr>
                <w:p>
                  <w:pPr>
                    <w:adjustRightInd w:val="0"/>
                    <w:snapToGrid w:val="0"/>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470" w:type="dxa"/>
                  <w:gridSpan w:val="2"/>
                  <w:vMerge w:val="restart"/>
                  <w:textDirection w:val="lrTb"/>
                  <w:vAlign w:val="center"/>
                </w:tcPr>
                <w:p>
                  <w:pPr>
                    <w:adjustRightInd w:val="0"/>
                    <w:snapToGrid w:val="0"/>
                    <w:jc w:val="center"/>
                    <w:rPr>
                      <w:rFonts w:hint="eastAsia" w:eastAsia="宋体"/>
                      <w:color w:val="auto"/>
                      <w:szCs w:val="21"/>
                      <w:lang w:val="en-US" w:eastAsia="zh-CN"/>
                    </w:rPr>
                  </w:pPr>
                  <w:r>
                    <w:rPr>
                      <w:rFonts w:hint="eastAsia"/>
                      <w:color w:val="auto"/>
                      <w:szCs w:val="21"/>
                      <w:lang w:val="en-US" w:eastAsia="zh-CN"/>
                    </w:rPr>
                    <w:t>营运期</w:t>
                  </w:r>
                </w:p>
              </w:tc>
              <w:tc>
                <w:tcPr>
                  <w:tcW w:w="1298" w:type="dxa"/>
                  <w:gridSpan w:val="7"/>
                  <w:textDirection w:val="lrTb"/>
                  <w:vAlign w:val="center"/>
                </w:tcPr>
                <w:p>
                  <w:pPr>
                    <w:adjustRightInd w:val="0"/>
                    <w:snapToGrid w:val="0"/>
                    <w:jc w:val="center"/>
                    <w:rPr>
                      <w:color w:val="auto"/>
                      <w:szCs w:val="21"/>
                    </w:rPr>
                  </w:pPr>
                  <w:r>
                    <w:rPr>
                      <w:color w:val="auto"/>
                      <w:szCs w:val="21"/>
                    </w:rPr>
                    <w:t>给水</w:t>
                  </w:r>
                </w:p>
              </w:tc>
              <w:tc>
                <w:tcPr>
                  <w:tcW w:w="5093" w:type="dxa"/>
                  <w:tcMar>
                    <w:top w:w="0" w:type="dxa"/>
                    <w:left w:w="57" w:type="dxa"/>
                    <w:bottom w:w="0" w:type="dxa"/>
                    <w:right w:w="57" w:type="dxa"/>
                  </w:tcMar>
                  <w:textDirection w:val="lrTb"/>
                  <w:vAlign w:val="center"/>
                </w:tcPr>
                <w:p>
                  <w:pPr>
                    <w:adjustRightInd w:val="0"/>
                    <w:snapToGrid w:val="0"/>
                    <w:rPr>
                      <w:rFonts w:hint="eastAsia"/>
                      <w:color w:val="auto"/>
                      <w:szCs w:val="21"/>
                      <w:lang w:val="en-US" w:eastAsia="zh-CN"/>
                    </w:rPr>
                  </w:pPr>
                  <w:r>
                    <w:rPr>
                      <w:rFonts w:hint="eastAsia"/>
                      <w:color w:val="auto"/>
                      <w:szCs w:val="21"/>
                      <w:lang w:val="en-US" w:eastAsia="zh-CN"/>
                    </w:rPr>
                    <w:t>采用市政供水，园区南侧沣泾大道，西侧汉风三路，北侧望夷路均可引入市政给水接口。</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87" w:hRule="atLeast"/>
                <w:jc w:val="center"/>
              </w:trPr>
              <w:tc>
                <w:tcPr>
                  <w:tcW w:w="496" w:type="dxa"/>
                  <w:vMerge w:val="continue"/>
                  <w:vAlign w:val="center"/>
                </w:tcPr>
                <w:p>
                  <w:pPr>
                    <w:adjustRightInd w:val="0"/>
                    <w:snapToGrid w:val="0"/>
                    <w:jc w:val="center"/>
                    <w:rPr>
                      <w:color w:val="auto"/>
                      <w:szCs w:val="21"/>
                    </w:rPr>
                  </w:pPr>
                </w:p>
              </w:tc>
              <w:tc>
                <w:tcPr>
                  <w:tcW w:w="470" w:type="dxa"/>
                  <w:gridSpan w:val="2"/>
                  <w:vMerge w:val="continue"/>
                  <w:vAlign w:val="center"/>
                </w:tcPr>
                <w:p>
                  <w:pPr>
                    <w:adjustRightInd w:val="0"/>
                    <w:snapToGrid w:val="0"/>
                    <w:jc w:val="center"/>
                    <w:rPr>
                      <w:color w:val="auto"/>
                      <w:szCs w:val="21"/>
                    </w:rPr>
                  </w:pPr>
                </w:p>
              </w:tc>
              <w:tc>
                <w:tcPr>
                  <w:tcW w:w="1298" w:type="dxa"/>
                  <w:gridSpan w:val="7"/>
                  <w:vAlign w:val="center"/>
                </w:tcPr>
                <w:p>
                  <w:pPr>
                    <w:adjustRightInd w:val="0"/>
                    <w:snapToGrid w:val="0"/>
                    <w:jc w:val="center"/>
                    <w:rPr>
                      <w:bCs/>
                      <w:color w:val="auto"/>
                      <w:szCs w:val="21"/>
                    </w:rPr>
                  </w:pPr>
                  <w:r>
                    <w:rPr>
                      <w:bCs/>
                      <w:color w:val="auto"/>
                      <w:szCs w:val="21"/>
                    </w:rPr>
                    <w:t>供电</w:t>
                  </w:r>
                </w:p>
              </w:tc>
              <w:tc>
                <w:tcPr>
                  <w:tcW w:w="5093" w:type="dxa"/>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市政</w:t>
                  </w:r>
                  <w:r>
                    <w:rPr>
                      <w:color w:val="auto"/>
                      <w:szCs w:val="21"/>
                    </w:rPr>
                    <w:t>供电电网引入</w:t>
                  </w:r>
                  <w:r>
                    <w:rPr>
                      <w:rFonts w:hint="eastAsia"/>
                      <w:color w:val="auto"/>
                      <w:szCs w:val="21"/>
                      <w:lang w:eastAsia="zh-CN"/>
                    </w:rPr>
                    <w:t>。</w:t>
                  </w:r>
                </w:p>
              </w:tc>
              <w:tc>
                <w:tcPr>
                  <w:tcW w:w="505" w:type="dxa"/>
                  <w:vMerge w:val="continue"/>
                  <w:tcMar>
                    <w:top w:w="0" w:type="dxa"/>
                    <w:left w:w="57" w:type="dxa"/>
                    <w:bottom w:w="0" w:type="dxa"/>
                    <w:right w:w="57" w:type="dxa"/>
                  </w:tcMar>
                  <w:vAlign w:val="center"/>
                </w:tcPr>
                <w:p>
                  <w:pPr>
                    <w:adjustRightInd w:val="0"/>
                    <w:snapToGrid w:val="0"/>
                    <w:jc w:val="both"/>
                    <w:rPr>
                      <w:rFonts w:hint="eastAsia" w:eastAsia="宋体"/>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470" w:type="dxa"/>
                  <w:gridSpan w:val="2"/>
                  <w:vMerge w:val="continue"/>
                  <w:vAlign w:val="center"/>
                </w:tcPr>
                <w:p>
                  <w:pPr>
                    <w:adjustRightInd w:val="0"/>
                    <w:snapToGrid w:val="0"/>
                    <w:jc w:val="center"/>
                    <w:rPr>
                      <w:color w:val="auto"/>
                      <w:szCs w:val="21"/>
                    </w:rPr>
                  </w:pPr>
                </w:p>
              </w:tc>
              <w:tc>
                <w:tcPr>
                  <w:tcW w:w="1298" w:type="dxa"/>
                  <w:gridSpan w:val="7"/>
                  <w:vAlign w:val="center"/>
                </w:tcPr>
                <w:p>
                  <w:pPr>
                    <w:adjustRightInd w:val="0"/>
                    <w:snapToGrid w:val="0"/>
                    <w:jc w:val="center"/>
                    <w:rPr>
                      <w:color w:val="auto"/>
                      <w:szCs w:val="21"/>
                    </w:rPr>
                  </w:pPr>
                  <w:r>
                    <w:rPr>
                      <w:color w:val="auto"/>
                      <w:szCs w:val="21"/>
                    </w:rPr>
                    <w:t>排水</w:t>
                  </w:r>
                </w:p>
              </w:tc>
              <w:tc>
                <w:tcPr>
                  <w:tcW w:w="5093" w:type="dxa"/>
                  <w:tcMar>
                    <w:top w:w="0" w:type="dxa"/>
                    <w:left w:w="57" w:type="dxa"/>
                    <w:bottom w:w="0" w:type="dxa"/>
                    <w:right w:w="57" w:type="dxa"/>
                  </w:tcMar>
                  <w:vAlign w:val="center"/>
                </w:tcPr>
                <w:p>
                  <w:pPr>
                    <w:adjustRightInd w:val="0"/>
                    <w:snapToGrid w:val="0"/>
                    <w:rPr>
                      <w:color w:val="auto"/>
                      <w:szCs w:val="21"/>
                    </w:rPr>
                  </w:pPr>
                  <w:r>
                    <w:rPr>
                      <w:rFonts w:hint="eastAsia"/>
                      <w:color w:val="auto"/>
                      <w:szCs w:val="21"/>
                      <w:lang w:val="en-US" w:eastAsia="zh-CN"/>
                    </w:rPr>
                    <w:t>雨污分流，设置9个雨水排放口（2个依托童话大街雨水口），职工食堂废水经隔油池处理，其它员工办公生活污水与游客洗手冲厕废水经各区域化粪池处理达标后，通过9个污水排放口分别</w:t>
                  </w:r>
                  <w:r>
                    <w:rPr>
                      <w:color w:val="auto"/>
                      <w:szCs w:val="21"/>
                    </w:rPr>
                    <w:t>排入市政管网</w:t>
                  </w:r>
                  <w:r>
                    <w:rPr>
                      <w:rFonts w:hint="eastAsia"/>
                      <w:color w:val="auto"/>
                      <w:szCs w:val="21"/>
                      <w:lang w:eastAsia="zh-CN"/>
                    </w:rPr>
                    <w:t>，</w:t>
                  </w:r>
                  <w:r>
                    <w:rPr>
                      <w:rFonts w:hint="eastAsia"/>
                      <w:color w:val="auto"/>
                      <w:szCs w:val="21"/>
                      <w:lang w:val="en-US" w:eastAsia="zh-CN"/>
                    </w:rPr>
                    <w:t>进入泾河第三污水厂。</w:t>
                  </w:r>
                </w:p>
              </w:tc>
              <w:tc>
                <w:tcPr>
                  <w:tcW w:w="505" w:type="dxa"/>
                  <w:vMerge w:val="continue"/>
                  <w:tcMar>
                    <w:top w:w="0" w:type="dxa"/>
                    <w:left w:w="57" w:type="dxa"/>
                    <w:bottom w:w="0" w:type="dxa"/>
                    <w:right w:w="57" w:type="dxa"/>
                  </w:tcMar>
                  <w:vAlign w:val="center"/>
                </w:tcPr>
                <w:p>
                  <w:pPr>
                    <w:adjustRightInd w:val="0"/>
                    <w:snapToGrid w:val="0"/>
                    <w:jc w:val="both"/>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470" w:type="dxa"/>
                  <w:gridSpan w:val="2"/>
                  <w:vMerge w:val="continue"/>
                  <w:vAlign w:val="center"/>
                </w:tcPr>
                <w:p>
                  <w:pPr>
                    <w:adjustRightInd w:val="0"/>
                    <w:snapToGrid w:val="0"/>
                    <w:jc w:val="center"/>
                    <w:rPr>
                      <w:rFonts w:hint="eastAsia" w:eastAsia="宋体"/>
                      <w:color w:val="auto"/>
                      <w:szCs w:val="21"/>
                      <w:lang w:eastAsia="zh-CN"/>
                    </w:rPr>
                  </w:pPr>
                </w:p>
              </w:tc>
              <w:tc>
                <w:tcPr>
                  <w:tcW w:w="1298" w:type="dxa"/>
                  <w:gridSpan w:val="7"/>
                  <w:vAlign w:val="center"/>
                </w:tcPr>
                <w:p>
                  <w:pPr>
                    <w:adjustRightInd w:val="0"/>
                    <w:snapToGrid w:val="0"/>
                    <w:jc w:val="center"/>
                    <w:rPr>
                      <w:rFonts w:hint="eastAsia"/>
                      <w:color w:val="auto"/>
                      <w:szCs w:val="21"/>
                      <w:lang w:val="en-US" w:eastAsia="zh-CN"/>
                    </w:rPr>
                  </w:pPr>
                  <w:r>
                    <w:rPr>
                      <w:rFonts w:hint="eastAsia"/>
                      <w:color w:val="auto"/>
                      <w:szCs w:val="21"/>
                      <w:lang w:val="en-US" w:eastAsia="zh-CN"/>
                    </w:rPr>
                    <w:t>供热与制冷</w:t>
                  </w:r>
                </w:p>
              </w:tc>
              <w:tc>
                <w:tcPr>
                  <w:tcW w:w="5093" w:type="dxa"/>
                  <w:tcMar>
                    <w:top w:w="0" w:type="dxa"/>
                    <w:left w:w="57" w:type="dxa"/>
                    <w:bottom w:w="0" w:type="dxa"/>
                    <w:right w:w="57" w:type="dxa"/>
                  </w:tcMar>
                  <w:vAlign w:val="center"/>
                </w:tcPr>
                <w:p>
                  <w:pPr>
                    <w:adjustRightInd w:val="0"/>
                    <w:snapToGrid w:val="0"/>
                    <w:rPr>
                      <w:rFonts w:hint="eastAsia" w:eastAsia="宋体"/>
                      <w:color w:val="auto"/>
                      <w:szCs w:val="21"/>
                      <w:lang w:eastAsia="zh-CN"/>
                    </w:rPr>
                  </w:pPr>
                  <w:r>
                    <w:rPr>
                      <w:rFonts w:hint="eastAsia"/>
                      <w:color w:val="auto"/>
                      <w:szCs w:val="21"/>
                      <w:lang w:val="en-US" w:eastAsia="zh-CN"/>
                    </w:rPr>
                    <w:t>采用市政供暖+中央空调进行冬季采暖，夏季制冷采用中央空调，在3座动力中心设置中央空调主机，冷却塔，水泵及换热器。</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34" w:hRule="atLeast"/>
                <w:jc w:val="center"/>
              </w:trPr>
              <w:tc>
                <w:tcPr>
                  <w:tcW w:w="496" w:type="dxa"/>
                  <w:vMerge w:val="restart"/>
                  <w:vAlign w:val="center"/>
                </w:tcPr>
                <w:p>
                  <w:pPr>
                    <w:adjustRightInd w:val="0"/>
                    <w:snapToGrid w:val="0"/>
                    <w:jc w:val="center"/>
                    <w:rPr>
                      <w:color w:val="auto"/>
                      <w:szCs w:val="21"/>
                    </w:rPr>
                  </w:pPr>
                  <w:r>
                    <w:rPr>
                      <w:rFonts w:hint="eastAsia"/>
                      <w:color w:val="auto"/>
                      <w:szCs w:val="21"/>
                    </w:rPr>
                    <w:t>环保工程</w:t>
                  </w:r>
                </w:p>
              </w:tc>
              <w:tc>
                <w:tcPr>
                  <w:tcW w:w="470" w:type="dxa"/>
                  <w:gridSpan w:val="2"/>
                  <w:vMerge w:val="restart"/>
                  <w:vAlign w:val="center"/>
                </w:tcPr>
                <w:p>
                  <w:pPr>
                    <w:adjustRightInd w:val="0"/>
                    <w:snapToGrid w:val="0"/>
                    <w:jc w:val="center"/>
                    <w:rPr>
                      <w:rFonts w:hint="eastAsia" w:eastAsia="宋体"/>
                      <w:color w:val="auto"/>
                      <w:szCs w:val="21"/>
                      <w:lang w:val="en-US" w:eastAsia="zh-CN"/>
                    </w:rPr>
                  </w:pPr>
                  <w:r>
                    <w:rPr>
                      <w:rFonts w:hint="eastAsia"/>
                      <w:color w:val="auto"/>
                      <w:szCs w:val="21"/>
                      <w:lang w:val="en-US" w:eastAsia="zh-CN"/>
                    </w:rPr>
                    <w:t>营运期</w:t>
                  </w:r>
                </w:p>
              </w:tc>
              <w:tc>
                <w:tcPr>
                  <w:tcW w:w="1298" w:type="dxa"/>
                  <w:gridSpan w:val="7"/>
                  <w:vMerge w:val="restart"/>
                  <w:vAlign w:val="center"/>
                </w:tcPr>
                <w:p>
                  <w:pPr>
                    <w:adjustRightInd w:val="0"/>
                    <w:snapToGrid w:val="0"/>
                    <w:jc w:val="center"/>
                    <w:rPr>
                      <w:rFonts w:hint="eastAsia"/>
                      <w:color w:val="auto"/>
                      <w:szCs w:val="21"/>
                    </w:rPr>
                  </w:pPr>
                  <w:r>
                    <w:rPr>
                      <w:rFonts w:hint="eastAsia"/>
                      <w:color w:val="auto"/>
                      <w:szCs w:val="21"/>
                    </w:rPr>
                    <w:t>废气</w:t>
                  </w:r>
                </w:p>
              </w:tc>
              <w:tc>
                <w:tcPr>
                  <w:tcW w:w="5093" w:type="dxa"/>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（1）公共卫生间恶臭：</w:t>
                  </w:r>
                  <w:r>
                    <w:rPr>
                      <w:rFonts w:hint="eastAsia"/>
                      <w:color w:val="auto"/>
                      <w:szCs w:val="21"/>
                    </w:rPr>
                    <w:t>加设机械排风装置，在便</w:t>
                  </w:r>
                  <w:r>
                    <w:rPr>
                      <w:rFonts w:hint="eastAsia"/>
                      <w:color w:val="auto"/>
                      <w:szCs w:val="21"/>
                      <w:lang w:val="en-US" w:eastAsia="zh-CN"/>
                    </w:rPr>
                    <w:t>池</w:t>
                  </w:r>
                  <w:r>
                    <w:rPr>
                      <w:rFonts w:hint="eastAsia"/>
                      <w:color w:val="auto"/>
                      <w:szCs w:val="21"/>
                    </w:rPr>
                    <w:t>内放置清洁球，</w:t>
                  </w:r>
                  <w:r>
                    <w:rPr>
                      <w:rFonts w:hint="eastAsia"/>
                      <w:color w:val="auto"/>
                      <w:szCs w:val="21"/>
                      <w:lang w:val="en-US" w:eastAsia="zh-CN"/>
                    </w:rPr>
                    <w:t>喷洒消毒除臭药剂。</w:t>
                  </w:r>
                </w:p>
                <w:p>
                  <w:pPr>
                    <w:adjustRightInd w:val="0"/>
                    <w:snapToGrid w:val="0"/>
                    <w:rPr>
                      <w:color w:val="auto"/>
                    </w:rPr>
                  </w:pPr>
                  <w:r>
                    <w:rPr>
                      <w:rFonts w:hint="eastAsia"/>
                      <w:color w:val="auto"/>
                      <w:szCs w:val="21"/>
                      <w:lang w:eastAsia="zh-CN"/>
                    </w:rPr>
                    <w:t>（</w:t>
                  </w:r>
                  <w:r>
                    <w:rPr>
                      <w:rFonts w:hint="eastAsia"/>
                      <w:color w:val="auto"/>
                      <w:szCs w:val="21"/>
                      <w:lang w:val="en-US" w:eastAsia="zh-CN"/>
                    </w:rPr>
                    <w:t>2）</w:t>
                  </w:r>
                  <w:r>
                    <w:rPr>
                      <w:rFonts w:hint="eastAsia"/>
                      <w:color w:val="auto"/>
                      <w:szCs w:val="21"/>
                    </w:rPr>
                    <w:t>垃圾收集点</w:t>
                  </w:r>
                  <w:r>
                    <w:rPr>
                      <w:rFonts w:hint="eastAsia"/>
                      <w:color w:val="auto"/>
                      <w:szCs w:val="21"/>
                      <w:lang w:val="en-US" w:eastAsia="zh-CN"/>
                    </w:rPr>
                    <w:t>恶臭：</w:t>
                  </w:r>
                  <w:r>
                    <w:rPr>
                      <w:rFonts w:hint="eastAsia"/>
                      <w:color w:val="auto"/>
                      <w:szCs w:val="21"/>
                    </w:rPr>
                    <w:t>设置排风</w:t>
                  </w:r>
                  <w:r>
                    <w:rPr>
                      <w:rFonts w:hint="eastAsia"/>
                      <w:color w:val="auto"/>
                      <w:szCs w:val="21"/>
                      <w:lang w:val="en-US" w:eastAsia="zh-CN"/>
                    </w:rPr>
                    <w:t>系统</w:t>
                  </w:r>
                  <w:r>
                    <w:rPr>
                      <w:rFonts w:hint="eastAsia"/>
                      <w:color w:val="auto"/>
                      <w:szCs w:val="21"/>
                    </w:rPr>
                    <w:t>，并配套安装除臭喷淋装置；园区垃圾委托当地市政环卫部门统一运输处理，做到日产日清</w:t>
                  </w:r>
                  <w:r>
                    <w:rPr>
                      <w:rFonts w:hint="eastAsia"/>
                      <w:color w:val="auto"/>
                      <w:szCs w:val="21"/>
                      <w:lang w:eastAsia="zh-CN"/>
                    </w:rPr>
                    <w:t>。</w:t>
                  </w:r>
                </w:p>
              </w:tc>
              <w:tc>
                <w:tcPr>
                  <w:tcW w:w="505" w:type="dxa"/>
                  <w:vMerge w:val="restart"/>
                  <w:tcMar>
                    <w:top w:w="0" w:type="dxa"/>
                    <w:left w:w="57" w:type="dxa"/>
                    <w:bottom w:w="0" w:type="dxa"/>
                    <w:right w:w="57" w:type="dxa"/>
                  </w:tcMar>
                  <w:vAlign w:val="center"/>
                </w:tcPr>
                <w:p>
                  <w:pPr>
                    <w:adjustRightInd w:val="0"/>
                    <w:snapToGrid w:val="0"/>
                    <w:jc w:val="both"/>
                    <w:rPr>
                      <w:rFonts w:hint="eastAsia" w:eastAsia="宋体"/>
                      <w:color w:val="auto"/>
                      <w:szCs w:val="21"/>
                      <w:lang w:val="en-US" w:eastAsia="zh-CN"/>
                    </w:rPr>
                  </w:pPr>
                  <w:r>
                    <w:rPr>
                      <w:rFonts w:hint="eastAsia"/>
                      <w:color w:val="auto"/>
                      <w:szCs w:val="21"/>
                      <w:lang w:val="en-US" w:eastAsia="zh-CN"/>
                    </w:rPr>
                    <w:t>环评提出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38" w:hRule="atLeast"/>
                <w:jc w:val="center"/>
              </w:trPr>
              <w:tc>
                <w:tcPr>
                  <w:tcW w:w="496" w:type="dxa"/>
                  <w:vMerge w:val="continue"/>
                  <w:vAlign w:val="center"/>
                </w:tcPr>
                <w:p>
                  <w:pPr>
                    <w:adjustRightInd w:val="0"/>
                    <w:snapToGrid w:val="0"/>
                    <w:jc w:val="center"/>
                    <w:rPr>
                      <w:color w:val="auto"/>
                      <w:szCs w:val="21"/>
                    </w:rPr>
                  </w:pPr>
                </w:p>
              </w:tc>
              <w:tc>
                <w:tcPr>
                  <w:tcW w:w="470" w:type="dxa"/>
                  <w:gridSpan w:val="2"/>
                  <w:vMerge w:val="continue"/>
                  <w:vAlign w:val="center"/>
                </w:tcPr>
                <w:p>
                  <w:pPr>
                    <w:adjustRightInd w:val="0"/>
                    <w:snapToGrid w:val="0"/>
                    <w:jc w:val="center"/>
                    <w:rPr>
                      <w:rFonts w:hint="eastAsia" w:eastAsia="宋体"/>
                      <w:color w:val="auto"/>
                      <w:szCs w:val="21"/>
                      <w:lang w:eastAsia="zh-CN"/>
                    </w:rPr>
                  </w:pPr>
                </w:p>
              </w:tc>
              <w:tc>
                <w:tcPr>
                  <w:tcW w:w="1298" w:type="dxa"/>
                  <w:gridSpan w:val="7"/>
                  <w:vMerge w:val="continue"/>
                  <w:vAlign w:val="center"/>
                </w:tcPr>
                <w:p>
                  <w:pPr>
                    <w:adjustRightInd w:val="0"/>
                    <w:snapToGrid w:val="0"/>
                    <w:jc w:val="center"/>
                    <w:rPr>
                      <w:color w:val="auto"/>
                      <w:szCs w:val="21"/>
                    </w:rPr>
                  </w:pPr>
                </w:p>
              </w:tc>
              <w:tc>
                <w:tcPr>
                  <w:tcW w:w="5093" w:type="dxa"/>
                  <w:tcMar>
                    <w:top w:w="0" w:type="dxa"/>
                    <w:left w:w="57" w:type="dxa"/>
                    <w:bottom w:w="0" w:type="dxa"/>
                    <w:right w:w="57" w:type="dxa"/>
                  </w:tcMar>
                  <w:vAlign w:val="center"/>
                </w:tcPr>
                <w:p>
                  <w:pPr>
                    <w:adjustRightInd w:val="0"/>
                    <w:snapToGrid w:val="0"/>
                    <w:rPr>
                      <w:bCs/>
                      <w:color w:val="auto"/>
                      <w:spacing w:val="-6"/>
                      <w:szCs w:val="21"/>
                    </w:rPr>
                  </w:pPr>
                  <w:r>
                    <w:rPr>
                      <w:color w:val="auto"/>
                      <w:szCs w:val="21"/>
                    </w:rPr>
                    <w:t>餐饮油烟经油烟净化器</w:t>
                  </w:r>
                  <w:r>
                    <w:rPr>
                      <w:rFonts w:hint="eastAsia"/>
                      <w:color w:val="auto"/>
                      <w:szCs w:val="21"/>
                      <w:lang w:val="en-US" w:eastAsia="zh-CN"/>
                    </w:rPr>
                    <w:t>处理后，通过烟道达标排放。</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27" w:hRule="atLeast"/>
                <w:jc w:val="center"/>
              </w:trPr>
              <w:tc>
                <w:tcPr>
                  <w:tcW w:w="496" w:type="dxa"/>
                  <w:vMerge w:val="continue"/>
                  <w:vAlign w:val="center"/>
                </w:tcPr>
                <w:p>
                  <w:pPr>
                    <w:adjustRightInd w:val="0"/>
                    <w:snapToGrid w:val="0"/>
                    <w:jc w:val="center"/>
                    <w:rPr>
                      <w:color w:val="auto"/>
                      <w:szCs w:val="21"/>
                    </w:rPr>
                  </w:pPr>
                </w:p>
              </w:tc>
              <w:tc>
                <w:tcPr>
                  <w:tcW w:w="470" w:type="dxa"/>
                  <w:gridSpan w:val="2"/>
                  <w:vMerge w:val="continue"/>
                  <w:vAlign w:val="center"/>
                </w:tcPr>
                <w:p>
                  <w:pPr>
                    <w:adjustRightInd w:val="0"/>
                    <w:snapToGrid w:val="0"/>
                    <w:jc w:val="center"/>
                    <w:rPr>
                      <w:rFonts w:hint="eastAsia" w:eastAsia="宋体"/>
                      <w:color w:val="auto"/>
                      <w:szCs w:val="21"/>
                      <w:lang w:eastAsia="zh-CN"/>
                    </w:rPr>
                  </w:pPr>
                </w:p>
              </w:tc>
              <w:tc>
                <w:tcPr>
                  <w:tcW w:w="1298" w:type="dxa"/>
                  <w:gridSpan w:val="7"/>
                  <w:vMerge w:val="continue"/>
                  <w:vAlign w:val="center"/>
                </w:tcPr>
                <w:p>
                  <w:pPr>
                    <w:adjustRightInd w:val="0"/>
                    <w:snapToGrid w:val="0"/>
                    <w:jc w:val="center"/>
                    <w:rPr>
                      <w:color w:val="auto"/>
                      <w:szCs w:val="21"/>
                    </w:rPr>
                  </w:pPr>
                </w:p>
              </w:tc>
              <w:tc>
                <w:tcPr>
                  <w:tcW w:w="5093" w:type="dxa"/>
                  <w:tcMar>
                    <w:top w:w="0" w:type="dxa"/>
                    <w:left w:w="57" w:type="dxa"/>
                    <w:bottom w:w="0" w:type="dxa"/>
                    <w:right w:w="57" w:type="dxa"/>
                  </w:tcMar>
                  <w:vAlign w:val="center"/>
                </w:tcPr>
                <w:p>
                  <w:pPr>
                    <w:adjustRightInd w:val="0"/>
                    <w:snapToGrid w:val="0"/>
                    <w:rPr>
                      <w:color w:val="auto"/>
                      <w:szCs w:val="21"/>
                    </w:rPr>
                  </w:pPr>
                  <w:r>
                    <w:rPr>
                      <w:rFonts w:hint="eastAsia"/>
                      <w:color w:val="auto"/>
                      <w:szCs w:val="21"/>
                    </w:rPr>
                    <w:t>地下停车场汽车尾气采用</w:t>
                  </w:r>
                  <w:r>
                    <w:rPr>
                      <w:rFonts w:hint="eastAsia"/>
                      <w:color w:val="auto"/>
                      <w:szCs w:val="21"/>
                      <w:lang w:val="en-US" w:eastAsia="zh-CN"/>
                    </w:rPr>
                    <w:t>17套</w:t>
                  </w:r>
                  <w:r>
                    <w:rPr>
                      <w:rFonts w:hint="eastAsia"/>
                      <w:color w:val="auto"/>
                      <w:szCs w:val="21"/>
                    </w:rPr>
                    <w:t>机械集中送排风系统进行</w:t>
                  </w:r>
                  <w:r>
                    <w:rPr>
                      <w:rFonts w:hint="eastAsia"/>
                      <w:color w:val="auto"/>
                      <w:szCs w:val="21"/>
                      <w:lang w:val="en-US" w:eastAsia="zh-CN"/>
                    </w:rPr>
                    <w:t>排烟</w:t>
                  </w:r>
                  <w:r>
                    <w:rPr>
                      <w:rFonts w:hint="eastAsia"/>
                      <w:color w:val="auto"/>
                      <w:szCs w:val="21"/>
                    </w:rPr>
                    <w:t>通风</w:t>
                  </w:r>
                  <w:r>
                    <w:rPr>
                      <w:rFonts w:hint="eastAsia"/>
                      <w:color w:val="auto"/>
                      <w:szCs w:val="21"/>
                      <w:lang w:eastAsia="zh-CN"/>
                    </w:rPr>
                    <w:t>，</w:t>
                  </w:r>
                  <w:r>
                    <w:rPr>
                      <w:rFonts w:hint="eastAsia"/>
                      <w:color w:val="auto"/>
                      <w:szCs w:val="21"/>
                      <w:lang w:val="en-US" w:eastAsia="zh-CN"/>
                    </w:rPr>
                    <w:t>设置14个排风口，</w:t>
                  </w:r>
                  <w:r>
                    <w:rPr>
                      <w:rFonts w:hint="eastAsia"/>
                      <w:color w:val="auto"/>
                      <w:sz w:val="21"/>
                      <w:szCs w:val="21"/>
                      <w:lang w:val="en-US" w:eastAsia="zh-CN"/>
                    </w:rPr>
                    <w:t>以</w:t>
                  </w:r>
                  <w:r>
                    <w:rPr>
                      <w:rFonts w:hint="eastAsia"/>
                      <w:color w:val="auto"/>
                      <w:sz w:val="21"/>
                      <w:szCs w:val="21"/>
                    </w:rPr>
                    <w:t>室外百叶或室外排烟口</w:t>
                  </w:r>
                  <w:r>
                    <w:rPr>
                      <w:rFonts w:hint="eastAsia"/>
                      <w:color w:val="auto"/>
                      <w:sz w:val="21"/>
                      <w:szCs w:val="21"/>
                      <w:lang w:val="en-US" w:eastAsia="zh-CN"/>
                    </w:rPr>
                    <w:t>形式排放。</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27" w:hRule="atLeast"/>
                <w:jc w:val="center"/>
              </w:trPr>
              <w:tc>
                <w:tcPr>
                  <w:tcW w:w="496" w:type="dxa"/>
                  <w:vMerge w:val="continue"/>
                  <w:vAlign w:val="center"/>
                </w:tcPr>
                <w:p>
                  <w:pPr>
                    <w:adjustRightInd w:val="0"/>
                    <w:snapToGrid w:val="0"/>
                    <w:jc w:val="center"/>
                    <w:rPr>
                      <w:color w:val="auto"/>
                      <w:szCs w:val="21"/>
                    </w:rPr>
                  </w:pPr>
                </w:p>
              </w:tc>
              <w:tc>
                <w:tcPr>
                  <w:tcW w:w="470" w:type="dxa"/>
                  <w:gridSpan w:val="2"/>
                  <w:vMerge w:val="continue"/>
                  <w:vAlign w:val="center"/>
                </w:tcPr>
                <w:p>
                  <w:pPr>
                    <w:adjustRightInd w:val="0"/>
                    <w:snapToGrid w:val="0"/>
                    <w:jc w:val="center"/>
                    <w:rPr>
                      <w:color w:val="auto"/>
                      <w:szCs w:val="21"/>
                    </w:rPr>
                  </w:pPr>
                </w:p>
              </w:tc>
              <w:tc>
                <w:tcPr>
                  <w:tcW w:w="1298" w:type="dxa"/>
                  <w:gridSpan w:val="7"/>
                  <w:vMerge w:val="restart"/>
                  <w:vAlign w:val="center"/>
                </w:tcPr>
                <w:p>
                  <w:pPr>
                    <w:adjustRightInd w:val="0"/>
                    <w:snapToGrid w:val="0"/>
                    <w:jc w:val="center"/>
                    <w:rPr>
                      <w:rFonts w:hint="eastAsia"/>
                      <w:color w:val="auto"/>
                      <w:szCs w:val="21"/>
                    </w:rPr>
                  </w:pPr>
                  <w:r>
                    <w:rPr>
                      <w:rFonts w:hint="eastAsia"/>
                      <w:color w:val="auto"/>
                      <w:szCs w:val="21"/>
                    </w:rPr>
                    <w:t>废水</w:t>
                  </w:r>
                </w:p>
              </w:tc>
              <w:tc>
                <w:tcPr>
                  <w:tcW w:w="5093" w:type="dxa"/>
                  <w:tcMar>
                    <w:top w:w="0" w:type="dxa"/>
                    <w:left w:w="57" w:type="dxa"/>
                    <w:bottom w:w="0" w:type="dxa"/>
                    <w:right w:w="57" w:type="dxa"/>
                  </w:tcMar>
                  <w:vAlign w:val="center"/>
                </w:tcPr>
                <w:p>
                  <w:pPr>
                    <w:adjustRightInd w:val="0"/>
                    <w:snapToGrid w:val="0"/>
                    <w:rPr>
                      <w:color w:val="auto"/>
                      <w:szCs w:val="21"/>
                    </w:rPr>
                  </w:pPr>
                  <w:r>
                    <w:rPr>
                      <w:rFonts w:hint="eastAsia"/>
                      <w:color w:val="auto"/>
                      <w:szCs w:val="21"/>
                      <w:lang w:val="en-US" w:eastAsia="zh-CN"/>
                    </w:rPr>
                    <w:t>本项目设置11座化粪池，9个废水排放口，餐饮废水与</w:t>
                  </w:r>
                  <w:r>
                    <w:rPr>
                      <w:rFonts w:hint="eastAsia"/>
                      <w:color w:val="auto"/>
                      <w:szCs w:val="21"/>
                    </w:rPr>
                    <w:t>生活废水</w:t>
                  </w:r>
                  <w:r>
                    <w:rPr>
                      <w:rFonts w:hint="eastAsia"/>
                      <w:color w:val="auto"/>
                      <w:szCs w:val="21"/>
                      <w:lang w:val="en-US" w:eastAsia="zh-CN"/>
                    </w:rPr>
                    <w:t>经各自区域的</w:t>
                  </w:r>
                  <w:r>
                    <w:rPr>
                      <w:rFonts w:hint="eastAsia"/>
                      <w:color w:val="auto"/>
                      <w:szCs w:val="21"/>
                    </w:rPr>
                    <w:t>化粪池处理后</w:t>
                  </w:r>
                  <w:r>
                    <w:rPr>
                      <w:rFonts w:hint="eastAsia"/>
                      <w:color w:val="auto"/>
                      <w:szCs w:val="21"/>
                      <w:lang w:val="en-US" w:eastAsia="zh-CN"/>
                    </w:rPr>
                    <w:t>通过市政污水管网排入泾河第三污水厂。</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470" w:type="dxa"/>
                  <w:gridSpan w:val="2"/>
                  <w:vMerge w:val="continue"/>
                  <w:vAlign w:val="center"/>
                </w:tcPr>
                <w:p>
                  <w:pPr>
                    <w:adjustRightInd w:val="0"/>
                    <w:snapToGrid w:val="0"/>
                    <w:jc w:val="center"/>
                    <w:rPr>
                      <w:rFonts w:hint="eastAsia" w:eastAsia="宋体"/>
                      <w:color w:val="auto"/>
                      <w:szCs w:val="21"/>
                      <w:lang w:eastAsia="zh-CN"/>
                    </w:rPr>
                  </w:pPr>
                </w:p>
              </w:tc>
              <w:tc>
                <w:tcPr>
                  <w:tcW w:w="1298" w:type="dxa"/>
                  <w:gridSpan w:val="7"/>
                  <w:vMerge w:val="continue"/>
                  <w:vAlign w:val="center"/>
                </w:tcPr>
                <w:p>
                  <w:pPr>
                    <w:adjustRightInd w:val="0"/>
                    <w:snapToGrid w:val="0"/>
                    <w:jc w:val="center"/>
                    <w:rPr>
                      <w:color w:val="auto"/>
                      <w:szCs w:val="21"/>
                    </w:rPr>
                  </w:pPr>
                </w:p>
              </w:tc>
              <w:tc>
                <w:tcPr>
                  <w:tcW w:w="5093" w:type="dxa"/>
                  <w:tcMar>
                    <w:top w:w="0" w:type="dxa"/>
                    <w:left w:w="57" w:type="dxa"/>
                    <w:bottom w:w="0" w:type="dxa"/>
                    <w:right w:w="57" w:type="dxa"/>
                  </w:tcMar>
                  <w:vAlign w:val="center"/>
                </w:tcPr>
                <w:p>
                  <w:pPr>
                    <w:adjustRightInd w:val="0"/>
                    <w:snapToGrid w:val="0"/>
                    <w:rPr>
                      <w:color w:val="auto"/>
                      <w:szCs w:val="21"/>
                    </w:rPr>
                  </w:pPr>
                  <w:r>
                    <w:rPr>
                      <w:rFonts w:hint="eastAsia"/>
                      <w:color w:val="auto"/>
                      <w:szCs w:val="21"/>
                      <w:lang w:val="en-US" w:eastAsia="zh-CN"/>
                    </w:rPr>
                    <w:t>互动战船和南美区的情景激流勇游戏用水采用密闭式内循环处理系统，定期排放，产生的设备反冲洗水经化粪池沉淀后定期排入市政管网。</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470" w:type="dxa"/>
                  <w:gridSpan w:val="2"/>
                  <w:vMerge w:val="continue"/>
                  <w:vAlign w:val="center"/>
                </w:tcPr>
                <w:p>
                  <w:pPr>
                    <w:adjustRightInd w:val="0"/>
                    <w:snapToGrid w:val="0"/>
                    <w:jc w:val="center"/>
                    <w:rPr>
                      <w:color w:val="auto"/>
                      <w:szCs w:val="21"/>
                    </w:rPr>
                  </w:pPr>
                </w:p>
              </w:tc>
              <w:tc>
                <w:tcPr>
                  <w:tcW w:w="1298" w:type="dxa"/>
                  <w:gridSpan w:val="7"/>
                  <w:vAlign w:val="center"/>
                </w:tcPr>
                <w:p>
                  <w:pPr>
                    <w:adjustRightInd w:val="0"/>
                    <w:snapToGrid w:val="0"/>
                    <w:jc w:val="center"/>
                    <w:rPr>
                      <w:color w:val="auto"/>
                      <w:szCs w:val="21"/>
                    </w:rPr>
                  </w:pPr>
                  <w:r>
                    <w:rPr>
                      <w:color w:val="auto"/>
                      <w:szCs w:val="21"/>
                    </w:rPr>
                    <w:t>噪声</w:t>
                  </w:r>
                </w:p>
              </w:tc>
              <w:tc>
                <w:tcPr>
                  <w:tcW w:w="5093" w:type="dxa"/>
                  <w:tcMar>
                    <w:top w:w="0" w:type="dxa"/>
                    <w:left w:w="57" w:type="dxa"/>
                    <w:bottom w:w="0" w:type="dxa"/>
                    <w:right w:w="57" w:type="dxa"/>
                  </w:tcMar>
                  <w:vAlign w:val="center"/>
                </w:tcPr>
                <w:p>
                  <w:pPr>
                    <w:adjustRightInd w:val="0"/>
                    <w:snapToGrid w:val="0"/>
                    <w:rPr>
                      <w:color w:val="auto"/>
                      <w:szCs w:val="21"/>
                    </w:rPr>
                  </w:pPr>
                  <w:r>
                    <w:rPr>
                      <w:rFonts w:hint="eastAsia"/>
                      <w:color w:val="auto"/>
                      <w:szCs w:val="21"/>
                    </w:rPr>
                    <w:t>选用低噪声设备，设备合理布局，设备</w:t>
                  </w:r>
                  <w:r>
                    <w:rPr>
                      <w:rFonts w:hint="eastAsia"/>
                      <w:color w:val="auto"/>
                      <w:szCs w:val="21"/>
                      <w:lang w:val="en-US" w:eastAsia="zh-CN"/>
                    </w:rPr>
                    <w:t>采用</w:t>
                  </w:r>
                  <w:r>
                    <w:rPr>
                      <w:rFonts w:hint="eastAsia"/>
                      <w:color w:val="auto"/>
                      <w:szCs w:val="21"/>
                    </w:rPr>
                    <w:t>基座减振、隔声及消声等防治措施。</w:t>
                  </w:r>
                </w:p>
              </w:tc>
              <w:tc>
                <w:tcPr>
                  <w:tcW w:w="505" w:type="dxa"/>
                  <w:vMerge w:val="continue"/>
                  <w:tcMar>
                    <w:top w:w="0" w:type="dxa"/>
                    <w:left w:w="57" w:type="dxa"/>
                    <w:bottom w:w="0" w:type="dxa"/>
                    <w:right w:w="57" w:type="dxa"/>
                  </w:tcMar>
                  <w:vAlign w:val="center"/>
                </w:tcPr>
                <w:p>
                  <w:pPr>
                    <w:adjustRightInd w:val="0"/>
                    <w:snapToGrid w:val="0"/>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77" w:hRule="atLeast"/>
                <w:jc w:val="center"/>
              </w:trPr>
              <w:tc>
                <w:tcPr>
                  <w:tcW w:w="496" w:type="dxa"/>
                  <w:vMerge w:val="continue"/>
                  <w:vAlign w:val="center"/>
                </w:tcPr>
                <w:p>
                  <w:pPr>
                    <w:adjustRightInd w:val="0"/>
                    <w:snapToGrid w:val="0"/>
                    <w:jc w:val="center"/>
                    <w:rPr>
                      <w:color w:val="auto"/>
                      <w:szCs w:val="21"/>
                    </w:rPr>
                  </w:pPr>
                </w:p>
              </w:tc>
              <w:tc>
                <w:tcPr>
                  <w:tcW w:w="470" w:type="dxa"/>
                  <w:gridSpan w:val="2"/>
                  <w:vMerge w:val="continue"/>
                  <w:vAlign w:val="center"/>
                </w:tcPr>
                <w:p>
                  <w:pPr>
                    <w:adjustRightInd w:val="0"/>
                    <w:snapToGrid w:val="0"/>
                    <w:jc w:val="center"/>
                    <w:rPr>
                      <w:color w:val="auto"/>
                      <w:szCs w:val="21"/>
                    </w:rPr>
                  </w:pPr>
                </w:p>
              </w:tc>
              <w:tc>
                <w:tcPr>
                  <w:tcW w:w="505" w:type="dxa"/>
                  <w:gridSpan w:val="2"/>
                  <w:vMerge w:val="restart"/>
                  <w:vAlign w:val="center"/>
                </w:tcPr>
                <w:p>
                  <w:pPr>
                    <w:adjustRightInd w:val="0"/>
                    <w:snapToGrid w:val="0"/>
                    <w:jc w:val="center"/>
                    <w:rPr>
                      <w:rFonts w:hint="eastAsia" w:eastAsia="宋体"/>
                      <w:color w:val="auto"/>
                      <w:szCs w:val="21"/>
                      <w:lang w:val="en-US" w:eastAsia="zh-CN"/>
                    </w:rPr>
                  </w:pPr>
                  <w:r>
                    <w:rPr>
                      <w:rFonts w:hint="eastAsia"/>
                      <w:color w:val="auto"/>
                      <w:szCs w:val="21"/>
                      <w:lang w:val="en-US" w:eastAsia="zh-CN"/>
                    </w:rPr>
                    <w:t>固废</w:t>
                  </w:r>
                </w:p>
              </w:tc>
              <w:tc>
                <w:tcPr>
                  <w:tcW w:w="793" w:type="dxa"/>
                  <w:gridSpan w:val="5"/>
                  <w:vAlign w:val="center"/>
                </w:tcPr>
                <w:p>
                  <w:pPr>
                    <w:adjustRightInd w:val="0"/>
                    <w:snapToGrid w:val="0"/>
                    <w:jc w:val="center"/>
                    <w:rPr>
                      <w:color w:val="auto"/>
                      <w:szCs w:val="21"/>
                    </w:rPr>
                  </w:pPr>
                  <w:r>
                    <w:rPr>
                      <w:rFonts w:hint="eastAsia"/>
                      <w:color w:val="auto"/>
                      <w:szCs w:val="21"/>
                    </w:rPr>
                    <w:t>生活垃圾</w:t>
                  </w:r>
                </w:p>
              </w:tc>
              <w:tc>
                <w:tcPr>
                  <w:tcW w:w="5093" w:type="dxa"/>
                  <w:tcMar>
                    <w:top w:w="0" w:type="dxa"/>
                    <w:left w:w="57" w:type="dxa"/>
                    <w:bottom w:w="0" w:type="dxa"/>
                    <w:right w:w="57" w:type="dxa"/>
                  </w:tcMar>
                  <w:vAlign w:val="center"/>
                </w:tcPr>
                <w:p>
                  <w:pPr>
                    <w:adjustRightInd w:val="0"/>
                    <w:snapToGrid w:val="0"/>
                    <w:rPr>
                      <w:snapToGrid w:val="0"/>
                      <w:color w:val="auto"/>
                      <w:spacing w:val="-6"/>
                      <w:kern w:val="0"/>
                      <w:szCs w:val="21"/>
                    </w:rPr>
                  </w:pPr>
                  <w:r>
                    <w:rPr>
                      <w:color w:val="auto"/>
                      <w:szCs w:val="21"/>
                    </w:rPr>
                    <w:t>生活垃圾</w:t>
                  </w:r>
                  <w:r>
                    <w:rPr>
                      <w:rFonts w:hint="eastAsia"/>
                      <w:color w:val="auto"/>
                      <w:szCs w:val="21"/>
                      <w:lang w:val="en-US" w:eastAsia="zh-CN"/>
                    </w:rPr>
                    <w:t>设垃圾桶</w:t>
                  </w:r>
                  <w:r>
                    <w:rPr>
                      <w:color w:val="auto"/>
                      <w:szCs w:val="21"/>
                    </w:rPr>
                    <w:t>分类收集，环卫</w:t>
                  </w:r>
                  <w:r>
                    <w:rPr>
                      <w:rFonts w:hint="eastAsia"/>
                      <w:color w:val="auto"/>
                      <w:szCs w:val="21"/>
                      <w:lang w:val="en-US" w:eastAsia="zh-CN"/>
                    </w:rPr>
                    <w:t>部门统一</w:t>
                  </w:r>
                  <w:r>
                    <w:rPr>
                      <w:color w:val="auto"/>
                      <w:szCs w:val="21"/>
                    </w:rPr>
                    <w:t>清运</w:t>
                  </w:r>
                  <w:r>
                    <w:rPr>
                      <w:rFonts w:hint="eastAsia"/>
                      <w:color w:val="auto"/>
                      <w:szCs w:val="21"/>
                      <w:lang w:eastAsia="zh-CN"/>
                    </w:rPr>
                    <w:t>。</w:t>
                  </w:r>
                </w:p>
              </w:tc>
              <w:tc>
                <w:tcPr>
                  <w:tcW w:w="505" w:type="dxa"/>
                  <w:vMerge w:val="continue"/>
                  <w:tcMar>
                    <w:top w:w="0" w:type="dxa"/>
                    <w:left w:w="57" w:type="dxa"/>
                    <w:bottom w:w="0" w:type="dxa"/>
                    <w:right w:w="57" w:type="dxa"/>
                  </w:tcMar>
                  <w:vAlign w:val="center"/>
                </w:tcPr>
                <w:p>
                  <w:pPr>
                    <w:adjustRightInd w:val="0"/>
                    <w:snapToGrid w:val="0"/>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57" w:hRule="atLeast"/>
                <w:jc w:val="center"/>
              </w:trPr>
              <w:tc>
                <w:tcPr>
                  <w:tcW w:w="496" w:type="dxa"/>
                  <w:vMerge w:val="continue"/>
                  <w:vAlign w:val="center"/>
                </w:tcPr>
                <w:p>
                  <w:pPr>
                    <w:adjustRightInd w:val="0"/>
                    <w:snapToGrid w:val="0"/>
                    <w:jc w:val="center"/>
                    <w:rPr>
                      <w:color w:val="auto"/>
                      <w:szCs w:val="21"/>
                    </w:rPr>
                  </w:pPr>
                </w:p>
              </w:tc>
              <w:tc>
                <w:tcPr>
                  <w:tcW w:w="470" w:type="dxa"/>
                  <w:gridSpan w:val="2"/>
                  <w:vMerge w:val="continue"/>
                  <w:vAlign w:val="center"/>
                </w:tcPr>
                <w:p>
                  <w:pPr>
                    <w:adjustRightInd w:val="0"/>
                    <w:snapToGrid w:val="0"/>
                    <w:jc w:val="center"/>
                    <w:rPr>
                      <w:color w:val="auto"/>
                      <w:szCs w:val="21"/>
                    </w:rPr>
                  </w:pPr>
                </w:p>
              </w:tc>
              <w:tc>
                <w:tcPr>
                  <w:tcW w:w="505" w:type="dxa"/>
                  <w:gridSpan w:val="2"/>
                  <w:vMerge w:val="continue"/>
                  <w:vAlign w:val="center"/>
                </w:tcPr>
                <w:p>
                  <w:pPr>
                    <w:adjustRightInd w:val="0"/>
                    <w:snapToGrid w:val="0"/>
                    <w:jc w:val="center"/>
                    <w:rPr>
                      <w:color w:val="auto"/>
                      <w:szCs w:val="21"/>
                    </w:rPr>
                  </w:pPr>
                </w:p>
              </w:tc>
              <w:tc>
                <w:tcPr>
                  <w:tcW w:w="793" w:type="dxa"/>
                  <w:gridSpan w:val="5"/>
                  <w:vAlign w:val="center"/>
                </w:tcPr>
                <w:p>
                  <w:pPr>
                    <w:adjustRightInd w:val="0"/>
                    <w:snapToGrid w:val="0"/>
                    <w:jc w:val="center"/>
                    <w:rPr>
                      <w:color w:val="auto"/>
                      <w:szCs w:val="21"/>
                    </w:rPr>
                  </w:pPr>
                  <w:r>
                    <w:rPr>
                      <w:rFonts w:hint="eastAsia"/>
                      <w:color w:val="auto"/>
                      <w:szCs w:val="21"/>
                    </w:rPr>
                    <w:t>餐饮垃圾</w:t>
                  </w:r>
                  <w:r>
                    <w:rPr>
                      <w:rFonts w:hint="eastAsia"/>
                      <w:color w:val="auto"/>
                      <w:szCs w:val="21"/>
                      <w:lang w:eastAsia="zh-CN"/>
                    </w:rPr>
                    <w:t>（</w:t>
                  </w:r>
                  <w:r>
                    <w:rPr>
                      <w:rFonts w:hint="eastAsia"/>
                      <w:color w:val="auto"/>
                      <w:szCs w:val="21"/>
                      <w:lang w:val="en-US" w:eastAsia="zh-CN"/>
                    </w:rPr>
                    <w:t>含隔油池废油）</w:t>
                  </w:r>
                </w:p>
              </w:tc>
              <w:tc>
                <w:tcPr>
                  <w:tcW w:w="5093" w:type="dxa"/>
                  <w:tcMar>
                    <w:top w:w="0" w:type="dxa"/>
                    <w:left w:w="57" w:type="dxa"/>
                    <w:bottom w:w="0" w:type="dxa"/>
                    <w:right w:w="57" w:type="dxa"/>
                  </w:tcMar>
                  <w:vAlign w:val="center"/>
                </w:tcPr>
                <w:p>
                  <w:pPr>
                    <w:tabs>
                      <w:tab w:val="right" w:pos="5876"/>
                    </w:tabs>
                    <w:adjustRightInd w:val="0"/>
                    <w:snapToGrid w:val="0"/>
                    <w:rPr>
                      <w:snapToGrid w:val="0"/>
                      <w:color w:val="auto"/>
                      <w:spacing w:val="-6"/>
                      <w:kern w:val="0"/>
                      <w:szCs w:val="21"/>
                    </w:rPr>
                  </w:pPr>
                  <w:r>
                    <w:rPr>
                      <w:color w:val="auto"/>
                      <w:szCs w:val="21"/>
                    </w:rPr>
                    <w:t>餐饮垃圾由具有资质的</w:t>
                  </w:r>
                  <w:r>
                    <w:rPr>
                      <w:rFonts w:hint="eastAsia"/>
                      <w:color w:val="auto"/>
                      <w:szCs w:val="21"/>
                      <w:lang w:val="en-US" w:eastAsia="zh-CN"/>
                    </w:rPr>
                    <w:t>餐厨垃圾回收</w:t>
                  </w:r>
                  <w:r>
                    <w:rPr>
                      <w:color w:val="auto"/>
                      <w:szCs w:val="21"/>
                    </w:rPr>
                    <w:t>公司</w:t>
                  </w:r>
                  <w:r>
                    <w:rPr>
                      <w:rFonts w:hint="eastAsia"/>
                      <w:color w:val="auto"/>
                      <w:szCs w:val="21"/>
                      <w:lang w:val="en-US" w:eastAsia="zh-CN"/>
                    </w:rPr>
                    <w:t>统一收集</w:t>
                  </w:r>
                  <w:r>
                    <w:rPr>
                      <w:color w:val="auto"/>
                      <w:szCs w:val="21"/>
                    </w:rPr>
                    <w:t>处置</w:t>
                  </w:r>
                  <w:r>
                    <w:rPr>
                      <w:rFonts w:hint="eastAsia"/>
                      <w:color w:val="auto"/>
                      <w:szCs w:val="21"/>
                      <w:lang w:eastAsia="zh-CN"/>
                    </w:rPr>
                    <w:t>。</w:t>
                  </w:r>
                  <w:r>
                    <w:rPr>
                      <w:rFonts w:hint="eastAsia"/>
                      <w:color w:val="auto"/>
                      <w:szCs w:val="21"/>
                      <w:lang w:eastAsia="zh-CN"/>
                    </w:rPr>
                    <w:tab/>
                  </w:r>
                </w:p>
              </w:tc>
              <w:tc>
                <w:tcPr>
                  <w:tcW w:w="505" w:type="dxa"/>
                  <w:vMerge w:val="continue"/>
                  <w:tcMar>
                    <w:top w:w="0" w:type="dxa"/>
                    <w:left w:w="57" w:type="dxa"/>
                    <w:bottom w:w="0" w:type="dxa"/>
                    <w:right w:w="57" w:type="dxa"/>
                  </w:tcMar>
                  <w:vAlign w:val="center"/>
                </w:tcPr>
                <w:p>
                  <w:pPr>
                    <w:adjustRightInd w:val="0"/>
                    <w:snapToGrid w:val="0"/>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470" w:type="dxa"/>
                  <w:gridSpan w:val="2"/>
                  <w:vMerge w:val="continue"/>
                  <w:vAlign w:val="center"/>
                </w:tcPr>
                <w:p>
                  <w:pPr>
                    <w:adjustRightInd w:val="0"/>
                    <w:snapToGrid w:val="0"/>
                    <w:jc w:val="center"/>
                    <w:rPr>
                      <w:rFonts w:hint="eastAsia" w:eastAsia="宋体"/>
                      <w:color w:val="auto"/>
                      <w:szCs w:val="21"/>
                      <w:lang w:eastAsia="zh-CN"/>
                    </w:rPr>
                  </w:pPr>
                </w:p>
              </w:tc>
              <w:tc>
                <w:tcPr>
                  <w:tcW w:w="505" w:type="dxa"/>
                  <w:gridSpan w:val="2"/>
                  <w:vMerge w:val="continue"/>
                  <w:vAlign w:val="center"/>
                </w:tcPr>
                <w:p>
                  <w:pPr>
                    <w:adjustRightInd w:val="0"/>
                    <w:snapToGrid w:val="0"/>
                    <w:jc w:val="center"/>
                    <w:rPr>
                      <w:color w:val="auto"/>
                      <w:szCs w:val="21"/>
                    </w:rPr>
                  </w:pPr>
                </w:p>
              </w:tc>
              <w:tc>
                <w:tcPr>
                  <w:tcW w:w="793" w:type="dxa"/>
                  <w:gridSpan w:val="5"/>
                  <w:vAlign w:val="center"/>
                </w:tcPr>
                <w:p>
                  <w:pPr>
                    <w:adjustRightInd w:val="0"/>
                    <w:snapToGrid w:val="0"/>
                    <w:jc w:val="center"/>
                    <w:rPr>
                      <w:rFonts w:hint="eastAsia" w:eastAsia="宋体"/>
                      <w:color w:val="auto"/>
                      <w:szCs w:val="21"/>
                      <w:lang w:eastAsia="zh-CN"/>
                    </w:rPr>
                  </w:pPr>
                  <w:r>
                    <w:rPr>
                      <w:rFonts w:hint="eastAsia"/>
                      <w:color w:val="auto"/>
                      <w:szCs w:val="21"/>
                      <w:lang w:val="en-US" w:eastAsia="zh-CN"/>
                    </w:rPr>
                    <w:t>水处理系统滤渣</w:t>
                  </w:r>
                </w:p>
              </w:tc>
              <w:tc>
                <w:tcPr>
                  <w:tcW w:w="5093" w:type="dxa"/>
                  <w:tcMar>
                    <w:top w:w="0" w:type="dxa"/>
                    <w:left w:w="57" w:type="dxa"/>
                    <w:bottom w:w="0" w:type="dxa"/>
                    <w:right w:w="57" w:type="dxa"/>
                  </w:tcMar>
                  <w:vAlign w:val="center"/>
                </w:tcPr>
                <w:p>
                  <w:pPr>
                    <w:adjustRightInd w:val="0"/>
                    <w:snapToGrid w:val="0"/>
                    <w:jc w:val="both"/>
                    <w:rPr>
                      <w:color w:val="auto"/>
                      <w:szCs w:val="21"/>
                    </w:rPr>
                  </w:pPr>
                  <w:r>
                    <w:rPr>
                      <w:rFonts w:hint="eastAsia"/>
                      <w:color w:val="auto"/>
                      <w:kern w:val="0"/>
                      <w:sz w:val="21"/>
                      <w:szCs w:val="21"/>
                      <w:lang w:val="en-US" w:eastAsia="zh-CN"/>
                    </w:rPr>
                    <w:t>交由环卫部门清运。</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jc w:val="center"/>
              </w:trPr>
              <w:tc>
                <w:tcPr>
                  <w:tcW w:w="496" w:type="dxa"/>
                  <w:vMerge w:val="continue"/>
                  <w:vAlign w:val="center"/>
                </w:tcPr>
                <w:p>
                  <w:pPr>
                    <w:adjustRightInd w:val="0"/>
                    <w:snapToGrid w:val="0"/>
                    <w:jc w:val="center"/>
                    <w:rPr>
                      <w:color w:val="auto"/>
                      <w:szCs w:val="21"/>
                    </w:rPr>
                  </w:pPr>
                </w:p>
              </w:tc>
              <w:tc>
                <w:tcPr>
                  <w:tcW w:w="470" w:type="dxa"/>
                  <w:gridSpan w:val="2"/>
                  <w:vMerge w:val="continue"/>
                  <w:vAlign w:val="center"/>
                </w:tcPr>
                <w:p>
                  <w:pPr>
                    <w:adjustRightInd w:val="0"/>
                    <w:snapToGrid w:val="0"/>
                    <w:jc w:val="center"/>
                    <w:rPr>
                      <w:rFonts w:hint="eastAsia" w:eastAsia="宋体"/>
                      <w:color w:val="auto"/>
                      <w:szCs w:val="21"/>
                      <w:lang w:eastAsia="zh-CN"/>
                    </w:rPr>
                  </w:pPr>
                </w:p>
              </w:tc>
              <w:tc>
                <w:tcPr>
                  <w:tcW w:w="505" w:type="dxa"/>
                  <w:gridSpan w:val="2"/>
                  <w:vMerge w:val="continue"/>
                  <w:vAlign w:val="center"/>
                </w:tcPr>
                <w:p>
                  <w:pPr>
                    <w:adjustRightInd w:val="0"/>
                    <w:snapToGrid w:val="0"/>
                    <w:jc w:val="center"/>
                    <w:rPr>
                      <w:color w:val="auto"/>
                      <w:szCs w:val="21"/>
                    </w:rPr>
                  </w:pPr>
                </w:p>
              </w:tc>
              <w:tc>
                <w:tcPr>
                  <w:tcW w:w="215" w:type="dxa"/>
                  <w:vMerge w:val="restart"/>
                  <w:vAlign w:val="center"/>
                </w:tcPr>
                <w:p>
                  <w:pPr>
                    <w:adjustRightInd w:val="0"/>
                    <w:snapToGrid w:val="0"/>
                    <w:jc w:val="center"/>
                    <w:rPr>
                      <w:color w:val="auto"/>
                      <w:szCs w:val="21"/>
                    </w:rPr>
                  </w:pPr>
                  <w:r>
                    <w:rPr>
                      <w:rFonts w:hint="eastAsia"/>
                      <w:color w:val="auto"/>
                      <w:szCs w:val="21"/>
                    </w:rPr>
                    <w:t>危险废物</w:t>
                  </w:r>
                </w:p>
              </w:tc>
              <w:tc>
                <w:tcPr>
                  <w:tcW w:w="578" w:type="dxa"/>
                  <w:gridSpan w:val="4"/>
                  <w:vAlign w:val="center"/>
                </w:tcPr>
                <w:p>
                  <w:pPr>
                    <w:adjustRightInd w:val="0"/>
                    <w:snapToGrid w:val="0"/>
                    <w:jc w:val="center"/>
                    <w:rPr>
                      <w:rFonts w:hint="eastAsia" w:eastAsia="宋体"/>
                      <w:color w:val="auto"/>
                      <w:szCs w:val="21"/>
                      <w:lang w:val="en-US" w:eastAsia="zh-CN"/>
                    </w:rPr>
                  </w:pPr>
                  <w:r>
                    <w:rPr>
                      <w:rFonts w:hint="eastAsia"/>
                      <w:color w:val="auto"/>
                      <w:szCs w:val="21"/>
                      <w:lang w:val="en-US" w:eastAsia="zh-CN"/>
                    </w:rPr>
                    <w:t>废机油、废油抹布</w:t>
                  </w:r>
                </w:p>
              </w:tc>
              <w:tc>
                <w:tcPr>
                  <w:tcW w:w="5093" w:type="dxa"/>
                  <w:tcMar>
                    <w:top w:w="0" w:type="dxa"/>
                    <w:left w:w="57" w:type="dxa"/>
                    <w:bottom w:w="0" w:type="dxa"/>
                    <w:right w:w="57" w:type="dxa"/>
                  </w:tcMar>
                  <w:vAlign w:val="center"/>
                </w:tcPr>
                <w:p>
                  <w:pPr>
                    <w:adjustRightInd w:val="0"/>
                    <w:snapToGrid w:val="0"/>
                    <w:jc w:val="left"/>
                    <w:rPr>
                      <w:color w:val="auto"/>
                      <w:szCs w:val="21"/>
                    </w:rPr>
                  </w:pPr>
                  <w:r>
                    <w:rPr>
                      <w:color w:val="auto"/>
                      <w:szCs w:val="21"/>
                    </w:rPr>
                    <w:t>设置</w:t>
                  </w:r>
                  <w:r>
                    <w:rPr>
                      <w:rFonts w:hint="eastAsia"/>
                      <w:color w:val="auto"/>
                      <w:szCs w:val="21"/>
                      <w:lang w:val="en-US" w:eastAsia="zh-CN"/>
                    </w:rPr>
                    <w:t>1座</w:t>
                  </w:r>
                  <w:r>
                    <w:rPr>
                      <w:color w:val="auto"/>
                      <w:szCs w:val="21"/>
                    </w:rPr>
                    <w:t>危废暂存间</w:t>
                  </w:r>
                  <w:r>
                    <w:rPr>
                      <w:rFonts w:hint="eastAsia"/>
                      <w:color w:val="auto"/>
                      <w:szCs w:val="21"/>
                      <w:lang w:eastAsia="zh-CN"/>
                    </w:rPr>
                    <w:t>，</w:t>
                  </w:r>
                  <w:r>
                    <w:rPr>
                      <w:rFonts w:hint="eastAsia"/>
                      <w:color w:val="auto"/>
                      <w:szCs w:val="21"/>
                      <w:lang w:val="en-US" w:eastAsia="zh-CN"/>
                    </w:rPr>
                    <w:t>危废</w:t>
                  </w:r>
                  <w:r>
                    <w:rPr>
                      <w:color w:val="auto"/>
                      <w:szCs w:val="21"/>
                    </w:rPr>
                    <w:t>收集</w:t>
                  </w:r>
                  <w:r>
                    <w:rPr>
                      <w:rFonts w:hint="eastAsia"/>
                      <w:color w:val="auto"/>
                      <w:szCs w:val="21"/>
                      <w:lang w:val="en-US" w:eastAsia="zh-CN"/>
                    </w:rPr>
                    <w:t>暂存，</w:t>
                  </w:r>
                  <w:r>
                    <w:rPr>
                      <w:color w:val="auto"/>
                      <w:szCs w:val="21"/>
                    </w:rPr>
                    <w:t>定期交由有资质单位处置</w:t>
                  </w:r>
                  <w:r>
                    <w:rPr>
                      <w:rFonts w:hint="eastAsia"/>
                      <w:color w:val="auto"/>
                      <w:szCs w:val="21"/>
                      <w:lang w:eastAsia="zh-CN"/>
                    </w:rPr>
                    <w:t>。</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470" w:type="dxa"/>
                  <w:gridSpan w:val="2"/>
                  <w:vMerge w:val="continue"/>
                  <w:vAlign w:val="center"/>
                </w:tcPr>
                <w:p>
                  <w:pPr>
                    <w:adjustRightInd w:val="0"/>
                    <w:snapToGrid w:val="0"/>
                    <w:jc w:val="center"/>
                    <w:rPr>
                      <w:rFonts w:hint="eastAsia"/>
                      <w:color w:val="auto"/>
                      <w:szCs w:val="21"/>
                      <w:lang w:val="en-US" w:eastAsia="zh-CN"/>
                    </w:rPr>
                  </w:pPr>
                </w:p>
              </w:tc>
              <w:tc>
                <w:tcPr>
                  <w:tcW w:w="505" w:type="dxa"/>
                  <w:gridSpan w:val="2"/>
                  <w:vMerge w:val="continue"/>
                  <w:vAlign w:val="center"/>
                </w:tcPr>
                <w:p>
                  <w:pPr>
                    <w:adjustRightInd w:val="0"/>
                    <w:snapToGrid w:val="0"/>
                    <w:jc w:val="center"/>
                    <w:rPr>
                      <w:color w:val="auto"/>
                      <w:szCs w:val="21"/>
                    </w:rPr>
                  </w:pPr>
                </w:p>
              </w:tc>
              <w:tc>
                <w:tcPr>
                  <w:tcW w:w="215" w:type="dxa"/>
                  <w:vMerge w:val="continue"/>
                  <w:vAlign w:val="center"/>
                </w:tcPr>
                <w:p>
                  <w:pPr>
                    <w:adjustRightInd w:val="0"/>
                    <w:snapToGrid w:val="0"/>
                    <w:jc w:val="center"/>
                    <w:rPr>
                      <w:color w:val="auto"/>
                      <w:szCs w:val="21"/>
                    </w:rPr>
                  </w:pPr>
                </w:p>
              </w:tc>
              <w:tc>
                <w:tcPr>
                  <w:tcW w:w="578" w:type="dxa"/>
                  <w:gridSpan w:val="4"/>
                  <w:vAlign w:val="center"/>
                </w:tcPr>
                <w:p>
                  <w:pPr>
                    <w:adjustRightInd w:val="0"/>
                    <w:snapToGrid w:val="0"/>
                    <w:jc w:val="center"/>
                    <w:rPr>
                      <w:rFonts w:hint="eastAsia" w:eastAsia="宋体"/>
                      <w:color w:val="auto"/>
                      <w:szCs w:val="21"/>
                      <w:lang w:val="en-US" w:eastAsia="zh-CN"/>
                    </w:rPr>
                  </w:pPr>
                  <w:r>
                    <w:rPr>
                      <w:rFonts w:hint="eastAsia"/>
                      <w:color w:val="auto"/>
                      <w:szCs w:val="21"/>
                      <w:lang w:val="en-US" w:eastAsia="zh-CN"/>
                    </w:rPr>
                    <w:t>医疗废物</w:t>
                  </w:r>
                </w:p>
              </w:tc>
              <w:tc>
                <w:tcPr>
                  <w:tcW w:w="5093" w:type="dxa"/>
                  <w:tcMar>
                    <w:top w:w="0" w:type="dxa"/>
                    <w:left w:w="57" w:type="dxa"/>
                    <w:bottom w:w="0" w:type="dxa"/>
                    <w:right w:w="57" w:type="dxa"/>
                  </w:tcMar>
                  <w:vAlign w:val="center"/>
                </w:tcPr>
                <w:p>
                  <w:pPr>
                    <w:adjustRightInd w:val="0"/>
                    <w:snapToGrid w:val="0"/>
                    <w:rPr>
                      <w:color w:val="auto"/>
                      <w:szCs w:val="21"/>
                    </w:rPr>
                  </w:pPr>
                  <w:r>
                    <w:rPr>
                      <w:color w:val="auto"/>
                      <w:szCs w:val="21"/>
                    </w:rPr>
                    <w:t>医疗废物设专用垃圾桶单独收集，医疗废物暂存间暂存（位于医务室），委托医疗废物处置公司处置。</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470" w:type="dxa"/>
                  <w:gridSpan w:val="2"/>
                  <w:vMerge w:val="continue"/>
                  <w:vAlign w:val="center"/>
                </w:tcPr>
                <w:p>
                  <w:pPr>
                    <w:adjustRightInd w:val="0"/>
                    <w:snapToGrid w:val="0"/>
                    <w:jc w:val="center"/>
                    <w:rPr>
                      <w:rFonts w:hint="eastAsia"/>
                      <w:color w:val="auto"/>
                      <w:szCs w:val="21"/>
                      <w:lang w:val="en-US" w:eastAsia="zh-CN"/>
                    </w:rPr>
                  </w:pPr>
                </w:p>
              </w:tc>
              <w:tc>
                <w:tcPr>
                  <w:tcW w:w="1298" w:type="dxa"/>
                  <w:gridSpan w:val="7"/>
                  <w:vAlign w:val="center"/>
                </w:tcPr>
                <w:p>
                  <w:pPr>
                    <w:adjustRightInd w:val="0"/>
                    <w:snapToGrid w:val="0"/>
                    <w:jc w:val="center"/>
                    <w:rPr>
                      <w:rFonts w:hint="eastAsia"/>
                      <w:color w:val="auto"/>
                      <w:szCs w:val="21"/>
                      <w:lang w:val="en-US" w:eastAsia="zh-CN"/>
                    </w:rPr>
                  </w:pPr>
                  <w:r>
                    <w:rPr>
                      <w:rFonts w:hint="eastAsia"/>
                      <w:color w:val="auto"/>
                      <w:szCs w:val="21"/>
                      <w:lang w:val="en-US" w:eastAsia="zh-CN"/>
                    </w:rPr>
                    <w:t>生态</w:t>
                  </w:r>
                </w:p>
              </w:tc>
              <w:tc>
                <w:tcPr>
                  <w:tcW w:w="5093" w:type="dxa"/>
                  <w:tcMar>
                    <w:top w:w="0" w:type="dxa"/>
                    <w:left w:w="57" w:type="dxa"/>
                    <w:bottom w:w="0" w:type="dxa"/>
                    <w:right w:w="57" w:type="dxa"/>
                  </w:tcMar>
                  <w:vAlign w:val="center"/>
                </w:tcPr>
                <w:p>
                  <w:pPr>
                    <w:adjustRightInd w:val="0"/>
                    <w:snapToGrid w:val="0"/>
                    <w:rPr>
                      <w:rFonts w:hint="eastAsia" w:ascii="宋体" w:hAnsi="宋体" w:cs="宋体"/>
                      <w:color w:val="auto"/>
                      <w:sz w:val="21"/>
                      <w:szCs w:val="21"/>
                    </w:rPr>
                  </w:pP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1）</w:t>
                  </w:r>
                  <w:r>
                    <w:rPr>
                      <w:rFonts w:hint="eastAsia" w:ascii="宋体" w:hAnsi="宋体" w:cs="宋体"/>
                      <w:color w:val="auto"/>
                      <w:sz w:val="21"/>
                      <w:szCs w:val="21"/>
                    </w:rPr>
                    <w:t>项目建设造成的植被破坏通过种植树木等绿化措施进行切实可行的补偿措施，且增加了植被的观赏性，局部生态环境不会发生大的变化。项目总的绿化面积为24.96万m2，植被覆盖率达35.0%</w:t>
                  </w:r>
                  <w:r>
                    <w:rPr>
                      <w:rFonts w:hint="eastAsia" w:ascii="宋体" w:hAnsi="宋体" w:cs="宋体"/>
                      <w:color w:val="auto"/>
                      <w:sz w:val="21"/>
                      <w:szCs w:val="21"/>
                      <w:lang w:eastAsia="zh-CN"/>
                    </w:rPr>
                    <w:t>；</w:t>
                  </w:r>
                </w:p>
                <w:p>
                  <w:pPr>
                    <w:adjustRightInd w:val="0"/>
                    <w:snapToGrid w:val="0"/>
                    <w:rPr>
                      <w:rFonts w:hint="eastAsia" w:ascii="宋体" w:hAnsi="宋体" w:cs="宋体"/>
                      <w:color w:val="auto"/>
                      <w:sz w:val="21"/>
                      <w:szCs w:val="21"/>
                    </w:rPr>
                  </w:pP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2）</w:t>
                  </w:r>
                  <w:r>
                    <w:rPr>
                      <w:rFonts w:hint="eastAsia" w:ascii="宋体" w:hAnsi="宋体" w:cs="宋体"/>
                      <w:color w:val="auto"/>
                      <w:sz w:val="21"/>
                      <w:szCs w:val="21"/>
                    </w:rPr>
                    <w:t>加大宣传力度，加大绿色、低碳理念的宣传，规范游客行为；禁止游客对园区生态环境的破坏行为，严禁破坏树木、草坪、花坛等，设置专人负责，加强园区环境管理。</w:t>
                  </w:r>
                </w:p>
                <w:p>
                  <w:pPr>
                    <w:adjustRightInd w:val="0"/>
                    <w:snapToGrid w:val="0"/>
                    <w:rPr>
                      <w:rFonts w:hint="eastAsia" w:ascii="宋体" w:hAnsi="宋体" w:cs="宋体"/>
                      <w:color w:val="auto"/>
                      <w:sz w:val="21"/>
                      <w:szCs w:val="21"/>
                    </w:rPr>
                  </w:pPr>
                  <w:r>
                    <w:rPr>
                      <w:rFonts w:hint="eastAsia" w:ascii="宋体" w:hAnsi="宋体" w:cs="宋体"/>
                      <w:color w:val="auto"/>
                      <w:sz w:val="21"/>
                      <w:szCs w:val="21"/>
                    </w:rPr>
                    <w:t>②合理设计旅游路线，对游客旅游活动范围加以合理限制，减少对植被的影响。</w:t>
                  </w:r>
                </w:p>
                <w:p>
                  <w:pPr>
                    <w:adjustRightInd w:val="0"/>
                    <w:snapToGrid w:val="0"/>
                    <w:rPr>
                      <w:rFonts w:hint="eastAsia" w:ascii="宋体" w:hAnsi="宋体" w:cs="宋体"/>
                      <w:color w:val="auto"/>
                      <w:sz w:val="21"/>
                      <w:szCs w:val="21"/>
                    </w:rPr>
                  </w:pPr>
                  <w:r>
                    <w:rPr>
                      <w:rFonts w:hint="eastAsia" w:ascii="宋体" w:hAnsi="宋体" w:cs="宋体"/>
                      <w:color w:val="auto"/>
                      <w:sz w:val="21"/>
                      <w:szCs w:val="21"/>
                      <w:lang w:val="en-US" w:eastAsia="zh-CN"/>
                    </w:rPr>
                    <w:t>③</w:t>
                  </w:r>
                  <w:r>
                    <w:rPr>
                      <w:rFonts w:hint="eastAsia" w:ascii="宋体" w:hAnsi="宋体" w:cs="宋体"/>
                      <w:color w:val="auto"/>
                      <w:sz w:val="21"/>
                      <w:szCs w:val="21"/>
                    </w:rPr>
                    <w:t>景观资源保护措施与建议</w:t>
                  </w:r>
                </w:p>
                <w:p>
                  <w:pPr>
                    <w:adjustRightInd w:val="0"/>
                    <w:snapToGrid w:val="0"/>
                    <w:rPr>
                      <w:color w:val="auto"/>
                      <w:szCs w:val="21"/>
                    </w:rPr>
                  </w:pPr>
                  <w:r>
                    <w:rPr>
                      <w:rFonts w:hint="eastAsia" w:ascii="宋体" w:hAnsi="宋体" w:cs="宋体"/>
                      <w:color w:val="auto"/>
                      <w:sz w:val="21"/>
                      <w:szCs w:val="21"/>
                    </w:rPr>
                    <w:t>园区内各游乐建筑单体、入口主城堡，以符合自身文化主题及游乐项目要求的形态展现，形成特有的建筑景观。配套主题园区种植植物、设置景观小品应与建筑景观相协调，力求建筑与自然环境融为一体，道路建设形成的边坡要采取绿化措施，以减少与周围环境的反差。</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470" w:type="dxa"/>
                  <w:gridSpan w:val="2"/>
                  <w:vMerge w:val="restart"/>
                  <w:vAlign w:val="center"/>
                </w:tcPr>
                <w:p>
                  <w:pPr>
                    <w:adjustRightInd w:val="0"/>
                    <w:snapToGrid w:val="0"/>
                    <w:jc w:val="center"/>
                    <w:rPr>
                      <w:rFonts w:hint="eastAsia"/>
                      <w:color w:val="auto"/>
                      <w:szCs w:val="21"/>
                      <w:lang w:val="en-US" w:eastAsia="zh-CN"/>
                    </w:rPr>
                  </w:pPr>
                  <w:r>
                    <w:rPr>
                      <w:rFonts w:hint="eastAsia"/>
                      <w:color w:val="auto"/>
                      <w:szCs w:val="21"/>
                      <w:lang w:val="en-US" w:eastAsia="zh-CN"/>
                    </w:rPr>
                    <w:t>施工期</w:t>
                  </w:r>
                </w:p>
              </w:tc>
              <w:tc>
                <w:tcPr>
                  <w:tcW w:w="1298" w:type="dxa"/>
                  <w:gridSpan w:val="7"/>
                  <w:vAlign w:val="center"/>
                </w:tcPr>
                <w:p>
                  <w:pPr>
                    <w:adjustRightInd w:val="0"/>
                    <w:snapToGrid w:val="0"/>
                    <w:jc w:val="center"/>
                    <w:rPr>
                      <w:rFonts w:hint="eastAsia"/>
                      <w:color w:val="auto"/>
                      <w:szCs w:val="21"/>
                      <w:lang w:val="en-US" w:eastAsia="zh-CN"/>
                    </w:rPr>
                  </w:pPr>
                  <w:r>
                    <w:rPr>
                      <w:rFonts w:hint="eastAsia"/>
                      <w:color w:val="auto"/>
                      <w:szCs w:val="21"/>
                      <w:lang w:val="en-US" w:eastAsia="zh-CN"/>
                    </w:rPr>
                    <w:t>废气</w:t>
                  </w:r>
                </w:p>
              </w:tc>
              <w:tc>
                <w:tcPr>
                  <w:tcW w:w="5093" w:type="dxa"/>
                  <w:tcMar>
                    <w:top w:w="0" w:type="dxa"/>
                    <w:left w:w="57" w:type="dxa"/>
                    <w:bottom w:w="0" w:type="dxa"/>
                    <w:right w:w="57" w:type="dxa"/>
                  </w:tcMar>
                  <w:vAlign w:val="center"/>
                </w:tcPr>
                <w:p>
                  <w:pPr>
                    <w:adjustRightInd w:val="0"/>
                    <w:snapToGrid w:val="0"/>
                    <w:jc w:val="left"/>
                    <w:rPr>
                      <w:rFonts w:hint="eastAsia"/>
                      <w:color w:val="auto"/>
                      <w:szCs w:val="21"/>
                      <w:lang w:val="en-US" w:eastAsia="zh-CN"/>
                    </w:rPr>
                  </w:pPr>
                  <w:r>
                    <w:rPr>
                      <w:rFonts w:hint="eastAsia"/>
                      <w:color w:val="auto"/>
                      <w:szCs w:val="21"/>
                      <w:lang w:val="en-US" w:eastAsia="zh-CN"/>
                    </w:rPr>
                    <w:t>①在主要扬尘产生点安装扬尘在线监测监控设备，并与当地主管部门监控平台联网。</w:t>
                  </w:r>
                </w:p>
                <w:p>
                  <w:pPr>
                    <w:adjustRightInd w:val="0"/>
                    <w:snapToGrid w:val="0"/>
                    <w:jc w:val="left"/>
                    <w:rPr>
                      <w:rFonts w:hint="eastAsia"/>
                      <w:color w:val="auto"/>
                      <w:szCs w:val="21"/>
                      <w:lang w:val="en-US" w:eastAsia="zh-CN"/>
                    </w:rPr>
                  </w:pPr>
                  <w:r>
                    <w:rPr>
                      <w:rFonts w:hint="eastAsia"/>
                      <w:color w:val="auto"/>
                      <w:szCs w:val="21"/>
                      <w:lang w:val="en-US" w:eastAsia="zh-CN"/>
                    </w:rPr>
                    <w:t>②施工中使用商品混凝土；</w:t>
                  </w:r>
                </w:p>
                <w:p>
                  <w:pPr>
                    <w:adjustRightInd w:val="0"/>
                    <w:snapToGrid w:val="0"/>
                    <w:jc w:val="left"/>
                    <w:rPr>
                      <w:rFonts w:hint="eastAsia"/>
                      <w:color w:val="auto"/>
                      <w:szCs w:val="21"/>
                      <w:lang w:val="en-US" w:eastAsia="zh-CN"/>
                    </w:rPr>
                  </w:pPr>
                  <w:r>
                    <w:rPr>
                      <w:rFonts w:hint="eastAsia"/>
                      <w:color w:val="auto"/>
                      <w:szCs w:val="21"/>
                      <w:lang w:val="en-US" w:eastAsia="zh-CN"/>
                    </w:rPr>
                    <w:t>③避免了在大风天气进行物料装卸作业；</w:t>
                  </w:r>
                </w:p>
                <w:p>
                  <w:pPr>
                    <w:adjustRightInd w:val="0"/>
                    <w:snapToGrid w:val="0"/>
                    <w:jc w:val="left"/>
                    <w:rPr>
                      <w:color w:val="auto"/>
                      <w:szCs w:val="21"/>
                    </w:rPr>
                  </w:pPr>
                  <w:r>
                    <w:rPr>
                      <w:rFonts w:hint="eastAsia"/>
                      <w:color w:val="auto"/>
                      <w:szCs w:val="21"/>
                      <w:lang w:val="en-US" w:eastAsia="zh-CN"/>
                    </w:rPr>
                    <w:t>④严格落实了施工工地“六个百分之百”管理、扬尘防治预算管理等制度；</w:t>
                  </w:r>
                </w:p>
              </w:tc>
              <w:tc>
                <w:tcPr>
                  <w:tcW w:w="505" w:type="dxa"/>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470" w:type="dxa"/>
                  <w:gridSpan w:val="2"/>
                  <w:vMerge w:val="continue"/>
                  <w:vAlign w:val="center"/>
                </w:tcPr>
                <w:p>
                  <w:pPr>
                    <w:adjustRightInd w:val="0"/>
                    <w:snapToGrid w:val="0"/>
                    <w:jc w:val="center"/>
                    <w:rPr>
                      <w:rFonts w:hint="eastAsia"/>
                      <w:color w:val="auto"/>
                      <w:szCs w:val="21"/>
                      <w:lang w:val="en-US" w:eastAsia="zh-CN"/>
                    </w:rPr>
                  </w:pPr>
                </w:p>
              </w:tc>
              <w:tc>
                <w:tcPr>
                  <w:tcW w:w="505" w:type="dxa"/>
                  <w:gridSpan w:val="2"/>
                  <w:vMerge w:val="restart"/>
                  <w:vAlign w:val="center"/>
                </w:tcPr>
                <w:p>
                  <w:pPr>
                    <w:adjustRightInd w:val="0"/>
                    <w:snapToGrid w:val="0"/>
                    <w:jc w:val="center"/>
                    <w:rPr>
                      <w:rFonts w:hint="eastAsia"/>
                      <w:color w:val="auto"/>
                      <w:szCs w:val="21"/>
                      <w:lang w:val="en-US" w:eastAsia="zh-CN"/>
                    </w:rPr>
                  </w:pPr>
                  <w:r>
                    <w:rPr>
                      <w:rFonts w:hint="eastAsia"/>
                      <w:color w:val="auto"/>
                      <w:szCs w:val="21"/>
                      <w:lang w:val="en-US" w:eastAsia="zh-CN"/>
                    </w:rPr>
                    <w:t>废水</w:t>
                  </w:r>
                </w:p>
              </w:tc>
              <w:tc>
                <w:tcPr>
                  <w:tcW w:w="793" w:type="dxa"/>
                  <w:gridSpan w:val="5"/>
                  <w:vAlign w:val="center"/>
                </w:tcPr>
                <w:p>
                  <w:pPr>
                    <w:adjustRightInd w:val="0"/>
                    <w:snapToGrid w:val="0"/>
                    <w:jc w:val="center"/>
                    <w:rPr>
                      <w:rFonts w:hint="eastAsia"/>
                      <w:color w:val="auto"/>
                      <w:szCs w:val="21"/>
                      <w:lang w:val="en-US" w:eastAsia="zh-CN"/>
                    </w:rPr>
                  </w:pPr>
                  <w:r>
                    <w:rPr>
                      <w:rFonts w:hint="eastAsia"/>
                      <w:color w:val="auto"/>
                      <w:szCs w:val="21"/>
                      <w:lang w:val="en-US" w:eastAsia="zh-CN"/>
                    </w:rPr>
                    <w:t>施工</w:t>
                  </w:r>
                </w:p>
                <w:p>
                  <w:pPr>
                    <w:adjustRightInd w:val="0"/>
                    <w:snapToGrid w:val="0"/>
                    <w:jc w:val="center"/>
                    <w:rPr>
                      <w:rFonts w:hint="eastAsia"/>
                      <w:color w:val="auto"/>
                      <w:szCs w:val="21"/>
                      <w:lang w:val="en-US" w:eastAsia="zh-CN"/>
                    </w:rPr>
                  </w:pPr>
                  <w:r>
                    <w:rPr>
                      <w:rFonts w:hint="eastAsia"/>
                      <w:color w:val="auto"/>
                      <w:szCs w:val="21"/>
                      <w:lang w:val="en-US" w:eastAsia="zh-CN"/>
                    </w:rPr>
                    <w:t>废水</w:t>
                  </w:r>
                </w:p>
              </w:tc>
              <w:tc>
                <w:tcPr>
                  <w:tcW w:w="5093" w:type="dxa"/>
                  <w:tcMar>
                    <w:top w:w="0" w:type="dxa"/>
                    <w:left w:w="57" w:type="dxa"/>
                    <w:bottom w:w="0" w:type="dxa"/>
                    <w:right w:w="57" w:type="dxa"/>
                  </w:tcMar>
                  <w:vAlign w:val="center"/>
                </w:tcPr>
                <w:p>
                  <w:pPr>
                    <w:adjustRightInd w:val="0"/>
                    <w:snapToGrid w:val="0"/>
                    <w:rPr>
                      <w:rFonts w:hint="eastAsia"/>
                      <w:color w:val="auto"/>
                      <w:sz w:val="21"/>
                      <w:szCs w:val="21"/>
                    </w:rPr>
                  </w:pPr>
                  <w:r>
                    <w:rPr>
                      <w:rFonts w:hint="eastAsia"/>
                      <w:color w:val="auto"/>
                      <w:sz w:val="21"/>
                      <w:szCs w:val="21"/>
                    </w:rPr>
                    <w:t>施工现场建废水沉淀池，施工废水经沉淀处理后，</w:t>
                  </w:r>
                  <w:r>
                    <w:rPr>
                      <w:rFonts w:hint="eastAsia"/>
                      <w:color w:val="auto"/>
                      <w:sz w:val="21"/>
                      <w:szCs w:val="21"/>
                      <w:lang w:val="en-US" w:eastAsia="zh-CN"/>
                    </w:rPr>
                    <w:t>回用于</w:t>
                  </w:r>
                  <w:r>
                    <w:rPr>
                      <w:rFonts w:hint="eastAsia"/>
                      <w:color w:val="auto"/>
                      <w:sz w:val="21"/>
                      <w:szCs w:val="21"/>
                    </w:rPr>
                    <w:t>场地抑尘喷洒用水。</w:t>
                  </w:r>
                </w:p>
              </w:tc>
              <w:tc>
                <w:tcPr>
                  <w:tcW w:w="505" w:type="dxa"/>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470" w:type="dxa"/>
                  <w:gridSpan w:val="2"/>
                  <w:vMerge w:val="continue"/>
                  <w:vAlign w:val="center"/>
                </w:tcPr>
                <w:p>
                  <w:pPr>
                    <w:adjustRightInd w:val="0"/>
                    <w:snapToGrid w:val="0"/>
                    <w:jc w:val="center"/>
                    <w:rPr>
                      <w:rFonts w:hint="eastAsia"/>
                      <w:color w:val="auto"/>
                      <w:szCs w:val="21"/>
                      <w:lang w:val="en-US" w:eastAsia="zh-CN"/>
                    </w:rPr>
                  </w:pPr>
                </w:p>
              </w:tc>
              <w:tc>
                <w:tcPr>
                  <w:tcW w:w="505" w:type="dxa"/>
                  <w:gridSpan w:val="2"/>
                  <w:vMerge w:val="continue"/>
                  <w:vAlign w:val="center"/>
                </w:tcPr>
                <w:p>
                  <w:pPr>
                    <w:adjustRightInd w:val="0"/>
                    <w:snapToGrid w:val="0"/>
                    <w:jc w:val="center"/>
                    <w:rPr>
                      <w:color w:val="auto"/>
                      <w:szCs w:val="21"/>
                    </w:rPr>
                  </w:pPr>
                </w:p>
              </w:tc>
              <w:tc>
                <w:tcPr>
                  <w:tcW w:w="793" w:type="dxa"/>
                  <w:gridSpan w:val="5"/>
                  <w:vAlign w:val="center"/>
                </w:tcPr>
                <w:p>
                  <w:pPr>
                    <w:adjustRightInd w:val="0"/>
                    <w:snapToGrid w:val="0"/>
                    <w:jc w:val="center"/>
                    <w:rPr>
                      <w:rFonts w:hint="eastAsia"/>
                      <w:color w:val="auto"/>
                      <w:szCs w:val="21"/>
                      <w:lang w:val="en-US" w:eastAsia="zh-CN"/>
                    </w:rPr>
                  </w:pPr>
                  <w:r>
                    <w:rPr>
                      <w:rFonts w:hint="eastAsia"/>
                      <w:color w:val="auto"/>
                      <w:szCs w:val="21"/>
                      <w:lang w:val="en-US" w:eastAsia="zh-CN"/>
                    </w:rPr>
                    <w:t>生活</w:t>
                  </w:r>
                </w:p>
                <w:p>
                  <w:pPr>
                    <w:adjustRightInd w:val="0"/>
                    <w:snapToGrid w:val="0"/>
                    <w:jc w:val="center"/>
                    <w:rPr>
                      <w:rFonts w:hint="eastAsia"/>
                      <w:color w:val="auto"/>
                      <w:szCs w:val="21"/>
                      <w:lang w:val="en-US" w:eastAsia="zh-CN"/>
                    </w:rPr>
                  </w:pPr>
                  <w:r>
                    <w:rPr>
                      <w:rFonts w:hint="eastAsia"/>
                      <w:color w:val="auto"/>
                      <w:szCs w:val="21"/>
                      <w:lang w:val="en-US" w:eastAsia="zh-CN"/>
                    </w:rPr>
                    <w:t>污水</w:t>
                  </w:r>
                </w:p>
              </w:tc>
              <w:tc>
                <w:tcPr>
                  <w:tcW w:w="5093" w:type="dxa"/>
                  <w:tcMar>
                    <w:top w:w="0" w:type="dxa"/>
                    <w:left w:w="57" w:type="dxa"/>
                    <w:bottom w:w="0" w:type="dxa"/>
                    <w:right w:w="57" w:type="dxa"/>
                  </w:tcMar>
                  <w:vAlign w:val="center"/>
                </w:tcPr>
                <w:p>
                  <w:pPr>
                    <w:adjustRightInd w:val="0"/>
                    <w:snapToGrid w:val="0"/>
                    <w:rPr>
                      <w:rFonts w:hint="eastAsia"/>
                      <w:color w:val="auto"/>
                      <w:sz w:val="21"/>
                      <w:szCs w:val="21"/>
                      <w:lang w:val="en-US" w:eastAsia="zh-CN"/>
                    </w:rPr>
                  </w:pPr>
                  <w:r>
                    <w:rPr>
                      <w:rFonts w:hint="eastAsia"/>
                      <w:color w:val="auto"/>
                      <w:sz w:val="21"/>
                      <w:szCs w:val="21"/>
                    </w:rPr>
                    <w:t>设置移动式环保厕所，新建</w:t>
                  </w:r>
                  <w:r>
                    <w:rPr>
                      <w:rFonts w:hint="eastAsia"/>
                      <w:color w:val="auto"/>
                      <w:sz w:val="21"/>
                      <w:szCs w:val="21"/>
                      <w:lang w:val="en-US" w:eastAsia="zh-CN"/>
                    </w:rPr>
                    <w:t>2</w:t>
                  </w:r>
                  <w:r>
                    <w:rPr>
                      <w:rFonts w:hint="eastAsia"/>
                      <w:color w:val="auto"/>
                      <w:sz w:val="21"/>
                      <w:szCs w:val="21"/>
                    </w:rPr>
                    <w:t>处化粪池处理生活污水，并由环卫部门定期清理化粪池</w:t>
                  </w:r>
                  <w:r>
                    <w:rPr>
                      <w:rFonts w:hint="eastAsia"/>
                      <w:color w:val="auto"/>
                      <w:sz w:val="21"/>
                      <w:szCs w:val="21"/>
                      <w:lang w:eastAsia="zh-CN"/>
                    </w:rPr>
                    <w:t>。</w:t>
                  </w:r>
                </w:p>
              </w:tc>
              <w:tc>
                <w:tcPr>
                  <w:tcW w:w="505" w:type="dxa"/>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470" w:type="dxa"/>
                  <w:gridSpan w:val="2"/>
                  <w:vMerge w:val="continue"/>
                  <w:vAlign w:val="center"/>
                </w:tcPr>
                <w:p>
                  <w:pPr>
                    <w:adjustRightInd w:val="0"/>
                    <w:snapToGrid w:val="0"/>
                    <w:jc w:val="center"/>
                    <w:rPr>
                      <w:rFonts w:hint="eastAsia"/>
                      <w:color w:val="auto"/>
                      <w:szCs w:val="21"/>
                      <w:lang w:val="en-US" w:eastAsia="zh-CN"/>
                    </w:rPr>
                  </w:pPr>
                </w:p>
              </w:tc>
              <w:tc>
                <w:tcPr>
                  <w:tcW w:w="1298" w:type="dxa"/>
                  <w:gridSpan w:val="7"/>
                  <w:vAlign w:val="center"/>
                </w:tcPr>
                <w:p>
                  <w:pPr>
                    <w:adjustRightInd w:val="0"/>
                    <w:snapToGrid w:val="0"/>
                    <w:jc w:val="center"/>
                    <w:rPr>
                      <w:rFonts w:hint="eastAsia"/>
                      <w:color w:val="auto"/>
                      <w:szCs w:val="21"/>
                      <w:lang w:val="en-US" w:eastAsia="zh-CN"/>
                    </w:rPr>
                  </w:pPr>
                  <w:r>
                    <w:rPr>
                      <w:rFonts w:hint="eastAsia"/>
                      <w:color w:val="auto"/>
                      <w:szCs w:val="21"/>
                      <w:lang w:val="en-US" w:eastAsia="zh-CN"/>
                    </w:rPr>
                    <w:t>噪声</w:t>
                  </w:r>
                </w:p>
              </w:tc>
              <w:tc>
                <w:tcPr>
                  <w:tcW w:w="5093" w:type="dxa"/>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rPr>
                    <w:t>①尽量采用低噪声设备</w:t>
                  </w:r>
                  <w:r>
                    <w:rPr>
                      <w:rFonts w:hint="eastAsia"/>
                      <w:color w:val="auto"/>
                      <w:szCs w:val="21"/>
                      <w:lang w:val="en-US" w:eastAsia="zh-CN"/>
                    </w:rPr>
                    <w:t>；</w:t>
                  </w:r>
                </w:p>
                <w:p>
                  <w:pPr>
                    <w:adjustRightInd w:val="0"/>
                    <w:snapToGrid w:val="0"/>
                    <w:rPr>
                      <w:rFonts w:hint="eastAsia"/>
                      <w:color w:val="auto"/>
                      <w:szCs w:val="21"/>
                    </w:rPr>
                  </w:pPr>
                  <w:r>
                    <w:rPr>
                      <w:rFonts w:hint="eastAsia"/>
                      <w:color w:val="auto"/>
                      <w:szCs w:val="21"/>
                    </w:rPr>
                    <w:t>②机械设备安置在施工房间内，房屋内设吸声材料，降低噪声；</w:t>
                  </w:r>
                </w:p>
                <w:p>
                  <w:pPr>
                    <w:adjustRightInd w:val="0"/>
                    <w:snapToGrid w:val="0"/>
                    <w:rPr>
                      <w:rFonts w:hint="eastAsia"/>
                      <w:color w:val="auto"/>
                      <w:szCs w:val="21"/>
                      <w:lang w:eastAsia="zh-CN"/>
                    </w:rPr>
                  </w:pPr>
                  <w:r>
                    <w:rPr>
                      <w:rFonts w:hint="eastAsia"/>
                      <w:color w:val="auto"/>
                      <w:szCs w:val="21"/>
                    </w:rPr>
                    <w:t>③动力机械设备进行定期的维修、养护</w:t>
                  </w:r>
                  <w:r>
                    <w:rPr>
                      <w:rFonts w:hint="eastAsia"/>
                      <w:color w:val="auto"/>
                      <w:szCs w:val="21"/>
                      <w:lang w:eastAsia="zh-CN"/>
                    </w:rPr>
                    <w:t>；</w:t>
                  </w:r>
                </w:p>
                <w:p>
                  <w:pPr>
                    <w:adjustRightInd w:val="0"/>
                    <w:snapToGrid w:val="0"/>
                    <w:rPr>
                      <w:rFonts w:hint="eastAsia"/>
                      <w:color w:val="auto"/>
                      <w:szCs w:val="21"/>
                      <w:lang w:eastAsia="zh-CN"/>
                    </w:rPr>
                  </w:pPr>
                  <w:r>
                    <w:rPr>
                      <w:rFonts w:hint="eastAsia"/>
                      <w:color w:val="auto"/>
                      <w:szCs w:val="21"/>
                    </w:rPr>
                    <w:t>④合理制定施工计划</w:t>
                  </w:r>
                  <w:r>
                    <w:rPr>
                      <w:rFonts w:hint="eastAsia"/>
                      <w:color w:val="auto"/>
                      <w:szCs w:val="21"/>
                      <w:lang w:eastAsia="zh-CN"/>
                    </w:rPr>
                    <w:t>；</w:t>
                  </w:r>
                </w:p>
                <w:p>
                  <w:pPr>
                    <w:adjustRightInd w:val="0"/>
                    <w:snapToGrid w:val="0"/>
                    <w:rPr>
                      <w:rFonts w:hint="eastAsia"/>
                      <w:color w:val="auto"/>
                      <w:szCs w:val="21"/>
                    </w:rPr>
                  </w:pPr>
                  <w:r>
                    <w:rPr>
                      <w:rFonts w:hint="eastAsia"/>
                      <w:color w:val="auto"/>
                      <w:szCs w:val="21"/>
                    </w:rPr>
                    <w:t>⑤噪声污染严重的机械设备，安装隔声、消声设施</w:t>
                  </w:r>
                  <w:r>
                    <w:rPr>
                      <w:rFonts w:hint="eastAsia"/>
                      <w:color w:val="auto"/>
                      <w:szCs w:val="21"/>
                      <w:lang w:eastAsia="zh-CN"/>
                    </w:rPr>
                    <w:t>；</w:t>
                  </w:r>
                </w:p>
                <w:p>
                  <w:pPr>
                    <w:adjustRightInd w:val="0"/>
                    <w:snapToGrid w:val="0"/>
                    <w:rPr>
                      <w:rFonts w:hint="eastAsia"/>
                      <w:color w:val="auto"/>
                      <w:szCs w:val="21"/>
                    </w:rPr>
                  </w:pPr>
                  <w:r>
                    <w:rPr>
                      <w:rFonts w:hint="eastAsia"/>
                      <w:color w:val="auto"/>
                      <w:szCs w:val="21"/>
                    </w:rPr>
                    <w:t>⑥大型重车，减少夜间运输量，限制车速，减少鸣笛</w:t>
                  </w:r>
                  <w:r>
                    <w:rPr>
                      <w:rFonts w:hint="eastAsia"/>
                      <w:color w:val="auto"/>
                      <w:szCs w:val="21"/>
                      <w:lang w:eastAsia="zh-CN"/>
                    </w:rPr>
                    <w:t>；</w:t>
                  </w:r>
                </w:p>
                <w:p>
                  <w:pPr>
                    <w:adjustRightInd w:val="0"/>
                    <w:snapToGrid w:val="0"/>
                    <w:rPr>
                      <w:color w:val="auto"/>
                      <w:szCs w:val="21"/>
                    </w:rPr>
                  </w:pPr>
                  <w:r>
                    <w:rPr>
                      <w:rFonts w:hint="eastAsia"/>
                      <w:color w:val="auto"/>
                      <w:szCs w:val="21"/>
                    </w:rPr>
                    <w:fldChar w:fldCharType="begin"/>
                  </w:r>
                  <w:r>
                    <w:rPr>
                      <w:rFonts w:hint="eastAsia"/>
                      <w:color w:val="auto"/>
                      <w:szCs w:val="21"/>
                    </w:rPr>
                    <w:instrText xml:space="preserve"> = 7 \* GB3 \* MERGEFORMAT </w:instrText>
                  </w:r>
                  <w:r>
                    <w:rPr>
                      <w:rFonts w:hint="eastAsia"/>
                      <w:color w:val="auto"/>
                      <w:szCs w:val="21"/>
                    </w:rPr>
                    <w:fldChar w:fldCharType="separate"/>
                  </w:r>
                  <w:r>
                    <w:rPr>
                      <w:rFonts w:hint="eastAsia"/>
                      <w:color w:val="auto"/>
                      <w:szCs w:val="21"/>
                    </w:rPr>
                    <w:t>⑦</w:t>
                  </w:r>
                  <w:r>
                    <w:rPr>
                      <w:rFonts w:hint="eastAsia"/>
                      <w:color w:val="auto"/>
                      <w:szCs w:val="21"/>
                    </w:rPr>
                    <w:fldChar w:fldCharType="end"/>
                  </w:r>
                  <w:r>
                    <w:rPr>
                      <w:rFonts w:hint="eastAsia"/>
                      <w:color w:val="auto"/>
                      <w:szCs w:val="21"/>
                    </w:rPr>
                    <w:t>施工单位在施工前</w:t>
                  </w:r>
                  <w:r>
                    <w:rPr>
                      <w:rFonts w:hint="eastAsia"/>
                      <w:color w:val="auto"/>
                      <w:szCs w:val="21"/>
                      <w:lang w:val="en-US" w:eastAsia="zh-CN"/>
                    </w:rPr>
                    <w:t>应</w:t>
                  </w:r>
                  <w:r>
                    <w:rPr>
                      <w:rFonts w:hint="eastAsia"/>
                      <w:color w:val="auto"/>
                      <w:szCs w:val="21"/>
                    </w:rPr>
                    <w:t>向环保部门申请登记。</w:t>
                  </w:r>
                </w:p>
              </w:tc>
              <w:tc>
                <w:tcPr>
                  <w:tcW w:w="505" w:type="dxa"/>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470" w:type="dxa"/>
                  <w:gridSpan w:val="2"/>
                  <w:vMerge w:val="continue"/>
                  <w:vAlign w:val="center"/>
                </w:tcPr>
                <w:p>
                  <w:pPr>
                    <w:adjustRightInd w:val="0"/>
                    <w:snapToGrid w:val="0"/>
                    <w:jc w:val="center"/>
                    <w:rPr>
                      <w:rFonts w:hint="eastAsia"/>
                      <w:color w:val="auto"/>
                      <w:szCs w:val="21"/>
                      <w:lang w:val="en-US" w:eastAsia="zh-CN"/>
                    </w:rPr>
                  </w:pPr>
                </w:p>
              </w:tc>
              <w:tc>
                <w:tcPr>
                  <w:tcW w:w="505" w:type="dxa"/>
                  <w:gridSpan w:val="2"/>
                  <w:vMerge w:val="restart"/>
                  <w:vAlign w:val="center"/>
                </w:tcPr>
                <w:p>
                  <w:pPr>
                    <w:adjustRightInd w:val="0"/>
                    <w:snapToGrid w:val="0"/>
                    <w:jc w:val="center"/>
                    <w:rPr>
                      <w:color w:val="auto"/>
                      <w:szCs w:val="21"/>
                    </w:rPr>
                  </w:pPr>
                  <w:r>
                    <w:rPr>
                      <w:rFonts w:hint="eastAsia"/>
                      <w:color w:val="auto"/>
                      <w:szCs w:val="21"/>
                      <w:lang w:val="en-US" w:eastAsia="zh-CN"/>
                    </w:rPr>
                    <w:t>固废</w:t>
                  </w:r>
                </w:p>
              </w:tc>
              <w:tc>
                <w:tcPr>
                  <w:tcW w:w="793" w:type="dxa"/>
                  <w:gridSpan w:val="5"/>
                  <w:vAlign w:val="center"/>
                </w:tcPr>
                <w:p>
                  <w:pPr>
                    <w:adjustRightInd w:val="0"/>
                    <w:snapToGrid w:val="0"/>
                    <w:jc w:val="center"/>
                    <w:rPr>
                      <w:rFonts w:hint="eastAsia"/>
                      <w:color w:val="auto"/>
                      <w:szCs w:val="21"/>
                      <w:lang w:val="en-US" w:eastAsia="zh-CN"/>
                    </w:rPr>
                  </w:pPr>
                  <w:r>
                    <w:rPr>
                      <w:rFonts w:hint="eastAsia"/>
                      <w:color w:val="auto"/>
                      <w:szCs w:val="21"/>
                      <w:lang w:val="en-US" w:eastAsia="zh-CN"/>
                    </w:rPr>
                    <w:t>生活</w:t>
                  </w:r>
                </w:p>
                <w:p>
                  <w:pPr>
                    <w:adjustRightInd w:val="0"/>
                    <w:snapToGrid w:val="0"/>
                    <w:jc w:val="center"/>
                    <w:rPr>
                      <w:rFonts w:hint="eastAsia"/>
                      <w:color w:val="auto"/>
                      <w:szCs w:val="21"/>
                      <w:lang w:val="en-US" w:eastAsia="zh-CN"/>
                    </w:rPr>
                  </w:pPr>
                  <w:r>
                    <w:rPr>
                      <w:rFonts w:hint="eastAsia"/>
                      <w:color w:val="auto"/>
                      <w:szCs w:val="21"/>
                      <w:lang w:val="en-US" w:eastAsia="zh-CN"/>
                    </w:rPr>
                    <w:t>垃圾</w:t>
                  </w:r>
                </w:p>
              </w:tc>
              <w:tc>
                <w:tcPr>
                  <w:tcW w:w="5093" w:type="dxa"/>
                  <w:tcMar>
                    <w:top w:w="0" w:type="dxa"/>
                    <w:left w:w="57" w:type="dxa"/>
                    <w:bottom w:w="0" w:type="dxa"/>
                    <w:right w:w="57" w:type="dxa"/>
                  </w:tcMar>
                  <w:vAlign w:val="center"/>
                </w:tcPr>
                <w:p>
                  <w:pPr>
                    <w:adjustRightInd w:val="0"/>
                    <w:snapToGrid w:val="0"/>
                    <w:rPr>
                      <w:rFonts w:hint="eastAsia" w:eastAsia="宋体"/>
                      <w:color w:val="auto"/>
                      <w:szCs w:val="21"/>
                      <w:lang w:val="en-US" w:eastAsia="zh-CN"/>
                    </w:rPr>
                  </w:pPr>
                  <w:r>
                    <w:rPr>
                      <w:rFonts w:hint="eastAsia"/>
                      <w:color w:val="auto"/>
                      <w:szCs w:val="21"/>
                      <w:lang w:val="en-US" w:eastAsia="zh-CN"/>
                    </w:rPr>
                    <w:t>垃圾桶收集，由环卫部门统一清运。</w:t>
                  </w:r>
                </w:p>
              </w:tc>
              <w:tc>
                <w:tcPr>
                  <w:tcW w:w="505" w:type="dxa"/>
                  <w:tcMar>
                    <w:top w:w="0" w:type="dxa"/>
                    <w:left w:w="57" w:type="dxa"/>
                    <w:bottom w:w="0" w:type="dxa"/>
                    <w:right w:w="57" w:type="dxa"/>
                  </w:tcMar>
                  <w:vAlign w:val="center"/>
                </w:tcPr>
                <w:p>
                  <w:pPr>
                    <w:adjustRightInd w:val="0"/>
                    <w:snapToGrid w:val="0"/>
                    <w:jc w:val="center"/>
                    <w:rPr>
                      <w:rFonts w:hint="eastAsia"/>
                      <w:color w:val="auto"/>
                      <w:szCs w:val="21"/>
                      <w:lang w:val="en-US" w:eastAsia="zh-CN"/>
                    </w:rPr>
                  </w:pPr>
                  <w:r>
                    <w:rPr>
                      <w:rFonts w:hint="eastAsia"/>
                      <w:color w:val="auto"/>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470" w:type="dxa"/>
                  <w:gridSpan w:val="2"/>
                  <w:vMerge w:val="continue"/>
                  <w:vAlign w:val="center"/>
                </w:tcPr>
                <w:p>
                  <w:pPr>
                    <w:adjustRightInd w:val="0"/>
                    <w:snapToGrid w:val="0"/>
                    <w:jc w:val="center"/>
                    <w:rPr>
                      <w:rFonts w:hint="eastAsia"/>
                      <w:color w:val="auto"/>
                      <w:szCs w:val="21"/>
                      <w:lang w:val="en-US" w:eastAsia="zh-CN"/>
                    </w:rPr>
                  </w:pPr>
                </w:p>
              </w:tc>
              <w:tc>
                <w:tcPr>
                  <w:tcW w:w="505" w:type="dxa"/>
                  <w:gridSpan w:val="2"/>
                  <w:vMerge w:val="continue"/>
                  <w:vAlign w:val="center"/>
                </w:tcPr>
                <w:p>
                  <w:pPr>
                    <w:adjustRightInd w:val="0"/>
                    <w:snapToGrid w:val="0"/>
                    <w:jc w:val="center"/>
                    <w:rPr>
                      <w:rFonts w:hint="eastAsia"/>
                      <w:color w:val="auto"/>
                      <w:szCs w:val="21"/>
                      <w:lang w:val="en-US" w:eastAsia="zh-CN"/>
                    </w:rPr>
                  </w:pPr>
                </w:p>
              </w:tc>
              <w:tc>
                <w:tcPr>
                  <w:tcW w:w="793" w:type="dxa"/>
                  <w:gridSpan w:val="5"/>
                  <w:vAlign w:val="center"/>
                </w:tcPr>
                <w:p>
                  <w:pPr>
                    <w:adjustRightInd w:val="0"/>
                    <w:snapToGrid w:val="0"/>
                    <w:jc w:val="center"/>
                    <w:rPr>
                      <w:rFonts w:hint="eastAsia"/>
                      <w:color w:val="auto"/>
                      <w:szCs w:val="21"/>
                      <w:lang w:val="en-US" w:eastAsia="zh-CN"/>
                    </w:rPr>
                  </w:pPr>
                  <w:r>
                    <w:rPr>
                      <w:rFonts w:hint="eastAsia"/>
                      <w:color w:val="auto"/>
                      <w:szCs w:val="21"/>
                      <w:lang w:val="en-US" w:eastAsia="zh-CN"/>
                    </w:rPr>
                    <w:t>建筑</w:t>
                  </w:r>
                </w:p>
                <w:p>
                  <w:pPr>
                    <w:adjustRightInd w:val="0"/>
                    <w:snapToGrid w:val="0"/>
                    <w:jc w:val="center"/>
                    <w:rPr>
                      <w:rFonts w:hint="eastAsia"/>
                      <w:color w:val="auto"/>
                      <w:szCs w:val="21"/>
                      <w:lang w:val="en-US" w:eastAsia="zh-CN"/>
                    </w:rPr>
                  </w:pPr>
                  <w:r>
                    <w:rPr>
                      <w:rFonts w:hint="eastAsia"/>
                      <w:color w:val="auto"/>
                      <w:szCs w:val="21"/>
                      <w:lang w:val="en-US" w:eastAsia="zh-CN"/>
                    </w:rPr>
                    <w:t>垃圾</w:t>
                  </w:r>
                </w:p>
              </w:tc>
              <w:tc>
                <w:tcPr>
                  <w:tcW w:w="5093" w:type="dxa"/>
                  <w:tcMar>
                    <w:top w:w="0" w:type="dxa"/>
                    <w:left w:w="57" w:type="dxa"/>
                    <w:bottom w:w="0" w:type="dxa"/>
                    <w:right w:w="57" w:type="dxa"/>
                  </w:tcMar>
                  <w:vAlign w:val="center"/>
                </w:tcPr>
                <w:p>
                  <w:pPr>
                    <w:adjustRightInd w:val="0"/>
                    <w:snapToGrid w:val="0"/>
                    <w:rPr>
                      <w:color w:val="auto"/>
                      <w:szCs w:val="21"/>
                    </w:rPr>
                  </w:pPr>
                  <w:r>
                    <w:rPr>
                      <w:rFonts w:hint="eastAsia"/>
                      <w:color w:val="auto"/>
                      <w:sz w:val="21"/>
                      <w:szCs w:val="21"/>
                    </w:rPr>
                    <w:t>由具有相应资质的建筑垃圾清运部门运输车运送到指定的建筑垃圾专用处置场</w:t>
                  </w:r>
                  <w:r>
                    <w:rPr>
                      <w:rFonts w:hint="eastAsia"/>
                      <w:color w:val="auto"/>
                      <w:sz w:val="21"/>
                      <w:szCs w:val="21"/>
                      <w:lang w:eastAsia="zh-CN"/>
                    </w:rPr>
                    <w:t>。</w:t>
                  </w:r>
                </w:p>
              </w:tc>
              <w:tc>
                <w:tcPr>
                  <w:tcW w:w="505" w:type="dxa"/>
                  <w:tcMar>
                    <w:top w:w="0" w:type="dxa"/>
                    <w:left w:w="57" w:type="dxa"/>
                    <w:bottom w:w="0" w:type="dxa"/>
                    <w:right w:w="57" w:type="dxa"/>
                  </w:tcMar>
                  <w:vAlign w:val="center"/>
                </w:tcPr>
                <w:p>
                  <w:pPr>
                    <w:adjustRightInd w:val="0"/>
                    <w:snapToGrid w:val="0"/>
                    <w:jc w:val="center"/>
                    <w:rPr>
                      <w:rFonts w:hint="eastAsia"/>
                      <w:color w:val="auto"/>
                      <w:szCs w:val="21"/>
                      <w:lang w:val="en-US" w:eastAsia="zh-CN"/>
                    </w:rPr>
                  </w:pPr>
                  <w:r>
                    <w:rPr>
                      <w:rFonts w:hint="eastAsia"/>
                      <w:color w:val="auto"/>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470" w:type="dxa"/>
                  <w:gridSpan w:val="2"/>
                  <w:vMerge w:val="continue"/>
                  <w:vAlign w:val="center"/>
                </w:tcPr>
                <w:p>
                  <w:pPr>
                    <w:adjustRightInd w:val="0"/>
                    <w:snapToGrid w:val="0"/>
                    <w:jc w:val="center"/>
                    <w:rPr>
                      <w:rFonts w:hint="eastAsia"/>
                      <w:color w:val="auto"/>
                      <w:szCs w:val="21"/>
                      <w:lang w:val="en-US" w:eastAsia="zh-CN"/>
                    </w:rPr>
                  </w:pPr>
                </w:p>
              </w:tc>
              <w:tc>
                <w:tcPr>
                  <w:tcW w:w="505" w:type="dxa"/>
                  <w:gridSpan w:val="2"/>
                  <w:vMerge w:val="continue"/>
                  <w:vAlign w:val="center"/>
                </w:tcPr>
                <w:p>
                  <w:pPr>
                    <w:adjustRightInd w:val="0"/>
                    <w:snapToGrid w:val="0"/>
                    <w:jc w:val="center"/>
                    <w:rPr>
                      <w:rFonts w:hint="eastAsia"/>
                      <w:color w:val="auto"/>
                      <w:szCs w:val="21"/>
                      <w:lang w:val="en-US" w:eastAsia="zh-CN"/>
                    </w:rPr>
                  </w:pPr>
                </w:p>
              </w:tc>
              <w:tc>
                <w:tcPr>
                  <w:tcW w:w="400" w:type="dxa"/>
                  <w:gridSpan w:val="2"/>
                  <w:vAlign w:val="center"/>
                </w:tcPr>
                <w:p>
                  <w:pPr>
                    <w:adjustRightInd w:val="0"/>
                    <w:snapToGrid w:val="0"/>
                    <w:jc w:val="center"/>
                    <w:rPr>
                      <w:rFonts w:hint="eastAsia" w:eastAsia="宋体"/>
                      <w:color w:val="auto"/>
                      <w:szCs w:val="21"/>
                      <w:lang w:val="en-US" w:eastAsia="zh-CN"/>
                    </w:rPr>
                  </w:pPr>
                  <w:r>
                    <w:rPr>
                      <w:rFonts w:hint="eastAsia"/>
                      <w:color w:val="auto"/>
                      <w:szCs w:val="21"/>
                      <w:lang w:val="en-US" w:eastAsia="zh-CN"/>
                    </w:rPr>
                    <w:t>危险废物</w:t>
                  </w:r>
                </w:p>
              </w:tc>
              <w:tc>
                <w:tcPr>
                  <w:tcW w:w="393" w:type="dxa"/>
                  <w:gridSpan w:val="3"/>
                  <w:vAlign w:val="center"/>
                </w:tcPr>
                <w:p>
                  <w:pPr>
                    <w:adjustRightInd w:val="0"/>
                    <w:snapToGrid w:val="0"/>
                    <w:jc w:val="center"/>
                    <w:rPr>
                      <w:rFonts w:hint="eastAsia"/>
                      <w:color w:val="auto"/>
                      <w:szCs w:val="21"/>
                      <w:lang w:val="en-US" w:eastAsia="zh-CN"/>
                    </w:rPr>
                  </w:pPr>
                  <w:r>
                    <w:rPr>
                      <w:rFonts w:hint="eastAsia"/>
                      <w:color w:val="auto"/>
                      <w:szCs w:val="21"/>
                      <w:lang w:val="en-US" w:eastAsia="zh-CN"/>
                    </w:rPr>
                    <w:t>废机油</w:t>
                  </w:r>
                </w:p>
              </w:tc>
              <w:tc>
                <w:tcPr>
                  <w:tcW w:w="5093" w:type="dxa"/>
                  <w:tcMar>
                    <w:top w:w="0" w:type="dxa"/>
                    <w:left w:w="57" w:type="dxa"/>
                    <w:bottom w:w="0" w:type="dxa"/>
                    <w:right w:w="57" w:type="dxa"/>
                  </w:tcMar>
                  <w:vAlign w:val="center"/>
                </w:tcPr>
                <w:p>
                  <w:pPr>
                    <w:adjustRightInd w:val="0"/>
                    <w:snapToGrid w:val="0"/>
                    <w:rPr>
                      <w:color w:val="auto"/>
                      <w:szCs w:val="21"/>
                    </w:rPr>
                  </w:pPr>
                  <w:r>
                    <w:rPr>
                      <w:rFonts w:hint="eastAsia"/>
                      <w:color w:val="auto"/>
                      <w:sz w:val="21"/>
                      <w:szCs w:val="21"/>
                      <w:lang w:val="en-US" w:eastAsia="zh-CN"/>
                    </w:rPr>
                    <w:t>在施工营地内设置危废暂存间，将危险废物单独收集、分类存放，再委托有危废处理资质的单位收集处理。</w:t>
                  </w:r>
                </w:p>
              </w:tc>
              <w:tc>
                <w:tcPr>
                  <w:tcW w:w="505" w:type="dxa"/>
                  <w:tcMar>
                    <w:top w:w="0" w:type="dxa"/>
                    <w:left w:w="57" w:type="dxa"/>
                    <w:bottom w:w="0" w:type="dxa"/>
                    <w:right w:w="57" w:type="dxa"/>
                  </w:tcMar>
                  <w:vAlign w:val="center"/>
                </w:tcPr>
                <w:p>
                  <w:pPr>
                    <w:adjustRightInd w:val="0"/>
                    <w:snapToGrid w:val="0"/>
                    <w:jc w:val="center"/>
                    <w:rPr>
                      <w:rFonts w:hint="eastAsia"/>
                      <w:color w:val="auto"/>
                      <w:szCs w:val="21"/>
                      <w:lang w:val="en-US" w:eastAsia="zh-CN"/>
                    </w:rPr>
                  </w:pPr>
                  <w:r>
                    <w:rPr>
                      <w:rFonts w:hint="eastAsia"/>
                      <w:color w:val="auto"/>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496" w:type="dxa"/>
                  <w:vAlign w:val="center"/>
                </w:tcPr>
                <w:p>
                  <w:pPr>
                    <w:adjustRightInd w:val="0"/>
                    <w:snapToGrid w:val="0"/>
                    <w:jc w:val="center"/>
                    <w:rPr>
                      <w:color w:val="auto"/>
                      <w:szCs w:val="21"/>
                    </w:rPr>
                  </w:pPr>
                </w:p>
              </w:tc>
              <w:tc>
                <w:tcPr>
                  <w:tcW w:w="470" w:type="dxa"/>
                  <w:gridSpan w:val="2"/>
                  <w:vMerge w:val="continue"/>
                  <w:vAlign w:val="center"/>
                </w:tcPr>
                <w:p>
                  <w:pPr>
                    <w:adjustRightInd w:val="0"/>
                    <w:snapToGrid w:val="0"/>
                    <w:jc w:val="center"/>
                    <w:rPr>
                      <w:rFonts w:hint="eastAsia"/>
                      <w:color w:val="auto"/>
                      <w:szCs w:val="21"/>
                      <w:lang w:val="en-US" w:eastAsia="zh-CN"/>
                    </w:rPr>
                  </w:pPr>
                </w:p>
              </w:tc>
              <w:tc>
                <w:tcPr>
                  <w:tcW w:w="1298" w:type="dxa"/>
                  <w:gridSpan w:val="7"/>
                  <w:vAlign w:val="center"/>
                </w:tcPr>
                <w:p>
                  <w:pPr>
                    <w:adjustRightInd w:val="0"/>
                    <w:snapToGrid w:val="0"/>
                    <w:jc w:val="center"/>
                    <w:rPr>
                      <w:rFonts w:hint="eastAsia"/>
                      <w:color w:val="auto"/>
                      <w:szCs w:val="21"/>
                      <w:lang w:val="en-US" w:eastAsia="zh-CN"/>
                    </w:rPr>
                  </w:pPr>
                  <w:r>
                    <w:rPr>
                      <w:rFonts w:hint="eastAsia"/>
                      <w:color w:val="auto"/>
                      <w:szCs w:val="21"/>
                      <w:lang w:val="en-US" w:eastAsia="zh-CN"/>
                    </w:rPr>
                    <w:t>生态</w:t>
                  </w:r>
                </w:p>
              </w:tc>
              <w:tc>
                <w:tcPr>
                  <w:tcW w:w="5093" w:type="dxa"/>
                  <w:tcMar>
                    <w:top w:w="0" w:type="dxa"/>
                    <w:left w:w="57" w:type="dxa"/>
                    <w:bottom w:w="0" w:type="dxa"/>
                    <w:right w:w="57" w:type="dxa"/>
                  </w:tcMar>
                  <w:vAlign w:val="center"/>
                </w:tcPr>
                <w:p>
                  <w:pPr>
                    <w:adjustRightInd w:val="0"/>
                    <w:snapToGrid w:val="0"/>
                    <w:rPr>
                      <w:rFonts w:hint="eastAsia" w:ascii="宋体" w:hAnsi="宋体" w:cs="宋体"/>
                      <w:color w:val="auto"/>
                      <w:sz w:val="21"/>
                      <w:szCs w:val="21"/>
                    </w:rPr>
                  </w:pPr>
                  <w:r>
                    <w:rPr>
                      <w:rFonts w:hint="eastAsia" w:ascii="宋体" w:hAnsi="宋体" w:cs="宋体"/>
                      <w:color w:val="auto"/>
                      <w:sz w:val="21"/>
                      <w:szCs w:val="21"/>
                    </w:rPr>
                    <w:t>（1）采用科学的施工组织方式，避免“边勘探、边设计、边施工”的做法；工程土石方开挖过程中，力求实现“挖填平衡”；</w:t>
                  </w:r>
                </w:p>
                <w:p>
                  <w:pPr>
                    <w:adjustRightInd w:val="0"/>
                    <w:snapToGrid w:val="0"/>
                    <w:rPr>
                      <w:rFonts w:hint="eastAsia" w:ascii="宋体" w:hAnsi="宋体" w:cs="宋体"/>
                      <w:color w:val="auto"/>
                      <w:sz w:val="21"/>
                      <w:szCs w:val="21"/>
                    </w:rPr>
                  </w:pPr>
                  <w:r>
                    <w:rPr>
                      <w:rFonts w:hint="eastAsia" w:ascii="宋体" w:hAnsi="宋体" w:cs="宋体"/>
                      <w:color w:val="auto"/>
                      <w:sz w:val="21"/>
                      <w:szCs w:val="21"/>
                    </w:rPr>
                    <w:t>（2）工程土建施工尽量避免雨季施工，减少临时占地，及时对施工管网覆土、压实；施工结束时，及时进行灌草植被的种植；</w:t>
                  </w:r>
                </w:p>
                <w:p>
                  <w:pPr>
                    <w:adjustRightInd w:val="0"/>
                    <w:snapToGrid w:val="0"/>
                    <w:rPr>
                      <w:rFonts w:hint="eastAsia" w:ascii="宋体" w:hAnsi="宋体" w:cs="宋体"/>
                      <w:color w:val="auto"/>
                      <w:sz w:val="21"/>
                      <w:szCs w:val="21"/>
                    </w:rPr>
                  </w:pPr>
                  <w:r>
                    <w:rPr>
                      <w:rFonts w:hint="eastAsia" w:ascii="宋体" w:hAnsi="宋体" w:cs="宋体"/>
                      <w:color w:val="auto"/>
                      <w:sz w:val="21"/>
                      <w:szCs w:val="21"/>
                    </w:rPr>
                    <w:t>（3）合理选择施工临时位置，工程建设过程中不允许随意占用额外土地，施工的临时占地，施工完成后应及时进行平整，恢复植被</w:t>
                  </w:r>
                  <w:r>
                    <w:rPr>
                      <w:rFonts w:hint="eastAsia" w:ascii="宋体" w:hAnsi="宋体" w:cs="宋体"/>
                      <w:color w:val="auto"/>
                      <w:sz w:val="21"/>
                      <w:szCs w:val="21"/>
                      <w:lang w:eastAsia="zh-CN"/>
                    </w:rPr>
                    <w:t>；</w:t>
                  </w:r>
                </w:p>
                <w:p>
                  <w:pPr>
                    <w:adjustRightInd w:val="0"/>
                    <w:snapToGrid w:val="0"/>
                    <w:rPr>
                      <w:rFonts w:hint="eastAsia" w:ascii="宋体" w:hAnsi="宋体" w:cs="宋体"/>
                      <w:color w:val="auto"/>
                      <w:sz w:val="21"/>
                      <w:szCs w:val="21"/>
                    </w:rPr>
                  </w:pPr>
                  <w:r>
                    <w:rPr>
                      <w:rFonts w:hint="eastAsia" w:ascii="宋体" w:hAnsi="宋体" w:cs="宋体"/>
                      <w:color w:val="auto"/>
                      <w:sz w:val="21"/>
                      <w:szCs w:val="21"/>
                    </w:rPr>
                    <w:t>（</w:t>
                  </w:r>
                  <w:r>
                    <w:rPr>
                      <w:rFonts w:hint="eastAsia" w:ascii="宋体" w:hAnsi="宋体" w:cs="宋体"/>
                      <w:color w:val="auto"/>
                      <w:sz w:val="21"/>
                      <w:szCs w:val="21"/>
                      <w:lang w:val="en-US" w:eastAsia="zh-CN"/>
                    </w:rPr>
                    <w:t>4</w:t>
                  </w:r>
                  <w:r>
                    <w:rPr>
                      <w:rFonts w:hint="eastAsia" w:ascii="宋体" w:hAnsi="宋体" w:cs="宋体"/>
                      <w:color w:val="auto"/>
                      <w:sz w:val="21"/>
                      <w:szCs w:val="21"/>
                    </w:rPr>
                    <w:t>）物料、弃土渣应就近选择低洼、平坦地段集中堆放，要设置土工布围栏、截排水沟等，并及时用于填垫平整场地。不能利用部分及时清理外运至</w:t>
                  </w:r>
                  <w:r>
                    <w:rPr>
                      <w:rFonts w:hint="eastAsia" w:ascii="宋体" w:hAnsi="宋体" w:cs="宋体"/>
                      <w:color w:val="auto"/>
                      <w:sz w:val="21"/>
                      <w:szCs w:val="21"/>
                      <w:lang w:val="en-US" w:eastAsia="zh-CN"/>
                    </w:rPr>
                    <w:t>秦汉</w:t>
                  </w:r>
                  <w:r>
                    <w:rPr>
                      <w:rFonts w:hint="eastAsia" w:ascii="宋体" w:hAnsi="宋体" w:cs="宋体"/>
                      <w:color w:val="auto"/>
                      <w:sz w:val="21"/>
                      <w:szCs w:val="21"/>
                    </w:rPr>
                    <w:t>环卫部门指定地点统一处置，外运土石方运输车况良好、避免过量装料，防止土石料的散落，减少水土流失。</w:t>
                  </w:r>
                </w:p>
                <w:p>
                  <w:pPr>
                    <w:adjustRightInd w:val="0"/>
                    <w:snapToGrid w:val="0"/>
                    <w:rPr>
                      <w:rFonts w:hint="eastAsia" w:ascii="宋体" w:hAnsi="宋体" w:cs="宋体"/>
                      <w:color w:val="auto"/>
                      <w:sz w:val="21"/>
                      <w:szCs w:val="21"/>
                    </w:rPr>
                  </w:pPr>
                  <w:r>
                    <w:rPr>
                      <w:rFonts w:hint="eastAsia" w:ascii="宋体" w:hAnsi="宋体" w:cs="宋体"/>
                      <w:color w:val="auto"/>
                      <w:sz w:val="21"/>
                      <w:szCs w:val="21"/>
                    </w:rPr>
                    <w:t>（</w:t>
                  </w:r>
                  <w:r>
                    <w:rPr>
                      <w:rFonts w:hint="eastAsia" w:ascii="宋体" w:hAnsi="宋体" w:cs="宋体"/>
                      <w:color w:val="auto"/>
                      <w:sz w:val="21"/>
                      <w:szCs w:val="21"/>
                      <w:lang w:val="en-US" w:eastAsia="zh-CN"/>
                    </w:rPr>
                    <w:t>5</w:t>
                  </w:r>
                  <w:r>
                    <w:rPr>
                      <w:rFonts w:hint="eastAsia" w:ascii="宋体" w:hAnsi="宋体" w:cs="宋体"/>
                      <w:color w:val="auto"/>
                      <w:sz w:val="21"/>
                      <w:szCs w:val="21"/>
                    </w:rPr>
                    <w:t>）对占地开挖土方分层堆放，全部表土都应分层堆放并标注清楚，至少地表0.3m厚土层应被视作表土。填埋时，也应分层回填</w:t>
                  </w:r>
                  <w:r>
                    <w:rPr>
                      <w:rFonts w:hint="eastAsia" w:ascii="宋体" w:hAnsi="宋体" w:cs="宋体"/>
                      <w:color w:val="auto"/>
                      <w:sz w:val="21"/>
                      <w:szCs w:val="21"/>
                      <w:lang w:eastAsia="zh-CN"/>
                    </w:rPr>
                    <w:t>；</w:t>
                  </w:r>
                </w:p>
                <w:p>
                  <w:pPr>
                    <w:adjustRightInd w:val="0"/>
                    <w:snapToGrid w:val="0"/>
                    <w:rPr>
                      <w:rFonts w:hint="eastAsia" w:ascii="宋体" w:hAnsi="宋体" w:cs="宋体"/>
                      <w:color w:val="auto"/>
                      <w:sz w:val="21"/>
                      <w:szCs w:val="21"/>
                    </w:rPr>
                  </w:pPr>
                  <w:r>
                    <w:rPr>
                      <w:rFonts w:hint="eastAsia" w:ascii="宋体" w:hAnsi="宋体" w:cs="宋体"/>
                      <w:color w:val="auto"/>
                      <w:sz w:val="21"/>
                      <w:szCs w:val="21"/>
                    </w:rPr>
                    <w:t>（</w:t>
                  </w:r>
                  <w:r>
                    <w:rPr>
                      <w:rFonts w:hint="eastAsia" w:ascii="宋体" w:hAnsi="宋体" w:cs="宋体"/>
                      <w:color w:val="auto"/>
                      <w:sz w:val="21"/>
                      <w:szCs w:val="21"/>
                      <w:lang w:val="en-US" w:eastAsia="zh-CN"/>
                    </w:rPr>
                    <w:t>6</w:t>
                  </w:r>
                  <w:r>
                    <w:rPr>
                      <w:rFonts w:hint="eastAsia" w:ascii="宋体" w:hAnsi="宋体" w:cs="宋体"/>
                      <w:color w:val="auto"/>
                      <w:sz w:val="21"/>
                      <w:szCs w:val="21"/>
                    </w:rPr>
                    <w:t>）加强对施工人员的教育培训，提高生态环境保护意识</w:t>
                  </w:r>
                  <w:r>
                    <w:rPr>
                      <w:rFonts w:hint="eastAsia" w:ascii="宋体" w:hAnsi="宋体" w:cs="宋体"/>
                      <w:color w:val="auto"/>
                      <w:sz w:val="21"/>
                      <w:szCs w:val="21"/>
                      <w:lang w:eastAsia="zh-CN"/>
                    </w:rPr>
                    <w:t>。</w:t>
                  </w:r>
                </w:p>
                <w:p>
                  <w:pPr>
                    <w:adjustRightInd w:val="0"/>
                    <w:snapToGrid w:val="0"/>
                    <w:rPr>
                      <w:rFonts w:hint="eastAsia"/>
                      <w:color w:val="auto"/>
                      <w:sz w:val="21"/>
                      <w:szCs w:val="21"/>
                      <w:lang w:val="en-US" w:eastAsia="zh-CN"/>
                    </w:rPr>
                  </w:pPr>
                  <w:r>
                    <w:rPr>
                      <w:rFonts w:hint="eastAsia" w:ascii="宋体" w:hAnsi="宋体" w:cs="宋体"/>
                      <w:color w:val="auto"/>
                      <w:sz w:val="21"/>
                      <w:szCs w:val="21"/>
                    </w:rPr>
                    <w:t>（</w:t>
                  </w:r>
                  <w:r>
                    <w:rPr>
                      <w:rFonts w:hint="eastAsia" w:ascii="宋体" w:hAnsi="宋体" w:cs="宋体"/>
                      <w:color w:val="auto"/>
                      <w:sz w:val="21"/>
                      <w:szCs w:val="21"/>
                      <w:lang w:val="en-US" w:eastAsia="zh-CN"/>
                    </w:rPr>
                    <w:t>7</w:t>
                  </w:r>
                  <w:r>
                    <w:rPr>
                      <w:rFonts w:hint="eastAsia" w:ascii="宋体" w:hAnsi="宋体" w:cs="宋体"/>
                      <w:color w:val="auto"/>
                      <w:sz w:val="21"/>
                      <w:szCs w:val="21"/>
                    </w:rPr>
                    <w:t>）对裸露地面要尽早平整，及时绿化。</w:t>
                  </w:r>
                </w:p>
              </w:tc>
              <w:tc>
                <w:tcPr>
                  <w:tcW w:w="505" w:type="dxa"/>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496" w:type="dxa"/>
                  <w:vAlign w:val="center"/>
                </w:tcPr>
                <w:p>
                  <w:pPr>
                    <w:adjustRightInd w:val="0"/>
                    <w:snapToGrid w:val="0"/>
                    <w:jc w:val="center"/>
                    <w:rPr>
                      <w:color w:val="auto"/>
                      <w:szCs w:val="21"/>
                    </w:rPr>
                  </w:pPr>
                  <w:r>
                    <w:rPr>
                      <w:rFonts w:hint="eastAsia"/>
                      <w:color w:val="auto"/>
                      <w:szCs w:val="21"/>
                    </w:rPr>
                    <w:t>储运工程</w:t>
                  </w:r>
                </w:p>
              </w:tc>
              <w:tc>
                <w:tcPr>
                  <w:tcW w:w="1678" w:type="dxa"/>
                  <w:gridSpan w:val="8"/>
                  <w:vAlign w:val="center"/>
                </w:tcPr>
                <w:p>
                  <w:pPr>
                    <w:adjustRightInd w:val="0"/>
                    <w:snapToGrid w:val="0"/>
                    <w:jc w:val="center"/>
                    <w:rPr>
                      <w:color w:val="auto"/>
                      <w:szCs w:val="21"/>
                    </w:rPr>
                  </w:pPr>
                  <w:r>
                    <w:rPr>
                      <w:rFonts w:hint="eastAsia"/>
                      <w:color w:val="auto"/>
                      <w:szCs w:val="21"/>
                    </w:rPr>
                    <w:t>运输</w:t>
                  </w:r>
                </w:p>
              </w:tc>
              <w:tc>
                <w:tcPr>
                  <w:tcW w:w="5183" w:type="dxa"/>
                  <w:gridSpan w:val="2"/>
                  <w:tcMar>
                    <w:top w:w="0" w:type="dxa"/>
                    <w:left w:w="57" w:type="dxa"/>
                    <w:bottom w:w="0" w:type="dxa"/>
                    <w:right w:w="57" w:type="dxa"/>
                  </w:tcMar>
                  <w:vAlign w:val="center"/>
                </w:tcPr>
                <w:p>
                  <w:pPr>
                    <w:adjustRightInd w:val="0"/>
                    <w:snapToGrid w:val="0"/>
                    <w:rPr>
                      <w:color w:val="auto"/>
                      <w:szCs w:val="21"/>
                    </w:rPr>
                  </w:pPr>
                  <w:r>
                    <w:rPr>
                      <w:rFonts w:hint="eastAsia"/>
                      <w:color w:val="auto"/>
                      <w:szCs w:val="21"/>
                    </w:rPr>
                    <w:t>本项目辅料进入采用汽车每</w:t>
                  </w:r>
                  <w:r>
                    <w:rPr>
                      <w:color w:val="auto"/>
                      <w:szCs w:val="21"/>
                    </w:rPr>
                    <w:t>5</w:t>
                  </w:r>
                  <w:r>
                    <w:rPr>
                      <w:rFonts w:hint="eastAsia"/>
                      <w:color w:val="auto"/>
                      <w:szCs w:val="21"/>
                    </w:rPr>
                    <w:t>天运输一次</w:t>
                  </w:r>
                  <w:r>
                    <w:rPr>
                      <w:rFonts w:hint="eastAsia"/>
                      <w:color w:val="auto"/>
                      <w:szCs w:val="21"/>
                      <w:lang w:eastAsia="zh-CN"/>
                    </w:rPr>
                    <w:t>。</w:t>
                  </w:r>
                </w:p>
              </w:tc>
              <w:tc>
                <w:tcPr>
                  <w:tcW w:w="505" w:type="dxa"/>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r>
                    <w:rPr>
                      <w:rFonts w:hint="eastAsia"/>
                      <w:color w:val="auto"/>
                      <w:szCs w:val="21"/>
                      <w:lang w:val="en-US" w:eastAsia="zh-CN"/>
                    </w:rPr>
                    <w:t>/</w:t>
                  </w:r>
                </w:p>
              </w:tc>
            </w:tr>
          </w:tbl>
          <w:p>
            <w:pPr>
              <w:widowControl w:val="0"/>
              <w:snapToGrid w:val="0"/>
              <w:spacing w:line="360" w:lineRule="auto"/>
              <w:jc w:val="center"/>
              <w:rPr>
                <w:rFonts w:hint="eastAsia" w:ascii="Times New Roman" w:hAnsi="Times New Roman" w:eastAsia="黑体" w:cs="Times New Roman"/>
                <w:color w:val="auto"/>
                <w:sz w:val="24"/>
                <w:szCs w:val="24"/>
              </w:rPr>
            </w:pPr>
            <w:r>
              <w:rPr>
                <w:rFonts w:hint="eastAsia" w:ascii="Times New Roman" w:hAnsi="Times New Roman" w:eastAsia="黑体" w:cs="Times New Roman"/>
                <w:color w:val="auto"/>
                <w:sz w:val="24"/>
                <w:szCs w:val="24"/>
              </w:rPr>
              <w:t>表</w:t>
            </w:r>
            <w:r>
              <w:rPr>
                <w:rFonts w:hint="eastAsia" w:eastAsia="黑体" w:cs="Times New Roman"/>
                <w:color w:val="auto"/>
                <w:sz w:val="24"/>
                <w:szCs w:val="24"/>
                <w:lang w:val="en-US" w:eastAsia="zh-CN"/>
              </w:rPr>
              <w:t>4</w:t>
            </w:r>
            <w:r>
              <w:rPr>
                <w:rFonts w:hint="eastAsia" w:ascii="Times New Roman" w:hAnsi="Times New Roman" w:eastAsia="黑体" w:cs="Times New Roman"/>
                <w:color w:val="auto"/>
                <w:sz w:val="24"/>
                <w:szCs w:val="24"/>
              </w:rPr>
              <w:t xml:space="preserve">   </w:t>
            </w:r>
            <w:r>
              <w:rPr>
                <w:rFonts w:hint="eastAsia" w:ascii="Times New Roman" w:hAnsi="Times New Roman" w:eastAsia="黑体" w:cs="Times New Roman"/>
                <w:color w:val="auto"/>
                <w:sz w:val="24"/>
                <w:szCs w:val="24"/>
                <w:lang w:val="en-US" w:eastAsia="zh-CN"/>
              </w:rPr>
              <w:t xml:space="preserve">   各游乐区域设计内容</w:t>
            </w:r>
            <w:r>
              <w:rPr>
                <w:rFonts w:hint="eastAsia" w:ascii="Times New Roman" w:hAnsi="Times New Roman" w:eastAsia="黑体" w:cs="Times New Roman"/>
                <w:color w:val="auto"/>
                <w:sz w:val="24"/>
                <w:szCs w:val="24"/>
              </w:rPr>
              <w:t>一览表</w:t>
            </w:r>
          </w:p>
          <w:tbl>
            <w:tblPr>
              <w:tblStyle w:val="25"/>
              <w:tblW w:w="786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599"/>
              <w:gridCol w:w="52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599" w:type="dxa"/>
                  <w:tcBorders>
                    <w:tl2br w:val="nil"/>
                    <w:tr2bl w:val="nil"/>
                  </w:tcBorders>
                </w:tcPr>
                <w:p>
                  <w:pPr>
                    <w:jc w:val="center"/>
                    <w:rPr>
                      <w:rFonts w:hint="eastAsia" w:eastAsia="宋体"/>
                      <w:b/>
                      <w:color w:val="auto"/>
                      <w:kern w:val="0"/>
                      <w:sz w:val="21"/>
                      <w:szCs w:val="21"/>
                      <w:lang w:eastAsia="zh-CN"/>
                    </w:rPr>
                  </w:pPr>
                  <w:r>
                    <w:rPr>
                      <w:rFonts w:hint="eastAsia"/>
                      <w:b/>
                      <w:color w:val="auto"/>
                      <w:kern w:val="0"/>
                      <w:sz w:val="21"/>
                      <w:szCs w:val="21"/>
                      <w:lang w:val="en-US" w:eastAsia="zh-CN"/>
                    </w:rPr>
                    <w:t>游乐区域</w:t>
                  </w:r>
                </w:p>
              </w:tc>
              <w:tc>
                <w:tcPr>
                  <w:tcW w:w="5263" w:type="dxa"/>
                  <w:tcBorders>
                    <w:tl2br w:val="nil"/>
                    <w:tr2bl w:val="nil"/>
                  </w:tcBorders>
                </w:tcPr>
                <w:p>
                  <w:pPr>
                    <w:jc w:val="center"/>
                    <w:rPr>
                      <w:rFonts w:hint="eastAsia" w:eastAsia="宋体"/>
                      <w:b/>
                      <w:color w:val="auto"/>
                      <w:kern w:val="0"/>
                      <w:sz w:val="21"/>
                      <w:szCs w:val="21"/>
                      <w:lang w:val="en-US" w:eastAsia="zh-CN"/>
                    </w:rPr>
                  </w:pPr>
                  <w:r>
                    <w:rPr>
                      <w:rFonts w:hint="eastAsia"/>
                      <w:b/>
                      <w:color w:val="auto"/>
                      <w:kern w:val="0"/>
                      <w:sz w:val="21"/>
                      <w:szCs w:val="21"/>
                      <w:lang w:val="en-US" w:eastAsia="zh-CN"/>
                    </w:rPr>
                    <w:t>设计内容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599" w:type="dxa"/>
                  <w:tcBorders>
                    <w:tl2br w:val="nil"/>
                    <w:tr2bl w:val="nil"/>
                  </w:tcBorders>
                  <w:vAlign w:val="center"/>
                </w:tcPr>
                <w:p>
                  <w:pPr>
                    <w:jc w:val="center"/>
                    <w:rPr>
                      <w:bCs/>
                      <w:color w:val="auto"/>
                      <w:kern w:val="0"/>
                      <w:sz w:val="21"/>
                      <w:szCs w:val="21"/>
                    </w:rPr>
                  </w:pPr>
                  <w:r>
                    <w:rPr>
                      <w:rFonts w:hint="eastAsia"/>
                      <w:bCs/>
                      <w:color w:val="auto"/>
                      <w:kern w:val="0"/>
                      <w:sz w:val="21"/>
                      <w:szCs w:val="21"/>
                      <w:lang w:val="en-US" w:eastAsia="zh-CN"/>
                    </w:rPr>
                    <w:t>主城堡</w:t>
                  </w:r>
                </w:p>
              </w:tc>
              <w:tc>
                <w:tcPr>
                  <w:tcW w:w="5263" w:type="dxa"/>
                  <w:tcBorders>
                    <w:tl2br w:val="nil"/>
                    <w:tr2bl w:val="nil"/>
                  </w:tcBorders>
                  <w:vAlign w:val="center"/>
                </w:tcPr>
                <w:p>
                  <w:pPr>
                    <w:adjustRightInd w:val="0"/>
                    <w:snapToGrid w:val="0"/>
                    <w:rPr>
                      <w:rFonts w:hint="eastAsia" w:eastAsia="宋体"/>
                      <w:bCs/>
                      <w:color w:val="auto"/>
                      <w:kern w:val="0"/>
                      <w:sz w:val="21"/>
                      <w:szCs w:val="21"/>
                      <w:lang w:eastAsia="zh-CN"/>
                    </w:rPr>
                  </w:pPr>
                  <w:r>
                    <w:rPr>
                      <w:rFonts w:hint="eastAsia"/>
                      <w:color w:val="auto"/>
                      <w:szCs w:val="21"/>
                      <w:lang w:val="en-US" w:eastAsia="zh-CN"/>
                    </w:rPr>
                    <w:t>主城堡以奇幻精灵为设计灵感来源，通过卡通灵动的元素造型设计，充分展示神奇梦幻的特点。以夸张化的建筑结构方式满足游客对城堡的美妙幻想。在建筑色彩上充分展示城堡的意境，令游客置身童话中。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99" w:hRule="atLeast"/>
              </w:trPr>
              <w:tc>
                <w:tcPr>
                  <w:tcW w:w="2599"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梦幻屋</w:t>
                  </w:r>
                </w:p>
              </w:tc>
              <w:tc>
                <w:tcPr>
                  <w:tcW w:w="5263" w:type="dxa"/>
                  <w:tcBorders>
                    <w:tl2br w:val="nil"/>
                    <w:tr2bl w:val="nil"/>
                  </w:tcBorders>
                  <w:vAlign w:val="center"/>
                </w:tcPr>
                <w:p>
                  <w:pPr>
                    <w:adjustRightInd w:val="0"/>
                    <w:snapToGrid w:val="0"/>
                    <w:rPr>
                      <w:rFonts w:hint="eastAsia"/>
                      <w:bCs/>
                      <w:color w:val="auto"/>
                      <w:kern w:val="0"/>
                      <w:sz w:val="21"/>
                      <w:szCs w:val="21"/>
                      <w:lang w:val="en-US" w:eastAsia="zh-CN"/>
                    </w:rPr>
                  </w:pPr>
                  <w:r>
                    <w:rPr>
                      <w:rFonts w:hint="eastAsia"/>
                      <w:color w:val="auto"/>
                      <w:szCs w:val="21"/>
                      <w:lang w:val="en-US" w:eastAsia="zh-CN"/>
                    </w:rPr>
                    <w:t>为儿童乐园，设置小型游乐施舍，有转转杯、迷你型降落塔、旋转木马、撞车大赛、摇摆船、迷你过山车等小型娱乐设施。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599" w:type="dxa"/>
                  <w:tcBorders>
                    <w:tl2br w:val="nil"/>
                    <w:tr2bl w:val="nil"/>
                  </w:tcBorders>
                  <w:vAlign w:val="center"/>
                </w:tcPr>
                <w:p>
                  <w:pPr>
                    <w:jc w:val="center"/>
                    <w:rPr>
                      <w:bCs/>
                      <w:color w:val="auto"/>
                      <w:kern w:val="0"/>
                      <w:sz w:val="21"/>
                      <w:szCs w:val="21"/>
                    </w:rPr>
                  </w:pPr>
                  <w:r>
                    <w:rPr>
                      <w:rFonts w:hint="eastAsia"/>
                      <w:bCs/>
                      <w:color w:val="auto"/>
                      <w:kern w:val="0"/>
                      <w:sz w:val="21"/>
                      <w:szCs w:val="21"/>
                    </w:rPr>
                    <w:t>璀璨中华区</w:t>
                  </w:r>
                </w:p>
              </w:tc>
              <w:tc>
                <w:tcPr>
                  <w:tcW w:w="5263" w:type="dxa"/>
                  <w:tcBorders>
                    <w:tl2br w:val="nil"/>
                    <w:tr2bl w:val="nil"/>
                  </w:tcBorders>
                  <w:vAlign w:val="center"/>
                </w:tcPr>
                <w:p>
                  <w:pPr>
                    <w:adjustRightInd w:val="0"/>
                    <w:snapToGrid w:val="0"/>
                    <w:rPr>
                      <w:rFonts w:hint="eastAsia"/>
                      <w:bCs/>
                      <w:color w:val="auto"/>
                      <w:kern w:val="0"/>
                      <w:sz w:val="21"/>
                      <w:szCs w:val="21"/>
                    </w:rPr>
                  </w:pPr>
                  <w:r>
                    <w:rPr>
                      <w:rFonts w:hint="eastAsia"/>
                      <w:color w:val="auto"/>
                      <w:szCs w:val="21"/>
                      <w:lang w:val="en-US" w:eastAsia="zh-CN"/>
                    </w:rPr>
                    <w:t>璀璨中华区游乐区主要建设多媒体互动战船、飞翔影院、转转杯、动感穿越金刚、互动黑暗乘骑、5D环境剧场、歌舞剧场、特技剧场、悬挂飞行乘骑、自控飞机、秋千、动感影院、互动体验剧场等13个建筑单体，各单体建筑外观以华夏五干年文明为核心，融合中国历史、名著、神话、传说之精髓，形成了最典型的中国传统神话风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90" w:hRule="atLeast"/>
              </w:trPr>
              <w:tc>
                <w:tcPr>
                  <w:tcW w:w="2599" w:type="dxa"/>
                  <w:tcBorders>
                    <w:tl2br w:val="nil"/>
                    <w:tr2bl w:val="nil"/>
                  </w:tcBorders>
                  <w:vAlign w:val="center"/>
                </w:tcPr>
                <w:p>
                  <w:pPr>
                    <w:jc w:val="center"/>
                    <w:rPr>
                      <w:bCs/>
                      <w:color w:val="auto"/>
                      <w:kern w:val="0"/>
                      <w:sz w:val="21"/>
                      <w:szCs w:val="21"/>
                    </w:rPr>
                  </w:pPr>
                  <w:r>
                    <w:rPr>
                      <w:rFonts w:hint="eastAsia"/>
                      <w:bCs/>
                      <w:color w:val="auto"/>
                      <w:kern w:val="0"/>
                      <w:sz w:val="21"/>
                      <w:szCs w:val="21"/>
                    </w:rPr>
                    <w:t>神秘古国区</w:t>
                  </w:r>
                </w:p>
              </w:tc>
              <w:tc>
                <w:tcPr>
                  <w:tcW w:w="5263" w:type="dxa"/>
                  <w:tcBorders>
                    <w:tl2br w:val="nil"/>
                    <w:tr2bl w:val="nil"/>
                  </w:tcBorders>
                  <w:vAlign w:val="center"/>
                </w:tcPr>
                <w:p>
                  <w:pPr>
                    <w:adjustRightInd w:val="0"/>
                    <w:snapToGrid w:val="0"/>
                    <w:rPr>
                      <w:rFonts w:hint="eastAsia"/>
                      <w:bCs/>
                      <w:color w:val="auto"/>
                      <w:kern w:val="0"/>
                      <w:sz w:val="21"/>
                      <w:szCs w:val="21"/>
                    </w:rPr>
                  </w:pPr>
                  <w:r>
                    <w:rPr>
                      <w:rFonts w:hint="eastAsia"/>
                      <w:color w:val="auto"/>
                      <w:szCs w:val="21"/>
                      <w:lang w:val="en-US" w:eastAsia="zh-CN"/>
                    </w:rPr>
                    <w:t>神秘古国区游乐区主要包括多媒体情景互动过山车、迷宫步行场景、轨道互动射击、魔幻剧场、机械翻滚5个建筑单体。单体建筑外观以异国风情为核心，融合希腊神话故事，形成了最典型的希腊童话风格。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774" w:hRule="atLeast"/>
              </w:trPr>
              <w:tc>
                <w:tcPr>
                  <w:tcW w:w="2599" w:type="dxa"/>
                  <w:tcBorders>
                    <w:tl2br w:val="nil"/>
                    <w:tr2bl w:val="nil"/>
                  </w:tcBorders>
                  <w:vAlign w:val="center"/>
                </w:tcPr>
                <w:p>
                  <w:pPr>
                    <w:jc w:val="center"/>
                    <w:rPr>
                      <w:bCs/>
                      <w:color w:val="auto"/>
                      <w:kern w:val="0"/>
                      <w:sz w:val="21"/>
                      <w:szCs w:val="21"/>
                    </w:rPr>
                  </w:pPr>
                  <w:r>
                    <w:rPr>
                      <w:rFonts w:hint="eastAsia"/>
                      <w:bCs/>
                      <w:color w:val="auto"/>
                      <w:kern w:val="0"/>
                      <w:sz w:val="21"/>
                      <w:szCs w:val="21"/>
                    </w:rPr>
                    <w:t>魔幻西欧区</w:t>
                  </w:r>
                </w:p>
              </w:tc>
              <w:tc>
                <w:tcPr>
                  <w:tcW w:w="5263" w:type="dxa"/>
                  <w:tcBorders>
                    <w:tl2br w:val="nil"/>
                    <w:tr2bl w:val="nil"/>
                  </w:tcBorders>
                  <w:vAlign w:val="center"/>
                </w:tcPr>
                <w:p>
                  <w:pPr>
                    <w:adjustRightInd w:val="0"/>
                    <w:snapToGrid w:val="0"/>
                    <w:rPr>
                      <w:rFonts w:hint="eastAsia"/>
                      <w:bCs/>
                      <w:color w:val="auto"/>
                      <w:kern w:val="0"/>
                      <w:sz w:val="21"/>
                      <w:szCs w:val="21"/>
                    </w:rPr>
                  </w:pPr>
                  <w:r>
                    <w:rPr>
                      <w:rFonts w:hint="eastAsia"/>
                      <w:color w:val="auto"/>
                      <w:szCs w:val="21"/>
                      <w:lang w:val="en-US" w:eastAsia="zh-CN"/>
                    </w:rPr>
                    <w:t>魔幻西欧区游乐区域主要包括悬挂式特效过山车、儿童木偶剧场、旋转木马、多媒体跳楼机、天幕影院、旋转舞车、梦幻屋等7个建筑单体和。各单体建筑以丹麦安徒生童话、德国格林童话及英、法、意著名童话为主题，创造广阔的想象与探索空间，带来魔幻游乐新体验，形成了最典型的西欧童话风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6" w:hRule="atLeast"/>
              </w:trPr>
              <w:tc>
                <w:tcPr>
                  <w:tcW w:w="2599" w:type="dxa"/>
                  <w:tcBorders>
                    <w:tl2br w:val="nil"/>
                    <w:tr2bl w:val="nil"/>
                  </w:tcBorders>
                  <w:vAlign w:val="center"/>
                </w:tcPr>
                <w:p>
                  <w:pPr>
                    <w:jc w:val="center"/>
                    <w:rPr>
                      <w:bCs/>
                      <w:color w:val="auto"/>
                      <w:kern w:val="0"/>
                      <w:sz w:val="21"/>
                      <w:szCs w:val="21"/>
                    </w:rPr>
                  </w:pPr>
                  <w:r>
                    <w:rPr>
                      <w:rFonts w:hint="eastAsia"/>
                      <w:bCs/>
                      <w:color w:val="auto"/>
                      <w:kern w:val="0"/>
                      <w:sz w:val="21"/>
                      <w:szCs w:val="21"/>
                    </w:rPr>
                    <w:t>探险南美区</w:t>
                  </w:r>
                </w:p>
              </w:tc>
              <w:tc>
                <w:tcPr>
                  <w:tcW w:w="5263" w:type="dxa"/>
                  <w:tcBorders>
                    <w:tl2br w:val="nil"/>
                    <w:tr2bl w:val="nil"/>
                  </w:tcBorders>
                  <w:vAlign w:val="center"/>
                </w:tcPr>
                <w:p>
                  <w:pPr>
                    <w:adjustRightInd w:val="0"/>
                    <w:snapToGrid w:val="0"/>
                    <w:rPr>
                      <w:rFonts w:hint="eastAsia"/>
                      <w:bCs/>
                      <w:color w:val="auto"/>
                      <w:kern w:val="0"/>
                      <w:sz w:val="21"/>
                      <w:szCs w:val="21"/>
                      <w:lang w:val="en-US" w:eastAsia="zh-CN"/>
                    </w:rPr>
                  </w:pPr>
                  <w:r>
                    <w:rPr>
                      <w:rFonts w:hint="eastAsia"/>
                      <w:color w:val="auto"/>
                      <w:szCs w:val="21"/>
                      <w:lang w:val="en-US" w:eastAsia="zh-CN"/>
                    </w:rPr>
                    <w:t>探险南美区游乐区域主要包括无动力攀爬、情景激流勇进、万圣节鬼屋等3个建筑单体。各单体建筑以营造南美风格而设计，运用玛雅金字塔为原型，自然而亲切，形成了最典型的南美风格。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2599" w:type="dxa"/>
                  <w:tcBorders>
                    <w:tl2br w:val="nil"/>
                    <w:tr2bl w:val="nil"/>
                  </w:tcBorders>
                  <w:vAlign w:val="center"/>
                </w:tcPr>
                <w:p>
                  <w:pPr>
                    <w:jc w:val="center"/>
                    <w:rPr>
                      <w:bCs/>
                      <w:color w:val="auto"/>
                      <w:kern w:val="0"/>
                      <w:sz w:val="21"/>
                      <w:szCs w:val="21"/>
                    </w:rPr>
                  </w:pPr>
                  <w:r>
                    <w:rPr>
                      <w:rFonts w:hint="eastAsia"/>
                      <w:bCs/>
                      <w:color w:val="auto"/>
                      <w:kern w:val="0"/>
                      <w:sz w:val="21"/>
                      <w:szCs w:val="21"/>
                    </w:rPr>
                    <w:t>穿越太空区</w:t>
                  </w:r>
                </w:p>
              </w:tc>
              <w:tc>
                <w:tcPr>
                  <w:tcW w:w="5263" w:type="dxa"/>
                  <w:tcBorders>
                    <w:tl2br w:val="nil"/>
                    <w:tr2bl w:val="nil"/>
                  </w:tcBorders>
                  <w:vAlign w:val="center"/>
                </w:tcPr>
                <w:p>
                  <w:pPr>
                    <w:adjustRightInd w:val="0"/>
                    <w:snapToGrid w:val="0"/>
                    <w:rPr>
                      <w:rFonts w:hint="eastAsia"/>
                      <w:bCs/>
                      <w:color w:val="auto"/>
                      <w:kern w:val="0"/>
                      <w:sz w:val="21"/>
                      <w:szCs w:val="21"/>
                      <w:lang w:val="en-US" w:eastAsia="zh-CN"/>
                    </w:rPr>
                  </w:pPr>
                  <w:r>
                    <w:rPr>
                      <w:rFonts w:hint="eastAsia"/>
                      <w:color w:val="auto"/>
                      <w:szCs w:val="21"/>
                      <w:lang w:val="en-US" w:eastAsia="zh-CN"/>
                    </w:rPr>
                    <w:t>穿越太空区游乐单体区域主要包括三自由度体验式互动射击、室内特效剧场、循环链骑乘等3个建筑单体和。单体建筑以浩瀚宇宙、星际太空为背景，运用高科技将太空故事进行巧妙的虚实结合，模拟星际飞行，体验惊心动魄的太空穿越之旅。建筑立面以未来科幻风格为主</w:t>
                  </w:r>
                  <w:r>
                    <w:rPr>
                      <w:rFonts w:hint="eastAsia"/>
                      <w:bCs/>
                      <w:color w:val="auto"/>
                      <w:kern w:val="0"/>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16" w:hRule="atLeast"/>
              </w:trPr>
              <w:tc>
                <w:tcPr>
                  <w:tcW w:w="2599" w:type="dxa"/>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漫游海洋区</w:t>
                  </w:r>
                </w:p>
              </w:tc>
              <w:tc>
                <w:tcPr>
                  <w:tcW w:w="5263" w:type="dxa"/>
                  <w:tcBorders>
                    <w:tl2br w:val="nil"/>
                    <w:tr2bl w:val="nil"/>
                  </w:tcBorders>
                  <w:vAlign w:val="center"/>
                </w:tcPr>
                <w:p>
                  <w:pPr>
                    <w:adjustRightInd w:val="0"/>
                    <w:snapToGrid w:val="0"/>
                    <w:rPr>
                      <w:rFonts w:hint="eastAsia"/>
                      <w:color w:val="auto"/>
                      <w:szCs w:val="21"/>
                      <w:lang w:val="en-US" w:eastAsia="zh-CN"/>
                    </w:rPr>
                  </w:pPr>
                  <w:r>
                    <w:rPr>
                      <w:rFonts w:hint="eastAsia"/>
                      <w:color w:val="auto"/>
                      <w:szCs w:val="21"/>
                      <w:lang w:val="en-US" w:eastAsia="zh-CN"/>
                    </w:rPr>
                    <w:t>漫游海洋区游乐区域主要包括分仓式动感平台、地磁弹射式家庭过山车、空中竞技等3个建筑单体和。单体建筑以蔚蓝深邃、波澜壮阔的海洋为背景，荟萃古今中外的海洋神话、传说、故事，探索海洋世界未知的奥秘，打造非比寻常的海洋奇幻之旅，立面以海洋为主题。</w:t>
                  </w:r>
                </w:p>
              </w:tc>
            </w:tr>
          </w:tbl>
          <w:p>
            <w:pPr>
              <w:pStyle w:val="10"/>
              <w:spacing w:after="0" w:line="360" w:lineRule="auto"/>
              <w:ind w:firstLine="482" w:firstLineChars="200"/>
              <w:rPr>
                <w:b/>
                <w:bCs/>
                <w:color w:val="auto"/>
                <w:sz w:val="24"/>
                <w:szCs w:val="24"/>
              </w:rPr>
            </w:pPr>
            <w:r>
              <w:rPr>
                <w:rFonts w:hint="eastAsia"/>
                <w:b/>
                <w:bCs/>
                <w:color w:val="auto"/>
                <w:sz w:val="24"/>
                <w:szCs w:val="24"/>
                <w:lang w:val="en-US" w:eastAsia="zh-CN"/>
              </w:rPr>
              <w:t>2、</w:t>
            </w:r>
            <w:r>
              <w:rPr>
                <w:b/>
                <w:bCs/>
                <w:color w:val="auto"/>
                <w:sz w:val="24"/>
                <w:szCs w:val="24"/>
              </w:rPr>
              <w:t>接待游客规模</w:t>
            </w:r>
          </w:p>
          <w:p>
            <w:pPr>
              <w:pStyle w:val="10"/>
              <w:spacing w:after="0" w:line="360" w:lineRule="auto"/>
              <w:ind w:firstLine="482" w:firstLineChars="200"/>
              <w:rPr>
                <w:rFonts w:hint="eastAsia" w:eastAsia="宋体"/>
                <w:b/>
                <w:bCs/>
                <w:color w:val="auto"/>
                <w:sz w:val="24"/>
                <w:szCs w:val="24"/>
                <w:lang w:val="en-US" w:eastAsia="zh-CN"/>
              </w:rPr>
            </w:pPr>
            <w:r>
              <w:rPr>
                <w:rFonts w:hint="eastAsia"/>
                <w:b/>
                <w:bCs/>
                <w:color w:val="auto"/>
                <w:sz w:val="24"/>
                <w:szCs w:val="24"/>
                <w:lang w:val="en-US" w:eastAsia="zh-CN"/>
              </w:rPr>
              <w:t>接待游客规模情况见表5。</w:t>
            </w:r>
          </w:p>
          <w:p>
            <w:pPr>
              <w:widowControl w:val="0"/>
              <w:snapToGrid w:val="0"/>
              <w:spacing w:line="360" w:lineRule="auto"/>
              <w:jc w:val="center"/>
              <w:rPr>
                <w:rFonts w:hint="eastAsia" w:ascii="Times New Roman" w:hAnsi="Times New Roman" w:eastAsia="黑体" w:cs="Times New Roman"/>
                <w:color w:val="auto"/>
                <w:sz w:val="24"/>
                <w:szCs w:val="24"/>
              </w:rPr>
            </w:pPr>
            <w:r>
              <w:rPr>
                <w:rFonts w:hint="eastAsia" w:ascii="Times New Roman" w:hAnsi="Times New Roman" w:eastAsia="黑体" w:cs="Times New Roman"/>
                <w:color w:val="auto"/>
                <w:sz w:val="24"/>
                <w:szCs w:val="24"/>
              </w:rPr>
              <w:t>表</w:t>
            </w:r>
            <w:r>
              <w:rPr>
                <w:rFonts w:hint="eastAsia" w:eastAsia="黑体" w:cs="Times New Roman"/>
                <w:color w:val="auto"/>
                <w:sz w:val="24"/>
                <w:szCs w:val="24"/>
                <w:lang w:val="en-US" w:eastAsia="zh-CN"/>
              </w:rPr>
              <w:t>5</w:t>
            </w:r>
            <w:r>
              <w:rPr>
                <w:rFonts w:hint="eastAsia" w:ascii="Times New Roman" w:hAnsi="Times New Roman" w:eastAsia="黑体" w:cs="Times New Roman"/>
                <w:color w:val="auto"/>
                <w:sz w:val="24"/>
                <w:szCs w:val="24"/>
              </w:rPr>
              <w:t xml:space="preserve">   </w:t>
            </w:r>
            <w:r>
              <w:rPr>
                <w:rFonts w:hint="eastAsia" w:eastAsia="黑体" w:cs="Times New Roman"/>
                <w:color w:val="auto"/>
                <w:sz w:val="24"/>
                <w:szCs w:val="24"/>
                <w:lang w:val="en-US" w:eastAsia="zh-CN"/>
              </w:rPr>
              <w:t>接待游客规模</w:t>
            </w:r>
            <w:r>
              <w:rPr>
                <w:rFonts w:hint="eastAsia" w:ascii="Times New Roman" w:hAnsi="Times New Roman" w:eastAsia="黑体" w:cs="Times New Roman"/>
                <w:color w:val="auto"/>
                <w:sz w:val="24"/>
                <w:szCs w:val="24"/>
              </w:rPr>
              <w:t>一览表</w:t>
            </w:r>
          </w:p>
          <w:tbl>
            <w:tblPr>
              <w:tblStyle w:val="24"/>
              <w:tblW w:w="786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6"/>
              <w:gridCol w:w="3396"/>
              <w:gridCol w:w="35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956" w:type="dxa"/>
                  <w:vAlign w:val="center"/>
                </w:tcPr>
                <w:p>
                  <w:pPr>
                    <w:adjustRightInd w:val="0"/>
                    <w:snapToGrid w:val="0"/>
                    <w:spacing w:line="300" w:lineRule="exact"/>
                    <w:jc w:val="center"/>
                    <w:rPr>
                      <w:b/>
                      <w:color w:val="auto"/>
                      <w:spacing w:val="-6"/>
                      <w:szCs w:val="21"/>
                    </w:rPr>
                  </w:pPr>
                  <w:r>
                    <w:rPr>
                      <w:b/>
                      <w:color w:val="auto"/>
                      <w:spacing w:val="-6"/>
                      <w:szCs w:val="21"/>
                    </w:rPr>
                    <w:t>序号</w:t>
                  </w:r>
                </w:p>
              </w:tc>
              <w:tc>
                <w:tcPr>
                  <w:tcW w:w="3396" w:type="dxa"/>
                  <w:vAlign w:val="center"/>
                </w:tcPr>
                <w:p>
                  <w:pPr>
                    <w:adjustRightInd w:val="0"/>
                    <w:snapToGrid w:val="0"/>
                    <w:spacing w:line="300" w:lineRule="exact"/>
                    <w:jc w:val="center"/>
                    <w:rPr>
                      <w:b/>
                      <w:color w:val="auto"/>
                      <w:spacing w:val="-6"/>
                      <w:szCs w:val="21"/>
                    </w:rPr>
                  </w:pPr>
                  <w:r>
                    <w:rPr>
                      <w:b/>
                      <w:color w:val="auto"/>
                      <w:spacing w:val="-6"/>
                      <w:szCs w:val="21"/>
                    </w:rPr>
                    <w:t>工程</w:t>
                  </w:r>
                </w:p>
              </w:tc>
              <w:tc>
                <w:tcPr>
                  <w:tcW w:w="3510" w:type="dxa"/>
                  <w:vAlign w:val="center"/>
                </w:tcPr>
                <w:p>
                  <w:pPr>
                    <w:adjustRightInd w:val="0"/>
                    <w:snapToGrid w:val="0"/>
                    <w:spacing w:line="300" w:lineRule="exact"/>
                    <w:jc w:val="center"/>
                    <w:rPr>
                      <w:b/>
                      <w:color w:val="auto"/>
                      <w:spacing w:val="-6"/>
                      <w:szCs w:val="21"/>
                    </w:rPr>
                  </w:pPr>
                  <w:r>
                    <w:rPr>
                      <w:b/>
                      <w:color w:val="auto"/>
                      <w:spacing w:val="-6"/>
                      <w:szCs w:val="21"/>
                    </w:rPr>
                    <w:t>接待游客数量（人/</w:t>
                  </w:r>
                  <w:r>
                    <w:rPr>
                      <w:rFonts w:hint="eastAsia"/>
                      <w:b/>
                      <w:color w:val="auto"/>
                      <w:spacing w:val="-6"/>
                      <w:szCs w:val="21"/>
                    </w:rPr>
                    <w:t>年</w:t>
                  </w:r>
                  <w:r>
                    <w:rPr>
                      <w:b/>
                      <w:color w:val="auto"/>
                      <w:spacing w:val="-6"/>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956" w:type="dxa"/>
                  <w:vAlign w:val="center"/>
                </w:tcPr>
                <w:p>
                  <w:pPr>
                    <w:adjustRightInd w:val="0"/>
                    <w:snapToGrid w:val="0"/>
                    <w:spacing w:line="300" w:lineRule="exact"/>
                    <w:jc w:val="center"/>
                    <w:rPr>
                      <w:color w:val="auto"/>
                      <w:spacing w:val="-6"/>
                      <w:szCs w:val="21"/>
                    </w:rPr>
                  </w:pPr>
                  <w:r>
                    <w:rPr>
                      <w:color w:val="auto"/>
                      <w:spacing w:val="-6"/>
                      <w:szCs w:val="21"/>
                    </w:rPr>
                    <w:t>1</w:t>
                  </w:r>
                </w:p>
              </w:tc>
              <w:tc>
                <w:tcPr>
                  <w:tcW w:w="3396" w:type="dxa"/>
                  <w:vAlign w:val="center"/>
                </w:tcPr>
                <w:p>
                  <w:pPr>
                    <w:adjustRightInd w:val="0"/>
                    <w:snapToGrid w:val="0"/>
                    <w:spacing w:line="300" w:lineRule="exact"/>
                    <w:jc w:val="center"/>
                    <w:rPr>
                      <w:color w:val="auto"/>
                      <w:spacing w:val="-6"/>
                      <w:szCs w:val="21"/>
                    </w:rPr>
                  </w:pPr>
                  <w:r>
                    <w:rPr>
                      <w:rFonts w:hint="eastAsia"/>
                      <w:b/>
                      <w:color w:val="auto"/>
                      <w:spacing w:val="-6"/>
                      <w:szCs w:val="21"/>
                      <w:lang w:val="en-US" w:eastAsia="zh-CN"/>
                    </w:rPr>
                    <w:t>西安恒大童世界文化旅游项目</w:t>
                  </w:r>
                </w:p>
              </w:tc>
              <w:tc>
                <w:tcPr>
                  <w:tcW w:w="3510" w:type="dxa"/>
                  <w:vAlign w:val="center"/>
                </w:tcPr>
                <w:p>
                  <w:pPr>
                    <w:adjustRightInd w:val="0"/>
                    <w:snapToGrid w:val="0"/>
                    <w:spacing w:line="300" w:lineRule="exact"/>
                    <w:jc w:val="center"/>
                    <w:rPr>
                      <w:color w:val="auto"/>
                      <w:spacing w:val="-6"/>
                      <w:szCs w:val="21"/>
                    </w:rPr>
                  </w:pPr>
                  <w:r>
                    <w:rPr>
                      <w:rFonts w:hint="eastAsia"/>
                      <w:color w:val="auto"/>
                      <w:spacing w:val="-6"/>
                      <w:szCs w:val="21"/>
                      <w:lang w:val="en-US" w:eastAsia="zh-CN"/>
                    </w:rPr>
                    <w:t>600</w:t>
                  </w:r>
                  <w:r>
                    <w:rPr>
                      <w:rFonts w:hint="eastAsia"/>
                      <w:color w:val="auto"/>
                      <w:spacing w:val="-6"/>
                      <w:szCs w:val="21"/>
                    </w:rPr>
                    <w:t>万</w:t>
                  </w:r>
                </w:p>
              </w:tc>
            </w:tr>
          </w:tbl>
          <w:p>
            <w:pPr>
              <w:pStyle w:val="10"/>
              <w:spacing w:after="0" w:line="360" w:lineRule="auto"/>
              <w:ind w:firstLine="482" w:firstLineChars="200"/>
              <w:rPr>
                <w:rFonts w:hint="eastAsia"/>
                <w:b/>
                <w:bCs/>
                <w:color w:val="auto"/>
                <w:sz w:val="24"/>
                <w:szCs w:val="24"/>
                <w:lang w:val="en-US" w:eastAsia="zh-CN"/>
              </w:rPr>
            </w:pPr>
            <w:r>
              <w:rPr>
                <w:rFonts w:hint="eastAsia"/>
                <w:b/>
                <w:bCs/>
                <w:color w:val="auto"/>
                <w:sz w:val="24"/>
                <w:szCs w:val="24"/>
                <w:lang w:val="en-US" w:eastAsia="zh-CN"/>
              </w:rPr>
              <w:t>3、主要游乐及辅助设施</w:t>
            </w:r>
          </w:p>
          <w:p>
            <w:pPr>
              <w:pStyle w:val="10"/>
              <w:spacing w:after="0" w:line="360" w:lineRule="auto"/>
              <w:ind w:firstLine="482" w:firstLineChars="200"/>
              <w:rPr>
                <w:rFonts w:hint="eastAsia" w:ascii="Times New Roman" w:hAnsi="Times New Roman" w:eastAsia="黑体" w:cs="Times New Roman"/>
                <w:color w:val="auto"/>
                <w:sz w:val="24"/>
                <w:szCs w:val="24"/>
              </w:rPr>
            </w:pPr>
            <w:r>
              <w:rPr>
                <w:rFonts w:hint="eastAsia"/>
                <w:b/>
                <w:bCs/>
                <w:color w:val="auto"/>
                <w:sz w:val="24"/>
                <w:szCs w:val="24"/>
                <w:lang w:val="en-US" w:eastAsia="zh-CN"/>
              </w:rPr>
              <w:t>本项目主要生产设备见表6。</w:t>
            </w:r>
          </w:p>
          <w:p>
            <w:pPr>
              <w:widowControl w:val="0"/>
              <w:snapToGrid w:val="0"/>
              <w:spacing w:line="360" w:lineRule="auto"/>
              <w:jc w:val="center"/>
              <w:rPr>
                <w:rFonts w:hint="eastAsia" w:ascii="Times New Roman" w:hAnsi="Times New Roman" w:eastAsia="黑体" w:cs="Times New Roman"/>
                <w:color w:val="auto"/>
                <w:sz w:val="24"/>
                <w:szCs w:val="24"/>
              </w:rPr>
            </w:pPr>
            <w:r>
              <w:rPr>
                <w:rFonts w:hint="eastAsia" w:ascii="Times New Roman" w:hAnsi="Times New Roman" w:eastAsia="黑体" w:cs="Times New Roman"/>
                <w:color w:val="auto"/>
                <w:sz w:val="24"/>
                <w:szCs w:val="24"/>
              </w:rPr>
              <w:t>表</w:t>
            </w:r>
            <w:r>
              <w:rPr>
                <w:rFonts w:hint="eastAsia" w:eastAsia="黑体" w:cs="Times New Roman"/>
                <w:color w:val="auto"/>
                <w:sz w:val="24"/>
                <w:szCs w:val="24"/>
                <w:lang w:val="en-US" w:eastAsia="zh-CN"/>
              </w:rPr>
              <w:t>6</w:t>
            </w:r>
            <w:r>
              <w:rPr>
                <w:rFonts w:hint="eastAsia" w:ascii="Times New Roman" w:hAnsi="Times New Roman" w:eastAsia="黑体" w:cs="Times New Roman"/>
                <w:color w:val="auto"/>
                <w:sz w:val="24"/>
                <w:szCs w:val="24"/>
              </w:rPr>
              <w:t xml:space="preserve">   </w:t>
            </w:r>
            <w:r>
              <w:rPr>
                <w:rFonts w:hint="eastAsia" w:eastAsia="黑体" w:cs="Times New Roman"/>
                <w:color w:val="auto"/>
                <w:sz w:val="24"/>
                <w:szCs w:val="24"/>
                <w:lang w:val="en-US" w:eastAsia="zh-CN"/>
              </w:rPr>
              <w:t xml:space="preserve">   </w:t>
            </w:r>
            <w:r>
              <w:rPr>
                <w:rFonts w:hint="eastAsia" w:ascii="Times New Roman" w:hAnsi="Times New Roman" w:eastAsia="黑体" w:cs="Times New Roman"/>
                <w:color w:val="auto"/>
                <w:sz w:val="24"/>
                <w:szCs w:val="24"/>
              </w:rPr>
              <w:t>项目主要设备一览表</w:t>
            </w:r>
          </w:p>
          <w:tbl>
            <w:tblPr>
              <w:tblStyle w:val="25"/>
              <w:tblW w:w="786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1679"/>
              <w:gridCol w:w="1446"/>
              <w:gridCol w:w="34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62" w:type="dxa"/>
                  <w:gridSpan w:val="4"/>
                  <w:tcBorders>
                    <w:tl2br w:val="nil"/>
                    <w:tr2bl w:val="nil"/>
                  </w:tcBorders>
                </w:tcPr>
                <w:p>
                  <w:pPr>
                    <w:jc w:val="center"/>
                    <w:rPr>
                      <w:b/>
                      <w:color w:val="auto"/>
                      <w:kern w:val="0"/>
                      <w:sz w:val="21"/>
                      <w:szCs w:val="21"/>
                    </w:rPr>
                  </w:pPr>
                  <w:r>
                    <w:rPr>
                      <w:rFonts w:hint="eastAsia"/>
                      <w:b/>
                      <w:color w:val="auto"/>
                      <w:kern w:val="0"/>
                      <w:sz w:val="21"/>
                      <w:szCs w:val="21"/>
                    </w:rPr>
                    <w:t>游乐设备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266" w:type="dxa"/>
                  <w:vMerge w:val="restart"/>
                  <w:tcBorders>
                    <w:tl2br w:val="nil"/>
                    <w:tr2bl w:val="nil"/>
                  </w:tcBorders>
                  <w:vAlign w:val="center"/>
                </w:tcPr>
                <w:p>
                  <w:pPr>
                    <w:jc w:val="center"/>
                    <w:rPr>
                      <w:rFonts w:hint="eastAsia" w:eastAsia="宋体"/>
                      <w:b/>
                      <w:color w:val="auto"/>
                      <w:kern w:val="0"/>
                      <w:sz w:val="21"/>
                      <w:szCs w:val="21"/>
                      <w:lang w:eastAsia="zh-CN"/>
                    </w:rPr>
                  </w:pPr>
                  <w:r>
                    <w:rPr>
                      <w:rFonts w:hint="eastAsia"/>
                      <w:b/>
                      <w:color w:val="auto"/>
                      <w:kern w:val="0"/>
                      <w:sz w:val="21"/>
                      <w:szCs w:val="21"/>
                      <w:lang w:val="en-US" w:eastAsia="zh-CN"/>
                    </w:rPr>
                    <w:t>所在区域</w:t>
                  </w:r>
                </w:p>
              </w:tc>
              <w:tc>
                <w:tcPr>
                  <w:tcW w:w="6596" w:type="dxa"/>
                  <w:gridSpan w:val="3"/>
                  <w:tcBorders>
                    <w:tl2br w:val="nil"/>
                    <w:tr2bl w:val="nil"/>
                  </w:tcBorders>
                  <w:vAlign w:val="center"/>
                </w:tcPr>
                <w:p>
                  <w:pPr>
                    <w:jc w:val="center"/>
                    <w:rPr>
                      <w:b/>
                      <w:color w:val="auto"/>
                      <w:kern w:val="0"/>
                      <w:sz w:val="21"/>
                      <w:szCs w:val="21"/>
                    </w:rPr>
                  </w:pPr>
                  <w:r>
                    <w:rPr>
                      <w:rFonts w:hint="eastAsia"/>
                      <w:b/>
                      <w:color w:val="auto"/>
                      <w:kern w:val="0"/>
                      <w:sz w:val="21"/>
                      <w:szCs w:val="21"/>
                      <w:lang w:val="en-US" w:eastAsia="zh-CN"/>
                    </w:rPr>
                    <w:t>配套游乐设施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266" w:type="dxa"/>
                  <w:vMerge w:val="continue"/>
                  <w:tcBorders>
                    <w:tl2br w:val="nil"/>
                    <w:tr2bl w:val="nil"/>
                  </w:tcBorders>
                  <w:vAlign w:val="center"/>
                </w:tcPr>
                <w:p>
                  <w:pPr>
                    <w:jc w:val="center"/>
                    <w:rPr>
                      <w:rFonts w:hint="eastAsia"/>
                      <w:b/>
                      <w:color w:val="auto"/>
                      <w:kern w:val="0"/>
                      <w:sz w:val="21"/>
                      <w:szCs w:val="21"/>
                      <w:lang w:val="en-US" w:eastAsia="zh-CN"/>
                    </w:rPr>
                  </w:pPr>
                </w:p>
              </w:tc>
              <w:tc>
                <w:tcPr>
                  <w:tcW w:w="1679" w:type="dxa"/>
                  <w:tcBorders>
                    <w:tl2br w:val="nil"/>
                    <w:tr2bl w:val="nil"/>
                  </w:tcBorders>
                  <w:vAlign w:val="center"/>
                </w:tcPr>
                <w:p>
                  <w:pPr>
                    <w:jc w:val="center"/>
                    <w:rPr>
                      <w:rFonts w:hint="eastAsia" w:eastAsia="宋体"/>
                      <w:b/>
                      <w:color w:val="auto"/>
                      <w:kern w:val="0"/>
                      <w:sz w:val="21"/>
                      <w:szCs w:val="21"/>
                      <w:lang w:eastAsia="zh-CN"/>
                    </w:rPr>
                  </w:pPr>
                  <w:r>
                    <w:rPr>
                      <w:rFonts w:hint="eastAsia"/>
                      <w:b/>
                      <w:color w:val="auto"/>
                      <w:kern w:val="0"/>
                      <w:sz w:val="21"/>
                      <w:szCs w:val="21"/>
                      <w:lang w:val="en-US" w:eastAsia="zh-CN"/>
                    </w:rPr>
                    <w:t>名称</w:t>
                  </w:r>
                </w:p>
              </w:tc>
              <w:tc>
                <w:tcPr>
                  <w:tcW w:w="1446" w:type="dxa"/>
                  <w:tcBorders>
                    <w:tl2br w:val="nil"/>
                    <w:tr2bl w:val="nil"/>
                  </w:tcBorders>
                  <w:vAlign w:val="center"/>
                </w:tcPr>
                <w:p>
                  <w:pPr>
                    <w:jc w:val="center"/>
                    <w:rPr>
                      <w:rFonts w:hint="eastAsia" w:eastAsia="宋体"/>
                      <w:b/>
                      <w:color w:val="auto"/>
                      <w:kern w:val="0"/>
                      <w:sz w:val="21"/>
                      <w:szCs w:val="21"/>
                      <w:lang w:val="en-US" w:eastAsia="zh-CN"/>
                    </w:rPr>
                  </w:pPr>
                  <w:r>
                    <w:rPr>
                      <w:rFonts w:hint="eastAsia"/>
                      <w:b/>
                      <w:color w:val="auto"/>
                      <w:kern w:val="0"/>
                      <w:sz w:val="21"/>
                      <w:szCs w:val="21"/>
                      <w:lang w:val="en-US" w:eastAsia="zh-CN"/>
                    </w:rPr>
                    <w:t>数量（台）/（套）</w:t>
                  </w:r>
                </w:p>
              </w:tc>
              <w:tc>
                <w:tcPr>
                  <w:tcW w:w="3471" w:type="dxa"/>
                  <w:tcBorders>
                    <w:tl2br w:val="nil"/>
                    <w:tr2bl w:val="nil"/>
                  </w:tcBorders>
                  <w:vAlign w:val="center"/>
                </w:tcPr>
                <w:p>
                  <w:pPr>
                    <w:jc w:val="center"/>
                    <w:rPr>
                      <w:b/>
                      <w:color w:val="auto"/>
                      <w:kern w:val="0"/>
                      <w:sz w:val="21"/>
                      <w:szCs w:val="21"/>
                    </w:rPr>
                  </w:pPr>
                  <w:r>
                    <w:rPr>
                      <w:b/>
                      <w:color w:val="auto"/>
                      <w:kern w:val="0"/>
                      <w:sz w:val="21"/>
                      <w:szCs w:val="21"/>
                    </w:rPr>
                    <w:t>主要技术参数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restart"/>
                  <w:tcBorders>
                    <w:tl2br w:val="nil"/>
                    <w:tr2bl w:val="nil"/>
                  </w:tcBorders>
                  <w:vAlign w:val="center"/>
                </w:tcPr>
                <w:p>
                  <w:pPr>
                    <w:jc w:val="center"/>
                    <w:rPr>
                      <w:bCs/>
                      <w:color w:val="auto"/>
                      <w:kern w:val="0"/>
                      <w:sz w:val="21"/>
                      <w:szCs w:val="21"/>
                    </w:rPr>
                  </w:pPr>
                  <w:r>
                    <w:rPr>
                      <w:rFonts w:hint="eastAsia"/>
                      <w:bCs/>
                      <w:color w:val="auto"/>
                      <w:kern w:val="0"/>
                      <w:sz w:val="21"/>
                      <w:szCs w:val="21"/>
                    </w:rPr>
                    <w:t>璀璨中华区</w:t>
                  </w:r>
                </w:p>
              </w:tc>
              <w:tc>
                <w:tcPr>
                  <w:tcW w:w="1679" w:type="dxa"/>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多媒体互动战船</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rPr>
                  </w:pPr>
                  <w:r>
                    <w:rPr>
                      <w:rFonts w:hint="eastAsia"/>
                      <w:bCs/>
                      <w:color w:val="auto"/>
                      <w:kern w:val="0"/>
                      <w:sz w:val="21"/>
                      <w:szCs w:val="21"/>
                    </w:rPr>
                    <w:t>设备高度：15m</w:t>
                  </w:r>
                  <w:r>
                    <w:rPr>
                      <w:rFonts w:hint="eastAsia"/>
                      <w:bCs/>
                      <w:color w:val="auto"/>
                      <w:kern w:val="0"/>
                      <w:sz w:val="21"/>
                      <w:szCs w:val="21"/>
                      <w:lang w:eastAsia="zh-CN"/>
                    </w:rPr>
                    <w:t>、</w:t>
                  </w:r>
                  <w:r>
                    <w:rPr>
                      <w:rFonts w:hint="eastAsia"/>
                      <w:bCs/>
                      <w:color w:val="auto"/>
                      <w:kern w:val="0"/>
                      <w:sz w:val="21"/>
                      <w:szCs w:val="21"/>
                    </w:rPr>
                    <w:t>承载人数：24</w:t>
                  </w:r>
                  <w:r>
                    <w:rPr>
                      <w:rFonts w:hint="eastAsia"/>
                      <w:bCs/>
                      <w:color w:val="auto"/>
                      <w:kern w:val="0"/>
                      <w:sz w:val="21"/>
                      <w:szCs w:val="21"/>
                      <w:lang w:eastAsia="zh-CN"/>
                    </w:rPr>
                    <w:t>、</w:t>
                  </w:r>
                  <w:r>
                    <w:rPr>
                      <w:rFonts w:hint="eastAsia"/>
                      <w:bCs/>
                      <w:color w:val="auto"/>
                      <w:kern w:val="0"/>
                      <w:sz w:val="21"/>
                      <w:szCs w:val="21"/>
                    </w:rPr>
                    <w:t>总功率：183kW</w:t>
                  </w:r>
                  <w:r>
                    <w:rPr>
                      <w:rFonts w:hint="eastAsia"/>
                      <w:bCs/>
                      <w:color w:val="auto"/>
                      <w:kern w:val="0"/>
                      <w:sz w:val="21"/>
                      <w:szCs w:val="21"/>
                      <w:lang w:eastAsia="zh-CN"/>
                    </w:rPr>
                    <w:t>、</w:t>
                  </w:r>
                  <w:r>
                    <w:rPr>
                      <w:rFonts w:hint="eastAsia"/>
                      <w:bCs/>
                      <w:color w:val="auto"/>
                      <w:kern w:val="0"/>
                      <w:sz w:val="21"/>
                      <w:szCs w:val="21"/>
                    </w:rPr>
                    <w:t>运转周期：5min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飞翔影院</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lang w:eastAsia="zh-CN"/>
                    </w:rPr>
                  </w:pPr>
                  <w:r>
                    <w:rPr>
                      <w:rFonts w:hint="eastAsia"/>
                      <w:bCs/>
                      <w:color w:val="auto"/>
                      <w:kern w:val="0"/>
                      <w:sz w:val="21"/>
                      <w:szCs w:val="21"/>
                    </w:rPr>
                    <w:t>设备高度：23m</w:t>
                  </w:r>
                  <w:r>
                    <w:rPr>
                      <w:rFonts w:hint="eastAsia"/>
                      <w:bCs/>
                      <w:color w:val="auto"/>
                      <w:kern w:val="0"/>
                      <w:sz w:val="21"/>
                      <w:szCs w:val="21"/>
                      <w:lang w:eastAsia="zh-CN"/>
                    </w:rPr>
                    <w:t>、</w:t>
                  </w:r>
                  <w:r>
                    <w:rPr>
                      <w:rFonts w:hint="eastAsia"/>
                      <w:bCs/>
                      <w:color w:val="auto"/>
                      <w:kern w:val="0"/>
                      <w:sz w:val="21"/>
                      <w:szCs w:val="21"/>
                    </w:rPr>
                    <w:t>承载人数：72</w:t>
                  </w:r>
                  <w:r>
                    <w:rPr>
                      <w:rFonts w:hint="eastAsia"/>
                      <w:bCs/>
                      <w:color w:val="auto"/>
                      <w:kern w:val="0"/>
                      <w:sz w:val="21"/>
                      <w:szCs w:val="21"/>
                      <w:lang w:eastAsia="zh-CN"/>
                    </w:rPr>
                    <w:t>、</w:t>
                  </w:r>
                </w:p>
                <w:p>
                  <w:pPr>
                    <w:rPr>
                      <w:rFonts w:hint="eastAsia"/>
                      <w:bCs/>
                      <w:color w:val="auto"/>
                      <w:kern w:val="0"/>
                      <w:sz w:val="21"/>
                      <w:szCs w:val="21"/>
                      <w:lang w:eastAsia="zh-CN"/>
                    </w:rPr>
                  </w:pPr>
                  <w:r>
                    <w:rPr>
                      <w:rFonts w:hint="eastAsia"/>
                      <w:bCs/>
                      <w:color w:val="auto"/>
                      <w:kern w:val="0"/>
                      <w:sz w:val="21"/>
                      <w:szCs w:val="21"/>
                    </w:rPr>
                    <w:t>总功率：474kW</w:t>
                  </w:r>
                  <w:r>
                    <w:rPr>
                      <w:rFonts w:hint="eastAsia"/>
                      <w:bCs/>
                      <w:color w:val="auto"/>
                      <w:kern w:val="0"/>
                      <w:sz w:val="21"/>
                      <w:szCs w:val="21"/>
                      <w:lang w:eastAsia="zh-CN"/>
                    </w:rPr>
                    <w:t>、</w:t>
                  </w:r>
                </w:p>
                <w:p>
                  <w:pPr>
                    <w:rPr>
                      <w:rFonts w:hint="eastAsia"/>
                      <w:bCs/>
                      <w:color w:val="auto"/>
                      <w:kern w:val="0"/>
                      <w:sz w:val="21"/>
                      <w:szCs w:val="21"/>
                    </w:rPr>
                  </w:pPr>
                  <w:r>
                    <w:rPr>
                      <w:rFonts w:hint="eastAsia"/>
                      <w:bCs/>
                      <w:color w:val="auto"/>
                      <w:kern w:val="0"/>
                      <w:sz w:val="21"/>
                      <w:szCs w:val="21"/>
                    </w:rPr>
                    <w:t>运转周期：约5分钟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转转杯</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rPr>
                  </w:pPr>
                  <w:r>
                    <w:rPr>
                      <w:rFonts w:hint="eastAsia"/>
                      <w:bCs/>
                      <w:color w:val="auto"/>
                      <w:kern w:val="0"/>
                      <w:sz w:val="21"/>
                      <w:szCs w:val="21"/>
                    </w:rPr>
                    <w:t>设备高度：8m</w:t>
                  </w:r>
                  <w:r>
                    <w:rPr>
                      <w:rFonts w:hint="eastAsia"/>
                      <w:bCs/>
                      <w:color w:val="auto"/>
                      <w:kern w:val="0"/>
                      <w:sz w:val="21"/>
                      <w:szCs w:val="21"/>
                      <w:lang w:eastAsia="zh-CN"/>
                    </w:rPr>
                    <w:t>、</w:t>
                  </w:r>
                  <w:r>
                    <w:rPr>
                      <w:rFonts w:hint="eastAsia"/>
                      <w:bCs/>
                      <w:color w:val="auto"/>
                      <w:kern w:val="0"/>
                      <w:sz w:val="21"/>
                      <w:szCs w:val="21"/>
                    </w:rPr>
                    <w:t>承载人数：60人</w:t>
                  </w:r>
                  <w:r>
                    <w:rPr>
                      <w:rFonts w:hint="eastAsia"/>
                      <w:bCs/>
                      <w:color w:val="auto"/>
                      <w:kern w:val="0"/>
                      <w:sz w:val="21"/>
                      <w:szCs w:val="21"/>
                      <w:lang w:eastAsia="zh-CN"/>
                    </w:rPr>
                    <w:t>、</w:t>
                  </w:r>
                  <w:r>
                    <w:rPr>
                      <w:rFonts w:hint="eastAsia"/>
                      <w:bCs/>
                      <w:color w:val="auto"/>
                      <w:kern w:val="0"/>
                      <w:sz w:val="21"/>
                      <w:szCs w:val="21"/>
                    </w:rPr>
                    <w:t>运转周期：5min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动感穿越</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lang w:eastAsia="zh-CN"/>
                    </w:rPr>
                  </w:pPr>
                  <w:r>
                    <w:rPr>
                      <w:rFonts w:hint="eastAsia"/>
                      <w:bCs/>
                      <w:color w:val="auto"/>
                      <w:kern w:val="0"/>
                      <w:sz w:val="21"/>
                      <w:szCs w:val="21"/>
                    </w:rPr>
                    <w:t>设备高度：12m</w:t>
                  </w:r>
                  <w:r>
                    <w:rPr>
                      <w:rFonts w:hint="eastAsia"/>
                      <w:bCs/>
                      <w:color w:val="auto"/>
                      <w:kern w:val="0"/>
                      <w:sz w:val="21"/>
                      <w:szCs w:val="21"/>
                      <w:lang w:eastAsia="zh-CN"/>
                    </w:rPr>
                    <w:t>、</w:t>
                  </w:r>
                </w:p>
                <w:p>
                  <w:pPr>
                    <w:rPr>
                      <w:rFonts w:hint="eastAsia"/>
                      <w:bCs/>
                      <w:color w:val="auto"/>
                      <w:kern w:val="0"/>
                      <w:sz w:val="21"/>
                      <w:szCs w:val="21"/>
                      <w:lang w:eastAsia="zh-CN"/>
                    </w:rPr>
                  </w:pPr>
                  <w:r>
                    <w:rPr>
                      <w:rFonts w:hint="eastAsia"/>
                      <w:bCs/>
                      <w:color w:val="auto"/>
                      <w:kern w:val="0"/>
                      <w:sz w:val="21"/>
                      <w:szCs w:val="21"/>
                    </w:rPr>
                    <w:t>承载人数：共48人（动车：16人；乘客车：32人）</w:t>
                  </w:r>
                  <w:r>
                    <w:rPr>
                      <w:rFonts w:hint="eastAsia"/>
                      <w:bCs/>
                      <w:color w:val="auto"/>
                      <w:kern w:val="0"/>
                      <w:sz w:val="21"/>
                      <w:szCs w:val="21"/>
                      <w:lang w:eastAsia="zh-CN"/>
                    </w:rPr>
                    <w:t>、</w:t>
                  </w:r>
                </w:p>
                <w:p>
                  <w:pPr>
                    <w:rPr>
                      <w:rFonts w:hint="eastAsia"/>
                      <w:bCs/>
                      <w:color w:val="auto"/>
                      <w:kern w:val="0"/>
                      <w:sz w:val="21"/>
                      <w:szCs w:val="21"/>
                    </w:rPr>
                  </w:pPr>
                  <w:r>
                    <w:rPr>
                      <w:rFonts w:hint="eastAsia"/>
                      <w:bCs/>
                      <w:color w:val="auto"/>
                      <w:kern w:val="0"/>
                      <w:sz w:val="21"/>
                      <w:szCs w:val="21"/>
                    </w:rPr>
                    <w:t>总功率：225.5kW</w:t>
                  </w:r>
                </w:p>
                <w:p>
                  <w:pPr>
                    <w:rPr>
                      <w:rFonts w:hint="eastAsia"/>
                      <w:bCs/>
                      <w:color w:val="auto"/>
                      <w:kern w:val="0"/>
                      <w:sz w:val="21"/>
                      <w:szCs w:val="21"/>
                    </w:rPr>
                  </w:pPr>
                  <w:r>
                    <w:rPr>
                      <w:rFonts w:hint="eastAsia"/>
                      <w:bCs/>
                      <w:color w:val="auto"/>
                      <w:kern w:val="0"/>
                      <w:sz w:val="21"/>
                      <w:szCs w:val="21"/>
                    </w:rPr>
                    <w:t>运转周期：约6</w:t>
                  </w:r>
                  <w:r>
                    <w:rPr>
                      <w:rFonts w:hint="eastAsia"/>
                      <w:bCs/>
                      <w:color w:val="auto"/>
                      <w:kern w:val="0"/>
                      <w:sz w:val="21"/>
                      <w:szCs w:val="21"/>
                      <w:lang w:val="en-US" w:eastAsia="zh-CN"/>
                    </w:rPr>
                    <w:t>分钟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互动黑暗乘骑</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lang w:eastAsia="zh-CN"/>
                    </w:rPr>
                  </w:pPr>
                  <w:r>
                    <w:rPr>
                      <w:rFonts w:hint="eastAsia"/>
                      <w:bCs/>
                      <w:color w:val="auto"/>
                      <w:kern w:val="0"/>
                      <w:sz w:val="21"/>
                      <w:szCs w:val="21"/>
                    </w:rPr>
                    <w:t>设备高度：15m</w:t>
                  </w:r>
                  <w:r>
                    <w:rPr>
                      <w:rFonts w:hint="eastAsia"/>
                      <w:bCs/>
                      <w:color w:val="auto"/>
                      <w:kern w:val="0"/>
                      <w:sz w:val="21"/>
                      <w:szCs w:val="21"/>
                      <w:lang w:eastAsia="zh-CN"/>
                    </w:rPr>
                    <w:t>、</w:t>
                  </w:r>
                  <w:r>
                    <w:rPr>
                      <w:rFonts w:hint="eastAsia"/>
                      <w:bCs/>
                      <w:color w:val="auto"/>
                      <w:kern w:val="0"/>
                      <w:sz w:val="21"/>
                      <w:szCs w:val="21"/>
                    </w:rPr>
                    <w:t>承载人数：6</w:t>
                  </w:r>
                  <w:r>
                    <w:rPr>
                      <w:rFonts w:hint="eastAsia"/>
                      <w:bCs/>
                      <w:color w:val="auto"/>
                      <w:kern w:val="0"/>
                      <w:sz w:val="21"/>
                      <w:szCs w:val="21"/>
                      <w:lang w:eastAsia="zh-CN"/>
                    </w:rPr>
                    <w:t>、</w:t>
                  </w:r>
                </w:p>
                <w:p>
                  <w:pPr>
                    <w:rPr>
                      <w:rFonts w:hint="eastAsia"/>
                      <w:bCs/>
                      <w:color w:val="auto"/>
                      <w:kern w:val="0"/>
                      <w:sz w:val="21"/>
                      <w:szCs w:val="21"/>
                    </w:rPr>
                  </w:pPr>
                  <w:r>
                    <w:rPr>
                      <w:rFonts w:hint="eastAsia"/>
                      <w:bCs/>
                      <w:color w:val="auto"/>
                      <w:kern w:val="0"/>
                      <w:sz w:val="21"/>
                      <w:szCs w:val="21"/>
                    </w:rPr>
                    <w:t>总功率：365kW</w:t>
                  </w:r>
                </w:p>
                <w:p>
                  <w:pPr>
                    <w:rPr>
                      <w:rFonts w:hint="eastAsia"/>
                      <w:bCs/>
                      <w:color w:val="auto"/>
                      <w:kern w:val="0"/>
                      <w:sz w:val="21"/>
                      <w:szCs w:val="21"/>
                    </w:rPr>
                  </w:pPr>
                  <w:r>
                    <w:rPr>
                      <w:rFonts w:hint="eastAsia"/>
                      <w:bCs/>
                      <w:color w:val="auto"/>
                      <w:kern w:val="0"/>
                      <w:sz w:val="21"/>
                      <w:szCs w:val="21"/>
                    </w:rPr>
                    <w:t>运转周期：约5.5min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5D环境剧场</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rPr>
                  </w:pPr>
                  <w:r>
                    <w:rPr>
                      <w:rFonts w:hint="eastAsia"/>
                      <w:bCs/>
                      <w:color w:val="auto"/>
                      <w:kern w:val="0"/>
                      <w:sz w:val="21"/>
                      <w:szCs w:val="21"/>
                    </w:rPr>
                    <w:t>承载人数：400座（每场）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歌舞剧场</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rPr>
                  </w:pPr>
                  <w:r>
                    <w:rPr>
                      <w:rFonts w:hint="eastAsia"/>
                      <w:bCs/>
                      <w:color w:val="auto"/>
                      <w:kern w:val="0"/>
                      <w:sz w:val="21"/>
                      <w:szCs w:val="21"/>
                    </w:rPr>
                    <w:t>承载人数：256座（每场）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特技剧场</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lang w:eastAsia="zh-CN"/>
                    </w:rPr>
                  </w:pPr>
                  <w:r>
                    <w:rPr>
                      <w:rFonts w:hint="eastAsia"/>
                      <w:bCs/>
                      <w:color w:val="auto"/>
                      <w:kern w:val="0"/>
                      <w:sz w:val="21"/>
                      <w:szCs w:val="21"/>
                    </w:rPr>
                    <w:t>承载人数：2100座（每场）</w:t>
                  </w:r>
                  <w:r>
                    <w:rPr>
                      <w:rFonts w:hint="eastAsia"/>
                      <w:bCs/>
                      <w:color w:val="auto"/>
                      <w:kern w:val="0"/>
                      <w:sz w:val="21"/>
                      <w:szCs w:val="21"/>
                      <w:lang w:eastAsia="zh-CN"/>
                    </w:rPr>
                    <w:t>、</w:t>
                  </w:r>
                </w:p>
                <w:p>
                  <w:pPr>
                    <w:rPr>
                      <w:rFonts w:hint="eastAsia"/>
                      <w:bCs/>
                      <w:color w:val="auto"/>
                      <w:kern w:val="0"/>
                      <w:sz w:val="21"/>
                      <w:szCs w:val="21"/>
                    </w:rPr>
                  </w:pPr>
                  <w:r>
                    <w:rPr>
                      <w:rFonts w:hint="eastAsia"/>
                      <w:bCs/>
                      <w:color w:val="auto"/>
                      <w:kern w:val="0"/>
                      <w:sz w:val="21"/>
                      <w:szCs w:val="21"/>
                    </w:rPr>
                    <w:t>运转周期：依据节目设置确定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悬挂飞行乘骑</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rPr>
                  </w:pPr>
                  <w:r>
                    <w:rPr>
                      <w:rFonts w:hint="eastAsia"/>
                      <w:bCs/>
                      <w:color w:val="auto"/>
                      <w:kern w:val="0"/>
                      <w:sz w:val="21"/>
                      <w:szCs w:val="21"/>
                    </w:rPr>
                    <w:t>设备高度：15m</w:t>
                  </w:r>
                  <w:r>
                    <w:rPr>
                      <w:rFonts w:hint="eastAsia"/>
                      <w:bCs/>
                      <w:color w:val="auto"/>
                      <w:kern w:val="0"/>
                      <w:sz w:val="21"/>
                      <w:szCs w:val="21"/>
                      <w:lang w:eastAsia="zh-CN"/>
                    </w:rPr>
                    <w:t>、</w:t>
                  </w:r>
                </w:p>
                <w:p>
                  <w:pPr>
                    <w:rPr>
                      <w:rFonts w:hint="eastAsia"/>
                      <w:bCs/>
                      <w:color w:val="auto"/>
                      <w:kern w:val="0"/>
                      <w:sz w:val="21"/>
                      <w:szCs w:val="21"/>
                      <w:lang w:eastAsia="zh-CN"/>
                    </w:rPr>
                  </w:pPr>
                  <w:r>
                    <w:rPr>
                      <w:rFonts w:hint="eastAsia"/>
                      <w:bCs/>
                      <w:color w:val="auto"/>
                      <w:kern w:val="0"/>
                      <w:sz w:val="21"/>
                      <w:szCs w:val="21"/>
                    </w:rPr>
                    <w:t>承载人数：4=1排×4座（2成人2儿童）</w:t>
                  </w:r>
                </w:p>
                <w:p>
                  <w:pPr>
                    <w:rPr>
                      <w:rFonts w:hint="eastAsia"/>
                      <w:bCs/>
                      <w:color w:val="auto"/>
                      <w:kern w:val="0"/>
                      <w:sz w:val="21"/>
                      <w:szCs w:val="21"/>
                    </w:rPr>
                  </w:pPr>
                  <w:r>
                    <w:rPr>
                      <w:rFonts w:hint="eastAsia"/>
                      <w:bCs/>
                      <w:color w:val="auto"/>
                      <w:kern w:val="0"/>
                      <w:sz w:val="21"/>
                      <w:szCs w:val="21"/>
                    </w:rPr>
                    <w:t>总功率：250kW</w:t>
                  </w:r>
                  <w:r>
                    <w:rPr>
                      <w:rFonts w:hint="eastAsia"/>
                      <w:bCs/>
                      <w:color w:val="auto"/>
                      <w:kern w:val="0"/>
                      <w:sz w:val="21"/>
                      <w:szCs w:val="21"/>
                      <w:lang w:eastAsia="zh-CN"/>
                    </w:rPr>
                    <w:t>、</w:t>
                  </w:r>
                  <w:r>
                    <w:rPr>
                      <w:rFonts w:hint="eastAsia"/>
                      <w:bCs/>
                      <w:color w:val="auto"/>
                      <w:kern w:val="0"/>
                      <w:sz w:val="21"/>
                      <w:szCs w:val="21"/>
                    </w:rPr>
                    <w:t>运转周期：260s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自控飞机</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rPr>
                  </w:pPr>
                  <w:r>
                    <w:rPr>
                      <w:rFonts w:hint="eastAsia"/>
                      <w:bCs/>
                      <w:color w:val="auto"/>
                      <w:kern w:val="0"/>
                      <w:sz w:val="21"/>
                      <w:szCs w:val="21"/>
                    </w:rPr>
                    <w:t>设备高度：13m</w:t>
                  </w:r>
                  <w:r>
                    <w:rPr>
                      <w:rFonts w:hint="eastAsia"/>
                      <w:bCs/>
                      <w:color w:val="auto"/>
                      <w:kern w:val="0"/>
                      <w:sz w:val="21"/>
                      <w:szCs w:val="21"/>
                      <w:lang w:eastAsia="zh-CN"/>
                    </w:rPr>
                    <w:t>、</w:t>
                  </w:r>
                  <w:r>
                    <w:rPr>
                      <w:rFonts w:hint="eastAsia"/>
                      <w:bCs/>
                      <w:color w:val="auto"/>
                      <w:kern w:val="0"/>
                      <w:sz w:val="21"/>
                      <w:szCs w:val="21"/>
                    </w:rPr>
                    <w:t>承载人数：/</w:t>
                  </w:r>
                </w:p>
                <w:p>
                  <w:pPr>
                    <w:rPr>
                      <w:rFonts w:hint="eastAsia"/>
                      <w:bCs/>
                      <w:color w:val="auto"/>
                      <w:kern w:val="0"/>
                      <w:sz w:val="21"/>
                      <w:szCs w:val="21"/>
                    </w:rPr>
                  </w:pPr>
                  <w:r>
                    <w:rPr>
                      <w:rFonts w:hint="eastAsia"/>
                      <w:bCs/>
                      <w:color w:val="auto"/>
                      <w:kern w:val="0"/>
                      <w:sz w:val="21"/>
                      <w:szCs w:val="21"/>
                    </w:rPr>
                    <w:t>运转周期：/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秋千</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rPr>
                  </w:pPr>
                  <w:r>
                    <w:rPr>
                      <w:rFonts w:hint="eastAsia"/>
                      <w:bCs/>
                      <w:color w:val="auto"/>
                      <w:kern w:val="0"/>
                      <w:sz w:val="21"/>
                      <w:szCs w:val="21"/>
                    </w:rPr>
                    <w:t>设备高度：18m</w:t>
                  </w:r>
                  <w:r>
                    <w:rPr>
                      <w:rFonts w:hint="eastAsia"/>
                      <w:bCs/>
                      <w:color w:val="auto"/>
                      <w:kern w:val="0"/>
                      <w:sz w:val="21"/>
                      <w:szCs w:val="21"/>
                      <w:lang w:eastAsia="zh-CN"/>
                    </w:rPr>
                    <w:t>、</w:t>
                  </w:r>
                  <w:r>
                    <w:rPr>
                      <w:rFonts w:hint="eastAsia"/>
                      <w:bCs/>
                      <w:color w:val="auto"/>
                      <w:kern w:val="0"/>
                      <w:sz w:val="21"/>
                      <w:szCs w:val="21"/>
                    </w:rPr>
                    <w:t>承载人数：/</w:t>
                  </w:r>
                </w:p>
                <w:p>
                  <w:pPr>
                    <w:rPr>
                      <w:rFonts w:hint="eastAsia"/>
                      <w:bCs/>
                      <w:color w:val="auto"/>
                      <w:kern w:val="0"/>
                      <w:sz w:val="21"/>
                      <w:szCs w:val="21"/>
                    </w:rPr>
                  </w:pPr>
                  <w:r>
                    <w:rPr>
                      <w:rFonts w:hint="eastAsia"/>
                      <w:bCs/>
                      <w:color w:val="auto"/>
                      <w:kern w:val="0"/>
                      <w:sz w:val="21"/>
                      <w:szCs w:val="21"/>
                    </w:rPr>
                    <w:t>运转周期：/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动感影院</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rPr>
                  </w:pPr>
                  <w:r>
                    <w:rPr>
                      <w:rFonts w:hint="eastAsia"/>
                      <w:bCs/>
                      <w:color w:val="auto"/>
                      <w:kern w:val="0"/>
                      <w:sz w:val="21"/>
                      <w:szCs w:val="21"/>
                    </w:rPr>
                    <w:t>设备高度：20m</w:t>
                  </w:r>
                  <w:r>
                    <w:rPr>
                      <w:rFonts w:hint="eastAsia"/>
                      <w:bCs/>
                      <w:color w:val="auto"/>
                      <w:kern w:val="0"/>
                      <w:sz w:val="21"/>
                      <w:szCs w:val="21"/>
                      <w:lang w:eastAsia="zh-CN"/>
                    </w:rPr>
                    <w:t>、</w:t>
                  </w:r>
                  <w:r>
                    <w:rPr>
                      <w:rFonts w:hint="eastAsia"/>
                      <w:bCs/>
                      <w:color w:val="auto"/>
                      <w:kern w:val="0"/>
                      <w:sz w:val="21"/>
                      <w:szCs w:val="21"/>
                    </w:rPr>
                    <w:t>承载人数：96</w:t>
                  </w:r>
                </w:p>
                <w:p>
                  <w:pPr>
                    <w:rPr>
                      <w:rFonts w:hint="eastAsia"/>
                      <w:bCs/>
                      <w:color w:val="auto"/>
                      <w:kern w:val="0"/>
                      <w:sz w:val="21"/>
                      <w:szCs w:val="21"/>
                    </w:rPr>
                  </w:pPr>
                  <w:r>
                    <w:rPr>
                      <w:rFonts w:hint="eastAsia"/>
                      <w:bCs/>
                      <w:color w:val="auto"/>
                      <w:kern w:val="0"/>
                      <w:sz w:val="21"/>
                      <w:szCs w:val="21"/>
                    </w:rPr>
                    <w:t>总功率：290kW</w:t>
                  </w:r>
                </w:p>
                <w:p>
                  <w:pPr>
                    <w:rPr>
                      <w:rFonts w:hint="eastAsia"/>
                      <w:bCs/>
                      <w:color w:val="auto"/>
                      <w:kern w:val="0"/>
                      <w:sz w:val="21"/>
                      <w:szCs w:val="21"/>
                    </w:rPr>
                  </w:pPr>
                  <w:r>
                    <w:rPr>
                      <w:rFonts w:hint="eastAsia"/>
                      <w:bCs/>
                      <w:color w:val="auto"/>
                      <w:kern w:val="0"/>
                      <w:sz w:val="21"/>
                      <w:szCs w:val="21"/>
                    </w:rPr>
                    <w:t>运转周期：约5分钟（根据影片决定）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互动体验剧场</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lang w:eastAsia="zh-CN"/>
                    </w:rPr>
                  </w:pPr>
                  <w:r>
                    <w:rPr>
                      <w:rFonts w:hint="eastAsia"/>
                      <w:bCs/>
                      <w:color w:val="auto"/>
                      <w:kern w:val="0"/>
                      <w:sz w:val="21"/>
                      <w:szCs w:val="21"/>
                    </w:rPr>
                    <w:t>设备高度：15m</w:t>
                  </w:r>
                </w:p>
                <w:p>
                  <w:pPr>
                    <w:rPr>
                      <w:rFonts w:hint="eastAsia"/>
                      <w:bCs/>
                      <w:color w:val="auto"/>
                      <w:kern w:val="0"/>
                      <w:sz w:val="21"/>
                      <w:szCs w:val="21"/>
                    </w:rPr>
                  </w:pPr>
                  <w:r>
                    <w:rPr>
                      <w:rFonts w:hint="eastAsia"/>
                      <w:bCs/>
                      <w:color w:val="auto"/>
                      <w:kern w:val="0"/>
                      <w:sz w:val="21"/>
                      <w:szCs w:val="21"/>
                    </w:rPr>
                    <w:t>承载人数：100=4 排×25座</w:t>
                  </w:r>
                </w:p>
                <w:p>
                  <w:pPr>
                    <w:rPr>
                      <w:rFonts w:hint="eastAsia"/>
                      <w:bCs/>
                      <w:color w:val="auto"/>
                      <w:kern w:val="0"/>
                      <w:sz w:val="21"/>
                      <w:szCs w:val="21"/>
                    </w:rPr>
                  </w:pPr>
                  <w:r>
                    <w:rPr>
                      <w:rFonts w:hint="eastAsia"/>
                      <w:bCs/>
                      <w:color w:val="auto"/>
                      <w:kern w:val="0"/>
                      <w:sz w:val="21"/>
                      <w:szCs w:val="21"/>
                    </w:rPr>
                    <w:t>总功率：100kW</w:t>
                  </w:r>
                </w:p>
                <w:p>
                  <w:pPr>
                    <w:rPr>
                      <w:rFonts w:hint="eastAsia"/>
                      <w:bCs/>
                      <w:color w:val="auto"/>
                      <w:kern w:val="0"/>
                      <w:sz w:val="21"/>
                      <w:szCs w:val="21"/>
                    </w:rPr>
                  </w:pPr>
                  <w:r>
                    <w:rPr>
                      <w:rFonts w:hint="eastAsia"/>
                      <w:bCs/>
                      <w:color w:val="auto"/>
                      <w:kern w:val="0"/>
                      <w:sz w:val="21"/>
                      <w:szCs w:val="21"/>
                    </w:rPr>
                    <w:t>运转周期：5min（根据影片决定）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restart"/>
                  <w:tcBorders>
                    <w:tl2br w:val="nil"/>
                    <w:tr2bl w:val="nil"/>
                  </w:tcBorders>
                  <w:vAlign w:val="center"/>
                </w:tcPr>
                <w:p>
                  <w:pPr>
                    <w:jc w:val="center"/>
                    <w:rPr>
                      <w:bCs/>
                      <w:color w:val="auto"/>
                      <w:kern w:val="0"/>
                      <w:sz w:val="21"/>
                      <w:szCs w:val="21"/>
                    </w:rPr>
                  </w:pPr>
                  <w:r>
                    <w:rPr>
                      <w:rFonts w:hint="eastAsia"/>
                      <w:bCs/>
                      <w:color w:val="auto"/>
                      <w:kern w:val="0"/>
                      <w:sz w:val="21"/>
                      <w:szCs w:val="21"/>
                    </w:rPr>
                    <w:t>神秘古国区</w:t>
                  </w:r>
                </w:p>
              </w:tc>
              <w:tc>
                <w:tcPr>
                  <w:tcW w:w="1679" w:type="dxa"/>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多媒体情景互动过山车</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lang w:eastAsia="zh-CN"/>
                    </w:rPr>
                  </w:pPr>
                  <w:r>
                    <w:rPr>
                      <w:rFonts w:hint="eastAsia"/>
                      <w:bCs/>
                      <w:color w:val="auto"/>
                      <w:kern w:val="0"/>
                      <w:sz w:val="21"/>
                      <w:szCs w:val="21"/>
                    </w:rPr>
                    <w:t>设备高度：26.5m</w:t>
                  </w:r>
                  <w:r>
                    <w:rPr>
                      <w:rFonts w:hint="eastAsia"/>
                      <w:bCs/>
                      <w:color w:val="auto"/>
                      <w:kern w:val="0"/>
                      <w:sz w:val="21"/>
                      <w:szCs w:val="21"/>
                      <w:lang w:eastAsia="zh-CN"/>
                    </w:rPr>
                    <w:t>、</w:t>
                  </w:r>
                </w:p>
                <w:p>
                  <w:pPr>
                    <w:rPr>
                      <w:rFonts w:hint="eastAsia"/>
                      <w:bCs/>
                      <w:color w:val="auto"/>
                      <w:kern w:val="0"/>
                      <w:sz w:val="21"/>
                      <w:szCs w:val="21"/>
                      <w:lang w:eastAsia="zh-CN"/>
                    </w:rPr>
                  </w:pPr>
                  <w:r>
                    <w:rPr>
                      <w:rFonts w:hint="eastAsia"/>
                      <w:bCs/>
                      <w:color w:val="auto"/>
                      <w:kern w:val="0"/>
                      <w:sz w:val="21"/>
                      <w:szCs w:val="21"/>
                    </w:rPr>
                    <w:t>承载人数：16=4排×4座</w:t>
                  </w:r>
                  <w:r>
                    <w:rPr>
                      <w:rFonts w:hint="eastAsia"/>
                      <w:bCs/>
                      <w:color w:val="auto"/>
                      <w:kern w:val="0"/>
                      <w:sz w:val="21"/>
                      <w:szCs w:val="21"/>
                      <w:lang w:eastAsia="zh-CN"/>
                    </w:rPr>
                    <w:t>、</w:t>
                  </w:r>
                </w:p>
                <w:p>
                  <w:pPr>
                    <w:rPr>
                      <w:rFonts w:hint="eastAsia"/>
                      <w:bCs/>
                      <w:color w:val="auto"/>
                      <w:kern w:val="0"/>
                      <w:sz w:val="21"/>
                      <w:szCs w:val="21"/>
                    </w:rPr>
                  </w:pPr>
                  <w:r>
                    <w:rPr>
                      <w:rFonts w:hint="eastAsia"/>
                      <w:bCs/>
                      <w:color w:val="auto"/>
                      <w:kern w:val="0"/>
                      <w:sz w:val="21"/>
                      <w:szCs w:val="21"/>
                    </w:rPr>
                    <w:t>总功率：4100kW</w:t>
                  </w:r>
                  <w:r>
                    <w:rPr>
                      <w:rFonts w:hint="eastAsia"/>
                      <w:bCs/>
                      <w:color w:val="auto"/>
                      <w:kern w:val="0"/>
                      <w:sz w:val="21"/>
                      <w:szCs w:val="21"/>
                      <w:lang w:eastAsia="zh-CN"/>
                    </w:rPr>
                    <w:t>、</w:t>
                  </w:r>
                  <w:r>
                    <w:rPr>
                      <w:rFonts w:hint="eastAsia"/>
                      <w:bCs/>
                      <w:color w:val="auto"/>
                      <w:kern w:val="0"/>
                      <w:sz w:val="21"/>
                      <w:szCs w:val="21"/>
                    </w:rPr>
                    <w:t>运转周期：183s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266" w:type="dxa"/>
                  <w:vMerge w:val="continue"/>
                  <w:tcBorders>
                    <w:tl2br w:val="nil"/>
                    <w:tr2bl w:val="nil"/>
                  </w:tcBorders>
                  <w:vAlign w:val="center"/>
                </w:tcPr>
                <w:p>
                  <w:pPr>
                    <w:jc w:val="center"/>
                    <w:rPr>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迷宫步行场景</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jc w:val="center"/>
                    <w:rPr>
                      <w:rFonts w:hint="eastAsia" w:eastAsia="宋体"/>
                      <w:bCs/>
                      <w:color w:val="auto"/>
                      <w:kern w:val="0"/>
                      <w:sz w:val="21"/>
                      <w:szCs w:val="21"/>
                      <w:lang w:val="en-US" w:eastAsia="zh-CN"/>
                    </w:rPr>
                  </w:pPr>
                  <w:r>
                    <w:rPr>
                      <w:rFonts w:hint="eastAsia"/>
                      <w:bCs/>
                      <w:color w:val="auto"/>
                      <w:kern w:val="0"/>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轨道互动射击</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rPr>
                  </w:pPr>
                  <w:r>
                    <w:rPr>
                      <w:rFonts w:hint="eastAsia"/>
                      <w:bCs/>
                      <w:color w:val="auto"/>
                      <w:kern w:val="0"/>
                      <w:sz w:val="21"/>
                      <w:szCs w:val="21"/>
                    </w:rPr>
                    <w:t>承载人数：4=2排×2座</w:t>
                  </w:r>
                </w:p>
                <w:p>
                  <w:pPr>
                    <w:rPr>
                      <w:rFonts w:hint="eastAsia"/>
                      <w:bCs/>
                      <w:color w:val="auto"/>
                      <w:kern w:val="0"/>
                      <w:sz w:val="21"/>
                      <w:szCs w:val="21"/>
                    </w:rPr>
                  </w:pPr>
                  <w:r>
                    <w:rPr>
                      <w:rFonts w:hint="eastAsia"/>
                      <w:bCs/>
                      <w:color w:val="auto"/>
                      <w:kern w:val="0"/>
                      <w:sz w:val="21"/>
                      <w:szCs w:val="21"/>
                    </w:rPr>
                    <w:t>背靠背形式</w:t>
                  </w:r>
                </w:p>
                <w:p>
                  <w:pPr>
                    <w:rPr>
                      <w:rFonts w:hint="eastAsia"/>
                      <w:bCs/>
                      <w:color w:val="auto"/>
                      <w:kern w:val="0"/>
                      <w:sz w:val="21"/>
                      <w:szCs w:val="21"/>
                    </w:rPr>
                  </w:pPr>
                  <w:r>
                    <w:rPr>
                      <w:rFonts w:hint="eastAsia"/>
                      <w:bCs/>
                      <w:color w:val="auto"/>
                      <w:kern w:val="0"/>
                      <w:sz w:val="21"/>
                      <w:szCs w:val="21"/>
                    </w:rPr>
                    <w:t>总功率：100kW</w:t>
                  </w:r>
                  <w:r>
                    <w:rPr>
                      <w:rFonts w:hint="eastAsia"/>
                      <w:bCs/>
                      <w:color w:val="auto"/>
                      <w:kern w:val="0"/>
                      <w:sz w:val="21"/>
                      <w:szCs w:val="21"/>
                      <w:lang w:eastAsia="zh-CN"/>
                    </w:rPr>
                    <w:t>、</w:t>
                  </w:r>
                  <w:r>
                    <w:rPr>
                      <w:rFonts w:hint="eastAsia"/>
                      <w:bCs/>
                      <w:color w:val="auto"/>
                      <w:kern w:val="0"/>
                      <w:sz w:val="21"/>
                      <w:szCs w:val="21"/>
                    </w:rPr>
                    <w:t>运转周期：约5min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魔幻剧场</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lang w:eastAsia="zh-CN"/>
                    </w:rPr>
                  </w:pPr>
                  <w:r>
                    <w:rPr>
                      <w:rFonts w:hint="eastAsia"/>
                      <w:bCs/>
                      <w:color w:val="auto"/>
                      <w:kern w:val="0"/>
                      <w:sz w:val="21"/>
                      <w:szCs w:val="21"/>
                      <w:lang w:val="en-US" w:eastAsia="zh-CN"/>
                    </w:rPr>
                    <w:t>承</w:t>
                  </w:r>
                  <w:r>
                    <w:rPr>
                      <w:rFonts w:hint="eastAsia"/>
                      <w:bCs/>
                      <w:color w:val="auto"/>
                      <w:kern w:val="0"/>
                      <w:sz w:val="21"/>
                      <w:szCs w:val="21"/>
                    </w:rPr>
                    <w:t>载人数：476座（每场）</w:t>
                  </w:r>
                  <w:r>
                    <w:rPr>
                      <w:rFonts w:hint="eastAsia"/>
                      <w:bCs/>
                      <w:color w:val="auto"/>
                      <w:kern w:val="0"/>
                      <w:sz w:val="21"/>
                      <w:szCs w:val="21"/>
                      <w:lang w:eastAsia="zh-CN"/>
                    </w:rPr>
                    <w:t>、</w:t>
                  </w:r>
                </w:p>
                <w:p>
                  <w:pPr>
                    <w:rPr>
                      <w:rFonts w:hint="eastAsia"/>
                      <w:bCs/>
                      <w:color w:val="auto"/>
                      <w:kern w:val="0"/>
                      <w:sz w:val="21"/>
                      <w:szCs w:val="21"/>
                    </w:rPr>
                  </w:pPr>
                  <w:r>
                    <w:rPr>
                      <w:rFonts w:hint="eastAsia"/>
                      <w:bCs/>
                      <w:color w:val="auto"/>
                      <w:kern w:val="0"/>
                      <w:sz w:val="21"/>
                      <w:szCs w:val="21"/>
                    </w:rPr>
                    <w:t>运转周期：依据节目设置确定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机械翻滚</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rPr>
                  </w:pPr>
                  <w:r>
                    <w:rPr>
                      <w:rFonts w:hint="eastAsia"/>
                      <w:bCs/>
                      <w:color w:val="auto"/>
                      <w:kern w:val="0"/>
                      <w:sz w:val="21"/>
                      <w:szCs w:val="21"/>
                    </w:rPr>
                    <w:t>设备高度：2</w:t>
                  </w:r>
                  <w:r>
                    <w:rPr>
                      <w:rFonts w:hint="eastAsia"/>
                      <w:bCs/>
                      <w:color w:val="auto"/>
                      <w:kern w:val="0"/>
                      <w:sz w:val="21"/>
                      <w:szCs w:val="21"/>
                      <w:lang w:val="en-US" w:eastAsia="zh-CN"/>
                    </w:rPr>
                    <w:t>1m</w:t>
                  </w:r>
                </w:p>
                <w:p>
                  <w:pPr>
                    <w:rPr>
                      <w:rFonts w:hint="eastAsia"/>
                      <w:bCs/>
                      <w:color w:val="auto"/>
                      <w:kern w:val="0"/>
                      <w:sz w:val="21"/>
                      <w:szCs w:val="21"/>
                    </w:rPr>
                  </w:pPr>
                  <w:r>
                    <w:rPr>
                      <w:rFonts w:hint="eastAsia"/>
                      <w:bCs/>
                      <w:color w:val="auto"/>
                      <w:kern w:val="0"/>
                      <w:sz w:val="21"/>
                      <w:szCs w:val="21"/>
                    </w:rPr>
                    <w:t>承载人数：38=2排×19座</w:t>
                  </w:r>
                  <w:r>
                    <w:rPr>
                      <w:rFonts w:hint="eastAsia"/>
                      <w:bCs/>
                      <w:color w:val="auto"/>
                      <w:kern w:val="0"/>
                      <w:sz w:val="21"/>
                      <w:szCs w:val="21"/>
                      <w:lang w:eastAsia="zh-CN"/>
                    </w:rPr>
                    <w:t>、</w:t>
                  </w:r>
                  <w:r>
                    <w:rPr>
                      <w:rFonts w:hint="eastAsia"/>
                      <w:bCs/>
                      <w:color w:val="auto"/>
                      <w:kern w:val="0"/>
                      <w:sz w:val="21"/>
                      <w:szCs w:val="21"/>
                    </w:rPr>
                    <w:t>背靠背</w:t>
                  </w:r>
                </w:p>
                <w:p>
                  <w:pPr>
                    <w:rPr>
                      <w:rFonts w:hint="eastAsia"/>
                      <w:bCs/>
                      <w:color w:val="auto"/>
                      <w:kern w:val="0"/>
                      <w:sz w:val="21"/>
                      <w:szCs w:val="21"/>
                    </w:rPr>
                  </w:pPr>
                  <w:r>
                    <w:rPr>
                      <w:rFonts w:hint="eastAsia"/>
                      <w:bCs/>
                      <w:color w:val="auto"/>
                      <w:kern w:val="0"/>
                      <w:sz w:val="21"/>
                      <w:szCs w:val="21"/>
                    </w:rPr>
                    <w:t>总功率：261kW</w:t>
                  </w:r>
                </w:p>
                <w:p>
                  <w:pPr>
                    <w:rPr>
                      <w:rFonts w:hint="eastAsia"/>
                      <w:bCs/>
                      <w:color w:val="auto"/>
                      <w:kern w:val="0"/>
                      <w:sz w:val="21"/>
                      <w:szCs w:val="21"/>
                    </w:rPr>
                  </w:pPr>
                  <w:r>
                    <w:rPr>
                      <w:rFonts w:hint="eastAsia"/>
                      <w:bCs/>
                      <w:color w:val="auto"/>
                      <w:kern w:val="0"/>
                      <w:sz w:val="21"/>
                      <w:szCs w:val="21"/>
                    </w:rPr>
                    <w:t>运转周期：2min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restart"/>
                  <w:tcBorders>
                    <w:tl2br w:val="nil"/>
                    <w:tr2bl w:val="nil"/>
                  </w:tcBorders>
                  <w:vAlign w:val="center"/>
                </w:tcPr>
                <w:p>
                  <w:pPr>
                    <w:jc w:val="center"/>
                    <w:rPr>
                      <w:bCs/>
                      <w:color w:val="auto"/>
                      <w:kern w:val="0"/>
                      <w:sz w:val="21"/>
                      <w:szCs w:val="21"/>
                    </w:rPr>
                  </w:pPr>
                  <w:r>
                    <w:rPr>
                      <w:rFonts w:hint="eastAsia"/>
                      <w:bCs/>
                      <w:color w:val="auto"/>
                      <w:kern w:val="0"/>
                      <w:sz w:val="21"/>
                      <w:szCs w:val="21"/>
                    </w:rPr>
                    <w:t>魔幻西欧区</w:t>
                  </w:r>
                </w:p>
              </w:tc>
              <w:tc>
                <w:tcPr>
                  <w:tcW w:w="1679" w:type="dxa"/>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悬挂式特</w:t>
                  </w:r>
                </w:p>
                <w:p>
                  <w:pPr>
                    <w:jc w:val="center"/>
                    <w:rPr>
                      <w:rFonts w:hint="eastAsia"/>
                      <w:bCs/>
                      <w:color w:val="auto"/>
                      <w:kern w:val="0"/>
                      <w:sz w:val="21"/>
                      <w:szCs w:val="21"/>
                    </w:rPr>
                  </w:pPr>
                  <w:r>
                    <w:rPr>
                      <w:rFonts w:hint="eastAsia"/>
                      <w:bCs/>
                      <w:color w:val="auto"/>
                      <w:kern w:val="0"/>
                      <w:sz w:val="21"/>
                      <w:szCs w:val="21"/>
                    </w:rPr>
                    <w:t>效过山车</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lang w:eastAsia="zh-CN"/>
                    </w:rPr>
                  </w:pPr>
                  <w:r>
                    <w:rPr>
                      <w:rFonts w:hint="eastAsia"/>
                      <w:bCs/>
                      <w:color w:val="auto"/>
                      <w:kern w:val="0"/>
                      <w:sz w:val="21"/>
                      <w:szCs w:val="21"/>
                    </w:rPr>
                    <w:t>设备高度：28m</w:t>
                  </w:r>
                  <w:r>
                    <w:rPr>
                      <w:rFonts w:hint="eastAsia"/>
                      <w:bCs/>
                      <w:color w:val="auto"/>
                      <w:kern w:val="0"/>
                      <w:sz w:val="21"/>
                      <w:szCs w:val="21"/>
                      <w:lang w:eastAsia="zh-CN"/>
                    </w:rPr>
                    <w:t>、</w:t>
                  </w:r>
                </w:p>
                <w:p>
                  <w:pPr>
                    <w:rPr>
                      <w:rFonts w:hint="eastAsia"/>
                      <w:bCs/>
                      <w:color w:val="auto"/>
                      <w:kern w:val="0"/>
                      <w:sz w:val="21"/>
                      <w:szCs w:val="21"/>
                      <w:lang w:eastAsia="zh-CN"/>
                    </w:rPr>
                  </w:pPr>
                  <w:r>
                    <w:rPr>
                      <w:rFonts w:hint="eastAsia"/>
                      <w:bCs/>
                      <w:color w:val="auto"/>
                      <w:kern w:val="0"/>
                      <w:sz w:val="21"/>
                      <w:szCs w:val="21"/>
                    </w:rPr>
                    <w:t>承载人数：20=10排×2座</w:t>
                  </w:r>
                </w:p>
                <w:p>
                  <w:pPr>
                    <w:rPr>
                      <w:rFonts w:hint="eastAsia"/>
                      <w:bCs/>
                      <w:color w:val="auto"/>
                      <w:kern w:val="0"/>
                      <w:sz w:val="21"/>
                      <w:szCs w:val="21"/>
                    </w:rPr>
                  </w:pPr>
                  <w:r>
                    <w:rPr>
                      <w:rFonts w:hint="eastAsia"/>
                      <w:bCs/>
                      <w:color w:val="auto"/>
                      <w:kern w:val="0"/>
                      <w:sz w:val="21"/>
                      <w:szCs w:val="21"/>
                    </w:rPr>
                    <w:t>总功率：456KVA</w:t>
                  </w:r>
                </w:p>
                <w:p>
                  <w:pPr>
                    <w:rPr>
                      <w:rFonts w:hint="eastAsia"/>
                      <w:bCs/>
                      <w:color w:val="auto"/>
                      <w:kern w:val="0"/>
                      <w:sz w:val="21"/>
                      <w:szCs w:val="21"/>
                    </w:rPr>
                  </w:pPr>
                  <w:r>
                    <w:rPr>
                      <w:rFonts w:hint="eastAsia"/>
                      <w:bCs/>
                      <w:color w:val="auto"/>
                      <w:kern w:val="0"/>
                      <w:sz w:val="21"/>
                      <w:szCs w:val="21"/>
                    </w:rPr>
                    <w:t>运转周期：140s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儿童木偶剧场</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rPr>
                  </w:pPr>
                  <w:r>
                    <w:rPr>
                      <w:rFonts w:hint="eastAsia"/>
                      <w:bCs/>
                      <w:color w:val="auto"/>
                      <w:kern w:val="0"/>
                      <w:sz w:val="21"/>
                      <w:szCs w:val="21"/>
                    </w:rPr>
                    <w:t>承载人数：300座（每场）</w:t>
                  </w:r>
                </w:p>
                <w:p>
                  <w:pPr>
                    <w:rPr>
                      <w:rFonts w:hint="eastAsia"/>
                      <w:bCs/>
                      <w:color w:val="auto"/>
                      <w:kern w:val="0"/>
                      <w:sz w:val="21"/>
                      <w:szCs w:val="21"/>
                    </w:rPr>
                  </w:pPr>
                  <w:r>
                    <w:rPr>
                      <w:rFonts w:hint="eastAsia"/>
                      <w:bCs/>
                      <w:color w:val="auto"/>
                      <w:kern w:val="0"/>
                      <w:sz w:val="21"/>
                      <w:szCs w:val="21"/>
                    </w:rPr>
                    <w:t>运转周期：依据节目设置确定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旋转木马</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rPr>
                  </w:pPr>
                  <w:r>
                    <w:rPr>
                      <w:rFonts w:hint="eastAsia"/>
                      <w:bCs/>
                      <w:color w:val="auto"/>
                      <w:kern w:val="0"/>
                      <w:sz w:val="21"/>
                      <w:szCs w:val="21"/>
                    </w:rPr>
                    <w:t>外形尺寸：1099㎡</w:t>
                  </w:r>
                </w:p>
                <w:p>
                  <w:pPr>
                    <w:rPr>
                      <w:rFonts w:hint="eastAsia"/>
                      <w:bCs/>
                      <w:color w:val="auto"/>
                      <w:kern w:val="0"/>
                      <w:sz w:val="21"/>
                      <w:szCs w:val="21"/>
                    </w:rPr>
                  </w:pPr>
                  <w:r>
                    <w:rPr>
                      <w:rFonts w:hint="eastAsia"/>
                      <w:bCs/>
                      <w:color w:val="auto"/>
                      <w:kern w:val="0"/>
                      <w:sz w:val="21"/>
                      <w:szCs w:val="21"/>
                    </w:rPr>
                    <w:t>承载人数：95</w:t>
                  </w:r>
                </w:p>
                <w:p>
                  <w:pPr>
                    <w:rPr>
                      <w:rFonts w:hint="eastAsia"/>
                      <w:bCs/>
                      <w:color w:val="auto"/>
                      <w:kern w:val="0"/>
                      <w:sz w:val="21"/>
                      <w:szCs w:val="21"/>
                    </w:rPr>
                  </w:pPr>
                  <w:r>
                    <w:rPr>
                      <w:rFonts w:hint="eastAsia"/>
                      <w:bCs/>
                      <w:color w:val="auto"/>
                      <w:kern w:val="0"/>
                      <w:sz w:val="21"/>
                      <w:szCs w:val="21"/>
                    </w:rPr>
                    <w:t>运转周期：5min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多媒体跳楼机</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lang w:eastAsia="zh-CN"/>
                    </w:rPr>
                  </w:pPr>
                  <w:r>
                    <w:rPr>
                      <w:rFonts w:hint="eastAsia"/>
                      <w:bCs/>
                      <w:color w:val="auto"/>
                      <w:kern w:val="0"/>
                      <w:sz w:val="21"/>
                      <w:szCs w:val="21"/>
                    </w:rPr>
                    <w:t>设备高度：45m</w:t>
                  </w:r>
                  <w:r>
                    <w:rPr>
                      <w:rFonts w:hint="eastAsia"/>
                      <w:bCs/>
                      <w:color w:val="auto"/>
                      <w:kern w:val="0"/>
                      <w:sz w:val="21"/>
                      <w:szCs w:val="21"/>
                      <w:lang w:eastAsia="zh-CN"/>
                    </w:rPr>
                    <w:t>、</w:t>
                  </w:r>
                </w:p>
                <w:p>
                  <w:pPr>
                    <w:rPr>
                      <w:rFonts w:hint="eastAsia"/>
                      <w:bCs/>
                      <w:color w:val="auto"/>
                      <w:kern w:val="0"/>
                      <w:sz w:val="21"/>
                      <w:szCs w:val="21"/>
                    </w:rPr>
                  </w:pPr>
                  <w:r>
                    <w:rPr>
                      <w:rFonts w:hint="eastAsia"/>
                      <w:bCs/>
                      <w:color w:val="auto"/>
                      <w:kern w:val="0"/>
                      <w:sz w:val="21"/>
                      <w:szCs w:val="21"/>
                    </w:rPr>
                    <w:t>承载人数：96</w:t>
                  </w:r>
                  <w:r>
                    <w:rPr>
                      <w:rFonts w:hint="eastAsia"/>
                      <w:bCs/>
                      <w:color w:val="auto"/>
                      <w:kern w:val="0"/>
                      <w:sz w:val="21"/>
                      <w:szCs w:val="21"/>
                      <w:lang w:eastAsia="zh-CN"/>
                    </w:rPr>
                    <w:t>、</w:t>
                  </w:r>
                  <w:r>
                    <w:rPr>
                      <w:rFonts w:hint="eastAsia"/>
                      <w:bCs/>
                      <w:color w:val="auto"/>
                      <w:kern w:val="0"/>
                      <w:sz w:val="21"/>
                      <w:szCs w:val="21"/>
                    </w:rPr>
                    <w:t>总功率：2078.1kW</w:t>
                  </w:r>
                </w:p>
                <w:p>
                  <w:pPr>
                    <w:rPr>
                      <w:rFonts w:hint="eastAsia"/>
                      <w:bCs/>
                      <w:color w:val="auto"/>
                      <w:kern w:val="0"/>
                      <w:sz w:val="21"/>
                      <w:szCs w:val="21"/>
                    </w:rPr>
                  </w:pPr>
                  <w:r>
                    <w:rPr>
                      <w:rFonts w:hint="eastAsia"/>
                      <w:bCs/>
                      <w:color w:val="auto"/>
                      <w:kern w:val="0"/>
                      <w:sz w:val="21"/>
                      <w:szCs w:val="21"/>
                    </w:rPr>
                    <w:t>装机容量：2500kVA</w:t>
                  </w:r>
                  <w:r>
                    <w:rPr>
                      <w:rFonts w:hint="eastAsia"/>
                      <w:bCs/>
                      <w:color w:val="auto"/>
                      <w:kern w:val="0"/>
                      <w:sz w:val="21"/>
                      <w:szCs w:val="21"/>
                      <w:lang w:eastAsia="zh-CN"/>
                    </w:rPr>
                    <w:t>、</w:t>
                  </w:r>
                  <w:r>
                    <w:rPr>
                      <w:rFonts w:hint="eastAsia"/>
                      <w:bCs/>
                      <w:color w:val="auto"/>
                      <w:kern w:val="0"/>
                      <w:sz w:val="21"/>
                      <w:szCs w:val="21"/>
                    </w:rPr>
                    <w:t>运转周期：3min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天幕影院</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rPr>
                  </w:pPr>
                  <w:r>
                    <w:rPr>
                      <w:rFonts w:hint="eastAsia"/>
                      <w:bCs/>
                      <w:color w:val="auto"/>
                      <w:kern w:val="0"/>
                      <w:sz w:val="21"/>
                      <w:szCs w:val="21"/>
                    </w:rPr>
                    <w:t>运转周期：依据节目设置确定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旋转舞车</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rPr>
                  </w:pPr>
                  <w:r>
                    <w:rPr>
                      <w:rFonts w:hint="eastAsia"/>
                      <w:bCs/>
                      <w:color w:val="auto"/>
                      <w:kern w:val="0"/>
                      <w:sz w:val="21"/>
                      <w:szCs w:val="21"/>
                    </w:rPr>
                    <w:t>设备高度：7m</w:t>
                  </w:r>
                </w:p>
                <w:p>
                  <w:pPr>
                    <w:rPr>
                      <w:rFonts w:hint="eastAsia"/>
                      <w:bCs/>
                      <w:color w:val="auto"/>
                      <w:kern w:val="0"/>
                      <w:sz w:val="21"/>
                      <w:szCs w:val="21"/>
                    </w:rPr>
                  </w:pPr>
                  <w:r>
                    <w:rPr>
                      <w:rFonts w:hint="eastAsia"/>
                      <w:bCs/>
                      <w:color w:val="auto"/>
                      <w:kern w:val="0"/>
                      <w:sz w:val="21"/>
                      <w:szCs w:val="21"/>
                    </w:rPr>
                    <w:t>车体数量：16（含备用车辆）</w:t>
                  </w:r>
                </w:p>
                <w:p>
                  <w:pPr>
                    <w:rPr>
                      <w:rFonts w:hint="eastAsia"/>
                      <w:bCs/>
                      <w:color w:val="auto"/>
                      <w:kern w:val="0"/>
                      <w:sz w:val="21"/>
                      <w:szCs w:val="21"/>
                    </w:rPr>
                  </w:pPr>
                  <w:r>
                    <w:rPr>
                      <w:rFonts w:hint="eastAsia"/>
                      <w:bCs/>
                      <w:color w:val="auto"/>
                      <w:kern w:val="0"/>
                      <w:sz w:val="21"/>
                      <w:szCs w:val="21"/>
                    </w:rPr>
                    <w:t>座位数：2 =1排×2座</w:t>
                  </w:r>
                </w:p>
                <w:p>
                  <w:pPr>
                    <w:rPr>
                      <w:rFonts w:hint="eastAsia"/>
                      <w:bCs/>
                      <w:color w:val="auto"/>
                      <w:kern w:val="0"/>
                      <w:sz w:val="21"/>
                      <w:szCs w:val="21"/>
                    </w:rPr>
                  </w:pPr>
                  <w:r>
                    <w:rPr>
                      <w:rFonts w:hint="eastAsia"/>
                      <w:bCs/>
                      <w:color w:val="auto"/>
                      <w:kern w:val="0"/>
                      <w:sz w:val="21"/>
                      <w:szCs w:val="21"/>
                    </w:rPr>
                    <w:t>总功率：180kW</w:t>
                  </w:r>
                  <w:r>
                    <w:rPr>
                      <w:rFonts w:hint="eastAsia"/>
                      <w:bCs/>
                      <w:color w:val="auto"/>
                      <w:kern w:val="0"/>
                      <w:sz w:val="21"/>
                      <w:szCs w:val="21"/>
                      <w:lang w:eastAsia="zh-CN"/>
                    </w:rPr>
                    <w:t>、</w:t>
                  </w:r>
                  <w:r>
                    <w:rPr>
                      <w:rFonts w:hint="eastAsia"/>
                      <w:bCs/>
                      <w:color w:val="auto"/>
                      <w:kern w:val="0"/>
                      <w:sz w:val="21"/>
                      <w:szCs w:val="21"/>
                    </w:rPr>
                    <w:t>运转周期：约2.5min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restart"/>
                  <w:tcBorders>
                    <w:tl2br w:val="nil"/>
                    <w:tr2bl w:val="nil"/>
                  </w:tcBorders>
                  <w:vAlign w:val="center"/>
                </w:tcPr>
                <w:p>
                  <w:pPr>
                    <w:jc w:val="center"/>
                    <w:rPr>
                      <w:bCs/>
                      <w:color w:val="auto"/>
                      <w:kern w:val="0"/>
                      <w:sz w:val="21"/>
                      <w:szCs w:val="21"/>
                    </w:rPr>
                  </w:pPr>
                  <w:r>
                    <w:rPr>
                      <w:rFonts w:hint="eastAsia"/>
                      <w:bCs/>
                      <w:color w:val="auto"/>
                      <w:kern w:val="0"/>
                      <w:sz w:val="21"/>
                      <w:szCs w:val="21"/>
                    </w:rPr>
                    <w:t>探险南美区</w:t>
                  </w:r>
                </w:p>
              </w:tc>
              <w:tc>
                <w:tcPr>
                  <w:tcW w:w="1679"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无动力攀爬</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jc w:val="center"/>
                    <w:rPr>
                      <w:rFonts w:hint="eastAsia" w:eastAsia="宋体"/>
                      <w:bCs/>
                      <w:color w:val="auto"/>
                      <w:kern w:val="0"/>
                      <w:sz w:val="21"/>
                      <w:szCs w:val="21"/>
                      <w:lang w:val="en-US" w:eastAsia="zh-CN"/>
                    </w:rPr>
                  </w:pPr>
                  <w:r>
                    <w:rPr>
                      <w:rFonts w:hint="eastAsia"/>
                      <w:bCs/>
                      <w:color w:val="auto"/>
                      <w:kern w:val="0"/>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情景激流勇进</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rPr>
                  </w:pPr>
                  <w:r>
                    <w:rPr>
                      <w:rFonts w:hint="eastAsia"/>
                      <w:bCs/>
                      <w:color w:val="auto"/>
                      <w:kern w:val="0"/>
                      <w:sz w:val="21"/>
                      <w:szCs w:val="21"/>
                    </w:rPr>
                    <w:t>设备高度：30m</w:t>
                  </w:r>
                  <w:r>
                    <w:rPr>
                      <w:rFonts w:hint="eastAsia"/>
                      <w:bCs/>
                      <w:color w:val="auto"/>
                      <w:kern w:val="0"/>
                      <w:sz w:val="21"/>
                      <w:szCs w:val="21"/>
                      <w:lang w:eastAsia="zh-CN"/>
                    </w:rPr>
                    <w:t>、</w:t>
                  </w:r>
                </w:p>
                <w:p>
                  <w:pPr>
                    <w:rPr>
                      <w:rFonts w:hint="eastAsia"/>
                      <w:bCs/>
                      <w:color w:val="auto"/>
                      <w:kern w:val="0"/>
                      <w:sz w:val="21"/>
                      <w:szCs w:val="21"/>
                      <w:lang w:eastAsia="zh-CN"/>
                    </w:rPr>
                  </w:pPr>
                  <w:r>
                    <w:rPr>
                      <w:rFonts w:hint="eastAsia"/>
                      <w:bCs/>
                      <w:color w:val="auto"/>
                      <w:kern w:val="0"/>
                      <w:sz w:val="21"/>
                      <w:szCs w:val="21"/>
                    </w:rPr>
                    <w:t>承载人数：20=5排×4座</w:t>
                  </w:r>
                  <w:r>
                    <w:rPr>
                      <w:rFonts w:hint="eastAsia"/>
                      <w:bCs/>
                      <w:color w:val="auto"/>
                      <w:kern w:val="0"/>
                      <w:sz w:val="21"/>
                      <w:szCs w:val="21"/>
                      <w:lang w:eastAsia="zh-CN"/>
                    </w:rPr>
                    <w:t>、</w:t>
                  </w:r>
                </w:p>
                <w:p>
                  <w:pPr>
                    <w:rPr>
                      <w:rFonts w:hint="eastAsia"/>
                      <w:bCs/>
                      <w:color w:val="auto"/>
                      <w:kern w:val="0"/>
                      <w:sz w:val="21"/>
                      <w:szCs w:val="21"/>
                    </w:rPr>
                  </w:pPr>
                  <w:r>
                    <w:rPr>
                      <w:rFonts w:hint="eastAsia"/>
                      <w:bCs/>
                      <w:color w:val="auto"/>
                      <w:kern w:val="0"/>
                      <w:sz w:val="21"/>
                      <w:szCs w:val="21"/>
                    </w:rPr>
                    <w:t>总功率：250kW</w:t>
                  </w:r>
                  <w:r>
                    <w:rPr>
                      <w:rFonts w:hint="eastAsia"/>
                      <w:bCs/>
                      <w:color w:val="auto"/>
                      <w:kern w:val="0"/>
                      <w:sz w:val="21"/>
                      <w:szCs w:val="21"/>
                      <w:lang w:eastAsia="zh-CN"/>
                    </w:rPr>
                    <w:t>、</w:t>
                  </w:r>
                  <w:r>
                    <w:rPr>
                      <w:rFonts w:hint="eastAsia"/>
                      <w:bCs/>
                      <w:color w:val="auto"/>
                      <w:kern w:val="0"/>
                      <w:sz w:val="21"/>
                      <w:szCs w:val="21"/>
                    </w:rPr>
                    <w:t>运转周期：/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万圣节鬼屋</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rPr>
                  </w:pPr>
                  <w:r>
                    <w:rPr>
                      <w:rFonts w:hint="eastAsia"/>
                      <w:bCs/>
                      <w:color w:val="auto"/>
                      <w:kern w:val="0"/>
                      <w:sz w:val="21"/>
                      <w:szCs w:val="21"/>
                    </w:rPr>
                    <w:t>占地面积：2420㎡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restart"/>
                  <w:tcBorders>
                    <w:tl2br w:val="nil"/>
                    <w:tr2bl w:val="nil"/>
                  </w:tcBorders>
                  <w:vAlign w:val="center"/>
                </w:tcPr>
                <w:p>
                  <w:pPr>
                    <w:jc w:val="center"/>
                    <w:rPr>
                      <w:bCs/>
                      <w:color w:val="auto"/>
                      <w:kern w:val="0"/>
                      <w:sz w:val="21"/>
                      <w:szCs w:val="21"/>
                    </w:rPr>
                  </w:pPr>
                  <w:r>
                    <w:rPr>
                      <w:rFonts w:hint="eastAsia"/>
                      <w:bCs/>
                      <w:color w:val="auto"/>
                      <w:kern w:val="0"/>
                      <w:sz w:val="21"/>
                      <w:szCs w:val="21"/>
                    </w:rPr>
                    <w:t>穿越太空区</w:t>
                  </w:r>
                </w:p>
              </w:tc>
              <w:tc>
                <w:tcPr>
                  <w:tcW w:w="1679"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三自由度体验</w:t>
                  </w:r>
                </w:p>
                <w:p>
                  <w:pPr>
                    <w:jc w:val="center"/>
                    <w:rPr>
                      <w:rFonts w:hint="eastAsia"/>
                      <w:bCs/>
                      <w:color w:val="auto"/>
                      <w:kern w:val="0"/>
                      <w:sz w:val="21"/>
                      <w:szCs w:val="21"/>
                      <w:lang w:val="en-US" w:eastAsia="zh-CN"/>
                    </w:rPr>
                  </w:pPr>
                  <w:r>
                    <w:rPr>
                      <w:rFonts w:hint="eastAsia"/>
                      <w:bCs/>
                      <w:color w:val="auto"/>
                      <w:kern w:val="0"/>
                      <w:sz w:val="21"/>
                      <w:szCs w:val="21"/>
                      <w:lang w:val="en-US" w:eastAsia="zh-CN"/>
                    </w:rPr>
                    <w:t>式互动射击</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rPr>
                  </w:pPr>
                  <w:r>
                    <w:rPr>
                      <w:rFonts w:hint="eastAsia"/>
                      <w:bCs/>
                      <w:color w:val="auto"/>
                      <w:kern w:val="0"/>
                      <w:sz w:val="21"/>
                      <w:szCs w:val="21"/>
                    </w:rPr>
                    <w:t>设备高度：7m</w:t>
                  </w:r>
                  <w:r>
                    <w:rPr>
                      <w:rFonts w:hint="eastAsia"/>
                      <w:bCs/>
                      <w:color w:val="auto"/>
                      <w:kern w:val="0"/>
                      <w:sz w:val="21"/>
                      <w:szCs w:val="21"/>
                      <w:lang w:eastAsia="zh-CN"/>
                    </w:rPr>
                    <w:t>、</w:t>
                  </w:r>
                </w:p>
                <w:p>
                  <w:pPr>
                    <w:rPr>
                      <w:rFonts w:hint="eastAsia"/>
                      <w:bCs/>
                      <w:color w:val="auto"/>
                      <w:kern w:val="0"/>
                      <w:sz w:val="21"/>
                      <w:szCs w:val="21"/>
                    </w:rPr>
                  </w:pPr>
                  <w:r>
                    <w:rPr>
                      <w:rFonts w:hint="eastAsia"/>
                      <w:bCs/>
                      <w:color w:val="auto"/>
                      <w:kern w:val="0"/>
                      <w:sz w:val="21"/>
                      <w:szCs w:val="21"/>
                    </w:rPr>
                    <w:t>座位数：6=2排×3座车体数量：13辆（其中备用车1辆）</w:t>
                  </w:r>
                </w:p>
                <w:p>
                  <w:pPr>
                    <w:rPr>
                      <w:rFonts w:hint="eastAsia"/>
                      <w:bCs/>
                      <w:color w:val="auto"/>
                      <w:kern w:val="0"/>
                      <w:sz w:val="21"/>
                      <w:szCs w:val="21"/>
                    </w:rPr>
                  </w:pPr>
                  <w:r>
                    <w:rPr>
                      <w:rFonts w:hint="eastAsia"/>
                      <w:bCs/>
                      <w:color w:val="auto"/>
                      <w:kern w:val="0"/>
                      <w:sz w:val="21"/>
                      <w:szCs w:val="21"/>
                    </w:rPr>
                    <w:t>总功率：173kW</w:t>
                  </w:r>
                  <w:r>
                    <w:rPr>
                      <w:rFonts w:hint="eastAsia"/>
                      <w:bCs/>
                      <w:color w:val="auto"/>
                      <w:kern w:val="0"/>
                      <w:sz w:val="21"/>
                      <w:szCs w:val="21"/>
                      <w:lang w:eastAsia="zh-CN"/>
                    </w:rPr>
                    <w:t>、</w:t>
                  </w:r>
                  <w:r>
                    <w:rPr>
                      <w:rFonts w:hint="eastAsia"/>
                      <w:bCs/>
                      <w:color w:val="auto"/>
                      <w:kern w:val="0"/>
                      <w:sz w:val="21"/>
                      <w:szCs w:val="21"/>
                    </w:rPr>
                    <w:t>运转周期：创意确定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rFonts w:hint="eastAsia"/>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室内特效剧场</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rPr>
                  </w:pPr>
                  <w:r>
                    <w:rPr>
                      <w:rFonts w:hint="eastAsia"/>
                      <w:bCs/>
                      <w:color w:val="auto"/>
                      <w:kern w:val="0"/>
                      <w:sz w:val="21"/>
                      <w:szCs w:val="21"/>
                    </w:rPr>
                    <w:t>承载人数：1000座（每场）</w:t>
                  </w:r>
                </w:p>
                <w:p>
                  <w:pPr>
                    <w:rPr>
                      <w:rFonts w:hint="eastAsia"/>
                      <w:bCs/>
                      <w:color w:val="auto"/>
                      <w:kern w:val="0"/>
                      <w:sz w:val="21"/>
                      <w:szCs w:val="21"/>
                    </w:rPr>
                  </w:pPr>
                  <w:r>
                    <w:rPr>
                      <w:rFonts w:hint="eastAsia"/>
                      <w:bCs/>
                      <w:color w:val="auto"/>
                      <w:kern w:val="0"/>
                      <w:sz w:val="21"/>
                      <w:szCs w:val="21"/>
                    </w:rPr>
                    <w:t>运转周期：依据节目设置确定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rFonts w:hint="eastAsia"/>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循环链骑乘</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lang w:eastAsia="zh-CN"/>
                    </w:rPr>
                  </w:pPr>
                  <w:r>
                    <w:rPr>
                      <w:rFonts w:hint="eastAsia"/>
                      <w:bCs/>
                      <w:color w:val="auto"/>
                      <w:kern w:val="0"/>
                      <w:sz w:val="21"/>
                      <w:szCs w:val="21"/>
                    </w:rPr>
                    <w:t>设备高度：＜2m</w:t>
                  </w:r>
                  <w:r>
                    <w:rPr>
                      <w:rFonts w:hint="eastAsia"/>
                      <w:bCs/>
                      <w:color w:val="auto"/>
                      <w:kern w:val="0"/>
                      <w:sz w:val="21"/>
                      <w:szCs w:val="21"/>
                      <w:lang w:eastAsia="zh-CN"/>
                    </w:rPr>
                    <w:t>、</w:t>
                  </w:r>
                  <w:r>
                    <w:rPr>
                      <w:rFonts w:hint="eastAsia"/>
                      <w:bCs/>
                      <w:color w:val="auto"/>
                      <w:kern w:val="0"/>
                      <w:sz w:val="21"/>
                      <w:szCs w:val="21"/>
                    </w:rPr>
                    <w:t>承载人数：/</w:t>
                  </w:r>
                </w:p>
                <w:p>
                  <w:pPr>
                    <w:rPr>
                      <w:rFonts w:hint="eastAsia"/>
                      <w:bCs/>
                      <w:color w:val="auto"/>
                      <w:kern w:val="0"/>
                      <w:sz w:val="21"/>
                      <w:szCs w:val="21"/>
                    </w:rPr>
                  </w:pPr>
                  <w:r>
                    <w:rPr>
                      <w:rFonts w:hint="eastAsia"/>
                      <w:bCs/>
                      <w:color w:val="auto"/>
                      <w:kern w:val="0"/>
                      <w:sz w:val="21"/>
                      <w:szCs w:val="21"/>
                    </w:rPr>
                    <w:t>总功率：155kW</w:t>
                  </w:r>
                  <w:r>
                    <w:rPr>
                      <w:rFonts w:hint="eastAsia"/>
                      <w:bCs/>
                      <w:color w:val="auto"/>
                      <w:kern w:val="0"/>
                      <w:sz w:val="21"/>
                      <w:szCs w:val="21"/>
                      <w:lang w:eastAsia="zh-CN"/>
                    </w:rPr>
                    <w:t>、</w:t>
                  </w:r>
                  <w:r>
                    <w:rPr>
                      <w:rFonts w:hint="eastAsia"/>
                      <w:bCs/>
                      <w:color w:val="auto"/>
                      <w:kern w:val="0"/>
                      <w:sz w:val="21"/>
                      <w:szCs w:val="21"/>
                    </w:rPr>
                    <w:t>运转周期：约5.3min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restart"/>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漫游海洋区</w:t>
                  </w:r>
                </w:p>
              </w:tc>
              <w:tc>
                <w:tcPr>
                  <w:tcW w:w="1679"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分仓式动感平台</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rPr>
                  </w:pPr>
                  <w:r>
                    <w:rPr>
                      <w:rFonts w:hint="eastAsia"/>
                      <w:bCs/>
                      <w:color w:val="auto"/>
                      <w:kern w:val="0"/>
                      <w:sz w:val="21"/>
                      <w:szCs w:val="21"/>
                    </w:rPr>
                    <w:t>设备高度：10m</w:t>
                  </w:r>
                  <w:r>
                    <w:rPr>
                      <w:rFonts w:hint="eastAsia"/>
                      <w:bCs/>
                      <w:color w:val="auto"/>
                      <w:kern w:val="0"/>
                      <w:sz w:val="21"/>
                      <w:szCs w:val="21"/>
                      <w:lang w:eastAsia="zh-CN"/>
                    </w:rPr>
                    <w:t>、</w:t>
                  </w:r>
                  <w:r>
                    <w:rPr>
                      <w:rFonts w:hint="eastAsia"/>
                      <w:bCs/>
                      <w:color w:val="auto"/>
                      <w:kern w:val="0"/>
                      <w:sz w:val="21"/>
                      <w:szCs w:val="21"/>
                    </w:rPr>
                    <w:t>承载人数：160人总功率：500kW</w:t>
                  </w:r>
                </w:p>
                <w:p>
                  <w:pPr>
                    <w:rPr>
                      <w:rFonts w:hint="eastAsia"/>
                      <w:bCs/>
                      <w:color w:val="auto"/>
                      <w:kern w:val="0"/>
                      <w:sz w:val="21"/>
                      <w:szCs w:val="21"/>
                    </w:rPr>
                  </w:pPr>
                  <w:r>
                    <w:rPr>
                      <w:rFonts w:hint="eastAsia"/>
                      <w:bCs/>
                      <w:color w:val="auto"/>
                      <w:kern w:val="0"/>
                      <w:sz w:val="21"/>
                      <w:szCs w:val="21"/>
                    </w:rPr>
                    <w:t>运转周期：6min（根据影片决定）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rFonts w:hint="eastAsia"/>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地磁弹射式家庭过山车</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rPr>
                  </w:pPr>
                  <w:r>
                    <w:rPr>
                      <w:rFonts w:hint="eastAsia"/>
                      <w:bCs/>
                      <w:color w:val="auto"/>
                      <w:kern w:val="0"/>
                      <w:sz w:val="21"/>
                      <w:szCs w:val="21"/>
                    </w:rPr>
                    <w:t>设备高度：25m</w:t>
                  </w:r>
                  <w:r>
                    <w:rPr>
                      <w:rFonts w:hint="eastAsia"/>
                      <w:bCs/>
                      <w:color w:val="auto"/>
                      <w:kern w:val="0"/>
                      <w:sz w:val="21"/>
                      <w:szCs w:val="21"/>
                      <w:lang w:eastAsia="zh-CN"/>
                    </w:rPr>
                    <w:t>、</w:t>
                  </w:r>
                  <w:r>
                    <w:rPr>
                      <w:rFonts w:hint="eastAsia"/>
                      <w:bCs/>
                      <w:color w:val="auto"/>
                      <w:kern w:val="0"/>
                      <w:sz w:val="21"/>
                      <w:szCs w:val="21"/>
                    </w:rPr>
                    <w:t>承载人数：/</w:t>
                  </w:r>
                </w:p>
                <w:p>
                  <w:pPr>
                    <w:rPr>
                      <w:rFonts w:hint="eastAsia"/>
                      <w:bCs/>
                      <w:color w:val="auto"/>
                      <w:kern w:val="0"/>
                      <w:sz w:val="21"/>
                      <w:szCs w:val="21"/>
                    </w:rPr>
                  </w:pPr>
                  <w:r>
                    <w:rPr>
                      <w:rFonts w:hint="eastAsia"/>
                      <w:bCs/>
                      <w:color w:val="auto"/>
                      <w:kern w:val="0"/>
                      <w:sz w:val="21"/>
                      <w:szCs w:val="21"/>
                    </w:rPr>
                    <w:t>总功率：500KVA</w:t>
                  </w:r>
                  <w:r>
                    <w:rPr>
                      <w:rFonts w:hint="eastAsia"/>
                      <w:bCs/>
                      <w:color w:val="auto"/>
                      <w:kern w:val="0"/>
                      <w:sz w:val="21"/>
                      <w:szCs w:val="21"/>
                      <w:lang w:eastAsia="zh-CN"/>
                    </w:rPr>
                    <w:t>、</w:t>
                  </w:r>
                  <w:r>
                    <w:rPr>
                      <w:rFonts w:hint="eastAsia"/>
                      <w:bCs/>
                      <w:color w:val="auto"/>
                      <w:kern w:val="0"/>
                      <w:sz w:val="21"/>
                      <w:szCs w:val="21"/>
                    </w:rPr>
                    <w:t>运转周期：139s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rFonts w:hint="eastAsia"/>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空中竞技</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rPr>
                  </w:pPr>
                  <w:r>
                    <w:rPr>
                      <w:rFonts w:hint="eastAsia"/>
                      <w:bCs/>
                      <w:color w:val="auto"/>
                      <w:kern w:val="0"/>
                      <w:sz w:val="21"/>
                      <w:szCs w:val="21"/>
                    </w:rPr>
                    <w:t>设备高度：17m</w:t>
                  </w:r>
                </w:p>
                <w:p>
                  <w:pPr>
                    <w:rPr>
                      <w:rFonts w:hint="eastAsia"/>
                      <w:bCs/>
                      <w:color w:val="auto"/>
                      <w:kern w:val="0"/>
                      <w:sz w:val="21"/>
                      <w:szCs w:val="21"/>
                    </w:rPr>
                  </w:pPr>
                  <w:r>
                    <w:rPr>
                      <w:rFonts w:hint="eastAsia"/>
                      <w:bCs/>
                      <w:color w:val="auto"/>
                      <w:kern w:val="0"/>
                      <w:sz w:val="21"/>
                      <w:szCs w:val="21"/>
                    </w:rPr>
                    <w:t>总功率：131kW</w:t>
                  </w:r>
                  <w:r>
                    <w:rPr>
                      <w:rFonts w:hint="eastAsia"/>
                      <w:bCs/>
                      <w:color w:val="auto"/>
                      <w:kern w:val="0"/>
                      <w:sz w:val="21"/>
                      <w:szCs w:val="21"/>
                      <w:lang w:eastAsia="zh-CN"/>
                    </w:rPr>
                    <w:t>、</w:t>
                  </w:r>
                  <w:r>
                    <w:rPr>
                      <w:rFonts w:hint="eastAsia"/>
                      <w:bCs/>
                      <w:color w:val="auto"/>
                      <w:kern w:val="0"/>
                      <w:sz w:val="21"/>
                      <w:szCs w:val="21"/>
                    </w:rPr>
                    <w:t>运转周期：90s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62" w:type="dxa"/>
                  <w:gridSpan w:val="4"/>
                  <w:tcBorders>
                    <w:tl2br w:val="nil"/>
                    <w:tr2bl w:val="nil"/>
                  </w:tcBorders>
                  <w:vAlign w:val="center"/>
                </w:tcPr>
                <w:p>
                  <w:pPr>
                    <w:jc w:val="center"/>
                    <w:rPr>
                      <w:color w:val="auto"/>
                      <w:kern w:val="0"/>
                      <w:sz w:val="21"/>
                      <w:szCs w:val="21"/>
                    </w:rPr>
                  </w:pPr>
                  <w:r>
                    <w:rPr>
                      <w:rFonts w:hint="eastAsia"/>
                      <w:color w:val="auto"/>
                      <w:kern w:val="0"/>
                      <w:sz w:val="21"/>
                      <w:szCs w:val="21"/>
                      <w:lang w:val="en-US" w:eastAsia="zh-CN"/>
                    </w:rPr>
                    <w:t>配套辅助设备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tcBorders>
                    <w:tl2br w:val="nil"/>
                    <w:tr2bl w:val="nil"/>
                  </w:tcBorders>
                  <w:vAlign w:val="center"/>
                </w:tcPr>
                <w:p>
                  <w:pPr>
                    <w:jc w:val="center"/>
                    <w:rPr>
                      <w:rFonts w:hint="eastAsia" w:eastAsia="宋体"/>
                      <w:b/>
                      <w:color w:val="auto"/>
                      <w:kern w:val="0"/>
                      <w:sz w:val="21"/>
                      <w:szCs w:val="21"/>
                      <w:lang w:eastAsia="zh-CN"/>
                    </w:rPr>
                  </w:pPr>
                  <w:r>
                    <w:rPr>
                      <w:rFonts w:hint="eastAsia"/>
                      <w:b/>
                      <w:color w:val="auto"/>
                      <w:kern w:val="0"/>
                      <w:sz w:val="21"/>
                      <w:szCs w:val="21"/>
                      <w:lang w:val="en-US" w:eastAsia="zh-CN"/>
                    </w:rPr>
                    <w:t>所在区域</w:t>
                  </w:r>
                </w:p>
              </w:tc>
              <w:tc>
                <w:tcPr>
                  <w:tcW w:w="1679" w:type="dxa"/>
                  <w:tcBorders>
                    <w:tl2br w:val="nil"/>
                    <w:tr2bl w:val="nil"/>
                  </w:tcBorders>
                  <w:vAlign w:val="center"/>
                </w:tcPr>
                <w:p>
                  <w:pPr>
                    <w:jc w:val="center"/>
                    <w:rPr>
                      <w:rFonts w:hint="eastAsia" w:eastAsia="宋体"/>
                      <w:b/>
                      <w:color w:val="auto"/>
                      <w:kern w:val="0"/>
                      <w:sz w:val="21"/>
                      <w:szCs w:val="21"/>
                      <w:lang w:eastAsia="zh-CN"/>
                    </w:rPr>
                  </w:pPr>
                  <w:r>
                    <w:rPr>
                      <w:rFonts w:hint="eastAsia"/>
                      <w:b/>
                      <w:color w:val="auto"/>
                      <w:kern w:val="0"/>
                      <w:sz w:val="21"/>
                      <w:szCs w:val="21"/>
                      <w:lang w:val="en-US" w:eastAsia="zh-CN"/>
                    </w:rPr>
                    <w:t>设备名称</w:t>
                  </w:r>
                </w:p>
              </w:tc>
              <w:tc>
                <w:tcPr>
                  <w:tcW w:w="1446" w:type="dxa"/>
                  <w:tcBorders>
                    <w:tl2br w:val="nil"/>
                    <w:tr2bl w:val="nil"/>
                  </w:tcBorders>
                  <w:vAlign w:val="center"/>
                </w:tcPr>
                <w:p>
                  <w:pPr>
                    <w:jc w:val="center"/>
                    <w:rPr>
                      <w:rFonts w:hint="eastAsia" w:eastAsia="宋体"/>
                      <w:b/>
                      <w:color w:val="auto"/>
                      <w:kern w:val="0"/>
                      <w:sz w:val="21"/>
                      <w:szCs w:val="21"/>
                      <w:lang w:eastAsia="zh-CN"/>
                    </w:rPr>
                  </w:pPr>
                  <w:r>
                    <w:rPr>
                      <w:rFonts w:hint="eastAsia"/>
                      <w:b/>
                      <w:color w:val="auto"/>
                      <w:kern w:val="0"/>
                      <w:sz w:val="21"/>
                      <w:szCs w:val="21"/>
                      <w:lang w:val="en-US" w:eastAsia="zh-CN"/>
                    </w:rPr>
                    <w:t>数量（台）/（套）</w:t>
                  </w:r>
                </w:p>
              </w:tc>
              <w:tc>
                <w:tcPr>
                  <w:tcW w:w="3471" w:type="dxa"/>
                  <w:tcBorders>
                    <w:tl2br w:val="nil"/>
                    <w:tr2bl w:val="nil"/>
                  </w:tcBorders>
                  <w:vAlign w:val="center"/>
                </w:tcPr>
                <w:p>
                  <w:pPr>
                    <w:jc w:val="center"/>
                    <w:rPr>
                      <w:rFonts w:hint="eastAsia"/>
                      <w:b/>
                      <w:color w:val="auto"/>
                      <w:kern w:val="0"/>
                      <w:sz w:val="21"/>
                      <w:szCs w:val="21"/>
                      <w:lang w:val="en-US" w:eastAsia="zh-CN"/>
                    </w:rPr>
                  </w:pPr>
                  <w:r>
                    <w:rPr>
                      <w:b/>
                      <w:color w:val="auto"/>
                      <w:kern w:val="0"/>
                      <w:sz w:val="21"/>
                      <w:szCs w:val="21"/>
                    </w:rPr>
                    <w:t>主要技术参数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restart"/>
                  <w:tcBorders>
                    <w:tl2br w:val="nil"/>
                    <w:tr2bl w:val="nil"/>
                  </w:tcBorders>
                  <w:vAlign w:val="center"/>
                </w:tcPr>
                <w:p>
                  <w:pPr>
                    <w:jc w:val="center"/>
                    <w:rPr>
                      <w:bCs/>
                      <w:color w:val="auto"/>
                      <w:kern w:val="0"/>
                      <w:sz w:val="21"/>
                      <w:szCs w:val="21"/>
                    </w:rPr>
                  </w:pPr>
                  <w:r>
                    <w:rPr>
                      <w:rFonts w:hint="eastAsia" w:ascii="Times New Roman" w:hAnsi="Times New Roman" w:eastAsia="宋体" w:cs="Times New Roman"/>
                      <w:bCs/>
                      <w:color w:val="auto"/>
                      <w:szCs w:val="21"/>
                      <w:lang w:val="en-US" w:eastAsia="zh-CN"/>
                    </w:rPr>
                    <w:t>803C动力中心</w:t>
                  </w:r>
                </w:p>
              </w:tc>
              <w:tc>
                <w:tcPr>
                  <w:tcW w:w="1679" w:type="dxa"/>
                  <w:tcBorders>
                    <w:tl2br w:val="nil"/>
                    <w:tr2bl w:val="nil"/>
                  </w:tcBorders>
                  <w:vAlign w:val="center"/>
                </w:tcPr>
                <w:p>
                  <w:pPr>
                    <w:jc w:val="center"/>
                    <w:rPr>
                      <w:bCs/>
                      <w:color w:val="auto"/>
                      <w:kern w:val="0"/>
                      <w:sz w:val="21"/>
                      <w:szCs w:val="21"/>
                    </w:rPr>
                  </w:pPr>
                  <w:r>
                    <w:rPr>
                      <w:rFonts w:hint="eastAsia" w:ascii="Times New Roman" w:hAnsi="Times New Roman" w:eastAsia="宋体" w:cs="Times New Roman"/>
                      <w:bCs/>
                      <w:color w:val="auto"/>
                      <w:szCs w:val="21"/>
                      <w:lang w:val="en-US" w:eastAsia="zh-CN"/>
                    </w:rPr>
                    <w:t>冷却塔</w:t>
                  </w:r>
                </w:p>
              </w:tc>
              <w:tc>
                <w:tcPr>
                  <w:tcW w:w="1446" w:type="dxa"/>
                  <w:tcBorders>
                    <w:tl2br w:val="nil"/>
                    <w:tr2bl w:val="nil"/>
                  </w:tcBorders>
                  <w:vAlign w:val="center"/>
                </w:tcPr>
                <w:p>
                  <w:pPr>
                    <w:jc w:val="center"/>
                    <w:rPr>
                      <w:bCs/>
                      <w:color w:val="auto"/>
                      <w:kern w:val="0"/>
                      <w:sz w:val="21"/>
                      <w:szCs w:val="21"/>
                    </w:rPr>
                  </w:pPr>
                  <w:r>
                    <w:rPr>
                      <w:rFonts w:hint="eastAsia" w:ascii="Times New Roman" w:hAnsi="Times New Roman" w:eastAsia="宋体" w:cs="Times New Roman"/>
                      <w:bCs/>
                      <w:color w:val="auto"/>
                      <w:szCs w:val="21"/>
                      <w:lang w:val="en-US" w:eastAsia="zh-CN"/>
                    </w:rPr>
                    <w:t>7</w:t>
                  </w:r>
                </w:p>
              </w:tc>
              <w:tc>
                <w:tcPr>
                  <w:tcW w:w="3471"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超低噪声横流式冷却塔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bCs/>
                      <w:color w:val="auto"/>
                      <w:kern w:val="0"/>
                      <w:sz w:val="21"/>
                      <w:szCs w:val="21"/>
                    </w:rPr>
                  </w:pPr>
                </w:p>
              </w:tc>
              <w:tc>
                <w:tcPr>
                  <w:tcW w:w="1679" w:type="dxa"/>
                  <w:tcBorders>
                    <w:tl2br w:val="nil"/>
                    <w:tr2bl w:val="nil"/>
                  </w:tcBorders>
                  <w:vAlign w:val="center"/>
                </w:tcPr>
                <w:p>
                  <w:pPr>
                    <w:jc w:val="center"/>
                    <w:rPr>
                      <w:bCs/>
                      <w:color w:val="auto"/>
                      <w:kern w:val="0"/>
                      <w:sz w:val="21"/>
                      <w:szCs w:val="21"/>
                    </w:rPr>
                  </w:pPr>
                  <w:r>
                    <w:rPr>
                      <w:rFonts w:hint="eastAsia" w:ascii="Times New Roman" w:hAnsi="Times New Roman" w:eastAsia="宋体" w:cs="Times New Roman"/>
                      <w:bCs/>
                      <w:color w:val="auto"/>
                      <w:szCs w:val="21"/>
                      <w:lang w:val="en-US" w:eastAsia="zh-CN"/>
                    </w:rPr>
                    <w:t>水泵</w:t>
                  </w:r>
                </w:p>
              </w:tc>
              <w:tc>
                <w:tcPr>
                  <w:tcW w:w="1446" w:type="dxa"/>
                  <w:tcBorders>
                    <w:tl2br w:val="nil"/>
                    <w:tr2bl w:val="nil"/>
                  </w:tcBorders>
                  <w:vAlign w:val="center"/>
                </w:tcPr>
                <w:p>
                  <w:pPr>
                    <w:jc w:val="center"/>
                    <w:rPr>
                      <w:bCs/>
                      <w:color w:val="auto"/>
                      <w:kern w:val="0"/>
                      <w:sz w:val="21"/>
                      <w:szCs w:val="21"/>
                    </w:rPr>
                  </w:pPr>
                  <w:r>
                    <w:rPr>
                      <w:rFonts w:hint="eastAsia" w:ascii="Times New Roman" w:hAnsi="Times New Roman" w:eastAsia="宋体" w:cs="Times New Roman"/>
                      <w:bCs/>
                      <w:color w:val="auto"/>
                      <w:szCs w:val="21"/>
                      <w:lang w:val="en-US" w:eastAsia="zh-CN"/>
                    </w:rPr>
                    <w:t>6</w:t>
                  </w:r>
                </w:p>
              </w:tc>
              <w:tc>
                <w:tcPr>
                  <w:tcW w:w="3471"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bCs/>
                      <w:color w:val="auto"/>
                      <w:kern w:val="0"/>
                      <w:sz w:val="21"/>
                      <w:szCs w:val="21"/>
                    </w:rPr>
                  </w:pPr>
                </w:p>
              </w:tc>
              <w:tc>
                <w:tcPr>
                  <w:tcW w:w="1679" w:type="dxa"/>
                  <w:tcBorders>
                    <w:tl2br w:val="nil"/>
                    <w:tr2bl w:val="nil"/>
                  </w:tcBorders>
                  <w:vAlign w:val="center"/>
                </w:tcPr>
                <w:p>
                  <w:pPr>
                    <w:jc w:val="center"/>
                    <w:rPr>
                      <w:bCs/>
                      <w:color w:val="auto"/>
                      <w:kern w:val="0"/>
                      <w:sz w:val="21"/>
                      <w:szCs w:val="21"/>
                    </w:rPr>
                  </w:pPr>
                  <w:r>
                    <w:rPr>
                      <w:rFonts w:hint="eastAsia" w:ascii="Times New Roman" w:hAnsi="Times New Roman" w:eastAsia="宋体" w:cs="Times New Roman"/>
                      <w:bCs/>
                      <w:color w:val="auto"/>
                      <w:szCs w:val="21"/>
                      <w:lang w:val="en-US" w:eastAsia="zh-CN"/>
                    </w:rPr>
                    <w:t>冷水离心机组</w:t>
                  </w:r>
                </w:p>
              </w:tc>
              <w:tc>
                <w:tcPr>
                  <w:tcW w:w="1446" w:type="dxa"/>
                  <w:tcBorders>
                    <w:tl2br w:val="nil"/>
                    <w:tr2bl w:val="nil"/>
                  </w:tcBorders>
                  <w:vAlign w:val="center"/>
                </w:tcPr>
                <w:p>
                  <w:pPr>
                    <w:jc w:val="center"/>
                    <w:rPr>
                      <w:bCs/>
                      <w:color w:val="auto"/>
                      <w:kern w:val="0"/>
                      <w:sz w:val="21"/>
                      <w:szCs w:val="21"/>
                    </w:rPr>
                  </w:pPr>
                  <w:r>
                    <w:rPr>
                      <w:rFonts w:hint="eastAsia" w:ascii="Times New Roman" w:hAnsi="Times New Roman" w:eastAsia="宋体" w:cs="Times New Roman"/>
                      <w:bCs/>
                      <w:color w:val="auto"/>
                      <w:szCs w:val="21"/>
                      <w:lang w:val="en-US" w:eastAsia="zh-CN"/>
                    </w:rPr>
                    <w:t>3</w:t>
                  </w:r>
                </w:p>
              </w:tc>
              <w:tc>
                <w:tcPr>
                  <w:tcW w:w="3471"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3*1650RT（5083kw）</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restart"/>
                  <w:tcBorders>
                    <w:tl2br w:val="nil"/>
                    <w:tr2bl w:val="nil"/>
                  </w:tcBorders>
                  <w:vAlign w:val="center"/>
                </w:tcPr>
                <w:p>
                  <w:pPr>
                    <w:jc w:val="center"/>
                    <w:rPr>
                      <w:color w:val="auto"/>
                      <w:kern w:val="0"/>
                      <w:sz w:val="21"/>
                      <w:szCs w:val="21"/>
                    </w:rPr>
                  </w:pPr>
                  <w:r>
                    <w:rPr>
                      <w:rFonts w:hint="eastAsia" w:ascii="Times New Roman" w:hAnsi="Times New Roman" w:eastAsia="宋体" w:cs="Times New Roman"/>
                      <w:bCs/>
                      <w:color w:val="auto"/>
                      <w:szCs w:val="21"/>
                      <w:lang w:val="en-US" w:eastAsia="zh-CN"/>
                    </w:rPr>
                    <w:t>803A动力中心</w:t>
                  </w:r>
                </w:p>
              </w:tc>
              <w:tc>
                <w:tcPr>
                  <w:tcW w:w="1679" w:type="dxa"/>
                  <w:tcBorders>
                    <w:tl2br w:val="nil"/>
                    <w:tr2bl w:val="nil"/>
                  </w:tcBorders>
                  <w:vAlign w:val="center"/>
                </w:tcPr>
                <w:p>
                  <w:pPr>
                    <w:jc w:val="center"/>
                    <w:rPr>
                      <w:bCs/>
                      <w:color w:val="auto"/>
                      <w:kern w:val="0"/>
                      <w:sz w:val="21"/>
                      <w:szCs w:val="21"/>
                    </w:rPr>
                  </w:pPr>
                  <w:r>
                    <w:rPr>
                      <w:rFonts w:hint="eastAsia" w:ascii="Times New Roman" w:hAnsi="Times New Roman" w:eastAsia="宋体" w:cs="Times New Roman"/>
                      <w:bCs/>
                      <w:color w:val="auto"/>
                      <w:szCs w:val="21"/>
                      <w:lang w:val="en-US" w:eastAsia="zh-CN"/>
                    </w:rPr>
                    <w:t>冷却塔</w:t>
                  </w:r>
                </w:p>
              </w:tc>
              <w:tc>
                <w:tcPr>
                  <w:tcW w:w="1446" w:type="dxa"/>
                  <w:tcBorders>
                    <w:tl2br w:val="nil"/>
                    <w:tr2bl w:val="nil"/>
                  </w:tcBorders>
                  <w:vAlign w:val="center"/>
                </w:tcPr>
                <w:p>
                  <w:pPr>
                    <w:jc w:val="center"/>
                    <w:rPr>
                      <w:bCs/>
                      <w:color w:val="auto"/>
                      <w:kern w:val="0"/>
                      <w:sz w:val="21"/>
                      <w:szCs w:val="21"/>
                    </w:rPr>
                  </w:pPr>
                  <w:r>
                    <w:rPr>
                      <w:rFonts w:hint="eastAsia" w:ascii="Times New Roman" w:hAnsi="Times New Roman" w:eastAsia="宋体" w:cs="Times New Roman"/>
                      <w:bCs/>
                      <w:color w:val="auto"/>
                      <w:szCs w:val="21"/>
                      <w:lang w:val="en-US" w:eastAsia="zh-CN"/>
                    </w:rPr>
                    <w:t>3</w:t>
                  </w:r>
                </w:p>
              </w:tc>
              <w:tc>
                <w:tcPr>
                  <w:tcW w:w="3471"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超低噪声横流式冷却塔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color w:val="auto"/>
                      <w:kern w:val="0"/>
                      <w:sz w:val="21"/>
                      <w:szCs w:val="21"/>
                    </w:rPr>
                  </w:pPr>
                </w:p>
              </w:tc>
              <w:tc>
                <w:tcPr>
                  <w:tcW w:w="1679" w:type="dxa"/>
                  <w:tcBorders>
                    <w:tl2br w:val="nil"/>
                    <w:tr2bl w:val="nil"/>
                  </w:tcBorders>
                  <w:vAlign w:val="center"/>
                </w:tcPr>
                <w:p>
                  <w:pPr>
                    <w:jc w:val="center"/>
                    <w:rPr>
                      <w:bCs/>
                      <w:color w:val="auto"/>
                      <w:kern w:val="0"/>
                      <w:sz w:val="21"/>
                      <w:szCs w:val="21"/>
                    </w:rPr>
                  </w:pPr>
                  <w:r>
                    <w:rPr>
                      <w:rFonts w:hint="eastAsia" w:ascii="Times New Roman" w:hAnsi="Times New Roman" w:eastAsia="宋体" w:cs="Times New Roman"/>
                      <w:bCs/>
                      <w:color w:val="auto"/>
                      <w:szCs w:val="21"/>
                      <w:lang w:val="en-US" w:eastAsia="zh-CN"/>
                    </w:rPr>
                    <w:t>水泵</w:t>
                  </w:r>
                </w:p>
              </w:tc>
              <w:tc>
                <w:tcPr>
                  <w:tcW w:w="1446" w:type="dxa"/>
                  <w:tcBorders>
                    <w:tl2br w:val="nil"/>
                    <w:tr2bl w:val="nil"/>
                  </w:tcBorders>
                  <w:vAlign w:val="center"/>
                </w:tcPr>
                <w:p>
                  <w:pPr>
                    <w:jc w:val="center"/>
                    <w:rPr>
                      <w:bCs/>
                      <w:color w:val="auto"/>
                      <w:kern w:val="0"/>
                      <w:sz w:val="21"/>
                      <w:szCs w:val="21"/>
                    </w:rPr>
                  </w:pPr>
                  <w:r>
                    <w:rPr>
                      <w:rFonts w:hint="eastAsia" w:ascii="Times New Roman" w:hAnsi="Times New Roman" w:eastAsia="宋体" w:cs="Times New Roman"/>
                      <w:bCs/>
                      <w:color w:val="auto"/>
                      <w:szCs w:val="21"/>
                      <w:lang w:val="en-US" w:eastAsia="zh-CN"/>
                    </w:rPr>
                    <w:t>7</w:t>
                  </w:r>
                </w:p>
              </w:tc>
              <w:tc>
                <w:tcPr>
                  <w:tcW w:w="3471"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color w:val="auto"/>
                      <w:kern w:val="0"/>
                      <w:sz w:val="21"/>
                      <w:szCs w:val="21"/>
                    </w:rPr>
                  </w:pPr>
                </w:p>
              </w:tc>
              <w:tc>
                <w:tcPr>
                  <w:tcW w:w="1679" w:type="dxa"/>
                  <w:tcBorders>
                    <w:tl2br w:val="nil"/>
                    <w:tr2bl w:val="nil"/>
                  </w:tcBorders>
                  <w:vAlign w:val="center"/>
                </w:tcPr>
                <w:p>
                  <w:pPr>
                    <w:jc w:val="center"/>
                    <w:rPr>
                      <w:bCs/>
                      <w:color w:val="auto"/>
                      <w:kern w:val="0"/>
                      <w:sz w:val="21"/>
                      <w:szCs w:val="21"/>
                    </w:rPr>
                  </w:pPr>
                  <w:r>
                    <w:rPr>
                      <w:rFonts w:hint="eastAsia" w:ascii="Times New Roman" w:hAnsi="Times New Roman" w:eastAsia="宋体" w:cs="Times New Roman"/>
                      <w:bCs/>
                      <w:color w:val="auto"/>
                      <w:szCs w:val="21"/>
                      <w:lang w:val="en-US" w:eastAsia="zh-CN"/>
                    </w:rPr>
                    <w:t>冷水离心机组</w:t>
                  </w:r>
                </w:p>
              </w:tc>
              <w:tc>
                <w:tcPr>
                  <w:tcW w:w="1446" w:type="dxa"/>
                  <w:tcBorders>
                    <w:tl2br w:val="nil"/>
                    <w:tr2bl w:val="nil"/>
                  </w:tcBorders>
                  <w:vAlign w:val="center"/>
                </w:tcPr>
                <w:p>
                  <w:pPr>
                    <w:jc w:val="center"/>
                    <w:rPr>
                      <w:bCs/>
                      <w:color w:val="auto"/>
                      <w:kern w:val="0"/>
                      <w:sz w:val="21"/>
                      <w:szCs w:val="21"/>
                    </w:rPr>
                  </w:pPr>
                  <w:r>
                    <w:rPr>
                      <w:rFonts w:hint="eastAsia" w:ascii="Times New Roman" w:hAnsi="Times New Roman" w:eastAsia="宋体" w:cs="Times New Roman"/>
                      <w:bCs/>
                      <w:color w:val="auto"/>
                      <w:szCs w:val="21"/>
                      <w:lang w:val="en-US" w:eastAsia="zh-CN"/>
                    </w:rPr>
                    <w:t>2</w:t>
                  </w:r>
                </w:p>
              </w:tc>
              <w:tc>
                <w:tcPr>
                  <w:tcW w:w="3471"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2*1758kW</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color w:val="auto"/>
                      <w:kern w:val="0"/>
                      <w:sz w:val="21"/>
                      <w:szCs w:val="21"/>
                    </w:rPr>
                  </w:pPr>
                </w:p>
              </w:tc>
              <w:tc>
                <w:tcPr>
                  <w:tcW w:w="1679" w:type="dxa"/>
                  <w:tcBorders>
                    <w:tl2br w:val="nil"/>
                    <w:tr2bl w:val="nil"/>
                  </w:tcBorders>
                  <w:vAlign w:val="center"/>
                </w:tcPr>
                <w:p>
                  <w:pPr>
                    <w:jc w:val="center"/>
                    <w:rPr>
                      <w:bCs/>
                      <w:color w:val="auto"/>
                      <w:kern w:val="0"/>
                      <w:sz w:val="21"/>
                      <w:szCs w:val="21"/>
                    </w:rPr>
                  </w:pPr>
                  <w:r>
                    <w:rPr>
                      <w:rFonts w:hint="eastAsia" w:ascii="Times New Roman" w:hAnsi="Times New Roman" w:eastAsia="宋体" w:cs="Times New Roman"/>
                      <w:bCs/>
                      <w:color w:val="auto"/>
                      <w:szCs w:val="21"/>
                      <w:lang w:val="en-US" w:eastAsia="zh-CN"/>
                    </w:rPr>
                    <w:t>换热器</w:t>
                  </w:r>
                </w:p>
              </w:tc>
              <w:tc>
                <w:tcPr>
                  <w:tcW w:w="1446" w:type="dxa"/>
                  <w:tcBorders>
                    <w:tl2br w:val="nil"/>
                    <w:tr2bl w:val="nil"/>
                  </w:tcBorders>
                  <w:vAlign w:val="center"/>
                </w:tcPr>
                <w:p>
                  <w:pPr>
                    <w:jc w:val="center"/>
                    <w:rPr>
                      <w:bCs/>
                      <w:color w:val="auto"/>
                      <w:kern w:val="0"/>
                      <w:sz w:val="21"/>
                      <w:szCs w:val="21"/>
                    </w:rPr>
                  </w:pPr>
                  <w:r>
                    <w:rPr>
                      <w:rFonts w:hint="eastAsia" w:ascii="Times New Roman" w:hAnsi="Times New Roman" w:eastAsia="宋体" w:cs="Times New Roman"/>
                      <w:bCs/>
                      <w:color w:val="auto"/>
                      <w:szCs w:val="21"/>
                      <w:lang w:val="en-US" w:eastAsia="zh-CN"/>
                    </w:rPr>
                    <w:t>3</w:t>
                  </w:r>
                </w:p>
              </w:tc>
              <w:tc>
                <w:tcPr>
                  <w:tcW w:w="3471"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3*1570kW</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restart"/>
                  <w:tcBorders>
                    <w:tl2br w:val="nil"/>
                    <w:tr2bl w:val="nil"/>
                  </w:tcBorders>
                  <w:vAlign w:val="center"/>
                </w:tcPr>
                <w:p>
                  <w:pPr>
                    <w:jc w:val="center"/>
                    <w:rPr>
                      <w:color w:val="auto"/>
                      <w:kern w:val="0"/>
                      <w:sz w:val="21"/>
                      <w:szCs w:val="21"/>
                    </w:rPr>
                  </w:pPr>
                  <w:r>
                    <w:rPr>
                      <w:rFonts w:hint="eastAsia" w:ascii="Times New Roman" w:hAnsi="Times New Roman" w:eastAsia="宋体" w:cs="Times New Roman"/>
                      <w:bCs/>
                      <w:color w:val="auto"/>
                      <w:szCs w:val="21"/>
                      <w:lang w:val="en-US" w:eastAsia="zh-CN"/>
                    </w:rPr>
                    <w:t>803B动力中心</w:t>
                  </w:r>
                </w:p>
              </w:tc>
              <w:tc>
                <w:tcPr>
                  <w:tcW w:w="1679" w:type="dxa"/>
                  <w:tcBorders>
                    <w:tl2br w:val="nil"/>
                    <w:tr2bl w:val="nil"/>
                  </w:tcBorders>
                  <w:vAlign w:val="center"/>
                </w:tcPr>
                <w:p>
                  <w:pPr>
                    <w:jc w:val="center"/>
                    <w:rPr>
                      <w:bCs/>
                      <w:color w:val="auto"/>
                      <w:kern w:val="0"/>
                      <w:sz w:val="21"/>
                      <w:szCs w:val="21"/>
                    </w:rPr>
                  </w:pPr>
                  <w:r>
                    <w:rPr>
                      <w:rFonts w:hint="eastAsia" w:ascii="Times New Roman" w:hAnsi="Times New Roman" w:eastAsia="宋体" w:cs="Times New Roman"/>
                      <w:bCs/>
                      <w:color w:val="auto"/>
                      <w:szCs w:val="21"/>
                      <w:lang w:val="en-US" w:eastAsia="zh-CN"/>
                    </w:rPr>
                    <w:t>冷却塔</w:t>
                  </w:r>
                </w:p>
              </w:tc>
              <w:tc>
                <w:tcPr>
                  <w:tcW w:w="1446" w:type="dxa"/>
                  <w:tcBorders>
                    <w:tl2br w:val="nil"/>
                    <w:tr2bl w:val="nil"/>
                  </w:tcBorders>
                  <w:vAlign w:val="center"/>
                </w:tcPr>
                <w:p>
                  <w:pPr>
                    <w:jc w:val="center"/>
                    <w:rPr>
                      <w:bCs/>
                      <w:color w:val="auto"/>
                      <w:kern w:val="0"/>
                      <w:sz w:val="21"/>
                      <w:szCs w:val="21"/>
                    </w:rPr>
                  </w:pPr>
                  <w:r>
                    <w:rPr>
                      <w:rFonts w:hint="eastAsia" w:ascii="Times New Roman" w:hAnsi="Times New Roman" w:eastAsia="宋体" w:cs="Times New Roman"/>
                      <w:bCs/>
                      <w:color w:val="auto"/>
                      <w:szCs w:val="21"/>
                      <w:lang w:val="en-US" w:eastAsia="zh-CN"/>
                    </w:rPr>
                    <w:t>7</w:t>
                  </w:r>
                </w:p>
              </w:tc>
              <w:tc>
                <w:tcPr>
                  <w:tcW w:w="3471"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超低噪声横流式冷却塔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rPr>
                  </w:pPr>
                  <w:r>
                    <w:rPr>
                      <w:rFonts w:hint="eastAsia" w:ascii="Times New Roman" w:hAnsi="Times New Roman" w:eastAsia="宋体" w:cs="Times New Roman"/>
                      <w:bCs/>
                      <w:color w:val="auto"/>
                      <w:szCs w:val="21"/>
                      <w:lang w:val="en-US" w:eastAsia="zh-CN"/>
                    </w:rPr>
                    <w:t>水泵</w:t>
                  </w:r>
                </w:p>
              </w:tc>
              <w:tc>
                <w:tcPr>
                  <w:tcW w:w="1446" w:type="dxa"/>
                  <w:tcBorders>
                    <w:tl2br w:val="nil"/>
                    <w:tr2bl w:val="nil"/>
                  </w:tcBorders>
                  <w:vAlign w:val="center"/>
                </w:tcPr>
                <w:p>
                  <w:pPr>
                    <w:jc w:val="center"/>
                    <w:rPr>
                      <w:bCs/>
                      <w:color w:val="auto"/>
                      <w:kern w:val="0"/>
                      <w:sz w:val="21"/>
                      <w:szCs w:val="21"/>
                    </w:rPr>
                  </w:pPr>
                  <w:r>
                    <w:rPr>
                      <w:rFonts w:hint="eastAsia" w:ascii="Times New Roman" w:hAnsi="Times New Roman" w:eastAsia="宋体" w:cs="Times New Roman"/>
                      <w:bCs/>
                      <w:color w:val="auto"/>
                      <w:szCs w:val="21"/>
                      <w:lang w:val="en-US" w:eastAsia="zh-CN"/>
                    </w:rPr>
                    <w:t>6</w:t>
                  </w:r>
                </w:p>
              </w:tc>
              <w:tc>
                <w:tcPr>
                  <w:tcW w:w="3471"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color w:val="auto"/>
                      <w:kern w:val="0"/>
                      <w:sz w:val="21"/>
                      <w:szCs w:val="21"/>
                    </w:rPr>
                  </w:pPr>
                </w:p>
              </w:tc>
              <w:tc>
                <w:tcPr>
                  <w:tcW w:w="1679" w:type="dxa"/>
                  <w:tcBorders>
                    <w:tl2br w:val="nil"/>
                    <w:tr2bl w:val="nil"/>
                  </w:tcBorders>
                  <w:vAlign w:val="center"/>
                </w:tcPr>
                <w:p>
                  <w:pPr>
                    <w:jc w:val="center"/>
                    <w:rPr>
                      <w:bCs/>
                      <w:color w:val="auto"/>
                      <w:kern w:val="0"/>
                      <w:sz w:val="21"/>
                      <w:szCs w:val="21"/>
                    </w:rPr>
                  </w:pPr>
                  <w:r>
                    <w:rPr>
                      <w:rFonts w:hint="eastAsia" w:ascii="Times New Roman" w:hAnsi="Times New Roman" w:eastAsia="宋体" w:cs="Times New Roman"/>
                      <w:bCs/>
                      <w:color w:val="auto"/>
                      <w:szCs w:val="21"/>
                      <w:lang w:val="en-US" w:eastAsia="zh-CN"/>
                    </w:rPr>
                    <w:t>冷水离心机组</w:t>
                  </w:r>
                </w:p>
              </w:tc>
              <w:tc>
                <w:tcPr>
                  <w:tcW w:w="1446" w:type="dxa"/>
                  <w:tcBorders>
                    <w:tl2br w:val="nil"/>
                    <w:tr2bl w:val="nil"/>
                  </w:tcBorders>
                  <w:vAlign w:val="center"/>
                </w:tcPr>
                <w:p>
                  <w:pPr>
                    <w:jc w:val="center"/>
                    <w:rPr>
                      <w:bCs/>
                      <w:color w:val="auto"/>
                      <w:kern w:val="0"/>
                      <w:sz w:val="21"/>
                      <w:szCs w:val="21"/>
                    </w:rPr>
                  </w:pPr>
                  <w:r>
                    <w:rPr>
                      <w:rFonts w:hint="eastAsia" w:ascii="Times New Roman" w:hAnsi="Times New Roman" w:eastAsia="宋体" w:cs="Times New Roman"/>
                      <w:bCs/>
                      <w:color w:val="auto"/>
                      <w:szCs w:val="21"/>
                      <w:lang w:val="en-US" w:eastAsia="zh-CN"/>
                    </w:rPr>
                    <w:t>3</w:t>
                  </w:r>
                </w:p>
              </w:tc>
              <w:tc>
                <w:tcPr>
                  <w:tcW w:w="3471"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3*1650RT（5083kw）</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tcBorders>
                    <w:tl2br w:val="nil"/>
                    <w:tr2bl w:val="nil"/>
                  </w:tcBorders>
                  <w:vAlign w:val="center"/>
                </w:tcPr>
                <w:p>
                  <w:pPr>
                    <w:jc w:val="center"/>
                    <w:rPr>
                      <w:rFonts w:hint="eastAsia" w:eastAsia="宋体"/>
                      <w:color w:val="auto"/>
                      <w:kern w:val="0"/>
                      <w:sz w:val="21"/>
                      <w:szCs w:val="21"/>
                      <w:lang w:val="en-US" w:eastAsia="zh-CN"/>
                    </w:rPr>
                  </w:pPr>
                  <w:r>
                    <w:rPr>
                      <w:rFonts w:hint="eastAsia"/>
                      <w:color w:val="auto"/>
                      <w:kern w:val="0"/>
                      <w:sz w:val="21"/>
                      <w:szCs w:val="21"/>
                      <w:lang w:val="en-US" w:eastAsia="zh-CN"/>
                    </w:rPr>
                    <w:t>备用发电机房</w:t>
                  </w:r>
                </w:p>
              </w:tc>
              <w:tc>
                <w:tcPr>
                  <w:tcW w:w="1679"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备用柴油发电机</w:t>
                  </w:r>
                </w:p>
              </w:tc>
              <w:tc>
                <w:tcPr>
                  <w:tcW w:w="1446"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5</w:t>
                  </w:r>
                </w:p>
              </w:tc>
              <w:tc>
                <w:tcPr>
                  <w:tcW w:w="3471" w:type="dxa"/>
                  <w:tcBorders>
                    <w:tl2br w:val="nil"/>
                    <w:tr2bl w:val="nil"/>
                  </w:tcBorders>
                  <w:vAlign w:val="center"/>
                </w:tcPr>
                <w:p>
                  <w:pPr>
                    <w:jc w:val="center"/>
                    <w:rPr>
                      <w:rFonts w:hint="eastAsia" w:eastAsia="宋体"/>
                      <w:bCs/>
                      <w:color w:val="auto"/>
                      <w:kern w:val="0"/>
                      <w:sz w:val="21"/>
                      <w:szCs w:val="21"/>
                      <w:lang w:val="en-US" w:eastAsia="zh-CN"/>
                    </w:rPr>
                  </w:pPr>
                  <w:r>
                    <w:rPr>
                      <w:rFonts w:hint="eastAsia"/>
                      <w:bCs/>
                      <w:color w:val="auto"/>
                      <w:kern w:val="0"/>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tcBorders>
                    <w:tl2br w:val="nil"/>
                    <w:tr2bl w:val="nil"/>
                  </w:tcBorders>
                  <w:vAlign w:val="center"/>
                </w:tcPr>
                <w:p>
                  <w:pPr>
                    <w:jc w:val="center"/>
                    <w:rPr>
                      <w:color w:val="auto"/>
                      <w:kern w:val="0"/>
                      <w:sz w:val="21"/>
                      <w:szCs w:val="21"/>
                    </w:rPr>
                  </w:pPr>
                  <w:r>
                    <w:rPr>
                      <w:rFonts w:hint="eastAsia" w:ascii="Times New Roman" w:hAnsi="Times New Roman" w:eastAsia="宋体" w:cs="Times New Roman"/>
                      <w:bCs/>
                      <w:color w:val="auto"/>
                      <w:szCs w:val="21"/>
                      <w:lang w:val="en-US" w:eastAsia="zh-CN"/>
                    </w:rPr>
                    <w:t>主城堡地下车场</w:t>
                  </w:r>
                </w:p>
              </w:tc>
              <w:tc>
                <w:tcPr>
                  <w:tcW w:w="1679"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机械排风风机</w:t>
                  </w:r>
                </w:p>
              </w:tc>
              <w:tc>
                <w:tcPr>
                  <w:tcW w:w="1446"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17</w:t>
                  </w:r>
                </w:p>
              </w:tc>
              <w:tc>
                <w:tcPr>
                  <w:tcW w:w="3471" w:type="dxa"/>
                  <w:tcBorders>
                    <w:tl2br w:val="nil"/>
                    <w:tr2bl w:val="nil"/>
                  </w:tcBorders>
                  <w:vAlign w:val="center"/>
                </w:tcPr>
                <w:p>
                  <w:pPr>
                    <w:jc w:val="center"/>
                    <w:rPr>
                      <w:rFonts w:hint="eastAsia" w:eastAsia="宋体"/>
                      <w:bCs/>
                      <w:color w:val="auto"/>
                      <w:kern w:val="0"/>
                      <w:sz w:val="21"/>
                      <w:szCs w:val="21"/>
                      <w:lang w:val="en-US" w:eastAsia="zh-CN"/>
                    </w:rPr>
                  </w:pPr>
                  <w:r>
                    <w:rPr>
                      <w:rFonts w:hint="eastAsia"/>
                      <w:bCs/>
                      <w:color w:val="auto"/>
                      <w:kern w:val="0"/>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tcBorders>
                    <w:tl2br w:val="nil"/>
                    <w:tr2bl w:val="nil"/>
                  </w:tcBorders>
                  <w:vAlign w:val="center"/>
                </w:tcPr>
                <w:p>
                  <w:pPr>
                    <w:jc w:val="center"/>
                    <w:rPr>
                      <w:color w:val="auto"/>
                      <w:kern w:val="0"/>
                      <w:sz w:val="21"/>
                      <w:szCs w:val="21"/>
                    </w:rPr>
                  </w:pPr>
                  <w:r>
                    <w:rPr>
                      <w:rFonts w:hint="eastAsia" w:ascii="Times New Roman" w:hAnsi="Times New Roman" w:eastAsia="宋体" w:cs="Times New Roman"/>
                      <w:bCs/>
                      <w:color w:val="auto"/>
                      <w:szCs w:val="21"/>
                      <w:lang w:val="en-US" w:eastAsia="zh-CN"/>
                    </w:rPr>
                    <w:t>634#单体消防水泵房</w:t>
                  </w:r>
                </w:p>
              </w:tc>
              <w:tc>
                <w:tcPr>
                  <w:tcW w:w="1679"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水泵</w:t>
                  </w:r>
                </w:p>
              </w:tc>
              <w:tc>
                <w:tcPr>
                  <w:tcW w:w="1446"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8</w:t>
                  </w:r>
                </w:p>
              </w:tc>
              <w:tc>
                <w:tcPr>
                  <w:tcW w:w="3471" w:type="dxa"/>
                  <w:tcBorders>
                    <w:tl2br w:val="nil"/>
                    <w:tr2bl w:val="nil"/>
                  </w:tcBorders>
                  <w:vAlign w:val="center"/>
                </w:tcPr>
                <w:p>
                  <w:pPr>
                    <w:jc w:val="center"/>
                    <w:rPr>
                      <w:rFonts w:hint="eastAsia" w:eastAsia="宋体"/>
                      <w:bCs/>
                      <w:color w:val="auto"/>
                      <w:kern w:val="0"/>
                      <w:sz w:val="21"/>
                      <w:szCs w:val="21"/>
                      <w:lang w:val="en-US" w:eastAsia="zh-CN"/>
                    </w:rPr>
                  </w:pPr>
                  <w:r>
                    <w:rPr>
                      <w:rFonts w:hint="eastAsia"/>
                      <w:bCs/>
                      <w:color w:val="auto"/>
                      <w:kern w:val="0"/>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tcBorders>
                    <w:tl2br w:val="nil"/>
                    <w:tr2bl w:val="nil"/>
                  </w:tcBorders>
                  <w:vAlign w:val="center"/>
                </w:tcPr>
                <w:p>
                  <w:pPr>
                    <w:jc w:val="center"/>
                    <w:rPr>
                      <w:color w:val="auto"/>
                      <w:kern w:val="0"/>
                      <w:sz w:val="21"/>
                      <w:szCs w:val="21"/>
                    </w:rPr>
                  </w:pPr>
                  <w:r>
                    <w:rPr>
                      <w:rFonts w:hint="eastAsia" w:ascii="Times New Roman" w:hAnsi="Times New Roman" w:eastAsia="宋体" w:cs="Times New Roman"/>
                      <w:bCs/>
                      <w:color w:val="auto"/>
                      <w:szCs w:val="21"/>
                      <w:lang w:val="en-US" w:eastAsia="zh-CN"/>
                    </w:rPr>
                    <w:t>634#单体加压水泵房</w:t>
                  </w:r>
                </w:p>
              </w:tc>
              <w:tc>
                <w:tcPr>
                  <w:tcW w:w="1679"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水泵</w:t>
                  </w:r>
                </w:p>
              </w:tc>
              <w:tc>
                <w:tcPr>
                  <w:tcW w:w="1446"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3</w:t>
                  </w:r>
                </w:p>
              </w:tc>
              <w:tc>
                <w:tcPr>
                  <w:tcW w:w="3471" w:type="dxa"/>
                  <w:tcBorders>
                    <w:tl2br w:val="nil"/>
                    <w:tr2bl w:val="nil"/>
                  </w:tcBorders>
                  <w:vAlign w:val="center"/>
                </w:tcPr>
                <w:p>
                  <w:pPr>
                    <w:jc w:val="center"/>
                    <w:rPr>
                      <w:rFonts w:hint="eastAsia" w:eastAsia="宋体"/>
                      <w:bCs/>
                      <w:color w:val="auto"/>
                      <w:kern w:val="0"/>
                      <w:sz w:val="21"/>
                      <w:szCs w:val="21"/>
                      <w:lang w:val="en-US" w:eastAsia="zh-CN"/>
                    </w:rPr>
                  </w:pPr>
                  <w:r>
                    <w:rPr>
                      <w:rFonts w:hint="eastAsia"/>
                      <w:bCs/>
                      <w:color w:val="auto"/>
                      <w:kern w:val="0"/>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tcBorders>
                    <w:tl2br w:val="nil"/>
                    <w:tr2bl w:val="nil"/>
                  </w:tcBorders>
                  <w:vAlign w:val="center"/>
                </w:tcPr>
                <w:p>
                  <w:pPr>
                    <w:jc w:val="center"/>
                    <w:rPr>
                      <w:color w:val="auto"/>
                      <w:kern w:val="0"/>
                      <w:sz w:val="21"/>
                      <w:szCs w:val="21"/>
                    </w:rPr>
                  </w:pPr>
                  <w:r>
                    <w:rPr>
                      <w:rFonts w:hint="eastAsia" w:ascii="Times New Roman" w:hAnsi="Times New Roman" w:eastAsia="宋体" w:cs="Times New Roman"/>
                      <w:bCs/>
                      <w:color w:val="auto"/>
                      <w:szCs w:val="21"/>
                      <w:lang w:val="en-US" w:eastAsia="zh-CN"/>
                    </w:rPr>
                    <w:t>528#单体消防水箱间</w:t>
                  </w:r>
                </w:p>
              </w:tc>
              <w:tc>
                <w:tcPr>
                  <w:tcW w:w="1679"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水泵</w:t>
                  </w:r>
                </w:p>
              </w:tc>
              <w:tc>
                <w:tcPr>
                  <w:tcW w:w="1446"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4</w:t>
                  </w:r>
                </w:p>
              </w:tc>
              <w:tc>
                <w:tcPr>
                  <w:tcW w:w="3471" w:type="dxa"/>
                  <w:tcBorders>
                    <w:tl2br w:val="nil"/>
                    <w:tr2bl w:val="nil"/>
                  </w:tcBorders>
                  <w:vAlign w:val="center"/>
                </w:tcPr>
                <w:p>
                  <w:pPr>
                    <w:jc w:val="center"/>
                    <w:rPr>
                      <w:rFonts w:hint="eastAsia" w:eastAsia="宋体"/>
                      <w:bCs/>
                      <w:color w:val="auto"/>
                      <w:kern w:val="0"/>
                      <w:sz w:val="21"/>
                      <w:szCs w:val="21"/>
                      <w:lang w:val="en-US" w:eastAsia="zh-CN"/>
                    </w:rPr>
                  </w:pPr>
                  <w:r>
                    <w:rPr>
                      <w:rFonts w:hint="eastAsia"/>
                      <w:bCs/>
                      <w:color w:val="auto"/>
                      <w:kern w:val="0"/>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528#单体</w:t>
                  </w:r>
                  <w:r>
                    <w:rPr>
                      <w:rFonts w:hint="eastAsia" w:cs="Times New Roman"/>
                      <w:bCs/>
                      <w:color w:val="auto"/>
                      <w:szCs w:val="21"/>
                      <w:lang w:val="en-US" w:eastAsia="zh-CN"/>
                    </w:rPr>
                    <w:t>游乐设施污水处理水泵房</w:t>
                  </w:r>
                </w:p>
              </w:tc>
              <w:tc>
                <w:tcPr>
                  <w:tcW w:w="1679"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水泵</w:t>
                  </w:r>
                </w:p>
              </w:tc>
              <w:tc>
                <w:tcPr>
                  <w:tcW w:w="1446"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2</w:t>
                  </w:r>
                </w:p>
              </w:tc>
              <w:tc>
                <w:tcPr>
                  <w:tcW w:w="3471"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6" w:type="dxa"/>
                  <w:tcBorders>
                    <w:tl2br w:val="nil"/>
                    <w:tr2bl w:val="nil"/>
                  </w:tcBorders>
                  <w:vAlign w:val="center"/>
                </w:tcPr>
                <w:p>
                  <w:pPr>
                    <w:jc w:val="center"/>
                    <w:rPr>
                      <w:color w:val="auto"/>
                      <w:kern w:val="0"/>
                      <w:sz w:val="21"/>
                      <w:szCs w:val="21"/>
                    </w:rPr>
                  </w:pPr>
                  <w:r>
                    <w:rPr>
                      <w:rFonts w:hint="eastAsia" w:ascii="Times New Roman" w:hAnsi="Times New Roman" w:eastAsia="宋体" w:cs="Times New Roman"/>
                      <w:bCs/>
                      <w:color w:val="auto"/>
                      <w:szCs w:val="21"/>
                      <w:lang w:val="en-US" w:eastAsia="zh-CN"/>
                    </w:rPr>
                    <w:t>主城堡地下水泵房</w:t>
                  </w:r>
                </w:p>
              </w:tc>
              <w:tc>
                <w:tcPr>
                  <w:tcW w:w="1679"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水泵</w:t>
                  </w:r>
                </w:p>
              </w:tc>
              <w:tc>
                <w:tcPr>
                  <w:tcW w:w="1446"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3</w:t>
                  </w:r>
                </w:p>
              </w:tc>
              <w:tc>
                <w:tcPr>
                  <w:tcW w:w="3471" w:type="dxa"/>
                  <w:tcBorders>
                    <w:tl2br w:val="nil"/>
                    <w:tr2bl w:val="nil"/>
                  </w:tcBorders>
                  <w:vAlign w:val="center"/>
                </w:tcPr>
                <w:p>
                  <w:pPr>
                    <w:jc w:val="center"/>
                    <w:rPr>
                      <w:rFonts w:hint="eastAsia" w:eastAsia="宋体"/>
                      <w:bCs/>
                      <w:color w:val="auto"/>
                      <w:kern w:val="0"/>
                      <w:sz w:val="21"/>
                      <w:szCs w:val="21"/>
                      <w:lang w:val="en-US" w:eastAsia="zh-CN"/>
                    </w:rPr>
                  </w:pPr>
                  <w:r>
                    <w:rPr>
                      <w:rFonts w:hint="eastAsia"/>
                      <w:bCs/>
                      <w:color w:val="auto"/>
                      <w:kern w:val="0"/>
                      <w:sz w:val="21"/>
                      <w:szCs w:val="21"/>
                      <w:lang w:val="en-US" w:eastAsia="zh-CN"/>
                    </w:rPr>
                    <w:t>/</w:t>
                  </w:r>
                </w:p>
              </w:tc>
            </w:tr>
          </w:tbl>
          <w:p>
            <w:pPr>
              <w:adjustRightInd w:val="0"/>
              <w:snapToGrid w:val="0"/>
              <w:spacing w:line="360" w:lineRule="auto"/>
              <w:ind w:firstLine="482" w:firstLineChars="200"/>
              <w:rPr>
                <w:b/>
                <w:color w:val="auto"/>
                <w:sz w:val="24"/>
                <w:szCs w:val="24"/>
              </w:rPr>
            </w:pPr>
            <w:r>
              <w:rPr>
                <w:rFonts w:hint="eastAsia"/>
                <w:b/>
                <w:color w:val="auto"/>
                <w:sz w:val="24"/>
                <w:szCs w:val="24"/>
                <w:lang w:val="en-US" w:eastAsia="zh-CN"/>
              </w:rPr>
              <w:t>4、</w:t>
            </w:r>
            <w:r>
              <w:rPr>
                <w:b/>
                <w:color w:val="auto"/>
                <w:sz w:val="24"/>
                <w:szCs w:val="24"/>
              </w:rPr>
              <w:t>主要原辅料及燃料</w:t>
            </w:r>
          </w:p>
          <w:p>
            <w:pPr>
              <w:pStyle w:val="2"/>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项目原辅料及能源消耗情况见表7。</w:t>
            </w:r>
          </w:p>
          <w:p>
            <w:pPr>
              <w:widowControl w:val="0"/>
              <w:snapToGrid w:val="0"/>
              <w:spacing w:line="360" w:lineRule="auto"/>
              <w:jc w:val="center"/>
              <w:rPr>
                <w:rFonts w:hint="eastAsia" w:ascii="Times New Roman" w:hAnsi="Times New Roman" w:eastAsia="黑体" w:cs="Times New Roman"/>
                <w:color w:val="auto"/>
                <w:sz w:val="24"/>
                <w:szCs w:val="24"/>
              </w:rPr>
            </w:pPr>
            <w:r>
              <w:rPr>
                <w:rFonts w:hint="eastAsia" w:ascii="Times New Roman" w:hAnsi="Times New Roman" w:eastAsia="黑体" w:cs="Times New Roman"/>
                <w:color w:val="auto"/>
                <w:sz w:val="24"/>
                <w:szCs w:val="24"/>
              </w:rPr>
              <w:t>表</w:t>
            </w:r>
            <w:r>
              <w:rPr>
                <w:rFonts w:hint="eastAsia" w:eastAsia="黑体" w:cs="Times New Roman"/>
                <w:color w:val="auto"/>
                <w:sz w:val="24"/>
                <w:szCs w:val="24"/>
                <w:lang w:val="en-US" w:eastAsia="zh-CN"/>
              </w:rPr>
              <w:t>7</w:t>
            </w:r>
            <w:r>
              <w:rPr>
                <w:rFonts w:hint="eastAsia" w:ascii="Times New Roman" w:hAnsi="Times New Roman" w:eastAsia="黑体" w:cs="Times New Roman"/>
                <w:color w:val="auto"/>
                <w:sz w:val="24"/>
                <w:szCs w:val="24"/>
              </w:rPr>
              <w:t xml:space="preserve">   </w:t>
            </w:r>
            <w:r>
              <w:rPr>
                <w:rFonts w:hint="eastAsia" w:eastAsia="黑体" w:cs="Times New Roman"/>
                <w:color w:val="auto"/>
                <w:sz w:val="24"/>
                <w:szCs w:val="24"/>
                <w:lang w:val="en-US" w:eastAsia="zh-CN"/>
              </w:rPr>
              <w:t xml:space="preserve">  </w:t>
            </w:r>
            <w:r>
              <w:rPr>
                <w:rFonts w:hint="eastAsia" w:ascii="Times New Roman" w:hAnsi="Times New Roman" w:eastAsia="黑体" w:cs="Times New Roman"/>
                <w:color w:val="auto"/>
                <w:sz w:val="24"/>
                <w:szCs w:val="24"/>
              </w:rPr>
              <w:t>项目原、辅材料及能源消耗一览表</w:t>
            </w:r>
          </w:p>
          <w:tbl>
            <w:tblPr>
              <w:tblStyle w:val="25"/>
              <w:tblW w:w="786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453"/>
              <w:gridCol w:w="1616"/>
              <w:gridCol w:w="1481"/>
              <w:gridCol w:w="27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55" w:type="dxa"/>
                  <w:vAlign w:val="center"/>
                </w:tcPr>
                <w:p>
                  <w:pPr>
                    <w:jc w:val="center"/>
                    <w:rPr>
                      <w:color w:val="auto"/>
                      <w:kern w:val="0"/>
                      <w:sz w:val="21"/>
                      <w:szCs w:val="21"/>
                    </w:rPr>
                  </w:pPr>
                  <w:r>
                    <w:rPr>
                      <w:color w:val="auto"/>
                      <w:kern w:val="0"/>
                      <w:sz w:val="21"/>
                      <w:szCs w:val="21"/>
                    </w:rPr>
                    <w:t>序号</w:t>
                  </w:r>
                </w:p>
              </w:tc>
              <w:tc>
                <w:tcPr>
                  <w:tcW w:w="1453" w:type="dxa"/>
                  <w:vAlign w:val="center"/>
                </w:tcPr>
                <w:p>
                  <w:pPr>
                    <w:jc w:val="center"/>
                    <w:rPr>
                      <w:color w:val="auto"/>
                      <w:kern w:val="0"/>
                      <w:sz w:val="21"/>
                      <w:szCs w:val="21"/>
                    </w:rPr>
                  </w:pPr>
                  <w:r>
                    <w:rPr>
                      <w:color w:val="auto"/>
                      <w:kern w:val="0"/>
                      <w:sz w:val="21"/>
                      <w:szCs w:val="21"/>
                    </w:rPr>
                    <w:t>原辅材料</w:t>
                  </w:r>
                </w:p>
              </w:tc>
              <w:tc>
                <w:tcPr>
                  <w:tcW w:w="1616" w:type="dxa"/>
                  <w:vAlign w:val="center"/>
                </w:tcPr>
                <w:p>
                  <w:pPr>
                    <w:jc w:val="center"/>
                    <w:rPr>
                      <w:color w:val="auto"/>
                      <w:kern w:val="0"/>
                      <w:sz w:val="21"/>
                      <w:szCs w:val="21"/>
                    </w:rPr>
                  </w:pPr>
                  <w:r>
                    <w:rPr>
                      <w:color w:val="auto"/>
                      <w:kern w:val="0"/>
                      <w:sz w:val="21"/>
                      <w:szCs w:val="21"/>
                    </w:rPr>
                    <w:t>年用量（t/a）</w:t>
                  </w:r>
                </w:p>
              </w:tc>
              <w:tc>
                <w:tcPr>
                  <w:tcW w:w="1481" w:type="dxa"/>
                  <w:vAlign w:val="center"/>
                </w:tcPr>
                <w:p>
                  <w:pPr>
                    <w:rPr>
                      <w:color w:val="auto"/>
                      <w:kern w:val="0"/>
                      <w:sz w:val="21"/>
                      <w:szCs w:val="21"/>
                    </w:rPr>
                  </w:pPr>
                  <w:r>
                    <w:rPr>
                      <w:color w:val="auto"/>
                      <w:kern w:val="0"/>
                      <w:sz w:val="21"/>
                      <w:szCs w:val="21"/>
                    </w:rPr>
                    <w:t>厂区最大储存量（t/a）</w:t>
                  </w:r>
                </w:p>
              </w:tc>
              <w:tc>
                <w:tcPr>
                  <w:tcW w:w="2757" w:type="dxa"/>
                  <w:vAlign w:val="center"/>
                </w:tcPr>
                <w:p>
                  <w:pPr>
                    <w:jc w:val="center"/>
                    <w:rPr>
                      <w:color w:val="auto"/>
                      <w:kern w:val="0"/>
                      <w:sz w:val="21"/>
                      <w:szCs w:val="21"/>
                    </w:rPr>
                  </w:pPr>
                  <w:r>
                    <w:rPr>
                      <w:color w:val="auto"/>
                      <w:kern w:val="0"/>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55" w:type="dxa"/>
                  <w:vAlign w:val="center"/>
                </w:tcPr>
                <w:p>
                  <w:pPr>
                    <w:jc w:val="center"/>
                    <w:rPr>
                      <w:color w:val="auto"/>
                      <w:kern w:val="0"/>
                      <w:sz w:val="21"/>
                      <w:szCs w:val="21"/>
                    </w:rPr>
                  </w:pPr>
                  <w:r>
                    <w:rPr>
                      <w:color w:val="auto"/>
                      <w:kern w:val="0"/>
                      <w:sz w:val="21"/>
                      <w:szCs w:val="21"/>
                    </w:rPr>
                    <w:t>1</w:t>
                  </w:r>
                </w:p>
              </w:tc>
              <w:tc>
                <w:tcPr>
                  <w:tcW w:w="1453" w:type="dxa"/>
                  <w:vAlign w:val="center"/>
                </w:tcPr>
                <w:p>
                  <w:pPr>
                    <w:jc w:val="center"/>
                    <w:rPr>
                      <w:color w:val="auto"/>
                      <w:kern w:val="0"/>
                      <w:sz w:val="21"/>
                      <w:szCs w:val="21"/>
                    </w:rPr>
                  </w:pPr>
                  <w:r>
                    <w:rPr>
                      <w:color w:val="auto"/>
                      <w:kern w:val="0"/>
                      <w:sz w:val="21"/>
                      <w:szCs w:val="21"/>
                    </w:rPr>
                    <w:t>次氯酸钠</w:t>
                  </w:r>
                </w:p>
              </w:tc>
              <w:tc>
                <w:tcPr>
                  <w:tcW w:w="1616" w:type="dxa"/>
                </w:tcPr>
                <w:p>
                  <w:pPr>
                    <w:jc w:val="center"/>
                    <w:rPr>
                      <w:rFonts w:hint="eastAsia" w:eastAsia="宋体"/>
                      <w:color w:val="auto"/>
                      <w:kern w:val="0"/>
                      <w:sz w:val="21"/>
                      <w:szCs w:val="21"/>
                      <w:lang w:eastAsia="zh-CN"/>
                    </w:rPr>
                  </w:pPr>
                  <w:r>
                    <w:rPr>
                      <w:rFonts w:hint="eastAsia"/>
                      <w:color w:val="auto"/>
                      <w:kern w:val="0"/>
                      <w:sz w:val="21"/>
                      <w:szCs w:val="21"/>
                      <w:lang w:val="en-US" w:eastAsia="zh-CN"/>
                    </w:rPr>
                    <w:t>60</w:t>
                  </w:r>
                </w:p>
              </w:tc>
              <w:tc>
                <w:tcPr>
                  <w:tcW w:w="1481" w:type="dxa"/>
                  <w:vAlign w:val="center"/>
                </w:tcPr>
                <w:p>
                  <w:pPr>
                    <w:jc w:val="center"/>
                    <w:rPr>
                      <w:rFonts w:hint="eastAsia" w:eastAsia="宋体"/>
                      <w:color w:val="auto"/>
                      <w:kern w:val="0"/>
                      <w:sz w:val="21"/>
                      <w:szCs w:val="21"/>
                      <w:lang w:eastAsia="zh-CN"/>
                    </w:rPr>
                  </w:pPr>
                  <w:r>
                    <w:rPr>
                      <w:rFonts w:hint="eastAsia"/>
                      <w:color w:val="auto"/>
                      <w:kern w:val="0"/>
                      <w:sz w:val="21"/>
                      <w:szCs w:val="21"/>
                      <w:lang w:val="en-US" w:eastAsia="zh-CN"/>
                    </w:rPr>
                    <w:t>1.0</w:t>
                  </w:r>
                </w:p>
              </w:tc>
              <w:tc>
                <w:tcPr>
                  <w:tcW w:w="2757" w:type="dxa"/>
                  <w:vMerge w:val="restart"/>
                  <w:vAlign w:val="center"/>
                </w:tcPr>
                <w:p>
                  <w:pPr>
                    <w:jc w:val="center"/>
                    <w:rPr>
                      <w:color w:val="auto"/>
                    </w:rPr>
                  </w:pPr>
                  <w:r>
                    <w:rPr>
                      <w:color w:val="auto"/>
                    </w:rPr>
                    <w:t>用于</w:t>
                  </w:r>
                  <w:r>
                    <w:rPr>
                      <w:rFonts w:hint="eastAsia"/>
                      <w:color w:val="auto"/>
                    </w:rPr>
                    <w:t>互动战船和情景激流勇进</w:t>
                  </w:r>
                  <w:r>
                    <w:rPr>
                      <w:rFonts w:hint="eastAsia"/>
                      <w:color w:val="auto"/>
                      <w:lang w:val="en-US" w:eastAsia="zh-CN"/>
                    </w:rPr>
                    <w:t>等游戏设施水处理系统药剂。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55" w:type="dxa"/>
                  <w:vAlign w:val="center"/>
                </w:tcPr>
                <w:p>
                  <w:pPr>
                    <w:jc w:val="center"/>
                    <w:rPr>
                      <w:color w:val="auto"/>
                      <w:kern w:val="0"/>
                      <w:sz w:val="21"/>
                      <w:szCs w:val="21"/>
                    </w:rPr>
                  </w:pPr>
                  <w:r>
                    <w:rPr>
                      <w:rFonts w:hint="eastAsia"/>
                      <w:color w:val="auto"/>
                      <w:kern w:val="0"/>
                      <w:sz w:val="21"/>
                      <w:szCs w:val="21"/>
                    </w:rPr>
                    <w:t>2</w:t>
                  </w:r>
                </w:p>
              </w:tc>
              <w:tc>
                <w:tcPr>
                  <w:tcW w:w="1453" w:type="dxa"/>
                  <w:vAlign w:val="center"/>
                </w:tcPr>
                <w:p>
                  <w:pPr>
                    <w:jc w:val="center"/>
                    <w:rPr>
                      <w:color w:val="auto"/>
                      <w:kern w:val="0"/>
                      <w:sz w:val="21"/>
                      <w:szCs w:val="21"/>
                    </w:rPr>
                  </w:pPr>
                  <w:r>
                    <w:rPr>
                      <w:rFonts w:hint="eastAsia"/>
                      <w:color w:val="auto"/>
                      <w:kern w:val="0"/>
                      <w:sz w:val="21"/>
                      <w:szCs w:val="21"/>
                    </w:rPr>
                    <w:t>聚合氯化铝</w:t>
                  </w:r>
                </w:p>
              </w:tc>
              <w:tc>
                <w:tcPr>
                  <w:tcW w:w="1616" w:type="dxa"/>
                </w:tcPr>
                <w:p>
                  <w:pPr>
                    <w:jc w:val="center"/>
                    <w:rPr>
                      <w:rFonts w:hint="eastAsia" w:eastAsia="宋体"/>
                      <w:color w:val="auto"/>
                      <w:kern w:val="0"/>
                      <w:sz w:val="21"/>
                      <w:szCs w:val="21"/>
                      <w:lang w:eastAsia="zh-CN"/>
                    </w:rPr>
                  </w:pPr>
                  <w:r>
                    <w:rPr>
                      <w:rFonts w:hint="eastAsia"/>
                      <w:color w:val="auto"/>
                      <w:kern w:val="0"/>
                      <w:sz w:val="21"/>
                      <w:szCs w:val="21"/>
                      <w:lang w:val="en-US" w:eastAsia="zh-CN"/>
                    </w:rPr>
                    <w:t>8.5</w:t>
                  </w:r>
                </w:p>
              </w:tc>
              <w:tc>
                <w:tcPr>
                  <w:tcW w:w="1481" w:type="dxa"/>
                  <w:vAlign w:val="center"/>
                </w:tcPr>
                <w:p>
                  <w:pPr>
                    <w:jc w:val="center"/>
                    <w:rPr>
                      <w:rFonts w:hint="eastAsia" w:eastAsia="宋体"/>
                      <w:color w:val="auto"/>
                      <w:kern w:val="0"/>
                      <w:sz w:val="21"/>
                      <w:szCs w:val="21"/>
                      <w:lang w:eastAsia="zh-CN"/>
                    </w:rPr>
                  </w:pPr>
                  <w:r>
                    <w:rPr>
                      <w:rFonts w:hint="eastAsia"/>
                      <w:color w:val="auto"/>
                      <w:kern w:val="0"/>
                      <w:sz w:val="21"/>
                      <w:szCs w:val="21"/>
                      <w:lang w:val="en-US" w:eastAsia="zh-CN"/>
                    </w:rPr>
                    <w:t>0.5</w:t>
                  </w:r>
                </w:p>
              </w:tc>
              <w:tc>
                <w:tcPr>
                  <w:tcW w:w="2757" w:type="dxa"/>
                  <w:vMerge w:val="continue"/>
                  <w:vAlign w:val="center"/>
                </w:tcPr>
                <w:p>
                  <w:pPr>
                    <w:jc w:val="center"/>
                    <w:rPr>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55" w:type="dxa"/>
                  <w:vAlign w:val="center"/>
                </w:tcPr>
                <w:p>
                  <w:pPr>
                    <w:jc w:val="center"/>
                    <w:rPr>
                      <w:rFonts w:hint="eastAsia" w:eastAsia="宋体"/>
                      <w:color w:val="auto"/>
                      <w:kern w:val="0"/>
                      <w:sz w:val="21"/>
                      <w:szCs w:val="21"/>
                      <w:lang w:eastAsia="zh-CN"/>
                    </w:rPr>
                  </w:pPr>
                  <w:r>
                    <w:rPr>
                      <w:rFonts w:hint="eastAsia"/>
                      <w:color w:val="auto"/>
                      <w:kern w:val="0"/>
                      <w:sz w:val="21"/>
                      <w:szCs w:val="21"/>
                      <w:lang w:val="en-US" w:eastAsia="zh-CN"/>
                    </w:rPr>
                    <w:t>4</w:t>
                  </w:r>
                </w:p>
              </w:tc>
              <w:tc>
                <w:tcPr>
                  <w:tcW w:w="1453" w:type="dxa"/>
                  <w:vAlign w:val="center"/>
                </w:tcPr>
                <w:p>
                  <w:pPr>
                    <w:jc w:val="center"/>
                    <w:rPr>
                      <w:color w:val="auto"/>
                      <w:kern w:val="0"/>
                      <w:sz w:val="21"/>
                      <w:szCs w:val="21"/>
                    </w:rPr>
                  </w:pPr>
                  <w:r>
                    <w:rPr>
                      <w:color w:val="auto"/>
                      <w:kern w:val="0"/>
                      <w:sz w:val="21"/>
                      <w:szCs w:val="21"/>
                    </w:rPr>
                    <w:t>新鲜水</w:t>
                  </w:r>
                </w:p>
              </w:tc>
              <w:tc>
                <w:tcPr>
                  <w:tcW w:w="1616" w:type="dxa"/>
                  <w:vAlign w:val="center"/>
                </w:tcPr>
                <w:p>
                  <w:pPr>
                    <w:jc w:val="center"/>
                    <w:rPr>
                      <w:color w:val="auto"/>
                      <w:kern w:val="0"/>
                      <w:sz w:val="21"/>
                      <w:szCs w:val="21"/>
                    </w:rPr>
                  </w:pPr>
                  <w:r>
                    <w:rPr>
                      <w:rFonts w:hint="eastAsia" w:cs="Times New Roman"/>
                      <w:color w:val="auto"/>
                      <w:sz w:val="21"/>
                      <w:szCs w:val="21"/>
                      <w:lang w:val="en-US" w:eastAsia="zh-CN"/>
                    </w:rPr>
                    <w:t>106.02</w:t>
                  </w:r>
                  <w:r>
                    <w:rPr>
                      <w:color w:val="auto"/>
                      <w:kern w:val="0"/>
                      <w:sz w:val="21"/>
                      <w:szCs w:val="21"/>
                    </w:rPr>
                    <w:t>万m</w:t>
                  </w:r>
                  <w:r>
                    <w:rPr>
                      <w:color w:val="auto"/>
                      <w:kern w:val="0"/>
                      <w:sz w:val="21"/>
                      <w:szCs w:val="21"/>
                      <w:vertAlign w:val="superscript"/>
                    </w:rPr>
                    <w:t>3</w:t>
                  </w:r>
                </w:p>
              </w:tc>
              <w:tc>
                <w:tcPr>
                  <w:tcW w:w="1481" w:type="dxa"/>
                  <w:vAlign w:val="center"/>
                </w:tcPr>
                <w:p>
                  <w:pPr>
                    <w:jc w:val="center"/>
                    <w:rPr>
                      <w:color w:val="auto"/>
                      <w:kern w:val="0"/>
                      <w:sz w:val="21"/>
                      <w:szCs w:val="21"/>
                    </w:rPr>
                  </w:pPr>
                  <w:r>
                    <w:rPr>
                      <w:color w:val="auto"/>
                      <w:kern w:val="0"/>
                      <w:sz w:val="21"/>
                      <w:szCs w:val="21"/>
                    </w:rPr>
                    <w:t>/</w:t>
                  </w:r>
                </w:p>
              </w:tc>
              <w:tc>
                <w:tcPr>
                  <w:tcW w:w="2757" w:type="dxa"/>
                  <w:vAlign w:val="center"/>
                </w:tcPr>
                <w:p>
                  <w:pPr>
                    <w:jc w:val="center"/>
                    <w:rPr>
                      <w:color w:val="auto"/>
                      <w:kern w:val="0"/>
                      <w:sz w:val="21"/>
                      <w:szCs w:val="21"/>
                    </w:rPr>
                  </w:pPr>
                  <w:r>
                    <w:rPr>
                      <w:color w:val="auto"/>
                      <w:kern w:val="0"/>
                      <w:sz w:val="21"/>
                      <w:szCs w:val="21"/>
                    </w:rPr>
                    <w:t>市政自来水系统供给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55" w:type="dxa"/>
                  <w:vAlign w:val="center"/>
                </w:tcPr>
                <w:p>
                  <w:pPr>
                    <w:jc w:val="center"/>
                    <w:rPr>
                      <w:rFonts w:hint="eastAsia" w:eastAsia="宋体"/>
                      <w:color w:val="auto"/>
                      <w:kern w:val="0"/>
                      <w:sz w:val="21"/>
                      <w:szCs w:val="21"/>
                      <w:lang w:eastAsia="zh-CN"/>
                    </w:rPr>
                  </w:pPr>
                  <w:r>
                    <w:rPr>
                      <w:rFonts w:hint="eastAsia"/>
                      <w:color w:val="auto"/>
                      <w:kern w:val="0"/>
                      <w:sz w:val="21"/>
                      <w:szCs w:val="21"/>
                      <w:lang w:val="en-US" w:eastAsia="zh-CN"/>
                    </w:rPr>
                    <w:t>5</w:t>
                  </w:r>
                </w:p>
              </w:tc>
              <w:tc>
                <w:tcPr>
                  <w:tcW w:w="1453" w:type="dxa"/>
                  <w:vAlign w:val="center"/>
                </w:tcPr>
                <w:p>
                  <w:pPr>
                    <w:jc w:val="center"/>
                    <w:rPr>
                      <w:rFonts w:hint="eastAsia" w:eastAsia="宋体"/>
                      <w:color w:val="auto"/>
                      <w:kern w:val="0"/>
                      <w:sz w:val="21"/>
                      <w:szCs w:val="21"/>
                      <w:lang w:val="en-US" w:eastAsia="zh-CN"/>
                    </w:rPr>
                  </w:pPr>
                  <w:r>
                    <w:rPr>
                      <w:rFonts w:hint="eastAsia"/>
                      <w:color w:val="auto"/>
                      <w:kern w:val="0"/>
                      <w:sz w:val="21"/>
                      <w:szCs w:val="21"/>
                      <w:lang w:val="en-US" w:eastAsia="zh-CN"/>
                    </w:rPr>
                    <w:t>电</w:t>
                  </w:r>
                </w:p>
              </w:tc>
              <w:tc>
                <w:tcPr>
                  <w:tcW w:w="1616" w:type="dxa"/>
                  <w:vAlign w:val="center"/>
                </w:tcPr>
                <w:p>
                  <w:pPr>
                    <w:jc w:val="center"/>
                    <w:rPr>
                      <w:color w:val="auto"/>
                      <w:kern w:val="0"/>
                      <w:sz w:val="21"/>
                      <w:szCs w:val="21"/>
                      <w:highlight w:val="yellow"/>
                    </w:rPr>
                  </w:pPr>
                  <w:r>
                    <w:rPr>
                      <w:color w:val="auto"/>
                      <w:kern w:val="0"/>
                      <w:sz w:val="21"/>
                      <w:szCs w:val="21"/>
                    </w:rPr>
                    <w:t>122.39</w:t>
                  </w:r>
                  <w:r>
                    <w:rPr>
                      <w:rFonts w:hint="eastAsia"/>
                      <w:color w:val="auto"/>
                      <w:kern w:val="0"/>
                      <w:sz w:val="21"/>
                      <w:szCs w:val="21"/>
                      <w:lang w:val="en-US" w:eastAsia="zh-CN"/>
                    </w:rPr>
                    <w:t>万KW.h</w:t>
                  </w:r>
                </w:p>
              </w:tc>
              <w:tc>
                <w:tcPr>
                  <w:tcW w:w="1481" w:type="dxa"/>
                  <w:vAlign w:val="center"/>
                </w:tcPr>
                <w:p>
                  <w:pPr>
                    <w:jc w:val="center"/>
                    <w:rPr>
                      <w:color w:val="auto"/>
                      <w:kern w:val="0"/>
                      <w:sz w:val="21"/>
                      <w:szCs w:val="21"/>
                    </w:rPr>
                  </w:pPr>
                  <w:r>
                    <w:rPr>
                      <w:color w:val="auto"/>
                      <w:kern w:val="0"/>
                      <w:sz w:val="21"/>
                      <w:szCs w:val="21"/>
                    </w:rPr>
                    <w:t>/</w:t>
                  </w:r>
                </w:p>
              </w:tc>
              <w:tc>
                <w:tcPr>
                  <w:tcW w:w="2757" w:type="dxa"/>
                  <w:vAlign w:val="center"/>
                </w:tcPr>
                <w:p>
                  <w:pPr>
                    <w:jc w:val="center"/>
                    <w:rPr>
                      <w:rFonts w:hint="eastAsia" w:eastAsia="宋体"/>
                      <w:color w:val="auto"/>
                      <w:kern w:val="0"/>
                      <w:sz w:val="21"/>
                      <w:szCs w:val="21"/>
                      <w:lang w:val="en-US" w:eastAsia="zh-CN"/>
                    </w:rPr>
                  </w:pPr>
                  <w:r>
                    <w:rPr>
                      <w:rFonts w:hint="eastAsia"/>
                      <w:color w:val="auto"/>
                      <w:kern w:val="0"/>
                      <w:sz w:val="21"/>
                      <w:szCs w:val="21"/>
                      <w:lang w:val="en-US" w:eastAsia="zh-CN"/>
                    </w:rPr>
                    <w:t>市政供电</w:t>
                  </w:r>
                </w:p>
              </w:tc>
            </w:tr>
          </w:tbl>
          <w:p>
            <w:pPr>
              <w:adjustRightInd w:val="0"/>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注：①</w:t>
            </w:r>
            <w:r>
              <w:rPr>
                <w:rFonts w:hint="eastAsia"/>
                <w:color w:val="auto"/>
              </w:rPr>
              <w:t>互动战船和情景激流勇进</w:t>
            </w:r>
            <w:r>
              <w:rPr>
                <w:rFonts w:hint="eastAsia"/>
                <w:color w:val="auto"/>
                <w:lang w:val="en-US" w:eastAsia="zh-CN"/>
              </w:rPr>
              <w:t>等游戏设施水处理系统药剂</w:t>
            </w:r>
            <w:r>
              <w:rPr>
                <w:rFonts w:hint="eastAsia"/>
                <w:color w:val="auto"/>
                <w:kern w:val="0"/>
                <w:szCs w:val="21"/>
              </w:rPr>
              <w:t>次氯酸钠、贮存位于</w:t>
            </w:r>
            <w:r>
              <w:rPr>
                <w:rFonts w:hint="eastAsia"/>
                <w:color w:val="auto"/>
                <w:kern w:val="0"/>
                <w:szCs w:val="21"/>
                <w:lang w:val="en-US" w:eastAsia="zh-CN"/>
              </w:rPr>
              <w:t>激流勇进该设施单体地下1层</w:t>
            </w:r>
            <w:r>
              <w:rPr>
                <w:rFonts w:hint="eastAsia" w:ascii="宋体" w:hAnsi="宋体" w:cs="宋体"/>
                <w:bCs/>
                <w:color w:val="auto"/>
                <w:szCs w:val="21"/>
                <w:lang w:val="en-US" w:eastAsia="zh-CN"/>
              </w:rPr>
              <w:t>污水处理设施设备房内</w:t>
            </w:r>
            <w:r>
              <w:rPr>
                <w:rFonts w:hint="eastAsia" w:ascii="宋体" w:hAnsi="宋体" w:cs="宋体"/>
                <w:bCs/>
                <w:color w:val="auto"/>
                <w:szCs w:val="21"/>
              </w:rPr>
              <w:t>。</w:t>
            </w:r>
          </w:p>
          <w:p>
            <w:pPr>
              <w:adjustRightInd w:val="0"/>
              <w:snapToGrid w:val="0"/>
              <w:spacing w:line="360" w:lineRule="auto"/>
              <w:ind w:firstLine="482" w:firstLineChars="200"/>
              <w:rPr>
                <w:rFonts w:hint="eastAsia"/>
                <w:b/>
                <w:color w:val="auto"/>
                <w:sz w:val="24"/>
              </w:rPr>
            </w:pPr>
            <w:r>
              <w:rPr>
                <w:rFonts w:hint="eastAsia"/>
                <w:b/>
                <w:color w:val="auto"/>
                <w:sz w:val="24"/>
                <w:lang w:val="en-US" w:eastAsia="zh-CN"/>
              </w:rPr>
              <w:t>5、</w:t>
            </w:r>
            <w:r>
              <w:rPr>
                <w:rFonts w:hint="eastAsia"/>
                <w:b/>
                <w:color w:val="auto"/>
                <w:sz w:val="24"/>
              </w:rPr>
              <w:t>空调通风</w:t>
            </w:r>
          </w:p>
          <w:p>
            <w:pPr>
              <w:spacing w:line="360" w:lineRule="auto"/>
              <w:ind w:firstLine="480" w:firstLineChars="200"/>
              <w:rPr>
                <w:rFonts w:hint="eastAsia"/>
                <w:color w:val="auto"/>
                <w:sz w:val="24"/>
              </w:rPr>
            </w:pPr>
            <w:r>
              <w:rPr>
                <w:rFonts w:hint="eastAsia"/>
                <w:color w:val="auto"/>
                <w:sz w:val="24"/>
              </w:rPr>
              <w:t>（1）空调系统</w:t>
            </w:r>
          </w:p>
          <w:p>
            <w:pPr>
              <w:spacing w:line="360" w:lineRule="auto"/>
              <w:ind w:firstLine="480" w:firstLineChars="200"/>
              <w:rPr>
                <w:rFonts w:hint="eastAsia"/>
                <w:color w:val="auto"/>
                <w:sz w:val="24"/>
                <w:lang w:val="en-US" w:eastAsia="zh-CN"/>
              </w:rPr>
            </w:pPr>
            <w:r>
              <w:rPr>
                <w:rFonts w:hint="eastAsia"/>
                <w:color w:val="auto"/>
                <w:sz w:val="24"/>
                <w:lang w:val="en-US" w:eastAsia="zh-CN"/>
              </w:rPr>
              <w:t>园区夏季制冷采用中央空调系统，</w:t>
            </w:r>
            <w:r>
              <w:rPr>
                <w:rFonts w:hint="eastAsia"/>
                <w:color w:val="auto"/>
                <w:sz w:val="24"/>
              </w:rPr>
              <w:t>冬季采暖采用市政热源，采暖系统末端采用中央空调</w:t>
            </w:r>
            <w:r>
              <w:rPr>
                <w:rFonts w:hint="eastAsia"/>
                <w:color w:val="auto"/>
                <w:sz w:val="24"/>
                <w:lang w:eastAsia="zh-CN"/>
              </w:rPr>
              <w:t>，</w:t>
            </w:r>
            <w:r>
              <w:rPr>
                <w:rFonts w:hint="eastAsia"/>
                <w:color w:val="auto"/>
                <w:sz w:val="24"/>
                <w:lang w:val="en-US" w:eastAsia="zh-CN"/>
              </w:rPr>
              <w:t>即市政热源加热盘管内的水，热管道加热空气，利用能源中心的风机、中央空调机组、换热站将热空气连续供入需要采暖的建构筑物。</w:t>
            </w:r>
          </w:p>
          <w:p>
            <w:pPr>
              <w:spacing w:line="360" w:lineRule="auto"/>
              <w:ind w:firstLine="480" w:firstLineChars="200"/>
              <w:rPr>
                <w:rFonts w:hint="eastAsia"/>
                <w:color w:val="auto"/>
                <w:sz w:val="24"/>
                <w:lang w:val="en-US" w:eastAsia="zh-CN"/>
              </w:rPr>
            </w:pPr>
            <w:r>
              <w:rPr>
                <w:rFonts w:hint="eastAsia"/>
                <w:color w:val="auto"/>
                <w:sz w:val="24"/>
                <w:lang w:val="en-US" w:eastAsia="zh-CN"/>
              </w:rPr>
              <w:t>项目设3座能源中心，分别为动力中心803A，内设2台中央空调冷水机组，5台冷水泵，3台冷却塔，3台换热器，4台热水泵（3用1备）。</w:t>
            </w:r>
          </w:p>
          <w:p>
            <w:pPr>
              <w:spacing w:line="360" w:lineRule="auto"/>
              <w:ind w:firstLine="480" w:firstLineChars="200"/>
              <w:rPr>
                <w:rFonts w:hint="eastAsia"/>
                <w:color w:val="auto"/>
                <w:sz w:val="24"/>
                <w:lang w:val="en-US" w:eastAsia="zh-CN"/>
              </w:rPr>
            </w:pPr>
            <w:r>
              <w:rPr>
                <w:rFonts w:hint="eastAsia"/>
                <w:color w:val="auto"/>
                <w:sz w:val="24"/>
                <w:lang w:val="en-US" w:eastAsia="zh-CN"/>
              </w:rPr>
              <w:t>动力中心803B，采用4台冷水离心机组，6台冷水泵，7台超低噪声横流式冷却塔。</w:t>
            </w:r>
          </w:p>
          <w:p>
            <w:pPr>
              <w:spacing w:line="360" w:lineRule="auto"/>
              <w:ind w:firstLine="480" w:firstLineChars="200"/>
              <w:rPr>
                <w:color w:val="auto"/>
                <w:sz w:val="24"/>
                <w:shd w:val="clear" w:color="auto" w:fill="FFFFFF"/>
              </w:rPr>
            </w:pPr>
            <w:r>
              <w:rPr>
                <w:rFonts w:hint="eastAsia"/>
                <w:color w:val="auto"/>
                <w:sz w:val="24"/>
                <w:lang w:val="en-US" w:eastAsia="zh-CN"/>
              </w:rPr>
              <w:t>动力中心803C，采用4台冷水离心机组，6台冷水泵，7台超低噪声横流式冷却塔。</w:t>
            </w:r>
          </w:p>
          <w:p>
            <w:pPr>
              <w:spacing w:line="360" w:lineRule="auto"/>
              <w:ind w:firstLine="480" w:firstLineChars="200"/>
              <w:rPr>
                <w:rFonts w:hint="eastAsia"/>
                <w:color w:val="auto"/>
                <w:sz w:val="24"/>
                <w:lang w:val="en-US" w:eastAsia="zh-CN"/>
              </w:rPr>
            </w:pPr>
            <w:r>
              <w:rPr>
                <w:rFonts w:hint="eastAsia"/>
                <w:color w:val="auto"/>
                <w:sz w:val="24"/>
                <w:lang w:val="en-US" w:eastAsia="zh-CN"/>
              </w:rPr>
              <w:t>冬季供暖建筑物：入口主城堡、儿童屋、多媒体跳楼机、儿童木偶剧场、天幕影院、旋转木马、悬挂式特效过山车、旋转舞车、无动力攀爬、情景激流勇进、万圣节鬼屋、三自由度体验式互动射击、循环链骑乘、室内特效剧场、电磁弹射式家庭过山车、分舱式动感平台、空中竞技、机械翻滚、轨道互动射击、多媒体情景互动过山车、魔幻剧场、迷宫步行场景、特技剧场、飞翔影院、动感影院、互动黑暗乘骑、转转杯、动感穿越、自控飞机、悬挂飞行乘骑、歌舞剧场、5D环境剧场、多媒体互动战船、互动体验剧场、秋千、后勤用房。</w:t>
            </w:r>
          </w:p>
          <w:p>
            <w:pPr>
              <w:spacing w:line="360" w:lineRule="auto"/>
              <w:ind w:firstLine="480" w:firstLineChars="200"/>
              <w:rPr>
                <w:rFonts w:hint="eastAsia"/>
                <w:color w:val="auto"/>
                <w:kern w:val="0"/>
                <w:sz w:val="24"/>
              </w:rPr>
            </w:pPr>
            <w:r>
              <w:rPr>
                <w:rFonts w:hint="eastAsia"/>
                <w:color w:val="auto"/>
                <w:kern w:val="0"/>
                <w:sz w:val="24"/>
              </w:rPr>
              <w:t>（2）通风系统</w:t>
            </w:r>
          </w:p>
          <w:p>
            <w:pPr>
              <w:spacing w:line="360" w:lineRule="auto"/>
              <w:ind w:firstLine="480" w:firstLineChars="200"/>
              <w:rPr>
                <w:rFonts w:hint="eastAsia"/>
                <w:color w:val="auto"/>
                <w:kern w:val="0"/>
                <w:sz w:val="24"/>
              </w:rPr>
            </w:pPr>
            <w:r>
              <w:rPr>
                <w:rFonts w:hint="eastAsia"/>
                <w:color w:val="auto"/>
                <w:kern w:val="0"/>
                <w:sz w:val="24"/>
              </w:rPr>
              <w:t>变配电间、水泵房等各设备用房，排风系统独立设置，自然或机械补风</w:t>
            </w:r>
            <w:r>
              <w:rPr>
                <w:rFonts w:hint="eastAsia"/>
                <w:color w:val="auto"/>
                <w:kern w:val="0"/>
                <w:sz w:val="24"/>
                <w:lang w:eastAsia="zh-CN"/>
              </w:rPr>
              <w:t>；</w:t>
            </w:r>
            <w:r>
              <w:rPr>
                <w:rFonts w:hint="eastAsia"/>
                <w:color w:val="auto"/>
                <w:kern w:val="0"/>
                <w:sz w:val="24"/>
              </w:rPr>
              <w:t>各空调区域的通风，设排风机排风</w:t>
            </w:r>
            <w:r>
              <w:rPr>
                <w:rFonts w:hint="eastAsia"/>
                <w:color w:val="auto"/>
                <w:kern w:val="0"/>
                <w:sz w:val="24"/>
                <w:lang w:eastAsia="zh-CN"/>
              </w:rPr>
              <w:t>；</w:t>
            </w:r>
            <w:r>
              <w:rPr>
                <w:rFonts w:hint="eastAsia"/>
                <w:color w:val="auto"/>
                <w:kern w:val="0"/>
                <w:sz w:val="24"/>
              </w:rPr>
              <w:t>地下汽车库设置机械排风</w:t>
            </w:r>
            <w:r>
              <w:rPr>
                <w:rFonts w:hint="eastAsia"/>
                <w:color w:val="auto"/>
                <w:kern w:val="0"/>
                <w:sz w:val="24"/>
                <w:lang w:eastAsia="zh-CN"/>
              </w:rPr>
              <w:t>；</w:t>
            </w:r>
            <w:r>
              <w:rPr>
                <w:rFonts w:hint="eastAsia"/>
                <w:color w:val="auto"/>
                <w:kern w:val="0"/>
                <w:sz w:val="24"/>
              </w:rPr>
              <w:t>各</w:t>
            </w:r>
            <w:r>
              <w:rPr>
                <w:rFonts w:hint="eastAsia"/>
                <w:color w:val="auto"/>
                <w:kern w:val="0"/>
                <w:sz w:val="24"/>
                <w:lang w:val="en-US" w:eastAsia="zh-CN"/>
              </w:rPr>
              <w:t>员工</w:t>
            </w:r>
            <w:r>
              <w:rPr>
                <w:rFonts w:hint="eastAsia"/>
                <w:color w:val="auto"/>
                <w:kern w:val="0"/>
                <w:sz w:val="24"/>
              </w:rPr>
              <w:t>餐厅厨房均设置排油烟系统</w:t>
            </w:r>
            <w:r>
              <w:rPr>
                <w:rFonts w:hint="eastAsia"/>
                <w:color w:val="auto"/>
                <w:kern w:val="0"/>
                <w:sz w:val="24"/>
                <w:lang w:eastAsia="zh-CN"/>
              </w:rPr>
              <w:t>，</w:t>
            </w:r>
            <w:r>
              <w:rPr>
                <w:rFonts w:hint="eastAsia"/>
                <w:color w:val="auto"/>
                <w:kern w:val="0"/>
                <w:sz w:val="24"/>
              </w:rPr>
              <w:t>各厨房预留排油烟风管，并经油烟净化后通过城堡外包装造型高位排放</w:t>
            </w:r>
            <w:r>
              <w:rPr>
                <w:rFonts w:hint="eastAsia"/>
                <w:color w:val="auto"/>
                <w:kern w:val="0"/>
                <w:sz w:val="24"/>
                <w:lang w:eastAsia="zh-CN"/>
              </w:rPr>
              <w:t>。</w:t>
            </w:r>
          </w:p>
          <w:p>
            <w:pPr>
              <w:spacing w:line="360" w:lineRule="auto"/>
              <w:ind w:firstLine="482" w:firstLineChars="200"/>
              <w:rPr>
                <w:rFonts w:hint="eastAsia"/>
                <w:b/>
                <w:color w:val="auto"/>
                <w:sz w:val="24"/>
                <w:lang w:val="en-US" w:eastAsia="zh-CN"/>
              </w:rPr>
            </w:pPr>
            <w:r>
              <w:rPr>
                <w:rFonts w:hint="eastAsia"/>
                <w:b/>
                <w:color w:val="auto"/>
                <w:sz w:val="24"/>
                <w:lang w:val="en-US" w:eastAsia="zh-CN"/>
              </w:rPr>
              <w:t>6、园区交通</w:t>
            </w:r>
          </w:p>
          <w:p>
            <w:pPr>
              <w:spacing w:line="360" w:lineRule="auto"/>
              <w:ind w:firstLine="480" w:firstLineChars="200"/>
              <w:rPr>
                <w:rFonts w:hint="eastAsia"/>
                <w:color w:val="auto"/>
                <w:kern w:val="0"/>
                <w:sz w:val="24"/>
                <w:lang w:val="en-US" w:eastAsia="zh-CN"/>
              </w:rPr>
            </w:pPr>
            <w:r>
              <w:rPr>
                <w:rFonts w:hint="eastAsia"/>
                <w:color w:val="auto"/>
                <w:kern w:val="0"/>
                <w:sz w:val="24"/>
                <w:lang w:val="en-US" w:eastAsia="zh-CN"/>
              </w:rPr>
              <w:t>（1）园区道路</w:t>
            </w:r>
          </w:p>
          <w:p>
            <w:pPr>
              <w:spacing w:line="360" w:lineRule="auto"/>
              <w:ind w:firstLine="480" w:firstLineChars="200"/>
              <w:rPr>
                <w:rFonts w:hint="eastAsia"/>
                <w:color w:val="auto"/>
                <w:kern w:val="0"/>
                <w:sz w:val="24"/>
                <w:lang w:val="en-US" w:eastAsia="zh-CN"/>
              </w:rPr>
            </w:pPr>
            <w:r>
              <w:rPr>
                <w:rFonts w:hint="eastAsia"/>
                <w:color w:val="auto"/>
                <w:kern w:val="0"/>
                <w:sz w:val="24"/>
                <w:lang w:val="en-US" w:eastAsia="zh-CN"/>
              </w:rPr>
              <w:t>园区道路系统主要有陆路系统构成，全园规划主环路、次环路和游步路三级道路体系。具体布设情况见表9。</w:t>
            </w:r>
          </w:p>
          <w:p>
            <w:pPr>
              <w:pStyle w:val="2"/>
              <w:rPr>
                <w:rFonts w:hint="eastAsia" w:ascii="Times New Roman" w:hAnsi="Times New Roman" w:eastAsia="黑体" w:cs="Times New Roman"/>
                <w:color w:val="auto"/>
                <w:kern w:val="2"/>
                <w:sz w:val="24"/>
                <w:szCs w:val="24"/>
                <w:lang w:val="en-US" w:eastAsia="zh-CN" w:bidi="ar-SA"/>
              </w:rPr>
            </w:pPr>
            <w:r>
              <w:rPr>
                <w:rFonts w:hint="eastAsia"/>
                <w:color w:val="auto"/>
                <w:kern w:val="0"/>
                <w:sz w:val="24"/>
                <w:lang w:val="en-US" w:eastAsia="zh-CN"/>
              </w:rPr>
              <w:t xml:space="preserve">            </w:t>
            </w:r>
            <w:r>
              <w:rPr>
                <w:rFonts w:hint="eastAsia" w:ascii="Times New Roman" w:hAnsi="Times New Roman" w:eastAsia="黑体" w:cs="Times New Roman"/>
                <w:color w:val="auto"/>
                <w:kern w:val="2"/>
                <w:sz w:val="24"/>
                <w:szCs w:val="24"/>
                <w:lang w:val="en-US" w:eastAsia="zh-CN" w:bidi="ar-SA"/>
              </w:rPr>
              <w:t>表9    项目园区道路工程内容一览表</w:t>
            </w:r>
          </w:p>
          <w:tbl>
            <w:tblPr>
              <w:tblStyle w:val="25"/>
              <w:tblW w:w="786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050"/>
              <w:gridCol w:w="815"/>
              <w:gridCol w:w="53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96" w:type="dxa"/>
                  <w:tcBorders>
                    <w:tl2br w:val="nil"/>
                    <w:tr2bl w:val="nil"/>
                  </w:tcBorders>
                  <w:vAlign w:val="center"/>
                </w:tcPr>
                <w:p>
                  <w:pPr>
                    <w:jc w:val="center"/>
                    <w:rPr>
                      <w:rFonts w:hint="eastAsia"/>
                      <w:color w:val="auto"/>
                      <w:vertAlign w:val="baseline"/>
                      <w:lang w:val="en-US" w:eastAsia="zh-CN"/>
                    </w:rPr>
                  </w:pPr>
                  <w:r>
                    <w:rPr>
                      <w:rFonts w:hint="eastAsia"/>
                      <w:color w:val="auto"/>
                      <w:vertAlign w:val="baseline"/>
                      <w:lang w:val="en-US" w:eastAsia="zh-CN"/>
                    </w:rPr>
                    <w:t>序号</w:t>
                  </w:r>
                </w:p>
              </w:tc>
              <w:tc>
                <w:tcPr>
                  <w:tcW w:w="1050" w:type="dxa"/>
                  <w:tcBorders>
                    <w:tl2br w:val="nil"/>
                    <w:tr2bl w:val="nil"/>
                  </w:tcBorders>
                  <w:vAlign w:val="center"/>
                </w:tcPr>
                <w:p>
                  <w:pPr>
                    <w:jc w:val="center"/>
                    <w:rPr>
                      <w:rFonts w:hint="eastAsia"/>
                      <w:color w:val="auto"/>
                      <w:vertAlign w:val="baseline"/>
                      <w:lang w:val="en-US" w:eastAsia="zh-CN"/>
                    </w:rPr>
                  </w:pPr>
                  <w:r>
                    <w:rPr>
                      <w:rFonts w:hint="eastAsia"/>
                      <w:color w:val="auto"/>
                      <w:vertAlign w:val="baseline"/>
                      <w:lang w:val="en-US" w:eastAsia="zh-CN"/>
                    </w:rPr>
                    <w:t>分项</w:t>
                  </w:r>
                </w:p>
              </w:tc>
              <w:tc>
                <w:tcPr>
                  <w:tcW w:w="815" w:type="dxa"/>
                  <w:tcBorders>
                    <w:tl2br w:val="nil"/>
                    <w:tr2bl w:val="nil"/>
                  </w:tcBorders>
                  <w:vAlign w:val="center"/>
                </w:tcPr>
                <w:p>
                  <w:pPr>
                    <w:jc w:val="center"/>
                    <w:rPr>
                      <w:rFonts w:hint="eastAsia"/>
                      <w:color w:val="auto"/>
                      <w:vertAlign w:val="baseline"/>
                      <w:lang w:val="en-US" w:eastAsia="zh-CN"/>
                    </w:rPr>
                  </w:pPr>
                  <w:r>
                    <w:rPr>
                      <w:rFonts w:hint="eastAsia"/>
                      <w:color w:val="auto"/>
                      <w:vertAlign w:val="baseline"/>
                      <w:lang w:val="en-US" w:eastAsia="zh-CN"/>
                    </w:rPr>
                    <w:t>单位</w:t>
                  </w:r>
                </w:p>
              </w:tc>
              <w:tc>
                <w:tcPr>
                  <w:tcW w:w="5301" w:type="dxa"/>
                  <w:tcBorders>
                    <w:tl2br w:val="nil"/>
                    <w:tr2bl w:val="nil"/>
                  </w:tcBorders>
                  <w:vAlign w:val="center"/>
                </w:tcPr>
                <w:p>
                  <w:pPr>
                    <w:jc w:val="center"/>
                    <w:rPr>
                      <w:rFonts w:hint="eastAsia"/>
                      <w:color w:val="auto"/>
                      <w:vertAlign w:val="baseline"/>
                      <w:lang w:val="en-US" w:eastAsia="zh-CN"/>
                    </w:rPr>
                  </w:pPr>
                  <w:r>
                    <w:rPr>
                      <w:rFonts w:hint="eastAsia"/>
                      <w:color w:val="auto"/>
                      <w:vertAlign w:val="baseline"/>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96" w:type="dxa"/>
                  <w:tcBorders>
                    <w:tl2br w:val="nil"/>
                    <w:tr2bl w:val="nil"/>
                  </w:tcBorders>
                  <w:vAlign w:val="center"/>
                </w:tcPr>
                <w:p>
                  <w:pPr>
                    <w:jc w:val="center"/>
                    <w:rPr>
                      <w:rFonts w:hint="eastAsia"/>
                      <w:color w:val="auto"/>
                      <w:vertAlign w:val="baseline"/>
                      <w:lang w:val="en-US" w:eastAsia="zh-CN"/>
                    </w:rPr>
                  </w:pPr>
                  <w:r>
                    <w:rPr>
                      <w:rFonts w:hint="eastAsia"/>
                      <w:color w:val="auto"/>
                      <w:vertAlign w:val="baseline"/>
                      <w:lang w:val="en-US" w:eastAsia="zh-CN"/>
                    </w:rPr>
                    <w:t>1</w:t>
                  </w:r>
                </w:p>
              </w:tc>
              <w:tc>
                <w:tcPr>
                  <w:tcW w:w="1050" w:type="dxa"/>
                  <w:tcBorders>
                    <w:tl2br w:val="nil"/>
                    <w:tr2bl w:val="nil"/>
                  </w:tcBorders>
                  <w:vAlign w:val="center"/>
                </w:tcPr>
                <w:p>
                  <w:pPr>
                    <w:jc w:val="center"/>
                    <w:rPr>
                      <w:rFonts w:hint="eastAsia"/>
                      <w:color w:val="auto"/>
                      <w:vertAlign w:val="baseline"/>
                      <w:lang w:val="en-US" w:eastAsia="zh-CN"/>
                    </w:rPr>
                  </w:pPr>
                  <w:r>
                    <w:rPr>
                      <w:rFonts w:hint="eastAsia"/>
                      <w:color w:val="auto"/>
                      <w:vertAlign w:val="baseline"/>
                      <w:lang w:val="en-US" w:eastAsia="zh-CN"/>
                    </w:rPr>
                    <w:t>主环路</w:t>
                  </w:r>
                </w:p>
              </w:tc>
              <w:tc>
                <w:tcPr>
                  <w:tcW w:w="815" w:type="dxa"/>
                  <w:tcBorders>
                    <w:tl2br w:val="nil"/>
                    <w:tr2bl w:val="nil"/>
                  </w:tcBorders>
                  <w:vAlign w:val="center"/>
                </w:tcPr>
                <w:p>
                  <w:pPr>
                    <w:jc w:val="center"/>
                    <w:rPr>
                      <w:rFonts w:hint="eastAsia"/>
                      <w:color w:val="auto"/>
                      <w:vertAlign w:val="baseline"/>
                      <w:lang w:val="en-US" w:eastAsia="zh-CN"/>
                    </w:rPr>
                  </w:pPr>
                  <w:r>
                    <w:rPr>
                      <w:rFonts w:hint="eastAsia"/>
                      <w:color w:val="auto"/>
                      <w:vertAlign w:val="baseline"/>
                      <w:lang w:val="en-US" w:eastAsia="zh-CN"/>
                    </w:rPr>
                    <w:t>m</w:t>
                  </w:r>
                  <w:r>
                    <w:rPr>
                      <w:rFonts w:hint="eastAsia"/>
                      <w:color w:val="auto"/>
                      <w:vertAlign w:val="superscript"/>
                      <w:lang w:val="en-US" w:eastAsia="zh-CN"/>
                    </w:rPr>
                    <w:t>2</w:t>
                  </w:r>
                </w:p>
              </w:tc>
              <w:tc>
                <w:tcPr>
                  <w:tcW w:w="5301" w:type="dxa"/>
                  <w:tcBorders>
                    <w:tl2br w:val="nil"/>
                    <w:tr2bl w:val="nil"/>
                  </w:tcBorders>
                  <w:vAlign w:val="center"/>
                </w:tcPr>
                <w:p>
                  <w:pPr>
                    <w:jc w:val="center"/>
                    <w:rPr>
                      <w:rFonts w:hint="eastAsia"/>
                      <w:color w:val="auto"/>
                      <w:vertAlign w:val="baseline"/>
                      <w:lang w:val="en-US" w:eastAsia="zh-CN"/>
                    </w:rPr>
                  </w:pPr>
                  <w:r>
                    <w:rPr>
                      <w:rFonts w:hint="eastAsia"/>
                      <w:color w:val="auto"/>
                      <w:vertAlign w:val="baseline"/>
                      <w:lang w:val="en-US" w:eastAsia="zh-CN"/>
                    </w:rPr>
                    <w:t>设计全长2.8km，宽8m，主要为电瓶车行车、自行车行车和人行。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96" w:type="dxa"/>
                  <w:tcBorders>
                    <w:tl2br w:val="nil"/>
                    <w:tr2bl w:val="nil"/>
                  </w:tcBorders>
                  <w:vAlign w:val="center"/>
                </w:tcPr>
                <w:p>
                  <w:pPr>
                    <w:jc w:val="center"/>
                    <w:rPr>
                      <w:rFonts w:hint="eastAsia"/>
                      <w:color w:val="auto"/>
                      <w:vertAlign w:val="baseline"/>
                      <w:lang w:val="en-US" w:eastAsia="zh-CN"/>
                    </w:rPr>
                  </w:pPr>
                  <w:r>
                    <w:rPr>
                      <w:rFonts w:hint="eastAsia"/>
                      <w:color w:val="auto"/>
                      <w:vertAlign w:val="baseline"/>
                      <w:lang w:val="en-US" w:eastAsia="zh-CN"/>
                    </w:rPr>
                    <w:t>2</w:t>
                  </w:r>
                </w:p>
              </w:tc>
              <w:tc>
                <w:tcPr>
                  <w:tcW w:w="1050" w:type="dxa"/>
                  <w:tcBorders>
                    <w:tl2br w:val="nil"/>
                    <w:tr2bl w:val="nil"/>
                  </w:tcBorders>
                  <w:vAlign w:val="center"/>
                </w:tcPr>
                <w:p>
                  <w:pPr>
                    <w:jc w:val="center"/>
                    <w:rPr>
                      <w:rFonts w:hint="eastAsia"/>
                      <w:color w:val="auto"/>
                      <w:vertAlign w:val="baseline"/>
                      <w:lang w:val="en-US" w:eastAsia="zh-CN"/>
                    </w:rPr>
                  </w:pPr>
                  <w:r>
                    <w:rPr>
                      <w:rFonts w:hint="eastAsia"/>
                      <w:color w:val="auto"/>
                      <w:vertAlign w:val="baseline"/>
                      <w:lang w:val="en-US" w:eastAsia="zh-CN"/>
                    </w:rPr>
                    <w:t>次环路</w:t>
                  </w:r>
                </w:p>
              </w:tc>
              <w:tc>
                <w:tcPr>
                  <w:tcW w:w="815" w:type="dxa"/>
                  <w:tcBorders>
                    <w:tl2br w:val="nil"/>
                    <w:tr2bl w:val="nil"/>
                  </w:tcBorders>
                  <w:vAlign w:val="center"/>
                </w:tcPr>
                <w:p>
                  <w:pPr>
                    <w:jc w:val="center"/>
                    <w:rPr>
                      <w:rFonts w:hint="eastAsia"/>
                      <w:color w:val="auto"/>
                      <w:vertAlign w:val="baseline"/>
                      <w:lang w:val="en-US" w:eastAsia="zh-CN"/>
                    </w:rPr>
                  </w:pPr>
                  <w:r>
                    <w:rPr>
                      <w:rFonts w:hint="eastAsia"/>
                      <w:color w:val="auto"/>
                      <w:vertAlign w:val="baseline"/>
                      <w:lang w:val="en-US" w:eastAsia="zh-CN"/>
                    </w:rPr>
                    <w:t>m</w:t>
                  </w:r>
                  <w:r>
                    <w:rPr>
                      <w:rFonts w:hint="eastAsia"/>
                      <w:color w:val="auto"/>
                      <w:vertAlign w:val="superscript"/>
                      <w:lang w:val="en-US" w:eastAsia="zh-CN"/>
                    </w:rPr>
                    <w:t>2</w:t>
                  </w:r>
                </w:p>
              </w:tc>
              <w:tc>
                <w:tcPr>
                  <w:tcW w:w="5301" w:type="dxa"/>
                  <w:tcBorders>
                    <w:tl2br w:val="nil"/>
                    <w:tr2bl w:val="nil"/>
                  </w:tcBorders>
                  <w:vAlign w:val="center"/>
                </w:tcPr>
                <w:p>
                  <w:pPr>
                    <w:jc w:val="center"/>
                    <w:rPr>
                      <w:rFonts w:hint="eastAsia"/>
                      <w:color w:val="auto"/>
                      <w:vertAlign w:val="baseline"/>
                      <w:lang w:val="en-US" w:eastAsia="zh-CN"/>
                    </w:rPr>
                  </w:pPr>
                  <w:r>
                    <w:rPr>
                      <w:rFonts w:hint="eastAsia"/>
                      <w:color w:val="auto"/>
                      <w:vertAlign w:val="baseline"/>
                      <w:lang w:val="en-US" w:eastAsia="zh-CN"/>
                    </w:rPr>
                    <w:t>长3.24km，宽4m，主要供电瓶车和人行。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96" w:type="dxa"/>
                  <w:tcBorders>
                    <w:tl2br w:val="nil"/>
                    <w:tr2bl w:val="nil"/>
                  </w:tcBorders>
                  <w:vAlign w:val="center"/>
                </w:tcPr>
                <w:p>
                  <w:pPr>
                    <w:jc w:val="center"/>
                    <w:rPr>
                      <w:rFonts w:hint="eastAsia"/>
                      <w:color w:val="auto"/>
                      <w:vertAlign w:val="baseline"/>
                      <w:lang w:val="en-US" w:eastAsia="zh-CN"/>
                    </w:rPr>
                  </w:pPr>
                  <w:r>
                    <w:rPr>
                      <w:rFonts w:hint="eastAsia"/>
                      <w:color w:val="auto"/>
                      <w:vertAlign w:val="baseline"/>
                      <w:lang w:val="en-US" w:eastAsia="zh-CN"/>
                    </w:rPr>
                    <w:t>3</w:t>
                  </w:r>
                </w:p>
              </w:tc>
              <w:tc>
                <w:tcPr>
                  <w:tcW w:w="1050" w:type="dxa"/>
                  <w:tcBorders>
                    <w:tl2br w:val="nil"/>
                    <w:tr2bl w:val="nil"/>
                  </w:tcBorders>
                  <w:vAlign w:val="center"/>
                </w:tcPr>
                <w:p>
                  <w:pPr>
                    <w:jc w:val="center"/>
                    <w:rPr>
                      <w:rFonts w:hint="eastAsia"/>
                      <w:color w:val="auto"/>
                      <w:vertAlign w:val="baseline"/>
                      <w:lang w:val="en-US" w:eastAsia="zh-CN"/>
                    </w:rPr>
                  </w:pPr>
                  <w:r>
                    <w:rPr>
                      <w:rFonts w:hint="eastAsia"/>
                      <w:color w:val="auto"/>
                      <w:vertAlign w:val="baseline"/>
                      <w:lang w:val="en-US" w:eastAsia="zh-CN"/>
                    </w:rPr>
                    <w:t>游步路</w:t>
                  </w:r>
                </w:p>
              </w:tc>
              <w:tc>
                <w:tcPr>
                  <w:tcW w:w="815" w:type="dxa"/>
                  <w:tcBorders>
                    <w:tl2br w:val="nil"/>
                    <w:tr2bl w:val="nil"/>
                  </w:tcBorders>
                  <w:vAlign w:val="center"/>
                </w:tcPr>
                <w:p>
                  <w:pPr>
                    <w:jc w:val="center"/>
                    <w:rPr>
                      <w:rFonts w:hint="eastAsia"/>
                      <w:color w:val="auto"/>
                      <w:vertAlign w:val="baseline"/>
                      <w:lang w:val="en-US" w:eastAsia="zh-CN"/>
                    </w:rPr>
                  </w:pPr>
                  <w:r>
                    <w:rPr>
                      <w:rFonts w:hint="eastAsia"/>
                      <w:color w:val="auto"/>
                      <w:vertAlign w:val="baseline"/>
                      <w:lang w:val="en-US" w:eastAsia="zh-CN"/>
                    </w:rPr>
                    <w:t>m</w:t>
                  </w:r>
                  <w:r>
                    <w:rPr>
                      <w:rFonts w:hint="eastAsia"/>
                      <w:color w:val="auto"/>
                      <w:vertAlign w:val="superscript"/>
                      <w:lang w:val="en-US" w:eastAsia="zh-CN"/>
                    </w:rPr>
                    <w:t>2</w:t>
                  </w:r>
                </w:p>
              </w:tc>
              <w:tc>
                <w:tcPr>
                  <w:tcW w:w="5301" w:type="dxa"/>
                  <w:tcBorders>
                    <w:tl2br w:val="nil"/>
                    <w:tr2bl w:val="nil"/>
                  </w:tcBorders>
                  <w:vAlign w:val="center"/>
                </w:tcPr>
                <w:p>
                  <w:pPr>
                    <w:jc w:val="center"/>
                    <w:rPr>
                      <w:rFonts w:hint="eastAsia"/>
                      <w:color w:val="auto"/>
                      <w:vertAlign w:val="baseline"/>
                      <w:lang w:val="en-US" w:eastAsia="zh-CN"/>
                    </w:rPr>
                  </w:pPr>
                  <w:r>
                    <w:rPr>
                      <w:rFonts w:hint="eastAsia"/>
                      <w:color w:val="auto"/>
                      <w:vertAlign w:val="baseline"/>
                      <w:lang w:val="en-US" w:eastAsia="zh-CN"/>
                    </w:rPr>
                    <w:t>布置于乐园各园林景观内，交错纵横，四通八达，主要为园区内游览、体验、观光的小路，仅人行。</w:t>
                  </w:r>
                </w:p>
              </w:tc>
            </w:tr>
          </w:tbl>
          <w:p>
            <w:pPr>
              <w:spacing w:line="360" w:lineRule="auto"/>
              <w:ind w:firstLine="480" w:firstLineChars="200"/>
              <w:rPr>
                <w:rFonts w:hint="eastAsia"/>
                <w:color w:val="auto"/>
                <w:kern w:val="0"/>
                <w:sz w:val="24"/>
                <w:lang w:val="en-US" w:eastAsia="zh-CN"/>
              </w:rPr>
            </w:pPr>
            <w:r>
              <w:rPr>
                <w:rFonts w:hint="eastAsia"/>
                <w:color w:val="auto"/>
                <w:kern w:val="0"/>
                <w:sz w:val="24"/>
                <w:lang w:val="en-US" w:eastAsia="zh-CN"/>
              </w:rPr>
              <w:t>（2）地下停车场</w:t>
            </w:r>
          </w:p>
          <w:p>
            <w:pPr>
              <w:spacing w:line="360" w:lineRule="auto"/>
              <w:ind w:firstLine="480" w:firstLineChars="200"/>
              <w:rPr>
                <w:rFonts w:hint="eastAsia"/>
                <w:color w:val="auto"/>
                <w:kern w:val="0"/>
                <w:sz w:val="24"/>
                <w:lang w:val="en-US" w:eastAsia="zh-CN"/>
              </w:rPr>
            </w:pPr>
            <w:r>
              <w:rPr>
                <w:rFonts w:hint="eastAsia"/>
                <w:color w:val="auto"/>
                <w:kern w:val="0"/>
                <w:sz w:val="24"/>
                <w:lang w:val="en-US" w:eastAsia="zh-CN"/>
              </w:rPr>
              <w:t>分布于主城堡地下1-2层，主城堡东西两侧各建坡道，为车辆进出通道。停车场明确出入口及停车分区，布置停车场标识系统和行车指引标线。共计停车1707辆。总建筑面积为97269.49m</w:t>
            </w:r>
            <w:r>
              <w:rPr>
                <w:rFonts w:hint="eastAsia"/>
                <w:color w:val="auto"/>
                <w:kern w:val="0"/>
                <w:sz w:val="24"/>
                <w:vertAlign w:val="superscript"/>
                <w:lang w:val="en-US" w:eastAsia="zh-CN"/>
              </w:rPr>
              <w:t>2</w:t>
            </w:r>
            <w:r>
              <w:rPr>
                <w:rFonts w:hint="eastAsia"/>
                <w:color w:val="auto"/>
                <w:kern w:val="0"/>
                <w:sz w:val="24"/>
                <w:lang w:val="en-US" w:eastAsia="zh-CN"/>
              </w:rPr>
              <w:t>。</w:t>
            </w:r>
          </w:p>
          <w:p>
            <w:pPr>
              <w:spacing w:line="360" w:lineRule="auto"/>
              <w:ind w:firstLine="482" w:firstLineChars="200"/>
              <w:rPr>
                <w:rFonts w:hint="eastAsia"/>
                <w:b/>
                <w:color w:val="auto"/>
                <w:sz w:val="24"/>
                <w:lang w:val="en-US" w:eastAsia="zh-CN"/>
              </w:rPr>
            </w:pPr>
            <w:r>
              <w:rPr>
                <w:rFonts w:hint="eastAsia"/>
                <w:b/>
                <w:color w:val="auto"/>
                <w:sz w:val="24"/>
                <w:lang w:val="en-US" w:eastAsia="zh-CN"/>
              </w:rPr>
              <w:t>7、环卫工程</w:t>
            </w:r>
          </w:p>
          <w:p>
            <w:pPr>
              <w:spacing w:line="360" w:lineRule="auto"/>
              <w:ind w:firstLine="480" w:firstLineChars="200"/>
              <w:rPr>
                <w:rFonts w:hint="eastAsia"/>
                <w:color w:val="auto"/>
                <w:kern w:val="0"/>
                <w:sz w:val="24"/>
                <w:lang w:val="en-US" w:eastAsia="zh-CN"/>
              </w:rPr>
            </w:pPr>
            <w:r>
              <w:rPr>
                <w:rFonts w:hint="eastAsia"/>
                <w:color w:val="auto"/>
                <w:kern w:val="0"/>
                <w:sz w:val="24"/>
                <w:lang w:val="en-US" w:eastAsia="zh-CN"/>
              </w:rPr>
              <w:t>（1）生活垃圾收集处理系统</w:t>
            </w:r>
          </w:p>
          <w:p>
            <w:pPr>
              <w:spacing w:line="360" w:lineRule="auto"/>
              <w:ind w:firstLine="480" w:firstLineChars="200"/>
              <w:rPr>
                <w:rFonts w:hint="eastAsia"/>
                <w:color w:val="auto"/>
                <w:kern w:val="0"/>
                <w:sz w:val="24"/>
                <w:szCs w:val="24"/>
                <w:lang w:val="en-US" w:eastAsia="zh-CN"/>
              </w:rPr>
            </w:pPr>
            <w:r>
              <w:rPr>
                <w:rFonts w:hint="eastAsia"/>
                <w:color w:val="auto"/>
                <w:sz w:val="24"/>
                <w:szCs w:val="24"/>
                <w:lang w:val="en-US" w:eastAsia="zh-CN"/>
              </w:rPr>
              <w:t>①垃圾回收间：本项目设10个垃圾回收间，沿园区外围环路布设，</w:t>
            </w:r>
            <w:r>
              <w:rPr>
                <w:rFonts w:hint="eastAsia"/>
                <w:color w:val="auto"/>
                <w:kern w:val="0"/>
                <w:sz w:val="24"/>
                <w:szCs w:val="24"/>
                <w:lang w:val="en-US" w:eastAsia="zh-CN"/>
              </w:rPr>
              <w:t>为避免收集点直接暴露在外，污染周围环境，选用带盖的垃圾箱作为收集存放容器。</w:t>
            </w:r>
          </w:p>
          <w:p>
            <w:pPr>
              <w:spacing w:line="360" w:lineRule="auto"/>
              <w:ind w:firstLine="480" w:firstLineChars="200"/>
              <w:rPr>
                <w:rFonts w:hint="eastAsia"/>
                <w:color w:val="auto"/>
                <w:kern w:val="0"/>
                <w:sz w:val="24"/>
                <w:szCs w:val="24"/>
                <w:lang w:val="en-US" w:eastAsia="zh-CN"/>
              </w:rPr>
            </w:pPr>
            <w:r>
              <w:rPr>
                <w:rFonts w:hint="eastAsia"/>
                <w:color w:val="auto"/>
                <w:kern w:val="0"/>
                <w:sz w:val="24"/>
                <w:szCs w:val="24"/>
                <w:lang w:val="en-US" w:eastAsia="zh-CN"/>
              </w:rPr>
              <w:t>②垃圾箱：根据旅游区设计规范要求，并结合项目道路设置情况和项目容量，本项目共设置垃圾箱200组。</w:t>
            </w:r>
          </w:p>
          <w:p>
            <w:pPr>
              <w:numPr>
                <w:ilvl w:val="0"/>
                <w:numId w:val="2"/>
              </w:numPr>
              <w:spacing w:line="360" w:lineRule="auto"/>
              <w:ind w:firstLine="480" w:firstLineChars="200"/>
              <w:rPr>
                <w:rFonts w:hint="eastAsia"/>
                <w:color w:val="auto"/>
                <w:kern w:val="0"/>
                <w:sz w:val="24"/>
                <w:lang w:val="en-US" w:eastAsia="zh-CN"/>
              </w:rPr>
            </w:pPr>
            <w:r>
              <w:rPr>
                <w:rFonts w:hint="eastAsia"/>
                <w:color w:val="auto"/>
                <w:kern w:val="0"/>
                <w:sz w:val="24"/>
                <w:lang w:val="en-US" w:eastAsia="zh-CN"/>
              </w:rPr>
              <w:t>公厕</w:t>
            </w:r>
          </w:p>
          <w:p>
            <w:pPr>
              <w:numPr>
                <w:ilvl w:val="0"/>
                <w:numId w:val="0"/>
              </w:numPr>
              <w:spacing w:line="360" w:lineRule="auto"/>
              <w:rPr>
                <w:rFonts w:hint="eastAsia"/>
                <w:color w:val="auto"/>
                <w:kern w:val="0"/>
                <w:sz w:val="24"/>
                <w:lang w:val="en-US" w:eastAsia="zh-CN"/>
              </w:rPr>
            </w:pPr>
            <w:r>
              <w:rPr>
                <w:rFonts w:hint="eastAsia"/>
                <w:color w:val="auto"/>
                <w:kern w:val="0"/>
                <w:sz w:val="24"/>
                <w:lang w:val="en-US" w:eastAsia="zh-CN"/>
              </w:rPr>
              <w:t xml:space="preserve">    本项目采用水冲式公厕，根据合理服务半径及游客密度情况，规划园区内布置32处公厕，其中：中心园林区共布置独立式公厕4处，其余28处分布于游乐单体内部，各卫生间均设排风系统。</w:t>
            </w:r>
          </w:p>
          <w:p>
            <w:pPr>
              <w:spacing w:line="360" w:lineRule="auto"/>
              <w:ind w:firstLine="482" w:firstLineChars="200"/>
              <w:rPr>
                <w:b/>
                <w:color w:val="auto"/>
                <w:sz w:val="24"/>
              </w:rPr>
            </w:pPr>
            <w:r>
              <w:rPr>
                <w:rFonts w:hint="eastAsia"/>
                <w:b/>
                <w:color w:val="auto"/>
                <w:sz w:val="24"/>
                <w:lang w:val="en-US" w:eastAsia="zh-CN"/>
              </w:rPr>
              <w:t>8、</w:t>
            </w:r>
            <w:r>
              <w:rPr>
                <w:rFonts w:hint="eastAsia"/>
                <w:b/>
                <w:color w:val="auto"/>
                <w:sz w:val="24"/>
              </w:rPr>
              <w:t>给排水</w:t>
            </w:r>
          </w:p>
          <w:p>
            <w:pPr>
              <w:adjustRightInd w:val="0"/>
              <w:snapToGrid w:val="0"/>
              <w:spacing w:line="360" w:lineRule="auto"/>
              <w:ind w:firstLine="480" w:firstLineChars="200"/>
              <w:rPr>
                <w:color w:val="auto"/>
                <w:kern w:val="0"/>
                <w:sz w:val="24"/>
              </w:rPr>
            </w:pPr>
            <w:r>
              <w:rPr>
                <w:color w:val="auto"/>
                <w:kern w:val="0"/>
                <w:sz w:val="24"/>
              </w:rPr>
              <w:t>（1）给水</w:t>
            </w:r>
          </w:p>
          <w:p>
            <w:pPr>
              <w:spacing w:line="360" w:lineRule="auto"/>
              <w:ind w:firstLine="480" w:firstLineChars="200"/>
              <w:rPr>
                <w:rFonts w:ascii="Times New Roman" w:hAnsi="Times New Roman" w:eastAsia="宋体" w:cs="Times New Roman"/>
                <w:color w:val="auto"/>
                <w:sz w:val="24"/>
                <w:szCs w:val="24"/>
              </w:rPr>
            </w:pPr>
            <w:r>
              <w:rPr>
                <w:color w:val="auto"/>
                <w:kern w:val="0"/>
                <w:sz w:val="24"/>
              </w:rPr>
              <w:t>本项目用水</w:t>
            </w:r>
            <w:r>
              <w:rPr>
                <w:rFonts w:hint="eastAsia"/>
                <w:color w:val="auto"/>
                <w:kern w:val="0"/>
                <w:sz w:val="24"/>
                <w:lang w:val="en-US" w:eastAsia="zh-CN"/>
              </w:rPr>
              <w:t>采用市政供水</w:t>
            </w:r>
            <w:r>
              <w:rPr>
                <w:color w:val="auto"/>
                <w:kern w:val="0"/>
                <w:sz w:val="24"/>
              </w:rPr>
              <w:t>，</w:t>
            </w:r>
            <w:r>
              <w:rPr>
                <w:rFonts w:hint="eastAsia" w:ascii="Times New Roman" w:hAnsi="Times New Roman" w:eastAsia="宋体" w:cs="Times New Roman"/>
                <w:color w:val="auto"/>
                <w:sz w:val="24"/>
                <w:szCs w:val="24"/>
              </w:rPr>
              <w:t>本项目用水包括职工</w:t>
            </w:r>
            <w:r>
              <w:rPr>
                <w:rFonts w:hint="eastAsia" w:ascii="Times New Roman" w:hAnsi="Times New Roman" w:eastAsia="宋体" w:cs="Times New Roman"/>
                <w:color w:val="auto"/>
                <w:sz w:val="24"/>
                <w:szCs w:val="24"/>
                <w:lang w:val="en-US" w:eastAsia="zh-CN"/>
              </w:rPr>
              <w:t>办公</w:t>
            </w:r>
            <w:r>
              <w:rPr>
                <w:rFonts w:hint="eastAsia" w:ascii="Times New Roman" w:hAnsi="Times New Roman" w:eastAsia="宋体" w:cs="Times New Roman"/>
                <w:color w:val="auto"/>
                <w:sz w:val="24"/>
                <w:szCs w:val="24"/>
              </w:rPr>
              <w:t>用水、游客用水、</w:t>
            </w:r>
            <w:r>
              <w:rPr>
                <w:rFonts w:hint="eastAsia" w:ascii="Times New Roman" w:hAnsi="Times New Roman" w:eastAsia="宋体" w:cs="Times New Roman"/>
                <w:color w:val="auto"/>
                <w:sz w:val="24"/>
                <w:szCs w:val="24"/>
                <w:lang w:val="en-US" w:eastAsia="zh-CN"/>
              </w:rPr>
              <w:t>职工食堂餐饮</w:t>
            </w:r>
            <w:r>
              <w:rPr>
                <w:rFonts w:hint="eastAsia" w:ascii="Times New Roman" w:hAnsi="Times New Roman" w:eastAsia="宋体" w:cs="Times New Roman"/>
                <w:color w:val="auto"/>
                <w:sz w:val="24"/>
                <w:szCs w:val="24"/>
              </w:rPr>
              <w:t>用水、娱乐用水、绿化用水，</w:t>
            </w:r>
            <w:r>
              <w:rPr>
                <w:rFonts w:hint="eastAsia" w:ascii="Times New Roman" w:hAnsi="Times New Roman" w:eastAsia="宋体" w:cs="Times New Roman"/>
                <w:color w:val="auto"/>
                <w:sz w:val="24"/>
                <w:szCs w:val="24"/>
                <w:lang w:val="en-US" w:eastAsia="zh-CN"/>
              </w:rPr>
              <w:t>其中：游客餐饮区在童世界场区外东南与西南片区，不在本次评价范围的内，因此，游客餐饮用排水情况不予计算，本项目</w:t>
            </w:r>
            <w:r>
              <w:rPr>
                <w:rFonts w:hint="eastAsia" w:ascii="Times New Roman" w:hAnsi="Times New Roman" w:eastAsia="宋体" w:cs="Times New Roman"/>
                <w:color w:val="auto"/>
                <w:sz w:val="24"/>
                <w:szCs w:val="24"/>
              </w:rPr>
              <w:t>总</w:t>
            </w:r>
            <w:r>
              <w:rPr>
                <w:rFonts w:hint="eastAsia" w:ascii="Times New Roman" w:hAnsi="Times New Roman" w:eastAsia="宋体" w:cs="Times New Roman"/>
                <w:color w:val="auto"/>
                <w:sz w:val="24"/>
                <w:szCs w:val="24"/>
                <w:lang w:val="en-US" w:eastAsia="zh-CN"/>
              </w:rPr>
              <w:t>用</w:t>
            </w:r>
            <w:r>
              <w:rPr>
                <w:rFonts w:hint="eastAsia" w:cs="Times New Roman"/>
                <w:color w:val="auto"/>
                <w:sz w:val="24"/>
                <w:szCs w:val="24"/>
                <w:lang w:val="en-US" w:eastAsia="zh-CN"/>
              </w:rPr>
              <w:t>水</w:t>
            </w:r>
            <w:r>
              <w:rPr>
                <w:rFonts w:hint="eastAsia" w:ascii="Times New Roman" w:hAnsi="Times New Roman" w:eastAsia="宋体" w:cs="Times New Roman"/>
                <w:color w:val="auto"/>
                <w:sz w:val="24"/>
                <w:szCs w:val="24"/>
                <w:lang w:val="en-US" w:eastAsia="zh-CN"/>
              </w:rPr>
              <w:t>量</w:t>
            </w:r>
            <w:r>
              <w:rPr>
                <w:rFonts w:hint="eastAsia" w:ascii="Times New Roman" w:hAnsi="Times New Roman" w:eastAsia="宋体" w:cs="Times New Roman"/>
                <w:color w:val="auto"/>
                <w:sz w:val="24"/>
                <w:szCs w:val="24"/>
              </w:rPr>
              <w:t>为</w:t>
            </w:r>
            <w:r>
              <w:rPr>
                <w:rFonts w:hint="eastAsia" w:cs="Times New Roman"/>
                <w:color w:val="auto"/>
                <w:sz w:val="24"/>
                <w:szCs w:val="24"/>
                <w:lang w:val="en-US" w:eastAsia="zh-CN"/>
              </w:rPr>
              <w:t>1060157.65</w:t>
            </w:r>
            <w:r>
              <w:rPr>
                <w:rFonts w:ascii="Times New Roman" w:hAnsi="Times New Roman" w:eastAsia="宋体" w:cs="Times New Roman"/>
                <w:color w:val="auto"/>
                <w:sz w:val="24"/>
                <w:szCs w:val="24"/>
                <w:shd w:val="clear" w:color="auto" w:fill="FFFFFF"/>
              </w:rPr>
              <w:t>m</w:t>
            </w:r>
            <w:r>
              <w:rPr>
                <w:rFonts w:ascii="Times New Roman" w:hAnsi="Times New Roman" w:eastAsia="宋体" w:cs="Times New Roman"/>
                <w:color w:val="auto"/>
                <w:sz w:val="24"/>
                <w:szCs w:val="24"/>
                <w:shd w:val="clear" w:color="auto" w:fill="FFFFFF"/>
                <w:vertAlign w:val="superscript"/>
              </w:rPr>
              <w:t>3</w:t>
            </w:r>
            <w:r>
              <w:rPr>
                <w:rFonts w:ascii="Times New Roman" w:hAnsi="Times New Roman" w:eastAsia="宋体" w:cs="Times New Roman"/>
                <w:color w:val="auto"/>
                <w:sz w:val="24"/>
                <w:szCs w:val="24"/>
                <w:shd w:val="clear" w:color="auto" w:fill="FFFFFF"/>
              </w:rPr>
              <w:t>/a</w:t>
            </w:r>
            <w:r>
              <w:rPr>
                <w:rFonts w:hint="eastAsia" w:ascii="Times New Roman" w:hAnsi="Times New Roman" w:eastAsia="宋体" w:cs="Times New Roman"/>
                <w:color w:val="auto"/>
                <w:sz w:val="24"/>
                <w:szCs w:val="24"/>
              </w:rPr>
              <w:t>。</w:t>
            </w:r>
          </w:p>
          <w:p>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①员工办公用水</w:t>
            </w:r>
          </w:p>
          <w:p>
            <w:pPr>
              <w:spacing w:line="360" w:lineRule="auto"/>
              <w:rPr>
                <w:rFonts w:ascii="Times New Roman" w:hAnsi="Times New Roman" w:eastAsia="宋体" w:cs="Times New Roman"/>
                <w:color w:val="auto"/>
                <w:sz w:val="24"/>
                <w:szCs w:val="24"/>
                <w:shd w:val="clear" w:color="auto" w:fill="FFFFFF"/>
              </w:rPr>
            </w:pPr>
            <w:r>
              <w:rPr>
                <w:rFonts w:hint="eastAsia" w:ascii="Times New Roman" w:hAnsi="Times New Roman" w:eastAsia="宋体" w:cs="Times New Roman"/>
                <w:color w:val="auto"/>
                <w:sz w:val="24"/>
                <w:szCs w:val="24"/>
                <w:lang w:val="en-US" w:eastAsia="zh-CN"/>
              </w:rPr>
              <w:t xml:space="preserve">    </w:t>
            </w:r>
            <w:r>
              <w:rPr>
                <w:rFonts w:ascii="Times New Roman" w:hAnsi="Times New Roman" w:eastAsia="宋体" w:cs="Times New Roman"/>
                <w:color w:val="auto"/>
                <w:sz w:val="24"/>
                <w:szCs w:val="24"/>
              </w:rPr>
              <w:t>员工在园区内</w:t>
            </w:r>
            <w:r>
              <w:rPr>
                <w:rFonts w:hint="eastAsia" w:ascii="Times New Roman" w:hAnsi="Times New Roman" w:eastAsia="宋体" w:cs="Times New Roman"/>
                <w:color w:val="auto"/>
                <w:sz w:val="24"/>
                <w:szCs w:val="24"/>
              </w:rPr>
              <w:t>办公</w:t>
            </w:r>
            <w:r>
              <w:rPr>
                <w:rFonts w:ascii="Times New Roman" w:hAnsi="Times New Roman" w:eastAsia="宋体" w:cs="Times New Roman"/>
                <w:color w:val="auto"/>
                <w:sz w:val="24"/>
                <w:szCs w:val="24"/>
              </w:rPr>
              <w:t>存在行政办公用水，</w:t>
            </w:r>
            <w:r>
              <w:rPr>
                <w:rFonts w:hint="eastAsia" w:ascii="Times New Roman" w:hAnsi="Times New Roman" w:eastAsia="宋体" w:cs="Times New Roman"/>
                <w:color w:val="auto"/>
                <w:sz w:val="24"/>
                <w:szCs w:val="24"/>
              </w:rPr>
              <w:t>员工为</w:t>
            </w:r>
            <w:r>
              <w:rPr>
                <w:rFonts w:ascii="Times New Roman" w:hAnsi="Times New Roman" w:eastAsia="宋体" w:cs="Times New Roman"/>
                <w:color w:val="auto"/>
                <w:sz w:val="24"/>
                <w:szCs w:val="24"/>
              </w:rPr>
              <w:t>1000</w:t>
            </w:r>
            <w:r>
              <w:rPr>
                <w:rFonts w:hint="eastAsia" w:ascii="Times New Roman" w:hAnsi="Times New Roman" w:eastAsia="宋体" w:cs="Times New Roman"/>
                <w:color w:val="auto"/>
                <w:sz w:val="24"/>
                <w:szCs w:val="24"/>
              </w:rPr>
              <w:t>人。</w:t>
            </w:r>
            <w:r>
              <w:rPr>
                <w:rFonts w:ascii="Times New Roman" w:hAnsi="Times New Roman" w:eastAsia="宋体" w:cs="Times New Roman"/>
                <w:color w:val="auto"/>
                <w:sz w:val="24"/>
                <w:szCs w:val="24"/>
              </w:rPr>
              <w:t>依据《陕西省行业用水定额（修订稿）》（DB 61/T 943-2020），行政办公用水定额按先进值27L/人·d计，员工用水量为27</w:t>
            </w:r>
            <w:r>
              <w:rPr>
                <w:rFonts w:ascii="Times New Roman" w:hAnsi="Times New Roman" w:eastAsia="宋体" w:cs="Times New Roman"/>
                <w:color w:val="auto"/>
                <w:sz w:val="24"/>
                <w:szCs w:val="24"/>
                <w:shd w:val="clear" w:color="auto" w:fill="FFFFFF"/>
              </w:rPr>
              <w:t>m</w:t>
            </w:r>
            <w:r>
              <w:rPr>
                <w:rFonts w:ascii="Times New Roman" w:hAnsi="Times New Roman" w:eastAsia="宋体" w:cs="Times New Roman"/>
                <w:color w:val="auto"/>
                <w:sz w:val="24"/>
                <w:szCs w:val="24"/>
                <w:shd w:val="clear" w:color="auto" w:fill="FFFFFF"/>
                <w:vertAlign w:val="superscript"/>
              </w:rPr>
              <w:t>3</w:t>
            </w:r>
            <w:r>
              <w:rPr>
                <w:rFonts w:ascii="Times New Roman" w:hAnsi="Times New Roman" w:eastAsia="宋体" w:cs="Times New Roman"/>
                <w:color w:val="auto"/>
                <w:sz w:val="24"/>
                <w:szCs w:val="24"/>
                <w:shd w:val="clear" w:color="auto" w:fill="FFFFFF"/>
              </w:rPr>
              <w:t>/d</w:t>
            </w:r>
            <w:r>
              <w:rPr>
                <w:rFonts w:ascii="Times New Roman" w:hAnsi="Times New Roman" w:eastAsia="宋体" w:cs="Times New Roman"/>
                <w:color w:val="auto"/>
                <w:sz w:val="24"/>
                <w:szCs w:val="24"/>
              </w:rPr>
              <w:t>（9855m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/a</w:t>
            </w:r>
            <w:r>
              <w:rPr>
                <w:rFonts w:ascii="Times New Roman" w:hAnsi="Times New Roman" w:eastAsia="宋体" w:cs="Times New Roman"/>
                <w:color w:val="auto"/>
                <w:sz w:val="24"/>
                <w:szCs w:val="24"/>
                <w:shd w:val="clear" w:color="auto" w:fill="FFFFFF"/>
              </w:rPr>
              <w:t>）</w:t>
            </w:r>
            <w:r>
              <w:rPr>
                <w:rFonts w:hint="eastAsia" w:cs="Times New Roman"/>
                <w:color w:val="auto"/>
                <w:sz w:val="24"/>
                <w:szCs w:val="24"/>
                <w:shd w:val="clear" w:color="auto" w:fill="FFFFFF"/>
                <w:lang w:eastAsia="zh-CN"/>
              </w:rPr>
              <w:t>。</w:t>
            </w:r>
          </w:p>
          <w:p>
            <w:pPr>
              <w:spacing w:line="360" w:lineRule="auto"/>
              <w:ind w:firstLine="600" w:firstLineChars="25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②游客用水</w:t>
            </w:r>
          </w:p>
          <w:p>
            <w:pPr>
              <w:spacing w:line="360" w:lineRule="auto"/>
              <w:rPr>
                <w:color w:val="auto"/>
                <w:kern w:val="0"/>
                <w:sz w:val="24"/>
                <w:lang w:val="en-US"/>
              </w:rPr>
            </w:pPr>
            <w:r>
              <w:rPr>
                <w:rFonts w:hint="eastAsia" w:cs="Times New Roman"/>
                <w:color w:val="auto"/>
                <w:sz w:val="24"/>
                <w:szCs w:val="24"/>
                <w:shd w:val="clear" w:color="auto" w:fill="FFFFFF"/>
                <w:lang w:val="en-US" w:eastAsia="zh-CN"/>
              </w:rPr>
              <w:t xml:space="preserve">    </w:t>
            </w:r>
            <w:r>
              <w:rPr>
                <w:rFonts w:hint="eastAsia" w:ascii="Times New Roman" w:hAnsi="Times New Roman" w:eastAsia="宋体" w:cs="Times New Roman"/>
                <w:color w:val="auto"/>
                <w:sz w:val="24"/>
                <w:szCs w:val="24"/>
                <w:shd w:val="clear" w:color="auto" w:fill="FFFFFF"/>
              </w:rPr>
              <w:t>根据建设单位提供资料，项目正常年接待游客约</w:t>
            </w:r>
            <w:r>
              <w:rPr>
                <w:rFonts w:ascii="Times New Roman" w:hAnsi="Times New Roman" w:eastAsia="宋体" w:cs="Times New Roman"/>
                <w:color w:val="auto"/>
                <w:sz w:val="24"/>
                <w:szCs w:val="24"/>
                <w:shd w:val="clear" w:color="auto" w:fill="FFFFFF"/>
              </w:rPr>
              <w:t>600</w:t>
            </w:r>
            <w:r>
              <w:rPr>
                <w:rFonts w:hint="eastAsia" w:ascii="Times New Roman" w:hAnsi="Times New Roman" w:eastAsia="宋体" w:cs="Times New Roman"/>
                <w:color w:val="auto"/>
                <w:sz w:val="24"/>
                <w:szCs w:val="24"/>
                <w:shd w:val="clear" w:color="auto" w:fill="FFFFFF"/>
              </w:rPr>
              <w:t>万人次。</w:t>
            </w:r>
            <w:r>
              <w:rPr>
                <w:rFonts w:hint="eastAsia" w:ascii="Times New Roman" w:hAnsi="Times New Roman" w:eastAsia="宋体" w:cs="Times New Roman"/>
                <w:color w:val="auto"/>
                <w:sz w:val="24"/>
                <w:szCs w:val="24"/>
              </w:rPr>
              <w:t>参考</w:t>
            </w:r>
            <w:r>
              <w:rPr>
                <w:rFonts w:ascii="Times New Roman" w:hAnsi="Times New Roman" w:eastAsia="宋体" w:cs="Times New Roman"/>
                <w:color w:val="auto"/>
                <w:sz w:val="24"/>
                <w:szCs w:val="24"/>
              </w:rPr>
              <w:t>《陕西省行业用水定额（修订稿）》（DB 61/T 943-2020），</w:t>
            </w:r>
            <w:r>
              <w:rPr>
                <w:rFonts w:hint="eastAsia" w:ascii="Times New Roman" w:hAnsi="Times New Roman" w:eastAsia="宋体" w:cs="Times New Roman"/>
                <w:color w:val="auto"/>
                <w:sz w:val="24"/>
                <w:szCs w:val="24"/>
              </w:rPr>
              <w:t>室内娱乐活动</w:t>
            </w:r>
            <w:r>
              <w:rPr>
                <w:rFonts w:ascii="Times New Roman" w:hAnsi="Times New Roman" w:eastAsia="宋体" w:cs="Times New Roman"/>
                <w:color w:val="auto"/>
                <w:sz w:val="24"/>
                <w:szCs w:val="24"/>
              </w:rPr>
              <w:t>用水定额按先进值18L/人·d计，</w:t>
            </w:r>
            <w:r>
              <w:rPr>
                <w:rFonts w:hint="eastAsia" w:ascii="Times New Roman" w:hAnsi="Times New Roman" w:eastAsia="宋体" w:cs="Times New Roman"/>
                <w:color w:val="auto"/>
                <w:sz w:val="24"/>
                <w:szCs w:val="24"/>
              </w:rPr>
              <w:t>游客</w:t>
            </w:r>
            <w:r>
              <w:rPr>
                <w:rFonts w:ascii="Times New Roman" w:hAnsi="Times New Roman" w:eastAsia="宋体" w:cs="Times New Roman"/>
                <w:color w:val="auto"/>
                <w:sz w:val="24"/>
                <w:szCs w:val="24"/>
              </w:rPr>
              <w:t>用水量为</w:t>
            </w:r>
            <w:r>
              <w:rPr>
                <w:rFonts w:hint="eastAsia" w:ascii="Times New Roman" w:hAnsi="Times New Roman" w:eastAsia="宋体" w:cs="Times New Roman"/>
                <w:color w:val="auto"/>
                <w:sz w:val="24"/>
                <w:szCs w:val="24"/>
                <w:lang w:val="en-US" w:eastAsia="zh-CN"/>
              </w:rPr>
              <w:t>108000</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/a</w:t>
            </w:r>
            <w:r>
              <w:rPr>
                <w:rFonts w:hint="eastAsia" w:ascii="Times New Roman" w:hAnsi="Times New Roman" w:eastAsia="宋体" w:cs="Times New Roman"/>
                <w:color w:val="auto"/>
                <w:sz w:val="24"/>
                <w:szCs w:val="24"/>
                <w:shd w:val="clear" w:color="auto" w:fill="FFFFFF"/>
              </w:rPr>
              <w:t>。其中旺季日均接待游客人数为2</w:t>
            </w:r>
            <w:r>
              <w:rPr>
                <w:rFonts w:ascii="Times New Roman" w:hAnsi="Times New Roman" w:eastAsia="宋体" w:cs="Times New Roman"/>
                <w:color w:val="auto"/>
                <w:sz w:val="24"/>
                <w:szCs w:val="24"/>
                <w:shd w:val="clear" w:color="auto" w:fill="FFFFFF"/>
              </w:rPr>
              <w:t>1000</w:t>
            </w:r>
            <w:r>
              <w:rPr>
                <w:rFonts w:hint="eastAsia" w:ascii="Times New Roman" w:hAnsi="Times New Roman" w:eastAsia="宋体" w:cs="Times New Roman"/>
                <w:color w:val="auto"/>
                <w:sz w:val="24"/>
                <w:szCs w:val="24"/>
                <w:shd w:val="clear" w:color="auto" w:fill="FFFFFF"/>
              </w:rPr>
              <w:t>人，旺季</w:t>
            </w:r>
            <w:r>
              <w:rPr>
                <w:rFonts w:ascii="Times New Roman" w:hAnsi="Times New Roman" w:eastAsia="宋体" w:cs="Times New Roman"/>
                <w:color w:val="auto"/>
                <w:sz w:val="24"/>
                <w:szCs w:val="24"/>
              </w:rPr>
              <w:t>用水量为378</w:t>
            </w:r>
            <w:r>
              <w:rPr>
                <w:rFonts w:ascii="Times New Roman" w:hAnsi="Times New Roman" w:eastAsia="宋体" w:cs="Times New Roman"/>
                <w:color w:val="auto"/>
                <w:sz w:val="24"/>
                <w:szCs w:val="24"/>
                <w:shd w:val="clear" w:color="auto" w:fill="FFFFFF"/>
              </w:rPr>
              <w:t>m</w:t>
            </w:r>
            <w:r>
              <w:rPr>
                <w:rFonts w:ascii="Times New Roman" w:hAnsi="Times New Roman" w:eastAsia="宋体" w:cs="Times New Roman"/>
                <w:color w:val="auto"/>
                <w:sz w:val="24"/>
                <w:szCs w:val="24"/>
                <w:shd w:val="clear" w:color="auto" w:fill="FFFFFF"/>
                <w:vertAlign w:val="superscript"/>
              </w:rPr>
              <w:t>3</w:t>
            </w:r>
            <w:r>
              <w:rPr>
                <w:rFonts w:ascii="Times New Roman" w:hAnsi="Times New Roman" w:eastAsia="宋体" w:cs="Times New Roman"/>
                <w:color w:val="auto"/>
                <w:sz w:val="24"/>
                <w:szCs w:val="24"/>
                <w:shd w:val="clear" w:color="auto" w:fill="FFFFFF"/>
              </w:rPr>
              <w:t>/d</w:t>
            </w:r>
            <w:r>
              <w:rPr>
                <w:rFonts w:hint="eastAsia" w:ascii="Times New Roman" w:hAnsi="Times New Roman" w:eastAsia="宋体" w:cs="Times New Roman"/>
                <w:color w:val="auto"/>
                <w:sz w:val="24"/>
                <w:szCs w:val="24"/>
                <w:shd w:val="clear" w:color="auto" w:fill="FFFFFF"/>
              </w:rPr>
              <w:t>；淡季日均接待游客人数为1</w:t>
            </w:r>
            <w:r>
              <w:rPr>
                <w:rFonts w:ascii="Times New Roman" w:hAnsi="Times New Roman" w:eastAsia="宋体" w:cs="Times New Roman"/>
                <w:color w:val="auto"/>
                <w:sz w:val="24"/>
                <w:szCs w:val="24"/>
                <w:shd w:val="clear" w:color="auto" w:fill="FFFFFF"/>
              </w:rPr>
              <w:t>2000</w:t>
            </w:r>
            <w:r>
              <w:rPr>
                <w:rFonts w:hint="eastAsia" w:ascii="Times New Roman" w:hAnsi="Times New Roman" w:eastAsia="宋体" w:cs="Times New Roman"/>
                <w:color w:val="auto"/>
                <w:sz w:val="24"/>
                <w:szCs w:val="24"/>
                <w:shd w:val="clear" w:color="auto" w:fill="FFFFFF"/>
              </w:rPr>
              <w:t>人，旺季</w:t>
            </w:r>
            <w:r>
              <w:rPr>
                <w:rFonts w:ascii="Times New Roman" w:hAnsi="Times New Roman" w:eastAsia="宋体" w:cs="Times New Roman"/>
                <w:color w:val="auto"/>
                <w:sz w:val="24"/>
                <w:szCs w:val="24"/>
              </w:rPr>
              <w:t>用水量为216</w:t>
            </w:r>
            <w:r>
              <w:rPr>
                <w:rFonts w:ascii="Times New Roman" w:hAnsi="Times New Roman" w:eastAsia="宋体" w:cs="Times New Roman"/>
                <w:color w:val="auto"/>
                <w:sz w:val="24"/>
                <w:szCs w:val="24"/>
                <w:shd w:val="clear" w:color="auto" w:fill="FFFFFF"/>
              </w:rPr>
              <w:t>m</w:t>
            </w:r>
            <w:r>
              <w:rPr>
                <w:rFonts w:ascii="Times New Roman" w:hAnsi="Times New Roman" w:eastAsia="宋体" w:cs="Times New Roman"/>
                <w:color w:val="auto"/>
                <w:sz w:val="24"/>
                <w:szCs w:val="24"/>
                <w:shd w:val="clear" w:color="auto" w:fill="FFFFFF"/>
                <w:vertAlign w:val="superscript"/>
              </w:rPr>
              <w:t>3</w:t>
            </w:r>
            <w:r>
              <w:rPr>
                <w:rFonts w:ascii="Times New Roman" w:hAnsi="Times New Roman" w:eastAsia="宋体" w:cs="Times New Roman"/>
                <w:color w:val="auto"/>
                <w:sz w:val="24"/>
                <w:szCs w:val="24"/>
                <w:shd w:val="clear" w:color="auto" w:fill="FFFFFF"/>
              </w:rPr>
              <w:t>/d</w:t>
            </w:r>
            <w:r>
              <w:rPr>
                <w:rFonts w:hint="eastAsia" w:ascii="Times New Roman" w:hAnsi="Times New Roman" w:eastAsia="宋体" w:cs="Times New Roman"/>
                <w:color w:val="auto"/>
                <w:sz w:val="24"/>
                <w:szCs w:val="24"/>
                <w:shd w:val="clear" w:color="auto" w:fill="FFFFFF"/>
                <w:lang w:eastAsia="zh-CN"/>
              </w:rPr>
              <w:t>。</w:t>
            </w:r>
          </w:p>
          <w:p>
            <w:pPr>
              <w:spacing w:line="360" w:lineRule="auto"/>
              <w:ind w:firstLine="480" w:firstLineChars="200"/>
              <w:rPr>
                <w:rFonts w:ascii="Times New Roman" w:hAnsi="Times New Roman" w:eastAsia="宋体" w:cs="Times New Roman"/>
                <w:color w:val="auto"/>
                <w:sz w:val="24"/>
                <w:szCs w:val="24"/>
                <w:shd w:val="clear" w:color="auto" w:fill="FFFFFF"/>
              </w:rPr>
            </w:pPr>
            <w:r>
              <w:rPr>
                <w:rFonts w:hint="eastAsia" w:ascii="Times New Roman" w:hAnsi="Times New Roman" w:eastAsia="宋体" w:cs="Times New Roman"/>
                <w:color w:val="auto"/>
                <w:sz w:val="24"/>
                <w:szCs w:val="24"/>
                <w:shd w:val="clear" w:color="auto" w:fill="FFFFFF"/>
              </w:rPr>
              <w:t>③</w:t>
            </w:r>
            <w:r>
              <w:rPr>
                <w:rFonts w:hint="eastAsia" w:ascii="Times New Roman" w:hAnsi="Times New Roman" w:eastAsia="宋体" w:cs="Times New Roman"/>
                <w:color w:val="auto"/>
                <w:sz w:val="24"/>
                <w:szCs w:val="24"/>
                <w:shd w:val="clear" w:color="auto" w:fill="FFFFFF"/>
                <w:lang w:val="en-US" w:eastAsia="zh-CN"/>
              </w:rPr>
              <w:t>职工</w:t>
            </w:r>
            <w:r>
              <w:rPr>
                <w:rFonts w:hint="eastAsia" w:ascii="Times New Roman" w:hAnsi="Times New Roman" w:eastAsia="宋体" w:cs="Times New Roman"/>
                <w:color w:val="auto"/>
                <w:sz w:val="24"/>
                <w:szCs w:val="24"/>
                <w:shd w:val="clear" w:color="auto" w:fill="FFFFFF"/>
              </w:rPr>
              <w:t>餐饮用水</w:t>
            </w:r>
          </w:p>
          <w:p>
            <w:pPr>
              <w:spacing w:line="360" w:lineRule="auto"/>
              <w:ind w:firstLine="480" w:firstLineChars="200"/>
              <w:rPr>
                <w:rFonts w:hint="eastAsia" w:ascii="宋体" w:hAnsi="宋体"/>
                <w:color w:val="auto"/>
                <w:kern w:val="0"/>
                <w:sz w:val="24"/>
                <w:lang w:val="zh-CN"/>
              </w:rPr>
            </w:pPr>
            <w:r>
              <w:rPr>
                <w:rFonts w:hint="eastAsia" w:ascii="Times New Roman" w:hAnsi="Times New Roman" w:eastAsia="宋体" w:cs="Times New Roman"/>
                <w:color w:val="auto"/>
                <w:sz w:val="24"/>
                <w:szCs w:val="24"/>
                <w:shd w:val="clear" w:color="auto" w:fill="FFFFFF"/>
              </w:rPr>
              <w:t>项目配套</w:t>
            </w:r>
            <w:r>
              <w:rPr>
                <w:rFonts w:hint="eastAsia" w:ascii="Times New Roman" w:hAnsi="Times New Roman" w:eastAsia="宋体" w:cs="Times New Roman"/>
                <w:color w:val="auto"/>
                <w:sz w:val="24"/>
                <w:szCs w:val="24"/>
                <w:shd w:val="clear" w:color="auto" w:fill="FFFFFF"/>
                <w:lang w:val="en-US" w:eastAsia="zh-CN"/>
              </w:rPr>
              <w:t>6个</w:t>
            </w:r>
            <w:r>
              <w:rPr>
                <w:rFonts w:hint="eastAsia" w:cs="Times New Roman"/>
                <w:color w:val="auto"/>
                <w:sz w:val="24"/>
                <w:szCs w:val="24"/>
                <w:shd w:val="clear" w:color="auto" w:fill="FFFFFF"/>
                <w:lang w:val="en-US" w:eastAsia="zh-CN"/>
              </w:rPr>
              <w:t>职工</w:t>
            </w:r>
            <w:r>
              <w:rPr>
                <w:rFonts w:hint="eastAsia" w:ascii="Times New Roman" w:hAnsi="Times New Roman" w:eastAsia="宋体" w:cs="Times New Roman"/>
                <w:color w:val="auto"/>
                <w:sz w:val="24"/>
                <w:szCs w:val="24"/>
                <w:shd w:val="clear" w:color="auto" w:fill="FFFFFF"/>
                <w:lang w:val="en-US" w:eastAsia="zh-CN"/>
              </w:rPr>
              <w:t>餐厅，</w:t>
            </w:r>
            <w:r>
              <w:rPr>
                <w:rFonts w:hint="eastAsia" w:cs="Times New Roman"/>
                <w:color w:val="auto"/>
                <w:sz w:val="24"/>
                <w:szCs w:val="24"/>
                <w:shd w:val="clear" w:color="auto" w:fill="FFFFFF"/>
                <w:lang w:val="en-US" w:eastAsia="zh-CN"/>
              </w:rPr>
              <w:t>容纳就餐人数共838人，</w:t>
            </w:r>
            <w:r>
              <w:rPr>
                <w:rFonts w:hint="eastAsia" w:ascii="Times New Roman" w:hAnsi="Times New Roman" w:eastAsia="宋体" w:cs="Times New Roman"/>
                <w:color w:val="auto"/>
                <w:sz w:val="24"/>
                <w:szCs w:val="24"/>
                <w:shd w:val="clear" w:color="auto" w:fill="FFFFFF"/>
                <w:lang w:val="en-US" w:eastAsia="zh-CN"/>
              </w:rPr>
              <w:t>分别为</w:t>
            </w:r>
            <w:r>
              <w:rPr>
                <w:rFonts w:hint="eastAsia" w:ascii="Times New Roman" w:hAnsi="Times New Roman" w:eastAsia="宋体" w:cs="Times New Roman"/>
                <w:color w:val="auto"/>
                <w:sz w:val="24"/>
                <w:szCs w:val="24"/>
                <w:shd w:val="clear" w:color="auto" w:fill="FFFFFF"/>
              </w:rPr>
              <w:t>107#单体餐厅，可容纳108人就餐</w:t>
            </w:r>
            <w:r>
              <w:rPr>
                <w:rFonts w:hint="eastAsia" w:cs="Times New Roman"/>
                <w:color w:val="auto"/>
                <w:sz w:val="24"/>
                <w:szCs w:val="24"/>
                <w:shd w:val="clear" w:color="auto" w:fill="FFFFFF"/>
                <w:lang w:eastAsia="zh-CN"/>
              </w:rPr>
              <w:t>；</w:t>
            </w:r>
            <w:r>
              <w:rPr>
                <w:rFonts w:hint="eastAsia" w:ascii="Times New Roman" w:hAnsi="Times New Roman" w:eastAsia="宋体" w:cs="Times New Roman"/>
                <w:color w:val="auto"/>
                <w:sz w:val="24"/>
                <w:szCs w:val="24"/>
                <w:shd w:val="clear" w:color="auto" w:fill="FFFFFF"/>
              </w:rPr>
              <w:t>108#单体二层餐厅，可容纳168人就餐；217#单体一层餐厅，可容纳200人就餐；321#单体二层餐厅，可容纳120人就餐；424#单体餐厅，可容纳118人就餐；633#单体餐厅，可容纳124人就餐。</w:t>
            </w:r>
            <w:r>
              <w:rPr>
                <w:rFonts w:hint="eastAsia" w:ascii="Times New Roman" w:hAnsi="Times New Roman" w:eastAsia="宋体" w:cs="Times New Roman"/>
                <w:color w:val="auto"/>
                <w:sz w:val="24"/>
                <w:szCs w:val="24"/>
              </w:rPr>
              <w:t>参考</w:t>
            </w:r>
            <w:r>
              <w:rPr>
                <w:rFonts w:ascii="Times New Roman" w:hAnsi="Times New Roman" w:eastAsia="宋体" w:cs="Times New Roman"/>
                <w:color w:val="auto"/>
                <w:sz w:val="24"/>
                <w:szCs w:val="24"/>
              </w:rPr>
              <w:t>《陕西省行业用水定额（修订稿）》（DB 61/T 943-2020），</w:t>
            </w:r>
            <w:r>
              <w:rPr>
                <w:rFonts w:hint="eastAsia" w:cs="Times New Roman"/>
                <w:color w:val="auto"/>
                <w:sz w:val="24"/>
                <w:szCs w:val="24"/>
                <w:lang w:val="en-US" w:eastAsia="zh-CN"/>
              </w:rPr>
              <w:t>非营业性食堂</w:t>
            </w:r>
            <w:r>
              <w:rPr>
                <w:rFonts w:hint="eastAsia"/>
                <w:color w:val="auto"/>
                <w:w w:val="105"/>
                <w:sz w:val="24"/>
              </w:rPr>
              <w:t>用水标准</w:t>
            </w:r>
            <w:r>
              <w:rPr>
                <w:rFonts w:hint="eastAsia"/>
                <w:color w:val="auto"/>
                <w:w w:val="105"/>
                <w:sz w:val="24"/>
                <w:lang w:val="en-US" w:eastAsia="zh-CN"/>
              </w:rPr>
              <w:t>18</w:t>
            </w:r>
            <w:r>
              <w:rPr>
                <w:color w:val="auto"/>
                <w:w w:val="105"/>
                <w:sz w:val="24"/>
              </w:rPr>
              <w:t>L/</w:t>
            </w:r>
            <w:r>
              <w:rPr>
                <w:rFonts w:hint="eastAsia" w:ascii="宋体" w:hAnsi="宋体" w:cs="宋体"/>
                <w:color w:val="auto"/>
                <w:w w:val="105"/>
                <w:sz w:val="24"/>
              </w:rPr>
              <w:t>人</w:t>
            </w:r>
            <w:r>
              <w:rPr>
                <w:rFonts w:hint="eastAsia" w:ascii="宋体" w:hAnsi="宋体"/>
                <w:color w:val="auto"/>
                <w:w w:val="105"/>
                <w:sz w:val="24"/>
              </w:rPr>
              <w:t>．</w:t>
            </w:r>
            <w:r>
              <w:rPr>
                <w:rFonts w:hint="eastAsia"/>
                <w:color w:val="auto"/>
                <w:w w:val="105"/>
                <w:sz w:val="24"/>
              </w:rPr>
              <w:t>餐、3餐/人．d，</w:t>
            </w:r>
            <w:r>
              <w:rPr>
                <w:color w:val="auto"/>
                <w:w w:val="105"/>
                <w:sz w:val="24"/>
              </w:rPr>
              <w:t>则</w:t>
            </w:r>
            <w:r>
              <w:rPr>
                <w:rFonts w:hint="eastAsia" w:hAnsi="宋体"/>
                <w:color w:val="auto"/>
                <w:kern w:val="0"/>
                <w:sz w:val="24"/>
                <w:lang w:val="en-US" w:eastAsia="zh-CN"/>
              </w:rPr>
              <w:t>餐厅</w:t>
            </w:r>
            <w:r>
              <w:rPr>
                <w:rFonts w:hint="eastAsia" w:hAnsi="宋体"/>
                <w:color w:val="auto"/>
                <w:kern w:val="0"/>
                <w:sz w:val="24"/>
                <w:lang w:val="zh-CN"/>
              </w:rPr>
              <w:t>用水</w:t>
            </w:r>
            <w:r>
              <w:rPr>
                <w:rFonts w:hAnsi="宋体"/>
                <w:color w:val="auto"/>
                <w:kern w:val="0"/>
                <w:sz w:val="24"/>
                <w:lang w:val="zh-CN"/>
              </w:rPr>
              <w:t>为</w:t>
            </w:r>
            <w:r>
              <w:rPr>
                <w:rFonts w:hint="eastAsia" w:hAnsi="宋体"/>
                <w:color w:val="auto"/>
                <w:kern w:val="0"/>
                <w:sz w:val="24"/>
                <w:lang w:val="en-US" w:eastAsia="zh-CN"/>
              </w:rPr>
              <w:t>45.25</w:t>
            </w:r>
            <w:r>
              <w:rPr>
                <w:rFonts w:hAnsi="宋体"/>
                <w:color w:val="auto"/>
                <w:kern w:val="0"/>
                <w:sz w:val="24"/>
                <w:lang w:val="zh-CN"/>
              </w:rPr>
              <w:t>m</w:t>
            </w:r>
            <w:r>
              <w:rPr>
                <w:rFonts w:hAnsi="宋体"/>
                <w:color w:val="auto"/>
                <w:kern w:val="0"/>
                <w:sz w:val="24"/>
                <w:vertAlign w:val="superscript"/>
                <w:lang w:val="zh-CN"/>
              </w:rPr>
              <w:t>3</w:t>
            </w:r>
            <w:r>
              <w:rPr>
                <w:rFonts w:hAnsi="宋体"/>
                <w:color w:val="auto"/>
                <w:kern w:val="0"/>
                <w:sz w:val="24"/>
                <w:lang w:val="zh-CN"/>
              </w:rPr>
              <w:t>/d</w:t>
            </w:r>
            <w:r>
              <w:rPr>
                <w:rFonts w:hint="eastAsia" w:hAnsi="宋体"/>
                <w:color w:val="auto"/>
                <w:kern w:val="0"/>
                <w:sz w:val="24"/>
                <w:lang w:val="zh-CN"/>
              </w:rPr>
              <w:t>（</w:t>
            </w:r>
            <w:r>
              <w:rPr>
                <w:rFonts w:hint="eastAsia" w:hAnsi="宋体"/>
                <w:color w:val="auto"/>
                <w:kern w:val="0"/>
                <w:sz w:val="24"/>
                <w:lang w:val="en-US" w:eastAsia="zh-CN"/>
              </w:rPr>
              <w:t>16519.9m</w:t>
            </w:r>
            <w:r>
              <w:rPr>
                <w:rFonts w:hint="eastAsia" w:hAnsi="宋体"/>
                <w:color w:val="auto"/>
                <w:kern w:val="0"/>
                <w:sz w:val="24"/>
                <w:vertAlign w:val="superscript"/>
                <w:lang w:val="en-US" w:eastAsia="zh-CN"/>
              </w:rPr>
              <w:t>3</w:t>
            </w:r>
            <w:r>
              <w:rPr>
                <w:rFonts w:hint="eastAsia" w:hAnsi="宋体"/>
                <w:color w:val="auto"/>
                <w:kern w:val="0"/>
                <w:sz w:val="24"/>
                <w:lang w:val="en-US" w:eastAsia="zh-CN"/>
              </w:rPr>
              <w:t>/a）</w:t>
            </w:r>
            <w:r>
              <w:rPr>
                <w:rFonts w:hint="eastAsia" w:hAnsi="宋体"/>
                <w:color w:val="auto"/>
                <w:kern w:val="0"/>
                <w:sz w:val="24"/>
                <w:lang w:val="zh-CN"/>
              </w:rPr>
              <w:t>。</w:t>
            </w:r>
          </w:p>
          <w:p>
            <w:pPr>
              <w:spacing w:line="360" w:lineRule="auto"/>
              <w:ind w:firstLine="480" w:firstLineChars="200"/>
              <w:rPr>
                <w:rFonts w:hint="eastAsia" w:ascii="Times New Roman" w:hAnsi="Times New Roman" w:eastAsia="宋体" w:cs="Times New Roman"/>
                <w:color w:val="auto"/>
                <w:sz w:val="24"/>
                <w:szCs w:val="24"/>
                <w:shd w:val="clear" w:color="auto" w:fill="FFFFFF"/>
              </w:rPr>
            </w:pPr>
            <w:r>
              <w:rPr>
                <w:rFonts w:hint="eastAsia" w:ascii="Times New Roman" w:hAnsi="Times New Roman" w:eastAsia="宋体" w:cs="Times New Roman"/>
                <w:color w:val="auto"/>
                <w:sz w:val="24"/>
                <w:szCs w:val="24"/>
                <w:shd w:val="clear" w:color="auto" w:fill="FFFFFF"/>
              </w:rPr>
              <w:t>④娱乐用水</w:t>
            </w:r>
          </w:p>
          <w:p>
            <w:pPr>
              <w:spacing w:line="360" w:lineRule="auto"/>
              <w:ind w:firstLine="480" w:firstLineChars="200"/>
              <w:rPr>
                <w:rFonts w:hint="eastAsia" w:ascii="Times New Roman" w:hAnsi="Times New Roman" w:eastAsia="宋体" w:cs="Times New Roman"/>
                <w:color w:val="auto"/>
                <w:sz w:val="24"/>
                <w:szCs w:val="24"/>
                <w:shd w:val="clear" w:color="auto" w:fill="FFFFFF"/>
                <w:lang w:val="en-US" w:eastAsia="zh-CN"/>
              </w:rPr>
            </w:pPr>
            <w:r>
              <w:rPr>
                <w:rFonts w:hint="eastAsia" w:ascii="Times New Roman" w:hAnsi="Times New Roman" w:eastAsia="宋体" w:cs="Times New Roman"/>
                <w:color w:val="auto"/>
                <w:sz w:val="24"/>
                <w:szCs w:val="24"/>
                <w:shd w:val="clear" w:color="auto" w:fill="FFFFFF"/>
              </w:rPr>
              <w:t>项目娱乐用水包括</w:t>
            </w:r>
            <w:r>
              <w:rPr>
                <w:rFonts w:hint="eastAsia" w:ascii="Times New Roman" w:hAnsi="Times New Roman" w:eastAsia="宋体" w:cs="Times New Roman"/>
                <w:color w:val="auto"/>
                <w:sz w:val="24"/>
                <w:szCs w:val="24"/>
                <w:shd w:val="clear" w:color="auto" w:fill="FFFFFF"/>
                <w:lang w:val="en-US" w:eastAsia="zh-CN"/>
              </w:rPr>
              <w:t>中央公园</w:t>
            </w:r>
            <w:r>
              <w:rPr>
                <w:rFonts w:hint="eastAsia" w:ascii="Times New Roman" w:hAnsi="Times New Roman" w:eastAsia="宋体" w:cs="Times New Roman"/>
                <w:color w:val="auto"/>
                <w:sz w:val="24"/>
                <w:szCs w:val="24"/>
                <w:shd w:val="clear" w:color="auto" w:fill="FFFFFF"/>
              </w:rPr>
              <w:t>景观用水和游乐设备补水</w:t>
            </w:r>
            <w:r>
              <w:rPr>
                <w:rFonts w:hint="eastAsia" w:ascii="Times New Roman" w:hAnsi="Times New Roman" w:eastAsia="宋体" w:cs="Times New Roman"/>
                <w:color w:val="auto"/>
                <w:sz w:val="24"/>
                <w:szCs w:val="24"/>
                <w:shd w:val="clear" w:color="auto" w:fill="FFFFFF"/>
                <w:lang w:val="en-US" w:eastAsia="zh-CN"/>
              </w:rPr>
              <w:t>。</w:t>
            </w:r>
          </w:p>
          <w:p>
            <w:pPr>
              <w:spacing w:line="360" w:lineRule="auto"/>
              <w:ind w:firstLine="480" w:firstLineChars="200"/>
              <w:rPr>
                <w:rFonts w:hint="eastAsia" w:ascii="Times New Roman" w:hAnsi="Times New Roman" w:eastAsia="宋体" w:cs="Times New Roman"/>
                <w:color w:val="auto"/>
                <w:sz w:val="24"/>
                <w:szCs w:val="24"/>
                <w:shd w:val="clear" w:color="auto" w:fill="FFFFFF"/>
              </w:rPr>
            </w:pPr>
            <w:r>
              <w:rPr>
                <w:rFonts w:hint="eastAsia" w:ascii="Times New Roman" w:hAnsi="Times New Roman" w:eastAsia="宋体" w:cs="Times New Roman"/>
                <w:color w:val="auto"/>
                <w:sz w:val="24"/>
                <w:szCs w:val="24"/>
                <w:shd w:val="clear" w:color="auto" w:fill="FFFFFF"/>
                <w:lang w:val="en-US" w:eastAsia="zh-CN"/>
              </w:rPr>
              <w:t>A中央公园</w:t>
            </w:r>
            <w:r>
              <w:rPr>
                <w:rFonts w:hint="eastAsia" w:ascii="Times New Roman" w:hAnsi="Times New Roman" w:eastAsia="宋体" w:cs="Times New Roman"/>
                <w:color w:val="auto"/>
                <w:sz w:val="24"/>
                <w:szCs w:val="24"/>
                <w:shd w:val="clear" w:color="auto" w:fill="FFFFFF"/>
              </w:rPr>
              <w:t>景观用水</w:t>
            </w:r>
          </w:p>
          <w:p>
            <w:pPr>
              <w:spacing w:line="360" w:lineRule="auto"/>
              <w:ind w:firstLine="480" w:firstLineChars="200"/>
              <w:rPr>
                <w:rFonts w:hint="eastAsia" w:ascii="Times New Roman" w:hAnsi="Times New Roman" w:eastAsia="宋体" w:cs="Times New Roman"/>
                <w:color w:val="auto"/>
                <w:sz w:val="24"/>
                <w:szCs w:val="24"/>
                <w:shd w:val="clear" w:color="auto" w:fill="FFFFFF"/>
                <w:lang w:val="en-US" w:eastAsia="zh-CN"/>
              </w:rPr>
            </w:pPr>
            <w:r>
              <w:rPr>
                <w:rFonts w:hint="eastAsia" w:ascii="Times New Roman" w:hAnsi="Times New Roman" w:eastAsia="宋体" w:cs="Times New Roman"/>
                <w:color w:val="auto"/>
                <w:sz w:val="24"/>
                <w:szCs w:val="24"/>
                <w:shd w:val="clear" w:color="auto" w:fill="FFFFFF"/>
                <w:lang w:val="en-US" w:eastAsia="zh-CN"/>
              </w:rPr>
              <w:t>中央公园</w:t>
            </w:r>
            <w:r>
              <w:rPr>
                <w:rFonts w:hint="eastAsia" w:ascii="Times New Roman" w:hAnsi="Times New Roman" w:eastAsia="宋体" w:cs="Times New Roman"/>
                <w:color w:val="auto"/>
                <w:sz w:val="24"/>
                <w:szCs w:val="24"/>
                <w:shd w:val="clear" w:color="auto" w:fill="FFFFFF"/>
              </w:rPr>
              <w:t>景观用水</w:t>
            </w:r>
            <w:r>
              <w:rPr>
                <w:rFonts w:hint="eastAsia" w:ascii="Times New Roman" w:hAnsi="Times New Roman" w:eastAsia="宋体" w:cs="Times New Roman"/>
                <w:color w:val="auto"/>
                <w:sz w:val="24"/>
                <w:szCs w:val="24"/>
                <w:shd w:val="clear" w:color="auto" w:fill="FFFFFF"/>
                <w:lang w:val="en-US" w:eastAsia="zh-CN"/>
              </w:rPr>
              <w:t>主要为1座人工水景观补水，</w:t>
            </w:r>
            <w:r>
              <w:rPr>
                <w:rFonts w:hint="eastAsia" w:cs="Times New Roman"/>
                <w:color w:val="auto"/>
                <w:sz w:val="24"/>
                <w:szCs w:val="24"/>
                <w:shd w:val="clear" w:color="auto" w:fill="FFFFFF"/>
                <w:lang w:val="en-US" w:eastAsia="zh-CN"/>
              </w:rPr>
              <w:t>景观蓄水60m</w:t>
            </w:r>
            <w:r>
              <w:rPr>
                <w:rFonts w:hint="eastAsia" w:cs="Times New Roman"/>
                <w:color w:val="auto"/>
                <w:sz w:val="24"/>
                <w:szCs w:val="24"/>
                <w:shd w:val="clear" w:color="auto" w:fill="FFFFFF"/>
                <w:vertAlign w:val="superscript"/>
                <w:lang w:val="en-US" w:eastAsia="zh-CN"/>
              </w:rPr>
              <w:t>3</w:t>
            </w:r>
            <w:r>
              <w:rPr>
                <w:rFonts w:hint="eastAsia" w:cs="Times New Roman"/>
                <w:color w:val="auto"/>
                <w:sz w:val="24"/>
                <w:szCs w:val="24"/>
                <w:shd w:val="clear" w:color="auto" w:fill="FFFFFF"/>
                <w:lang w:val="en-US" w:eastAsia="zh-CN"/>
              </w:rPr>
              <w:t>，</w:t>
            </w:r>
            <w:r>
              <w:rPr>
                <w:rFonts w:hint="eastAsia" w:ascii="Times New Roman" w:hAnsi="Times New Roman" w:eastAsia="宋体" w:cs="Times New Roman"/>
                <w:color w:val="auto"/>
                <w:sz w:val="24"/>
                <w:szCs w:val="24"/>
                <w:shd w:val="clear" w:color="auto" w:fill="FFFFFF"/>
                <w:lang w:val="en-US" w:eastAsia="zh-CN"/>
              </w:rPr>
              <w:t>内部种植植物，下设泥沙和卵石，首次加水后无需定期换水，补水通过自然降雨与人工补充相结合，根据建设单位提供，人工补充水量为5m</w:t>
            </w:r>
            <w:r>
              <w:rPr>
                <w:rFonts w:hint="eastAsia" w:ascii="Times New Roman" w:hAnsi="Times New Roman" w:eastAsia="宋体" w:cs="Times New Roman"/>
                <w:color w:val="auto"/>
                <w:sz w:val="24"/>
                <w:szCs w:val="24"/>
                <w:shd w:val="clear" w:color="auto" w:fill="FFFFFF"/>
                <w:vertAlign w:val="superscript"/>
                <w:lang w:val="en-US" w:eastAsia="zh-CN"/>
              </w:rPr>
              <w:t>3</w:t>
            </w:r>
            <w:r>
              <w:rPr>
                <w:rFonts w:hint="eastAsia" w:ascii="Times New Roman" w:hAnsi="Times New Roman" w:eastAsia="宋体" w:cs="Times New Roman"/>
                <w:color w:val="auto"/>
                <w:sz w:val="24"/>
                <w:szCs w:val="24"/>
                <w:shd w:val="clear" w:color="auto" w:fill="FFFFFF"/>
                <w:lang w:val="en-US" w:eastAsia="zh-CN"/>
              </w:rPr>
              <w:t>/d（1825m</w:t>
            </w:r>
            <w:r>
              <w:rPr>
                <w:rFonts w:hint="eastAsia" w:ascii="Times New Roman" w:hAnsi="Times New Roman" w:eastAsia="宋体" w:cs="Times New Roman"/>
                <w:color w:val="auto"/>
                <w:sz w:val="24"/>
                <w:szCs w:val="24"/>
                <w:shd w:val="clear" w:color="auto" w:fill="FFFFFF"/>
                <w:vertAlign w:val="superscript"/>
                <w:lang w:val="en-US" w:eastAsia="zh-CN"/>
              </w:rPr>
              <w:t>3</w:t>
            </w:r>
            <w:r>
              <w:rPr>
                <w:rFonts w:hint="eastAsia" w:ascii="Times New Roman" w:hAnsi="Times New Roman" w:eastAsia="宋体" w:cs="Times New Roman"/>
                <w:color w:val="auto"/>
                <w:sz w:val="24"/>
                <w:szCs w:val="24"/>
                <w:shd w:val="clear" w:color="auto" w:fill="FFFFFF"/>
                <w:lang w:val="en-US" w:eastAsia="zh-CN"/>
              </w:rPr>
              <w:t>/a）。</w:t>
            </w:r>
          </w:p>
          <w:p>
            <w:pPr>
              <w:spacing w:line="360" w:lineRule="auto"/>
              <w:ind w:firstLine="480" w:firstLineChars="200"/>
              <w:rPr>
                <w:rFonts w:hint="eastAsia" w:ascii="Times New Roman" w:hAnsi="Times New Roman" w:eastAsia="宋体" w:cs="Times New Roman"/>
                <w:color w:val="auto"/>
                <w:sz w:val="24"/>
                <w:szCs w:val="24"/>
                <w:shd w:val="clear" w:color="auto" w:fill="FFFFFF"/>
                <w:lang w:val="en-US" w:eastAsia="zh-CN"/>
              </w:rPr>
            </w:pPr>
            <w:r>
              <w:rPr>
                <w:rFonts w:hint="eastAsia" w:ascii="Times New Roman" w:hAnsi="Times New Roman" w:eastAsia="宋体" w:cs="Times New Roman"/>
                <w:color w:val="auto"/>
                <w:sz w:val="24"/>
                <w:szCs w:val="24"/>
                <w:shd w:val="clear" w:color="auto" w:fill="FFFFFF"/>
                <w:lang w:val="en-US" w:eastAsia="zh-CN"/>
              </w:rPr>
              <w:t>B</w:t>
            </w:r>
            <w:r>
              <w:rPr>
                <w:rFonts w:hint="eastAsia" w:ascii="Times New Roman" w:hAnsi="Times New Roman" w:eastAsia="宋体" w:cs="Times New Roman"/>
                <w:color w:val="auto"/>
                <w:sz w:val="24"/>
                <w:szCs w:val="24"/>
                <w:shd w:val="clear" w:color="auto" w:fill="FFFFFF"/>
              </w:rPr>
              <w:t>游乐设备补水</w:t>
            </w:r>
          </w:p>
          <w:p>
            <w:pPr>
              <w:spacing w:line="360" w:lineRule="auto"/>
              <w:ind w:firstLine="480" w:firstLineChars="200"/>
              <w:rPr>
                <w:rFonts w:hint="eastAsia" w:ascii="Times New Roman" w:hAnsi="Times New Roman" w:eastAsia="宋体" w:cs="Times New Roman"/>
                <w:color w:val="auto"/>
                <w:sz w:val="24"/>
                <w:szCs w:val="24"/>
                <w:shd w:val="clear" w:color="auto" w:fill="FFFFFF"/>
              </w:rPr>
            </w:pPr>
            <w:r>
              <w:rPr>
                <w:rFonts w:hint="eastAsia" w:ascii="Times New Roman" w:hAnsi="Times New Roman" w:eastAsia="宋体" w:cs="Times New Roman"/>
                <w:color w:val="auto"/>
                <w:sz w:val="24"/>
                <w:szCs w:val="24"/>
                <w:shd w:val="clear" w:color="auto" w:fill="FFFFFF"/>
              </w:rPr>
              <w:t>园区中有</w:t>
            </w:r>
            <w:r>
              <w:rPr>
                <w:rFonts w:hint="eastAsia" w:ascii="Times New Roman" w:hAnsi="Times New Roman" w:eastAsia="宋体" w:cs="Times New Roman"/>
                <w:color w:val="auto"/>
                <w:sz w:val="24"/>
                <w:szCs w:val="24"/>
                <w:shd w:val="clear" w:color="auto" w:fill="FFFFFF"/>
                <w:lang w:val="en-US" w:eastAsia="zh-CN"/>
              </w:rPr>
              <w:t>3</w:t>
            </w:r>
            <w:r>
              <w:rPr>
                <w:rFonts w:hint="eastAsia" w:ascii="Times New Roman" w:hAnsi="Times New Roman" w:eastAsia="宋体" w:cs="Times New Roman"/>
                <w:color w:val="auto"/>
                <w:sz w:val="24"/>
                <w:szCs w:val="24"/>
                <w:shd w:val="clear" w:color="auto" w:fill="FFFFFF"/>
              </w:rPr>
              <w:t>个游乐设备需要补水，分别是</w:t>
            </w:r>
            <w:r>
              <w:rPr>
                <w:rFonts w:hint="eastAsia" w:ascii="Times New Roman" w:hAnsi="Times New Roman" w:eastAsia="宋体" w:cs="Times New Roman"/>
                <w:color w:val="auto"/>
                <w:sz w:val="24"/>
                <w:szCs w:val="24"/>
                <w:shd w:val="clear" w:color="auto" w:fill="FFFFFF"/>
                <w:lang w:val="en-US" w:eastAsia="zh-CN"/>
              </w:rPr>
              <w:t>特技剧场、互动战船和情景激流勇进，其中：特技剧场水池容积分别为7000m</w:t>
            </w:r>
            <w:r>
              <w:rPr>
                <w:rFonts w:hint="eastAsia" w:ascii="Times New Roman" w:hAnsi="Times New Roman" w:eastAsia="宋体" w:cs="Times New Roman"/>
                <w:color w:val="auto"/>
                <w:sz w:val="24"/>
                <w:szCs w:val="24"/>
                <w:shd w:val="clear" w:color="auto" w:fill="FFFFFF"/>
                <w:vertAlign w:val="superscript"/>
                <w:lang w:val="en-US" w:eastAsia="zh-CN"/>
              </w:rPr>
              <w:t>3</w:t>
            </w:r>
            <w:r>
              <w:rPr>
                <w:rFonts w:hint="eastAsia" w:ascii="Times New Roman" w:hAnsi="Times New Roman" w:eastAsia="宋体" w:cs="Times New Roman"/>
                <w:color w:val="auto"/>
                <w:sz w:val="24"/>
                <w:szCs w:val="24"/>
                <w:shd w:val="clear" w:color="auto" w:fill="FFFFFF"/>
                <w:lang w:val="en-US" w:eastAsia="zh-CN"/>
              </w:rPr>
              <w:t>，营运过程中</w:t>
            </w:r>
            <w:r>
              <w:rPr>
                <w:rFonts w:hint="eastAsia" w:ascii="Times New Roman" w:hAnsi="Times New Roman" w:eastAsia="宋体" w:cs="Times New Roman"/>
                <w:color w:val="auto"/>
                <w:sz w:val="24"/>
                <w:szCs w:val="24"/>
                <w:shd w:val="clear" w:color="auto" w:fill="FFFFFF"/>
              </w:rPr>
              <w:t>水池的消耗为水的蒸发、人员带出等，根据可研提供资料，</w:t>
            </w:r>
            <w:r>
              <w:rPr>
                <w:rFonts w:hint="eastAsia" w:ascii="Times New Roman" w:hAnsi="Times New Roman" w:eastAsia="宋体" w:cs="Times New Roman"/>
                <w:color w:val="auto"/>
                <w:sz w:val="24"/>
                <w:szCs w:val="24"/>
                <w:shd w:val="clear" w:color="auto" w:fill="FFFFFF"/>
                <w:lang w:val="en-US" w:eastAsia="zh-CN"/>
              </w:rPr>
              <w:t>特技剧场</w:t>
            </w:r>
            <w:r>
              <w:rPr>
                <w:rFonts w:hint="eastAsia" w:ascii="Times New Roman" w:hAnsi="Times New Roman" w:eastAsia="宋体" w:cs="Times New Roman"/>
                <w:color w:val="auto"/>
                <w:sz w:val="24"/>
                <w:szCs w:val="24"/>
                <w:shd w:val="clear" w:color="auto" w:fill="FFFFFF"/>
              </w:rPr>
              <w:t>水池消耗水量约为水池容积率的</w:t>
            </w:r>
            <w:r>
              <w:rPr>
                <w:rFonts w:hint="eastAsia" w:ascii="Times New Roman" w:hAnsi="Times New Roman" w:eastAsia="宋体" w:cs="Times New Roman"/>
                <w:color w:val="auto"/>
                <w:sz w:val="24"/>
                <w:szCs w:val="24"/>
                <w:shd w:val="clear" w:color="auto" w:fill="FFFFFF"/>
                <w:lang w:val="en-US" w:eastAsia="zh-CN"/>
              </w:rPr>
              <w:t>3</w:t>
            </w:r>
            <w:r>
              <w:rPr>
                <w:rFonts w:hint="eastAsia" w:ascii="Times New Roman" w:hAnsi="Times New Roman" w:eastAsia="宋体" w:cs="Times New Roman"/>
                <w:color w:val="auto"/>
                <w:sz w:val="24"/>
                <w:szCs w:val="24"/>
                <w:shd w:val="clear" w:color="auto" w:fill="FFFFFF"/>
              </w:rPr>
              <w:t>%，则本项目娱乐用水消耗水量为</w:t>
            </w:r>
            <w:r>
              <w:rPr>
                <w:rFonts w:hint="eastAsia" w:ascii="Times New Roman" w:hAnsi="Times New Roman" w:eastAsia="宋体" w:cs="Times New Roman"/>
                <w:color w:val="auto"/>
                <w:sz w:val="24"/>
                <w:szCs w:val="24"/>
                <w:shd w:val="clear" w:color="auto" w:fill="FFFFFF"/>
                <w:lang w:val="en-US" w:eastAsia="zh-CN"/>
              </w:rPr>
              <w:t>210</w:t>
            </w:r>
            <w:r>
              <w:rPr>
                <w:rFonts w:hint="eastAsia" w:ascii="Times New Roman" w:hAnsi="Times New Roman" w:eastAsia="宋体" w:cs="Times New Roman"/>
                <w:color w:val="auto"/>
                <w:sz w:val="24"/>
                <w:szCs w:val="24"/>
                <w:shd w:val="clear" w:color="auto" w:fill="FFFFFF"/>
              </w:rPr>
              <w:t>m</w:t>
            </w:r>
            <w:r>
              <w:rPr>
                <w:rFonts w:hint="eastAsia" w:ascii="Times New Roman" w:hAnsi="Times New Roman" w:eastAsia="宋体" w:cs="Times New Roman"/>
                <w:color w:val="auto"/>
                <w:sz w:val="24"/>
                <w:szCs w:val="24"/>
                <w:shd w:val="clear" w:color="auto" w:fill="FFFFFF"/>
                <w:vertAlign w:val="superscript"/>
              </w:rPr>
              <w:t>3</w:t>
            </w:r>
            <w:r>
              <w:rPr>
                <w:rFonts w:hint="eastAsia" w:ascii="Times New Roman" w:hAnsi="Times New Roman" w:eastAsia="宋体" w:cs="Times New Roman"/>
                <w:color w:val="auto"/>
                <w:sz w:val="24"/>
                <w:szCs w:val="24"/>
                <w:shd w:val="clear" w:color="auto" w:fill="FFFFFF"/>
              </w:rPr>
              <w:t>/d，需补充新鲜水为</w:t>
            </w:r>
            <w:r>
              <w:rPr>
                <w:rFonts w:hint="eastAsia" w:ascii="Times New Roman" w:hAnsi="Times New Roman" w:eastAsia="宋体" w:cs="Times New Roman"/>
                <w:color w:val="auto"/>
                <w:sz w:val="24"/>
                <w:szCs w:val="24"/>
                <w:shd w:val="clear" w:color="auto" w:fill="FFFFFF"/>
                <w:lang w:val="en-US" w:eastAsia="zh-CN"/>
              </w:rPr>
              <w:t>210</w:t>
            </w:r>
            <w:r>
              <w:rPr>
                <w:rFonts w:hint="eastAsia" w:ascii="Times New Roman" w:hAnsi="Times New Roman" w:eastAsia="宋体" w:cs="Times New Roman"/>
                <w:color w:val="auto"/>
                <w:sz w:val="24"/>
                <w:szCs w:val="24"/>
                <w:shd w:val="clear" w:color="auto" w:fill="FFFFFF"/>
              </w:rPr>
              <w:t>m</w:t>
            </w:r>
            <w:r>
              <w:rPr>
                <w:rFonts w:hint="eastAsia" w:ascii="Times New Roman" w:hAnsi="Times New Roman" w:eastAsia="宋体" w:cs="Times New Roman"/>
                <w:color w:val="auto"/>
                <w:sz w:val="24"/>
                <w:szCs w:val="24"/>
                <w:shd w:val="clear" w:color="auto" w:fill="FFFFFF"/>
                <w:vertAlign w:val="superscript"/>
              </w:rPr>
              <w:t>3</w:t>
            </w:r>
            <w:r>
              <w:rPr>
                <w:rFonts w:hint="eastAsia" w:ascii="Times New Roman" w:hAnsi="Times New Roman" w:eastAsia="宋体" w:cs="Times New Roman"/>
                <w:color w:val="auto"/>
                <w:sz w:val="24"/>
                <w:szCs w:val="24"/>
                <w:shd w:val="clear" w:color="auto" w:fill="FFFFFF"/>
              </w:rPr>
              <w:t>/d</w:t>
            </w:r>
            <w:r>
              <w:rPr>
                <w:rFonts w:hint="eastAsia" w:ascii="Times New Roman" w:hAnsi="Times New Roman" w:eastAsia="宋体" w:cs="Times New Roman"/>
                <w:color w:val="auto"/>
                <w:sz w:val="24"/>
                <w:szCs w:val="24"/>
                <w:shd w:val="clear" w:color="auto" w:fill="FFFFFF"/>
                <w:lang w:eastAsia="zh-CN"/>
              </w:rPr>
              <w:t>（</w:t>
            </w:r>
            <w:r>
              <w:rPr>
                <w:rFonts w:hint="eastAsia" w:ascii="Times New Roman" w:hAnsi="Times New Roman" w:eastAsia="宋体" w:cs="Times New Roman"/>
                <w:color w:val="auto"/>
                <w:sz w:val="24"/>
                <w:szCs w:val="24"/>
                <w:shd w:val="clear" w:color="auto" w:fill="FFFFFF"/>
                <w:lang w:val="en-US" w:eastAsia="zh-CN"/>
              </w:rPr>
              <w:t>76650m</w:t>
            </w:r>
            <w:r>
              <w:rPr>
                <w:rFonts w:hint="eastAsia" w:ascii="Times New Roman" w:hAnsi="Times New Roman" w:eastAsia="宋体" w:cs="Times New Roman"/>
                <w:color w:val="auto"/>
                <w:sz w:val="24"/>
                <w:szCs w:val="24"/>
                <w:shd w:val="clear" w:color="auto" w:fill="FFFFFF"/>
                <w:vertAlign w:val="superscript"/>
                <w:lang w:val="en-US" w:eastAsia="zh-CN"/>
              </w:rPr>
              <w:t>3</w:t>
            </w:r>
            <w:r>
              <w:rPr>
                <w:rFonts w:hint="eastAsia" w:ascii="Times New Roman" w:hAnsi="Times New Roman" w:eastAsia="宋体" w:cs="Times New Roman"/>
                <w:color w:val="auto"/>
                <w:sz w:val="24"/>
                <w:szCs w:val="24"/>
                <w:shd w:val="clear" w:color="auto" w:fill="FFFFFF"/>
                <w:lang w:val="en-US" w:eastAsia="zh-CN"/>
              </w:rPr>
              <w:t>/a）</w:t>
            </w:r>
            <w:r>
              <w:rPr>
                <w:rFonts w:hint="eastAsia" w:ascii="Times New Roman" w:hAnsi="Times New Roman" w:eastAsia="宋体" w:cs="Times New Roman"/>
                <w:color w:val="auto"/>
                <w:sz w:val="24"/>
                <w:szCs w:val="24"/>
                <w:shd w:val="clear" w:color="auto" w:fill="FFFFFF"/>
              </w:rPr>
              <w:t>。</w:t>
            </w:r>
          </w:p>
          <w:p>
            <w:pPr>
              <w:spacing w:line="360" w:lineRule="auto"/>
              <w:ind w:firstLine="480" w:firstLineChars="200"/>
              <w:rPr>
                <w:rFonts w:hint="eastAsia" w:ascii="Times New Roman" w:hAnsi="Times New Roman" w:eastAsia="宋体" w:cs="Times New Roman"/>
                <w:color w:val="auto"/>
                <w:sz w:val="24"/>
                <w:szCs w:val="24"/>
                <w:shd w:val="clear" w:color="auto" w:fill="FFFFFF"/>
              </w:rPr>
            </w:pPr>
            <w:r>
              <w:rPr>
                <w:rFonts w:hint="eastAsia" w:ascii="Times New Roman" w:hAnsi="Times New Roman" w:eastAsia="宋体" w:cs="Times New Roman"/>
                <w:color w:val="auto"/>
                <w:sz w:val="24"/>
                <w:szCs w:val="24"/>
                <w:shd w:val="clear" w:color="auto" w:fill="FFFFFF"/>
                <w:lang w:val="en-US" w:eastAsia="zh-CN"/>
              </w:rPr>
              <w:t>互动战船和情景激流勇进项目水池容积分别为800m</w:t>
            </w:r>
            <w:r>
              <w:rPr>
                <w:rFonts w:hint="eastAsia" w:ascii="Times New Roman" w:hAnsi="Times New Roman" w:eastAsia="宋体" w:cs="Times New Roman"/>
                <w:color w:val="auto"/>
                <w:sz w:val="24"/>
                <w:szCs w:val="24"/>
                <w:shd w:val="clear" w:color="auto" w:fill="FFFFFF"/>
                <w:vertAlign w:val="superscript"/>
                <w:lang w:val="en-US" w:eastAsia="zh-CN"/>
              </w:rPr>
              <w:t>3</w:t>
            </w:r>
            <w:r>
              <w:rPr>
                <w:rFonts w:hint="eastAsia" w:ascii="Times New Roman" w:hAnsi="Times New Roman" w:eastAsia="宋体" w:cs="Times New Roman"/>
                <w:color w:val="auto"/>
                <w:sz w:val="24"/>
                <w:szCs w:val="24"/>
                <w:shd w:val="clear" w:color="auto" w:fill="FFFFFF"/>
                <w:lang w:val="en-US" w:eastAsia="zh-CN"/>
              </w:rPr>
              <w:t>、2000m</w:t>
            </w:r>
            <w:r>
              <w:rPr>
                <w:rFonts w:hint="eastAsia" w:ascii="Times New Roman" w:hAnsi="Times New Roman" w:eastAsia="宋体" w:cs="Times New Roman"/>
                <w:color w:val="auto"/>
                <w:sz w:val="24"/>
                <w:szCs w:val="24"/>
                <w:shd w:val="clear" w:color="auto" w:fill="FFFFFF"/>
                <w:vertAlign w:val="superscript"/>
                <w:lang w:val="en-US" w:eastAsia="zh-CN"/>
              </w:rPr>
              <w:t>3</w:t>
            </w:r>
            <w:r>
              <w:rPr>
                <w:rFonts w:hint="eastAsia" w:ascii="Times New Roman" w:hAnsi="Times New Roman" w:eastAsia="宋体" w:cs="Times New Roman"/>
                <w:color w:val="auto"/>
                <w:sz w:val="24"/>
                <w:szCs w:val="24"/>
                <w:shd w:val="clear" w:color="auto" w:fill="FFFFFF"/>
                <w:lang w:val="en-US" w:eastAsia="zh-CN"/>
              </w:rPr>
              <w:t>，</w:t>
            </w:r>
            <w:r>
              <w:rPr>
                <w:rFonts w:hint="eastAsia" w:ascii="Times New Roman" w:hAnsi="Times New Roman" w:eastAsia="宋体" w:cs="Times New Roman"/>
                <w:color w:val="auto"/>
                <w:sz w:val="24"/>
                <w:szCs w:val="24"/>
                <w:shd w:val="clear" w:color="auto" w:fill="FFFFFF"/>
              </w:rPr>
              <w:t>项目通过水处理系统（“砂缸”工艺）循环利用，因此，周期性补水量为</w:t>
            </w:r>
            <w:r>
              <w:rPr>
                <w:rFonts w:hint="eastAsia" w:ascii="Times New Roman" w:hAnsi="Times New Roman" w:eastAsia="宋体" w:cs="Times New Roman"/>
                <w:color w:val="auto"/>
                <w:sz w:val="24"/>
                <w:szCs w:val="24"/>
                <w:shd w:val="clear" w:color="auto" w:fill="FFFFFF"/>
                <w:lang w:val="en-US" w:eastAsia="zh-CN"/>
              </w:rPr>
              <w:t>2800</w:t>
            </w:r>
            <w:r>
              <w:rPr>
                <w:rFonts w:hint="eastAsia" w:ascii="Times New Roman" w:hAnsi="Times New Roman" w:eastAsia="宋体" w:cs="Times New Roman"/>
                <w:color w:val="auto"/>
                <w:sz w:val="24"/>
                <w:szCs w:val="24"/>
                <w:shd w:val="clear" w:color="auto" w:fill="FFFFFF"/>
              </w:rPr>
              <w:t>m</w:t>
            </w:r>
            <w:r>
              <w:rPr>
                <w:rFonts w:hint="eastAsia" w:ascii="Times New Roman" w:hAnsi="Times New Roman" w:eastAsia="宋体" w:cs="Times New Roman"/>
                <w:color w:val="auto"/>
                <w:sz w:val="24"/>
                <w:szCs w:val="24"/>
                <w:shd w:val="clear" w:color="auto" w:fill="FFFFFF"/>
                <w:vertAlign w:val="superscript"/>
              </w:rPr>
              <w:t>3</w:t>
            </w:r>
            <w:r>
              <w:rPr>
                <w:rFonts w:hint="eastAsia" w:ascii="Times New Roman" w:hAnsi="Times New Roman" w:eastAsia="宋体" w:cs="Times New Roman"/>
                <w:color w:val="auto"/>
                <w:sz w:val="24"/>
                <w:szCs w:val="24"/>
                <w:shd w:val="clear" w:color="auto" w:fill="FFFFFF"/>
              </w:rPr>
              <w:t>/次，水池娱乐用水每三个月全部更换</w:t>
            </w:r>
            <w:r>
              <w:rPr>
                <w:rFonts w:hint="eastAsia" w:cs="Times New Roman"/>
                <w:color w:val="auto"/>
                <w:sz w:val="24"/>
                <w:szCs w:val="24"/>
                <w:shd w:val="clear" w:color="auto" w:fill="FFFFFF"/>
                <w:lang w:val="en-US" w:eastAsia="zh-CN"/>
              </w:rPr>
              <w:t>排放</w:t>
            </w:r>
            <w:r>
              <w:rPr>
                <w:rFonts w:hint="eastAsia" w:ascii="Times New Roman" w:hAnsi="Times New Roman" w:eastAsia="宋体" w:cs="Times New Roman"/>
                <w:color w:val="auto"/>
                <w:sz w:val="24"/>
                <w:szCs w:val="24"/>
                <w:shd w:val="clear" w:color="auto" w:fill="FFFFFF"/>
              </w:rPr>
              <w:t>一次，</w:t>
            </w:r>
            <w:r>
              <w:rPr>
                <w:rFonts w:hint="eastAsia" w:cs="Times New Roman"/>
                <w:color w:val="auto"/>
                <w:sz w:val="24"/>
                <w:szCs w:val="24"/>
                <w:shd w:val="clear" w:color="auto" w:fill="FFFFFF"/>
                <w:lang w:val="en-US" w:eastAsia="zh-CN"/>
              </w:rPr>
              <w:t>其中：互动战船更换排放一次池水需要5天时间，激流勇进更换排放一次池水需要10天时间。</w:t>
            </w:r>
            <w:r>
              <w:rPr>
                <w:rFonts w:hint="eastAsia" w:ascii="Times New Roman" w:hAnsi="Times New Roman" w:eastAsia="宋体" w:cs="Times New Roman"/>
                <w:color w:val="auto"/>
                <w:sz w:val="24"/>
                <w:szCs w:val="24"/>
                <w:shd w:val="clear" w:color="auto" w:fill="FFFFFF"/>
              </w:rPr>
              <w:t>故每年周期性补水量为</w:t>
            </w:r>
            <w:r>
              <w:rPr>
                <w:rFonts w:hint="eastAsia" w:ascii="Times New Roman" w:hAnsi="Times New Roman" w:eastAsia="宋体" w:cs="Times New Roman"/>
                <w:color w:val="auto"/>
                <w:sz w:val="24"/>
                <w:szCs w:val="24"/>
                <w:shd w:val="clear" w:color="auto" w:fill="FFFFFF"/>
                <w:lang w:val="en-US" w:eastAsia="zh-CN"/>
              </w:rPr>
              <w:t>11200</w:t>
            </w:r>
            <w:r>
              <w:rPr>
                <w:rFonts w:hint="eastAsia" w:ascii="Times New Roman" w:hAnsi="Times New Roman" w:eastAsia="宋体" w:cs="Times New Roman"/>
                <w:color w:val="auto"/>
                <w:sz w:val="24"/>
                <w:szCs w:val="24"/>
                <w:shd w:val="clear" w:color="auto" w:fill="FFFFFF"/>
              </w:rPr>
              <w:t>m</w:t>
            </w:r>
            <w:r>
              <w:rPr>
                <w:rFonts w:hint="eastAsia" w:ascii="Times New Roman" w:hAnsi="Times New Roman" w:eastAsia="宋体" w:cs="Times New Roman"/>
                <w:color w:val="auto"/>
                <w:sz w:val="24"/>
                <w:szCs w:val="24"/>
                <w:shd w:val="clear" w:color="auto" w:fill="FFFFFF"/>
                <w:vertAlign w:val="superscript"/>
              </w:rPr>
              <w:t>3</w:t>
            </w:r>
            <w:r>
              <w:rPr>
                <w:rFonts w:hint="eastAsia" w:ascii="Times New Roman" w:hAnsi="Times New Roman" w:eastAsia="宋体" w:cs="Times New Roman"/>
                <w:color w:val="auto"/>
                <w:sz w:val="24"/>
                <w:szCs w:val="24"/>
                <w:shd w:val="clear" w:color="auto" w:fill="FFFFFF"/>
              </w:rPr>
              <w:t>/a。</w:t>
            </w:r>
            <w:r>
              <w:rPr>
                <w:rFonts w:hint="eastAsia" w:ascii="Times New Roman" w:hAnsi="Times New Roman" w:eastAsia="宋体" w:cs="Times New Roman"/>
                <w:color w:val="auto"/>
                <w:sz w:val="24"/>
                <w:szCs w:val="24"/>
                <w:shd w:val="clear" w:color="auto" w:fill="FFFFFF"/>
                <w:lang w:val="en-US" w:eastAsia="zh-CN"/>
              </w:rPr>
              <w:t>营运过程中</w:t>
            </w:r>
            <w:r>
              <w:rPr>
                <w:rFonts w:hint="eastAsia" w:ascii="Times New Roman" w:hAnsi="Times New Roman" w:eastAsia="宋体" w:cs="Times New Roman"/>
                <w:color w:val="auto"/>
                <w:sz w:val="24"/>
                <w:szCs w:val="24"/>
                <w:shd w:val="clear" w:color="auto" w:fill="FFFFFF"/>
              </w:rPr>
              <w:t>水池的消耗为水的蒸发、人员带出等，根据可研提供资料，互动战船和情景激流勇进水池消耗水量约为水池容积率的15%，则本项目娱乐用水消耗水量为</w:t>
            </w:r>
            <w:r>
              <w:rPr>
                <w:rFonts w:hint="eastAsia" w:ascii="Times New Roman" w:hAnsi="Times New Roman" w:eastAsia="宋体" w:cs="Times New Roman"/>
                <w:color w:val="auto"/>
                <w:sz w:val="24"/>
                <w:szCs w:val="24"/>
                <w:shd w:val="clear" w:color="auto" w:fill="FFFFFF"/>
                <w:lang w:val="en-US" w:eastAsia="zh-CN"/>
              </w:rPr>
              <w:t>420</w:t>
            </w:r>
            <w:r>
              <w:rPr>
                <w:rFonts w:hint="eastAsia" w:ascii="Times New Roman" w:hAnsi="Times New Roman" w:eastAsia="宋体" w:cs="Times New Roman"/>
                <w:color w:val="auto"/>
                <w:sz w:val="24"/>
                <w:szCs w:val="24"/>
                <w:shd w:val="clear" w:color="auto" w:fill="FFFFFF"/>
              </w:rPr>
              <w:t>m</w:t>
            </w:r>
            <w:r>
              <w:rPr>
                <w:rFonts w:hint="eastAsia" w:ascii="Times New Roman" w:hAnsi="Times New Roman" w:eastAsia="宋体" w:cs="Times New Roman"/>
                <w:color w:val="auto"/>
                <w:sz w:val="24"/>
                <w:szCs w:val="24"/>
                <w:shd w:val="clear" w:color="auto" w:fill="FFFFFF"/>
                <w:vertAlign w:val="superscript"/>
              </w:rPr>
              <w:t>3</w:t>
            </w:r>
            <w:r>
              <w:rPr>
                <w:rFonts w:hint="eastAsia" w:ascii="Times New Roman" w:hAnsi="Times New Roman" w:eastAsia="宋体" w:cs="Times New Roman"/>
                <w:color w:val="auto"/>
                <w:sz w:val="24"/>
                <w:szCs w:val="24"/>
                <w:shd w:val="clear" w:color="auto" w:fill="FFFFFF"/>
              </w:rPr>
              <w:t>/d，需补充新鲜水为</w:t>
            </w:r>
            <w:r>
              <w:rPr>
                <w:rFonts w:hint="eastAsia" w:ascii="Times New Roman" w:hAnsi="Times New Roman" w:eastAsia="宋体" w:cs="Times New Roman"/>
                <w:color w:val="auto"/>
                <w:sz w:val="24"/>
                <w:szCs w:val="24"/>
                <w:shd w:val="clear" w:color="auto" w:fill="FFFFFF"/>
                <w:lang w:val="en-US" w:eastAsia="zh-CN"/>
              </w:rPr>
              <w:t>420</w:t>
            </w:r>
            <w:r>
              <w:rPr>
                <w:rFonts w:hint="eastAsia" w:ascii="Times New Roman" w:hAnsi="Times New Roman" w:eastAsia="宋体" w:cs="Times New Roman"/>
                <w:color w:val="auto"/>
                <w:sz w:val="24"/>
                <w:szCs w:val="24"/>
                <w:shd w:val="clear" w:color="auto" w:fill="FFFFFF"/>
              </w:rPr>
              <w:t>m</w:t>
            </w:r>
            <w:r>
              <w:rPr>
                <w:rFonts w:hint="eastAsia" w:ascii="Times New Roman" w:hAnsi="Times New Roman" w:eastAsia="宋体" w:cs="Times New Roman"/>
                <w:color w:val="auto"/>
                <w:sz w:val="24"/>
                <w:szCs w:val="24"/>
                <w:shd w:val="clear" w:color="auto" w:fill="FFFFFF"/>
                <w:vertAlign w:val="superscript"/>
              </w:rPr>
              <w:t>3</w:t>
            </w:r>
            <w:r>
              <w:rPr>
                <w:rFonts w:hint="eastAsia" w:ascii="Times New Roman" w:hAnsi="Times New Roman" w:eastAsia="宋体" w:cs="Times New Roman"/>
                <w:color w:val="auto"/>
                <w:sz w:val="24"/>
                <w:szCs w:val="24"/>
                <w:shd w:val="clear" w:color="auto" w:fill="FFFFFF"/>
              </w:rPr>
              <w:t>/d</w:t>
            </w:r>
            <w:r>
              <w:rPr>
                <w:rFonts w:hint="eastAsia" w:ascii="Times New Roman" w:hAnsi="Times New Roman" w:eastAsia="宋体" w:cs="Times New Roman"/>
                <w:color w:val="auto"/>
                <w:sz w:val="24"/>
                <w:szCs w:val="24"/>
                <w:shd w:val="clear" w:color="auto" w:fill="FFFFFF"/>
                <w:lang w:eastAsia="zh-CN"/>
              </w:rPr>
              <w:t>（</w:t>
            </w:r>
            <w:r>
              <w:rPr>
                <w:rFonts w:hint="eastAsia" w:ascii="Times New Roman" w:hAnsi="Times New Roman" w:eastAsia="宋体" w:cs="Times New Roman"/>
                <w:color w:val="auto"/>
                <w:sz w:val="24"/>
                <w:szCs w:val="24"/>
                <w:shd w:val="clear" w:color="auto" w:fill="FFFFFF"/>
                <w:lang w:val="en-US" w:eastAsia="zh-CN"/>
              </w:rPr>
              <w:t>153300m</w:t>
            </w:r>
            <w:r>
              <w:rPr>
                <w:rFonts w:hint="eastAsia" w:ascii="Times New Roman" w:hAnsi="Times New Roman" w:eastAsia="宋体" w:cs="Times New Roman"/>
                <w:color w:val="auto"/>
                <w:sz w:val="24"/>
                <w:szCs w:val="24"/>
                <w:shd w:val="clear" w:color="auto" w:fill="FFFFFF"/>
                <w:vertAlign w:val="superscript"/>
                <w:lang w:val="en-US" w:eastAsia="zh-CN"/>
              </w:rPr>
              <w:t>3</w:t>
            </w:r>
            <w:r>
              <w:rPr>
                <w:rFonts w:hint="eastAsia" w:ascii="Times New Roman" w:hAnsi="Times New Roman" w:eastAsia="宋体" w:cs="Times New Roman"/>
                <w:color w:val="auto"/>
                <w:sz w:val="24"/>
                <w:szCs w:val="24"/>
                <w:shd w:val="clear" w:color="auto" w:fill="FFFFFF"/>
                <w:lang w:val="en-US" w:eastAsia="zh-CN"/>
              </w:rPr>
              <w:t>/a）</w:t>
            </w:r>
            <w:r>
              <w:rPr>
                <w:rFonts w:hint="eastAsia" w:ascii="Times New Roman" w:hAnsi="Times New Roman" w:eastAsia="宋体" w:cs="Times New Roman"/>
                <w:color w:val="auto"/>
                <w:sz w:val="24"/>
                <w:szCs w:val="24"/>
                <w:shd w:val="clear" w:color="auto" w:fill="FFFFFF"/>
              </w:rPr>
              <w:t>。</w:t>
            </w:r>
          </w:p>
          <w:p>
            <w:pPr>
              <w:spacing w:line="360" w:lineRule="auto"/>
              <w:ind w:firstLine="480" w:firstLineChars="200"/>
              <w:rPr>
                <w:rFonts w:hint="eastAsia" w:ascii="Times New Roman" w:hAnsi="Times New Roman" w:eastAsia="宋体" w:cs="Times New Roman"/>
                <w:color w:val="auto"/>
                <w:sz w:val="24"/>
                <w:szCs w:val="24"/>
                <w:shd w:val="clear" w:color="auto" w:fill="FFFFFF"/>
              </w:rPr>
            </w:pPr>
            <w:r>
              <w:rPr>
                <w:rFonts w:hint="eastAsia" w:ascii="Times New Roman" w:hAnsi="Times New Roman" w:eastAsia="宋体" w:cs="Times New Roman"/>
                <w:color w:val="auto"/>
                <w:sz w:val="24"/>
                <w:szCs w:val="24"/>
                <w:shd w:val="clear" w:color="auto" w:fill="FFFFFF"/>
              </w:rPr>
              <w:t>根据建设单位提供资料，</w:t>
            </w:r>
            <w:r>
              <w:rPr>
                <w:rFonts w:hint="eastAsia" w:ascii="Times New Roman" w:hAnsi="Times New Roman" w:eastAsia="宋体" w:cs="Times New Roman"/>
                <w:color w:val="auto"/>
                <w:sz w:val="24"/>
                <w:szCs w:val="24"/>
                <w:shd w:val="clear" w:color="auto" w:fill="FFFFFF"/>
                <w:lang w:val="en-US" w:eastAsia="zh-CN"/>
              </w:rPr>
              <w:t>给</w:t>
            </w:r>
            <w:r>
              <w:rPr>
                <w:rFonts w:hint="eastAsia" w:ascii="Times New Roman" w:hAnsi="Times New Roman" w:eastAsia="宋体" w:cs="Times New Roman"/>
                <w:color w:val="auto"/>
                <w:sz w:val="24"/>
                <w:szCs w:val="24"/>
                <w:shd w:val="clear" w:color="auto" w:fill="FFFFFF"/>
              </w:rPr>
              <w:t>互动战船和情景激流勇进</w:t>
            </w:r>
            <w:r>
              <w:rPr>
                <w:rFonts w:hint="eastAsia" w:ascii="Times New Roman" w:hAnsi="Times New Roman" w:eastAsia="宋体" w:cs="Times New Roman"/>
                <w:color w:val="auto"/>
                <w:sz w:val="24"/>
                <w:szCs w:val="24"/>
                <w:shd w:val="clear" w:color="auto" w:fill="FFFFFF"/>
                <w:lang w:val="en-US" w:eastAsia="zh-CN"/>
              </w:rPr>
              <w:t>配套设置</w:t>
            </w:r>
            <w:r>
              <w:rPr>
                <w:rFonts w:hint="eastAsia" w:ascii="Times New Roman" w:hAnsi="Times New Roman" w:eastAsia="宋体" w:cs="Times New Roman"/>
                <w:color w:val="auto"/>
                <w:sz w:val="24"/>
                <w:szCs w:val="24"/>
                <w:shd w:val="clear" w:color="auto" w:fill="FFFFFF"/>
              </w:rPr>
              <w:t>2套水处理系统反冲洗用水为</w:t>
            </w:r>
            <w:r>
              <w:rPr>
                <w:rFonts w:hint="eastAsia" w:ascii="Times New Roman" w:hAnsi="Times New Roman" w:eastAsia="宋体" w:cs="Times New Roman"/>
                <w:color w:val="auto"/>
                <w:sz w:val="24"/>
                <w:szCs w:val="24"/>
                <w:shd w:val="clear" w:color="auto" w:fill="FFFFFF"/>
                <w:lang w:val="en-US" w:eastAsia="zh-CN"/>
              </w:rPr>
              <w:t>87</w:t>
            </w:r>
            <w:r>
              <w:rPr>
                <w:rFonts w:hint="eastAsia" w:ascii="Times New Roman" w:hAnsi="Times New Roman" w:eastAsia="宋体" w:cs="Times New Roman"/>
                <w:color w:val="auto"/>
                <w:sz w:val="24"/>
                <w:szCs w:val="24"/>
                <w:shd w:val="clear" w:color="auto" w:fill="FFFFFF"/>
              </w:rPr>
              <w:t>m</w:t>
            </w:r>
            <w:r>
              <w:rPr>
                <w:rFonts w:hint="eastAsia" w:ascii="Times New Roman" w:hAnsi="Times New Roman" w:eastAsia="宋体" w:cs="Times New Roman"/>
                <w:color w:val="auto"/>
                <w:sz w:val="24"/>
                <w:szCs w:val="24"/>
                <w:shd w:val="clear" w:color="auto" w:fill="FFFFFF"/>
                <w:vertAlign w:val="superscript"/>
              </w:rPr>
              <w:t>3</w:t>
            </w:r>
            <w:r>
              <w:rPr>
                <w:rFonts w:hint="eastAsia" w:ascii="Times New Roman" w:hAnsi="Times New Roman" w:eastAsia="宋体" w:cs="Times New Roman"/>
                <w:color w:val="auto"/>
                <w:sz w:val="24"/>
                <w:szCs w:val="24"/>
                <w:shd w:val="clear" w:color="auto" w:fill="FFFFFF"/>
              </w:rPr>
              <w:t>/次，按每20天完成一次反冲洗考虑，设备反冲洗用水量为</w:t>
            </w:r>
            <w:r>
              <w:rPr>
                <w:rFonts w:hint="eastAsia" w:ascii="Times New Roman" w:hAnsi="Times New Roman" w:eastAsia="宋体" w:cs="Times New Roman"/>
                <w:color w:val="auto"/>
                <w:sz w:val="24"/>
                <w:szCs w:val="24"/>
                <w:shd w:val="clear" w:color="auto" w:fill="FFFFFF"/>
                <w:lang w:val="en-US" w:eastAsia="zh-CN"/>
              </w:rPr>
              <w:t>1587.75</w:t>
            </w:r>
            <w:r>
              <w:rPr>
                <w:rFonts w:hint="eastAsia" w:ascii="Times New Roman" w:hAnsi="Times New Roman" w:eastAsia="宋体" w:cs="Times New Roman"/>
                <w:color w:val="auto"/>
                <w:sz w:val="24"/>
                <w:szCs w:val="24"/>
                <w:shd w:val="clear" w:color="auto" w:fill="FFFFFF"/>
              </w:rPr>
              <w:t>m</w:t>
            </w:r>
            <w:r>
              <w:rPr>
                <w:rFonts w:hint="eastAsia" w:ascii="Times New Roman" w:hAnsi="Times New Roman" w:eastAsia="宋体" w:cs="Times New Roman"/>
                <w:color w:val="auto"/>
                <w:sz w:val="24"/>
                <w:szCs w:val="24"/>
                <w:shd w:val="clear" w:color="auto" w:fill="FFFFFF"/>
                <w:vertAlign w:val="superscript"/>
              </w:rPr>
              <w:t>3</w:t>
            </w:r>
            <w:r>
              <w:rPr>
                <w:rFonts w:hint="eastAsia" w:ascii="Times New Roman" w:hAnsi="Times New Roman" w:eastAsia="宋体" w:cs="Times New Roman"/>
                <w:color w:val="auto"/>
                <w:sz w:val="24"/>
                <w:szCs w:val="24"/>
                <w:shd w:val="clear" w:color="auto" w:fill="FFFFFF"/>
              </w:rPr>
              <w:t>/a</w:t>
            </w:r>
            <w:r>
              <w:rPr>
                <w:rFonts w:hint="eastAsia" w:ascii="Times New Roman" w:hAnsi="Times New Roman" w:eastAsia="宋体" w:cs="Times New Roman"/>
                <w:color w:val="auto"/>
                <w:sz w:val="24"/>
                <w:szCs w:val="24"/>
                <w:shd w:val="clear" w:color="auto" w:fill="FFFFFF"/>
                <w:lang w:eastAsia="zh-CN"/>
              </w:rPr>
              <w:t>。</w:t>
            </w:r>
          </w:p>
          <w:p>
            <w:pPr>
              <w:spacing w:line="360" w:lineRule="auto"/>
              <w:ind w:firstLine="480" w:firstLineChars="200"/>
              <w:rPr>
                <w:rFonts w:hint="eastAsia" w:ascii="Times New Roman" w:hAnsi="Times New Roman" w:eastAsia="宋体" w:cs="Times New Roman"/>
                <w:color w:val="auto"/>
                <w:sz w:val="24"/>
                <w:szCs w:val="24"/>
                <w:shd w:val="clear" w:color="auto" w:fill="FFFFFF"/>
              </w:rPr>
            </w:pPr>
            <w:r>
              <w:rPr>
                <w:rFonts w:hint="eastAsia" w:ascii="Times New Roman" w:hAnsi="Times New Roman" w:eastAsia="宋体" w:cs="Times New Roman"/>
                <w:color w:val="auto"/>
                <w:sz w:val="24"/>
                <w:szCs w:val="24"/>
                <w:shd w:val="clear" w:color="auto" w:fill="FFFFFF"/>
              </w:rPr>
              <w:t>整体娱乐用水量共计</w:t>
            </w:r>
            <w:r>
              <w:rPr>
                <w:rFonts w:hint="eastAsia" w:cs="Times New Roman"/>
                <w:color w:val="auto"/>
                <w:sz w:val="24"/>
                <w:szCs w:val="24"/>
                <w:shd w:val="clear" w:color="auto" w:fill="FFFFFF"/>
                <w:lang w:val="en-US" w:eastAsia="zh-CN"/>
              </w:rPr>
              <w:t>244562.75</w:t>
            </w:r>
            <w:r>
              <w:rPr>
                <w:rFonts w:hint="eastAsia" w:ascii="Times New Roman" w:hAnsi="Times New Roman" w:eastAsia="宋体" w:cs="Times New Roman"/>
                <w:color w:val="auto"/>
                <w:sz w:val="24"/>
                <w:szCs w:val="24"/>
                <w:shd w:val="clear" w:color="auto" w:fill="FFFFFF"/>
              </w:rPr>
              <w:t>m</w:t>
            </w:r>
            <w:r>
              <w:rPr>
                <w:rFonts w:hint="eastAsia" w:ascii="Times New Roman" w:hAnsi="Times New Roman" w:eastAsia="宋体" w:cs="Times New Roman"/>
                <w:color w:val="auto"/>
                <w:sz w:val="24"/>
                <w:szCs w:val="24"/>
                <w:shd w:val="clear" w:color="auto" w:fill="FFFFFF"/>
                <w:vertAlign w:val="superscript"/>
              </w:rPr>
              <w:t>3</w:t>
            </w:r>
            <w:r>
              <w:rPr>
                <w:rFonts w:hint="eastAsia" w:ascii="Times New Roman" w:hAnsi="Times New Roman" w:eastAsia="宋体" w:cs="Times New Roman"/>
                <w:color w:val="auto"/>
                <w:sz w:val="24"/>
                <w:szCs w:val="24"/>
                <w:shd w:val="clear" w:color="auto" w:fill="FFFFFF"/>
              </w:rPr>
              <w:t>/a。</w:t>
            </w:r>
          </w:p>
          <w:p>
            <w:pPr>
              <w:spacing w:line="360" w:lineRule="auto"/>
              <w:ind w:firstLine="480" w:firstLineChars="200"/>
              <w:rPr>
                <w:rFonts w:hint="eastAsia" w:ascii="Times New Roman" w:hAnsi="Times New Roman" w:eastAsia="宋体" w:cs="Times New Roman"/>
                <w:color w:val="auto"/>
                <w:sz w:val="24"/>
                <w:szCs w:val="24"/>
                <w:shd w:val="clear" w:color="auto" w:fill="FFFFFF"/>
              </w:rPr>
            </w:pPr>
            <w:r>
              <w:rPr>
                <w:rFonts w:hint="eastAsia" w:cs="Times New Roman"/>
                <w:color w:val="auto"/>
                <w:sz w:val="24"/>
                <w:szCs w:val="24"/>
                <w:shd w:val="clear" w:color="auto" w:fill="FFFFFF"/>
                <w:lang w:val="en-US" w:eastAsia="zh-CN"/>
              </w:rPr>
              <w:t>⑤</w:t>
            </w:r>
            <w:r>
              <w:rPr>
                <w:rFonts w:hint="eastAsia" w:ascii="Times New Roman" w:hAnsi="Times New Roman" w:eastAsia="宋体" w:cs="Times New Roman"/>
                <w:color w:val="auto"/>
                <w:sz w:val="24"/>
                <w:szCs w:val="24"/>
                <w:shd w:val="clear" w:color="auto" w:fill="FFFFFF"/>
                <w:lang w:val="en-US" w:eastAsia="zh-CN"/>
              </w:rPr>
              <w:t>冷却塔补水</w:t>
            </w:r>
          </w:p>
          <w:p>
            <w:pPr>
              <w:spacing w:line="360" w:lineRule="auto"/>
              <w:ind w:firstLine="480" w:firstLineChars="200"/>
              <w:rPr>
                <w:rFonts w:hint="eastAsia" w:ascii="Times New Roman" w:hAnsi="Times New Roman" w:eastAsia="宋体" w:cs="Times New Roman"/>
                <w:color w:val="auto"/>
                <w:sz w:val="24"/>
                <w:szCs w:val="24"/>
                <w:shd w:val="clear" w:color="auto" w:fill="FFFFFF"/>
                <w:lang w:val="en-US" w:eastAsia="zh-CN"/>
              </w:rPr>
            </w:pPr>
            <w:r>
              <w:rPr>
                <w:rFonts w:hint="eastAsia" w:ascii="Times New Roman" w:hAnsi="Times New Roman" w:eastAsia="宋体" w:cs="Times New Roman"/>
                <w:color w:val="auto"/>
                <w:sz w:val="24"/>
                <w:szCs w:val="24"/>
                <w:shd w:val="clear" w:color="auto" w:fill="FFFFFF"/>
                <w:lang w:val="en-US" w:eastAsia="zh-CN"/>
              </w:rPr>
              <w:t>冷却塔</w:t>
            </w:r>
            <w:r>
              <w:rPr>
                <w:rFonts w:hint="eastAsia" w:cs="Times New Roman"/>
                <w:color w:val="auto"/>
                <w:sz w:val="24"/>
                <w:szCs w:val="24"/>
                <w:shd w:val="clear" w:color="auto" w:fill="FFFFFF"/>
                <w:lang w:val="en-US" w:eastAsia="zh-CN"/>
              </w:rPr>
              <w:t>总体</w:t>
            </w:r>
            <w:r>
              <w:rPr>
                <w:rFonts w:hint="eastAsia" w:ascii="Times New Roman" w:hAnsi="Times New Roman" w:eastAsia="宋体" w:cs="Times New Roman"/>
                <w:color w:val="auto"/>
                <w:sz w:val="24"/>
                <w:szCs w:val="24"/>
                <w:shd w:val="clear" w:color="auto" w:fill="FFFFFF"/>
                <w:lang w:val="en-US" w:eastAsia="zh-CN"/>
              </w:rPr>
              <w:t>运行能力为</w:t>
            </w:r>
            <w:r>
              <w:rPr>
                <w:rFonts w:hint="eastAsia" w:cs="Times New Roman"/>
                <w:color w:val="auto"/>
                <w:sz w:val="24"/>
                <w:szCs w:val="24"/>
                <w:shd w:val="clear" w:color="auto" w:fill="FFFFFF"/>
                <w:lang w:val="en-US" w:eastAsia="zh-CN"/>
              </w:rPr>
              <w:t>500</w:t>
            </w:r>
            <w:r>
              <w:rPr>
                <w:rFonts w:hint="eastAsia" w:ascii="Times New Roman" w:hAnsi="Times New Roman" w:eastAsia="宋体" w:cs="Times New Roman"/>
                <w:color w:val="auto"/>
                <w:sz w:val="24"/>
                <w:szCs w:val="24"/>
                <w:shd w:val="clear" w:color="auto" w:fill="FFFFFF"/>
                <w:lang w:val="en-US" w:eastAsia="zh-CN"/>
              </w:rPr>
              <w:t>0m</w:t>
            </w:r>
            <w:r>
              <w:rPr>
                <w:rFonts w:hint="eastAsia" w:ascii="Times New Roman" w:hAnsi="Times New Roman" w:eastAsia="宋体" w:cs="Times New Roman"/>
                <w:color w:val="auto"/>
                <w:sz w:val="24"/>
                <w:szCs w:val="24"/>
                <w:shd w:val="clear" w:color="auto" w:fill="FFFFFF"/>
                <w:vertAlign w:val="superscript"/>
                <w:lang w:val="en-US" w:eastAsia="zh-CN"/>
              </w:rPr>
              <w:t>3</w:t>
            </w:r>
            <w:r>
              <w:rPr>
                <w:rFonts w:hint="eastAsia" w:ascii="Times New Roman" w:hAnsi="Times New Roman" w:eastAsia="宋体" w:cs="Times New Roman"/>
                <w:color w:val="auto"/>
                <w:sz w:val="24"/>
                <w:szCs w:val="24"/>
                <w:shd w:val="clear" w:color="auto" w:fill="FFFFFF"/>
                <w:lang w:val="en-US" w:eastAsia="zh-CN"/>
              </w:rPr>
              <w:t>/h，每日运行12小时，每年运行120天（夏季运行，其它季节不运行），根据建设单位提供，循环水损失量为处理能力的</w:t>
            </w:r>
            <w:r>
              <w:rPr>
                <w:rFonts w:hint="eastAsia" w:cs="Times New Roman"/>
                <w:color w:val="auto"/>
                <w:sz w:val="24"/>
                <w:szCs w:val="24"/>
                <w:shd w:val="clear" w:color="auto" w:fill="FFFFFF"/>
                <w:lang w:val="en-US" w:eastAsia="zh-CN"/>
              </w:rPr>
              <w:t>0.75</w:t>
            </w:r>
            <w:r>
              <w:rPr>
                <w:rFonts w:hint="eastAsia" w:ascii="Times New Roman" w:hAnsi="Times New Roman" w:eastAsia="宋体" w:cs="Times New Roman"/>
                <w:color w:val="auto"/>
                <w:sz w:val="24"/>
                <w:szCs w:val="24"/>
                <w:shd w:val="clear" w:color="auto" w:fill="FFFFFF"/>
              </w:rPr>
              <w:t>%</w:t>
            </w:r>
            <w:r>
              <w:rPr>
                <w:rFonts w:hint="eastAsia" w:cs="Times New Roman"/>
                <w:color w:val="auto"/>
                <w:sz w:val="24"/>
                <w:szCs w:val="24"/>
                <w:shd w:val="clear" w:color="auto" w:fill="FFFFFF"/>
                <w:lang w:eastAsia="zh-CN"/>
              </w:rPr>
              <w:t>（</w:t>
            </w:r>
            <w:r>
              <w:rPr>
                <w:rFonts w:hint="eastAsia" w:cs="Times New Roman"/>
                <w:color w:val="auto"/>
                <w:sz w:val="24"/>
                <w:szCs w:val="24"/>
                <w:shd w:val="clear" w:color="auto" w:fill="FFFFFF"/>
                <w:lang w:val="en-US" w:eastAsia="zh-CN"/>
              </w:rPr>
              <w:t>其中：一半蒸发损失，一半外排），</w:t>
            </w:r>
            <w:r>
              <w:rPr>
                <w:rFonts w:hint="eastAsia" w:ascii="Times New Roman" w:hAnsi="Times New Roman" w:eastAsia="宋体" w:cs="Times New Roman"/>
                <w:color w:val="auto"/>
                <w:sz w:val="24"/>
                <w:szCs w:val="24"/>
                <w:shd w:val="clear" w:color="auto" w:fill="FFFFFF"/>
                <w:lang w:val="en-US" w:eastAsia="zh-CN"/>
              </w:rPr>
              <w:t>因此，补充新鲜水量为</w:t>
            </w:r>
            <w:r>
              <w:rPr>
                <w:rFonts w:hint="eastAsia" w:cs="Times New Roman"/>
                <w:color w:val="auto"/>
                <w:sz w:val="24"/>
                <w:szCs w:val="24"/>
                <w:shd w:val="clear" w:color="auto" w:fill="FFFFFF"/>
                <w:lang w:val="en-US" w:eastAsia="zh-CN"/>
              </w:rPr>
              <w:t>450</w:t>
            </w:r>
            <w:r>
              <w:rPr>
                <w:rFonts w:hint="eastAsia" w:ascii="Times New Roman" w:hAnsi="Times New Roman" w:eastAsia="宋体" w:cs="Times New Roman"/>
                <w:color w:val="auto"/>
                <w:sz w:val="24"/>
                <w:szCs w:val="24"/>
                <w:shd w:val="clear" w:color="auto" w:fill="FFFFFF"/>
                <w:lang w:val="en-US" w:eastAsia="zh-CN"/>
              </w:rPr>
              <w:t>m</w:t>
            </w:r>
            <w:r>
              <w:rPr>
                <w:rFonts w:hint="eastAsia" w:ascii="Times New Roman" w:hAnsi="Times New Roman" w:eastAsia="宋体" w:cs="Times New Roman"/>
                <w:color w:val="auto"/>
                <w:sz w:val="24"/>
                <w:szCs w:val="24"/>
                <w:shd w:val="clear" w:color="auto" w:fill="FFFFFF"/>
                <w:vertAlign w:val="superscript"/>
                <w:lang w:val="en-US" w:eastAsia="zh-CN"/>
              </w:rPr>
              <w:t>3</w:t>
            </w:r>
            <w:r>
              <w:rPr>
                <w:rFonts w:hint="eastAsia" w:ascii="Times New Roman" w:hAnsi="Times New Roman" w:eastAsia="宋体" w:cs="Times New Roman"/>
                <w:color w:val="auto"/>
                <w:sz w:val="24"/>
                <w:szCs w:val="24"/>
                <w:shd w:val="clear" w:color="auto" w:fill="FFFFFF"/>
                <w:lang w:val="en-US" w:eastAsia="zh-CN"/>
              </w:rPr>
              <w:t>/d（</w:t>
            </w:r>
            <w:r>
              <w:rPr>
                <w:rFonts w:hint="eastAsia" w:cs="Times New Roman"/>
                <w:color w:val="auto"/>
                <w:sz w:val="24"/>
                <w:szCs w:val="24"/>
                <w:shd w:val="clear" w:color="auto" w:fill="FFFFFF"/>
                <w:lang w:val="en-US" w:eastAsia="zh-CN"/>
              </w:rPr>
              <w:t>54000</w:t>
            </w:r>
            <w:r>
              <w:rPr>
                <w:rFonts w:hint="eastAsia" w:ascii="Times New Roman" w:hAnsi="Times New Roman" w:eastAsia="宋体" w:cs="Times New Roman"/>
                <w:color w:val="auto"/>
                <w:sz w:val="24"/>
                <w:szCs w:val="24"/>
                <w:shd w:val="clear" w:color="auto" w:fill="FFFFFF"/>
                <w:lang w:val="en-US" w:eastAsia="zh-CN"/>
              </w:rPr>
              <w:t>m</w:t>
            </w:r>
            <w:r>
              <w:rPr>
                <w:rFonts w:hint="eastAsia" w:ascii="Times New Roman" w:hAnsi="Times New Roman" w:eastAsia="宋体" w:cs="Times New Roman"/>
                <w:color w:val="auto"/>
                <w:sz w:val="24"/>
                <w:szCs w:val="24"/>
                <w:shd w:val="clear" w:color="auto" w:fill="FFFFFF"/>
                <w:vertAlign w:val="superscript"/>
                <w:lang w:val="en-US" w:eastAsia="zh-CN"/>
              </w:rPr>
              <w:t>3</w:t>
            </w:r>
            <w:r>
              <w:rPr>
                <w:rFonts w:hint="eastAsia" w:ascii="Times New Roman" w:hAnsi="Times New Roman" w:eastAsia="宋体" w:cs="Times New Roman"/>
                <w:color w:val="auto"/>
                <w:sz w:val="24"/>
                <w:szCs w:val="24"/>
                <w:shd w:val="clear" w:color="auto" w:fill="FFFFFF"/>
                <w:lang w:val="en-US" w:eastAsia="zh-CN"/>
              </w:rPr>
              <w:t>/a）。</w:t>
            </w:r>
          </w:p>
          <w:p>
            <w:pPr>
              <w:spacing w:line="360" w:lineRule="auto"/>
              <w:ind w:firstLine="480" w:firstLineChars="200"/>
              <w:rPr>
                <w:rFonts w:ascii="Times New Roman" w:hAnsi="Times New Roman" w:eastAsia="宋体" w:cs="Times New Roman"/>
                <w:color w:val="auto"/>
                <w:sz w:val="24"/>
                <w:szCs w:val="24"/>
                <w:shd w:val="clear" w:color="auto" w:fill="FFFFFF"/>
              </w:rPr>
            </w:pPr>
            <w:r>
              <w:rPr>
                <w:rFonts w:hint="eastAsia" w:ascii="Times New Roman" w:hAnsi="Times New Roman" w:eastAsia="宋体" w:cs="Times New Roman"/>
                <w:color w:val="auto"/>
                <w:sz w:val="24"/>
                <w:szCs w:val="24"/>
                <w:shd w:val="clear" w:color="auto" w:fill="FFFFFF"/>
                <w:lang w:val="en-US" w:eastAsia="zh-CN"/>
              </w:rPr>
              <w:t>⑥</w:t>
            </w:r>
            <w:r>
              <w:rPr>
                <w:rFonts w:hint="eastAsia" w:ascii="Times New Roman" w:hAnsi="Times New Roman" w:eastAsia="宋体" w:cs="Times New Roman"/>
                <w:color w:val="auto"/>
                <w:sz w:val="24"/>
                <w:szCs w:val="24"/>
                <w:shd w:val="clear" w:color="auto" w:fill="FFFFFF"/>
              </w:rPr>
              <w:t>绿化用水</w:t>
            </w:r>
          </w:p>
          <w:p>
            <w:pPr>
              <w:spacing w:line="360" w:lineRule="auto"/>
              <w:ind w:firstLine="480" w:firstLineChars="200"/>
              <w:rPr>
                <w:rFonts w:ascii="Times New Roman" w:hAnsi="Times New Roman" w:eastAsia="宋体" w:cs="Times New Roman"/>
                <w:color w:val="auto"/>
                <w:sz w:val="24"/>
                <w:szCs w:val="24"/>
                <w:shd w:val="clear" w:color="auto" w:fill="FFFFFF"/>
              </w:rPr>
            </w:pPr>
            <w:r>
              <w:rPr>
                <w:rFonts w:hint="eastAsia" w:ascii="Times New Roman" w:hAnsi="Times New Roman" w:eastAsia="宋体" w:cs="Times New Roman"/>
                <w:color w:val="auto"/>
                <w:sz w:val="24"/>
                <w:szCs w:val="24"/>
                <w:shd w:val="clear" w:color="auto" w:fill="FFFFFF"/>
              </w:rPr>
              <w:t>项目绿化总面积为</w:t>
            </w:r>
            <w:r>
              <w:rPr>
                <w:rFonts w:hint="eastAsia" w:ascii="Times New Roman" w:hAnsi="Times New Roman" w:eastAsia="宋体" w:cs="Times New Roman"/>
                <w:color w:val="auto"/>
                <w:sz w:val="24"/>
                <w:szCs w:val="24"/>
                <w:shd w:val="clear" w:color="auto" w:fill="FFFFFF"/>
                <w:lang w:val="en-US" w:eastAsia="zh-CN"/>
              </w:rPr>
              <w:t>309356.14</w:t>
            </w:r>
            <w:r>
              <w:rPr>
                <w:rFonts w:ascii="Times New Roman" w:hAnsi="Times New Roman" w:eastAsia="宋体" w:cs="Times New Roman"/>
                <w:color w:val="auto"/>
                <w:sz w:val="24"/>
                <w:szCs w:val="24"/>
                <w:shd w:val="clear" w:color="auto" w:fill="FFFFFF"/>
              </w:rPr>
              <w:t>m</w:t>
            </w:r>
            <w:r>
              <w:rPr>
                <w:rFonts w:ascii="Times New Roman" w:hAnsi="Times New Roman" w:eastAsia="宋体" w:cs="Times New Roman"/>
                <w:color w:val="auto"/>
                <w:sz w:val="24"/>
                <w:szCs w:val="24"/>
                <w:shd w:val="clear" w:color="auto" w:fill="FFFFFF"/>
                <w:vertAlign w:val="superscript"/>
              </w:rPr>
              <w:t>2</w:t>
            </w:r>
            <w:r>
              <w:rPr>
                <w:rFonts w:hint="eastAsia" w:ascii="Times New Roman" w:hAnsi="Times New Roman" w:eastAsia="宋体" w:cs="Times New Roman"/>
                <w:color w:val="auto"/>
                <w:sz w:val="24"/>
                <w:szCs w:val="24"/>
                <w:shd w:val="clear" w:color="auto" w:fill="FFFFFF"/>
              </w:rPr>
              <w:t>，</w:t>
            </w:r>
            <w:r>
              <w:rPr>
                <w:rFonts w:hint="eastAsia" w:ascii="Times New Roman" w:hAnsi="Times New Roman" w:eastAsia="宋体" w:cs="Times New Roman"/>
                <w:color w:val="auto"/>
                <w:sz w:val="24"/>
                <w:szCs w:val="24"/>
              </w:rPr>
              <w:t>根据</w:t>
            </w:r>
            <w:r>
              <w:rPr>
                <w:rFonts w:ascii="Times New Roman" w:hAnsi="Times New Roman" w:eastAsia="宋体" w:cs="Times New Roman"/>
                <w:color w:val="auto"/>
                <w:sz w:val="24"/>
                <w:szCs w:val="24"/>
              </w:rPr>
              <w:t>《陕西省行业用水定额（修订稿）》（DB 61/T 943-2020），</w:t>
            </w:r>
            <w:r>
              <w:rPr>
                <w:rFonts w:hint="eastAsia" w:ascii="Times New Roman" w:hAnsi="Times New Roman" w:eastAsia="宋体" w:cs="Times New Roman"/>
                <w:color w:val="auto"/>
                <w:sz w:val="24"/>
                <w:szCs w:val="24"/>
              </w:rPr>
              <w:t>绿化管理-公园绿地</w:t>
            </w:r>
            <w:r>
              <w:rPr>
                <w:rFonts w:ascii="Times New Roman" w:hAnsi="Times New Roman" w:eastAsia="宋体" w:cs="Times New Roman"/>
                <w:color w:val="auto"/>
                <w:sz w:val="24"/>
                <w:szCs w:val="24"/>
              </w:rPr>
              <w:t>用水定额按先进值2.0L/</w:t>
            </w:r>
            <w:r>
              <w:rPr>
                <w:rFonts w:hint="eastAsia"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2</w:t>
            </w:r>
            <w:r>
              <w:rPr>
                <w:rFonts w:ascii="Times New Roman" w:hAnsi="Times New Roman" w:eastAsia="宋体" w:cs="Times New Roman"/>
                <w:color w:val="auto"/>
                <w:sz w:val="24"/>
                <w:szCs w:val="24"/>
              </w:rPr>
              <w:t>·d计，</w:t>
            </w:r>
            <w:r>
              <w:rPr>
                <w:rFonts w:hint="eastAsia" w:ascii="Times New Roman" w:hAnsi="Times New Roman" w:eastAsia="宋体" w:cs="Times New Roman"/>
                <w:color w:val="auto"/>
                <w:sz w:val="24"/>
                <w:szCs w:val="24"/>
              </w:rPr>
              <w:t>考虑到冬季和雨季，年浇洒天数按</w:t>
            </w:r>
            <w:r>
              <w:rPr>
                <w:rFonts w:hint="eastAsia" w:ascii="Times New Roman" w:hAnsi="Times New Roman" w:eastAsia="宋体" w:cs="Times New Roman"/>
                <w:color w:val="auto"/>
                <w:sz w:val="24"/>
                <w:szCs w:val="24"/>
                <w:lang w:val="en-US" w:eastAsia="zh-CN"/>
              </w:rPr>
              <w:t>10</w:t>
            </w:r>
            <w:r>
              <w:rPr>
                <w:rFonts w:ascii="Times New Roman" w:hAnsi="Times New Roman" w:eastAsia="宋体" w:cs="Times New Roman"/>
                <w:color w:val="auto"/>
                <w:sz w:val="24"/>
                <w:szCs w:val="24"/>
              </w:rPr>
              <w:t>0天计算</w:t>
            </w:r>
            <w:r>
              <w:rPr>
                <w:rFonts w:hint="eastAsia" w:ascii="Times New Roman" w:hAnsi="Times New Roman" w:eastAsia="宋体" w:cs="Times New Roman"/>
                <w:color w:val="auto"/>
                <w:sz w:val="24"/>
                <w:szCs w:val="24"/>
              </w:rPr>
              <w:t>，绿化</w:t>
            </w:r>
            <w:r>
              <w:rPr>
                <w:rFonts w:ascii="Times New Roman" w:hAnsi="Times New Roman" w:eastAsia="宋体" w:cs="Times New Roman"/>
                <w:color w:val="auto"/>
                <w:sz w:val="24"/>
                <w:szCs w:val="24"/>
              </w:rPr>
              <w:t>用水量为</w:t>
            </w:r>
            <w:r>
              <w:rPr>
                <w:rFonts w:hint="eastAsia" w:ascii="Times New Roman" w:hAnsi="Times New Roman" w:eastAsia="宋体" w:cs="Times New Roman"/>
                <w:color w:val="auto"/>
                <w:sz w:val="24"/>
                <w:szCs w:val="24"/>
                <w:lang w:val="en-US" w:eastAsia="zh-CN"/>
              </w:rPr>
              <w:t>618.7</w:t>
            </w:r>
            <w:r>
              <w:rPr>
                <w:rFonts w:ascii="Times New Roman" w:hAnsi="Times New Roman" w:eastAsia="宋体" w:cs="Times New Roman"/>
                <w:color w:val="auto"/>
                <w:sz w:val="24"/>
                <w:szCs w:val="24"/>
                <w:shd w:val="clear" w:color="auto" w:fill="FFFFFF"/>
              </w:rPr>
              <w:t>m</w:t>
            </w:r>
            <w:r>
              <w:rPr>
                <w:rFonts w:ascii="Times New Roman" w:hAnsi="Times New Roman" w:eastAsia="宋体" w:cs="Times New Roman"/>
                <w:color w:val="auto"/>
                <w:sz w:val="24"/>
                <w:szCs w:val="24"/>
                <w:shd w:val="clear" w:color="auto" w:fill="FFFFFF"/>
                <w:vertAlign w:val="superscript"/>
              </w:rPr>
              <w:t>3</w:t>
            </w:r>
            <w:r>
              <w:rPr>
                <w:rFonts w:ascii="Times New Roman" w:hAnsi="Times New Roman" w:eastAsia="宋体" w:cs="Times New Roman"/>
                <w:color w:val="auto"/>
                <w:sz w:val="24"/>
                <w:szCs w:val="24"/>
                <w:shd w:val="clear" w:color="auto" w:fill="FFFFFF"/>
              </w:rPr>
              <w:t>/d</w:t>
            </w:r>
            <w:r>
              <w:rPr>
                <w:rFonts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618700</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/a</w:t>
            </w:r>
            <w:r>
              <w:rPr>
                <w:rFonts w:ascii="Times New Roman" w:hAnsi="Times New Roman" w:eastAsia="宋体" w:cs="Times New Roman"/>
                <w:color w:val="auto"/>
                <w:sz w:val="24"/>
                <w:szCs w:val="24"/>
                <w:shd w:val="clear" w:color="auto" w:fill="FFFFFF"/>
              </w:rPr>
              <w:t>）</w:t>
            </w:r>
            <w:r>
              <w:rPr>
                <w:rFonts w:hint="eastAsia" w:ascii="Times New Roman" w:hAnsi="Times New Roman" w:eastAsia="宋体" w:cs="Times New Roman"/>
                <w:color w:val="auto"/>
                <w:sz w:val="24"/>
                <w:szCs w:val="24"/>
                <w:shd w:val="clear" w:color="auto" w:fill="FFFFFF"/>
              </w:rPr>
              <w:t>。</w:t>
            </w:r>
          </w:p>
          <w:p>
            <w:pPr>
              <w:spacing w:line="360" w:lineRule="auto"/>
              <w:ind w:firstLine="480" w:firstLineChars="200"/>
              <w:rPr>
                <w:rFonts w:ascii="Times New Roman" w:hAnsi="Times New Roman" w:eastAsia="宋体" w:cs="Times New Roman"/>
                <w:color w:val="auto"/>
                <w:sz w:val="24"/>
                <w:szCs w:val="24"/>
                <w:shd w:val="clear" w:color="auto" w:fill="FFFFFF"/>
              </w:rPr>
            </w:pPr>
            <w:r>
              <w:rPr>
                <w:rFonts w:hint="eastAsia" w:ascii="Times New Roman" w:hAnsi="Times New Roman" w:eastAsia="宋体" w:cs="Times New Roman"/>
                <w:color w:val="auto"/>
                <w:sz w:val="24"/>
                <w:szCs w:val="24"/>
                <w:shd w:val="clear" w:color="auto" w:fill="FFFFFF"/>
                <w:lang w:val="en-US" w:eastAsia="zh-CN"/>
              </w:rPr>
              <w:t>⑦</w:t>
            </w:r>
            <w:r>
              <w:rPr>
                <w:rFonts w:hint="eastAsia" w:ascii="Times New Roman" w:hAnsi="Times New Roman" w:eastAsia="宋体" w:cs="Times New Roman"/>
                <w:color w:val="auto"/>
                <w:sz w:val="24"/>
                <w:szCs w:val="24"/>
                <w:shd w:val="clear" w:color="auto" w:fill="FFFFFF"/>
              </w:rPr>
              <w:t>道路、广场洒水</w:t>
            </w:r>
          </w:p>
          <w:p>
            <w:pPr>
              <w:spacing w:line="360" w:lineRule="auto"/>
              <w:ind w:firstLine="480" w:firstLineChars="200"/>
              <w:rPr>
                <w:rFonts w:ascii="Times New Roman" w:hAnsi="Times New Roman" w:eastAsia="宋体" w:cs="Times New Roman"/>
                <w:color w:val="auto"/>
                <w:sz w:val="24"/>
                <w:szCs w:val="24"/>
                <w:shd w:val="clear" w:color="auto" w:fill="FFFFFF"/>
              </w:rPr>
            </w:pPr>
            <w:r>
              <w:rPr>
                <w:rFonts w:hint="eastAsia" w:ascii="Times New Roman" w:hAnsi="Times New Roman" w:eastAsia="宋体" w:cs="Times New Roman"/>
                <w:color w:val="auto"/>
                <w:sz w:val="24"/>
                <w:szCs w:val="24"/>
                <w:shd w:val="clear" w:color="auto" w:fill="FFFFFF"/>
              </w:rPr>
              <w:t>项目道路总面积为</w:t>
            </w:r>
            <w:r>
              <w:rPr>
                <w:rFonts w:hint="eastAsia" w:ascii="Times New Roman" w:hAnsi="Times New Roman" w:eastAsia="宋体" w:cs="Times New Roman"/>
                <w:color w:val="auto"/>
                <w:sz w:val="24"/>
                <w:szCs w:val="24"/>
                <w:shd w:val="clear" w:color="auto" w:fill="FFFFFF"/>
                <w:lang w:val="en-US" w:eastAsia="zh-CN"/>
              </w:rPr>
              <w:t>10.2万</w:t>
            </w:r>
            <w:r>
              <w:rPr>
                <w:rFonts w:ascii="Times New Roman" w:hAnsi="Times New Roman" w:eastAsia="宋体" w:cs="Times New Roman"/>
                <w:color w:val="auto"/>
                <w:sz w:val="24"/>
                <w:szCs w:val="24"/>
                <w:shd w:val="clear" w:color="auto" w:fill="FFFFFF"/>
              </w:rPr>
              <w:t>m</w:t>
            </w:r>
            <w:r>
              <w:rPr>
                <w:rFonts w:ascii="Times New Roman" w:hAnsi="Times New Roman" w:eastAsia="宋体" w:cs="Times New Roman"/>
                <w:color w:val="auto"/>
                <w:sz w:val="24"/>
                <w:szCs w:val="24"/>
                <w:shd w:val="clear" w:color="auto" w:fill="FFFFFF"/>
                <w:vertAlign w:val="superscript"/>
              </w:rPr>
              <w:t>2</w:t>
            </w:r>
            <w:r>
              <w:rPr>
                <w:rFonts w:hint="eastAsia" w:ascii="Times New Roman" w:hAnsi="Times New Roman" w:eastAsia="宋体" w:cs="Times New Roman"/>
                <w:color w:val="auto"/>
                <w:sz w:val="24"/>
                <w:szCs w:val="24"/>
                <w:shd w:val="clear" w:color="auto" w:fill="FFFFFF"/>
              </w:rPr>
              <w:t>，广场总面积为</w:t>
            </w:r>
            <w:r>
              <w:rPr>
                <w:rFonts w:hint="eastAsia" w:ascii="Times New Roman" w:hAnsi="Times New Roman" w:eastAsia="宋体" w:cs="Times New Roman"/>
                <w:color w:val="auto"/>
                <w:sz w:val="24"/>
                <w:szCs w:val="24"/>
                <w:shd w:val="clear" w:color="auto" w:fill="FFFFFF"/>
                <w:lang w:val="en-US" w:eastAsia="zh-CN"/>
              </w:rPr>
              <w:t>7.1万</w:t>
            </w:r>
            <w:r>
              <w:rPr>
                <w:rFonts w:ascii="Times New Roman" w:hAnsi="Times New Roman" w:eastAsia="宋体" w:cs="Times New Roman"/>
                <w:color w:val="auto"/>
                <w:sz w:val="24"/>
                <w:szCs w:val="24"/>
                <w:shd w:val="clear" w:color="auto" w:fill="FFFFFF"/>
              </w:rPr>
              <w:t>m</w:t>
            </w:r>
            <w:r>
              <w:rPr>
                <w:rFonts w:ascii="Times New Roman" w:hAnsi="Times New Roman" w:eastAsia="宋体" w:cs="Times New Roman"/>
                <w:color w:val="auto"/>
                <w:sz w:val="24"/>
                <w:szCs w:val="24"/>
                <w:shd w:val="clear" w:color="auto" w:fill="FFFFFF"/>
                <w:vertAlign w:val="superscript"/>
              </w:rPr>
              <w:t>2</w:t>
            </w:r>
            <w:r>
              <w:rPr>
                <w:rFonts w:hint="eastAsia" w:ascii="Times New Roman" w:hAnsi="Times New Roman" w:eastAsia="宋体" w:cs="Times New Roman"/>
                <w:color w:val="auto"/>
                <w:sz w:val="24"/>
                <w:szCs w:val="24"/>
                <w:shd w:val="clear" w:color="auto" w:fill="FFFFFF"/>
              </w:rPr>
              <w:t>，</w:t>
            </w:r>
            <w:r>
              <w:rPr>
                <w:rFonts w:hint="eastAsia" w:ascii="Times New Roman" w:hAnsi="Times New Roman" w:eastAsia="宋体" w:cs="Times New Roman"/>
                <w:color w:val="auto"/>
                <w:sz w:val="24"/>
                <w:szCs w:val="24"/>
              </w:rPr>
              <w:t>根据</w:t>
            </w:r>
            <w:r>
              <w:rPr>
                <w:rFonts w:ascii="Times New Roman" w:hAnsi="Times New Roman" w:eastAsia="宋体" w:cs="Times New Roman"/>
                <w:color w:val="auto"/>
                <w:sz w:val="24"/>
                <w:szCs w:val="24"/>
              </w:rPr>
              <w:t>《陕西省行业用水定额（修订稿）》（DB 61/T 943-2020），</w:t>
            </w:r>
            <w:r>
              <w:rPr>
                <w:rFonts w:hint="eastAsia" w:ascii="Times New Roman" w:hAnsi="Times New Roman" w:eastAsia="宋体" w:cs="Times New Roman"/>
                <w:color w:val="auto"/>
                <w:sz w:val="24"/>
                <w:szCs w:val="24"/>
              </w:rPr>
              <w:t>环境卫生管理-道路浇洒</w:t>
            </w:r>
            <w:r>
              <w:rPr>
                <w:rFonts w:ascii="Times New Roman" w:hAnsi="Times New Roman" w:eastAsia="宋体" w:cs="Times New Roman"/>
                <w:color w:val="auto"/>
                <w:sz w:val="24"/>
                <w:szCs w:val="24"/>
              </w:rPr>
              <w:t>定额按先进值2.0L/</w:t>
            </w:r>
            <w:r>
              <w:rPr>
                <w:rFonts w:hint="eastAsia"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2</w:t>
            </w:r>
            <w:r>
              <w:rPr>
                <w:rFonts w:ascii="Times New Roman" w:hAnsi="Times New Roman" w:eastAsia="宋体" w:cs="Times New Roman"/>
                <w:color w:val="auto"/>
                <w:sz w:val="24"/>
                <w:szCs w:val="24"/>
              </w:rPr>
              <w:t>·d计，</w:t>
            </w:r>
            <w:r>
              <w:rPr>
                <w:rFonts w:hint="eastAsia" w:ascii="Times New Roman" w:hAnsi="Times New Roman" w:eastAsia="宋体" w:cs="Times New Roman"/>
                <w:color w:val="auto"/>
                <w:sz w:val="24"/>
                <w:szCs w:val="24"/>
              </w:rPr>
              <w:t>考虑到冬季和雨季，年浇洒天数按</w:t>
            </w:r>
            <w:r>
              <w:rPr>
                <w:rFonts w:ascii="Times New Roman" w:hAnsi="Times New Roman" w:eastAsia="宋体" w:cs="Times New Roman"/>
                <w:color w:val="auto"/>
                <w:sz w:val="24"/>
                <w:szCs w:val="24"/>
              </w:rPr>
              <w:t>100天计算</w:t>
            </w:r>
            <w:r>
              <w:rPr>
                <w:rFonts w:hint="eastAsia" w:ascii="Times New Roman" w:hAnsi="Times New Roman" w:eastAsia="宋体" w:cs="Times New Roman"/>
                <w:color w:val="auto"/>
                <w:sz w:val="24"/>
                <w:szCs w:val="24"/>
              </w:rPr>
              <w:t>，道路洒</w:t>
            </w:r>
            <w:r>
              <w:rPr>
                <w:rFonts w:ascii="Times New Roman" w:hAnsi="Times New Roman" w:eastAsia="宋体" w:cs="Times New Roman"/>
                <w:color w:val="auto"/>
                <w:sz w:val="24"/>
                <w:szCs w:val="24"/>
              </w:rPr>
              <w:t>水量为</w:t>
            </w:r>
            <w:r>
              <w:rPr>
                <w:rFonts w:hint="eastAsia" w:ascii="Times New Roman" w:hAnsi="Times New Roman" w:eastAsia="宋体" w:cs="Times New Roman"/>
                <w:color w:val="auto"/>
                <w:sz w:val="24"/>
                <w:szCs w:val="24"/>
                <w:lang w:val="en-US" w:eastAsia="zh-CN"/>
              </w:rPr>
              <w:t>204</w:t>
            </w:r>
            <w:r>
              <w:rPr>
                <w:rFonts w:ascii="Times New Roman" w:hAnsi="Times New Roman" w:eastAsia="宋体" w:cs="Times New Roman"/>
                <w:color w:val="auto"/>
                <w:sz w:val="24"/>
                <w:szCs w:val="24"/>
                <w:shd w:val="clear" w:color="auto" w:fill="FFFFFF"/>
              </w:rPr>
              <w:t>m</w:t>
            </w:r>
            <w:r>
              <w:rPr>
                <w:rFonts w:ascii="Times New Roman" w:hAnsi="Times New Roman" w:eastAsia="宋体" w:cs="Times New Roman"/>
                <w:color w:val="auto"/>
                <w:sz w:val="24"/>
                <w:szCs w:val="24"/>
                <w:shd w:val="clear" w:color="auto" w:fill="FFFFFF"/>
                <w:vertAlign w:val="superscript"/>
              </w:rPr>
              <w:t>3</w:t>
            </w:r>
            <w:r>
              <w:rPr>
                <w:rFonts w:ascii="Times New Roman" w:hAnsi="Times New Roman" w:eastAsia="宋体" w:cs="Times New Roman"/>
                <w:color w:val="auto"/>
                <w:sz w:val="24"/>
                <w:szCs w:val="24"/>
                <w:shd w:val="clear" w:color="auto" w:fill="FFFFFF"/>
              </w:rPr>
              <w:t>/d</w:t>
            </w:r>
            <w:r>
              <w:rPr>
                <w:rFonts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20400</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/a</w:t>
            </w:r>
            <w:r>
              <w:rPr>
                <w:rFonts w:ascii="Times New Roman" w:hAnsi="Times New Roman" w:eastAsia="宋体" w:cs="Times New Roman"/>
                <w:color w:val="auto"/>
                <w:sz w:val="24"/>
                <w:szCs w:val="24"/>
                <w:shd w:val="clear" w:color="auto" w:fill="FFFFFF"/>
              </w:rPr>
              <w:t>）</w:t>
            </w:r>
            <w:r>
              <w:rPr>
                <w:rFonts w:hint="eastAsia" w:ascii="Times New Roman" w:hAnsi="Times New Roman" w:eastAsia="宋体" w:cs="Times New Roman"/>
                <w:color w:val="auto"/>
                <w:sz w:val="24"/>
                <w:szCs w:val="24"/>
                <w:shd w:val="clear" w:color="auto" w:fill="FFFFFF"/>
              </w:rPr>
              <w:t>；</w:t>
            </w:r>
            <w:r>
              <w:rPr>
                <w:rFonts w:hint="eastAsia" w:ascii="Times New Roman" w:hAnsi="Times New Roman" w:eastAsia="宋体" w:cs="Times New Roman"/>
                <w:color w:val="auto"/>
                <w:sz w:val="24"/>
                <w:szCs w:val="24"/>
              </w:rPr>
              <w:t>绿化管理-广场用地</w:t>
            </w:r>
            <w:r>
              <w:rPr>
                <w:rFonts w:ascii="Times New Roman" w:hAnsi="Times New Roman" w:eastAsia="宋体" w:cs="Times New Roman"/>
                <w:color w:val="auto"/>
                <w:sz w:val="24"/>
                <w:szCs w:val="24"/>
              </w:rPr>
              <w:t>定额按先进值1.2L/</w:t>
            </w:r>
            <w:r>
              <w:rPr>
                <w:rFonts w:hint="eastAsia"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2</w:t>
            </w:r>
            <w:r>
              <w:rPr>
                <w:rFonts w:ascii="Times New Roman" w:hAnsi="Times New Roman" w:eastAsia="宋体" w:cs="Times New Roman"/>
                <w:color w:val="auto"/>
                <w:sz w:val="24"/>
                <w:szCs w:val="24"/>
              </w:rPr>
              <w:t>·d计，</w:t>
            </w:r>
            <w:r>
              <w:rPr>
                <w:rFonts w:hint="eastAsia" w:ascii="Times New Roman" w:hAnsi="Times New Roman" w:eastAsia="宋体" w:cs="Times New Roman"/>
                <w:color w:val="auto"/>
                <w:sz w:val="24"/>
                <w:szCs w:val="24"/>
              </w:rPr>
              <w:t>考虑到冬季和雨季，年浇洒天数按</w:t>
            </w:r>
            <w:r>
              <w:rPr>
                <w:rFonts w:ascii="Times New Roman" w:hAnsi="Times New Roman" w:eastAsia="宋体" w:cs="Times New Roman"/>
                <w:color w:val="auto"/>
                <w:sz w:val="24"/>
                <w:szCs w:val="24"/>
              </w:rPr>
              <w:t>100天计算</w:t>
            </w:r>
            <w:r>
              <w:rPr>
                <w:rFonts w:hint="eastAsia" w:ascii="Times New Roman" w:hAnsi="Times New Roman" w:eastAsia="宋体" w:cs="Times New Roman"/>
                <w:color w:val="auto"/>
                <w:sz w:val="24"/>
                <w:szCs w:val="24"/>
              </w:rPr>
              <w:t>，广场洒</w:t>
            </w:r>
            <w:r>
              <w:rPr>
                <w:rFonts w:ascii="Times New Roman" w:hAnsi="Times New Roman" w:eastAsia="宋体" w:cs="Times New Roman"/>
                <w:color w:val="auto"/>
                <w:sz w:val="24"/>
                <w:szCs w:val="24"/>
              </w:rPr>
              <w:t>水量为</w:t>
            </w:r>
            <w:r>
              <w:rPr>
                <w:rFonts w:hint="eastAsia" w:ascii="Times New Roman" w:hAnsi="Times New Roman" w:eastAsia="宋体" w:cs="Times New Roman"/>
                <w:color w:val="auto"/>
                <w:sz w:val="24"/>
                <w:szCs w:val="24"/>
                <w:lang w:val="en-US" w:eastAsia="zh-CN"/>
              </w:rPr>
              <w:t>85.2</w:t>
            </w:r>
            <w:r>
              <w:rPr>
                <w:rFonts w:ascii="Times New Roman" w:hAnsi="Times New Roman" w:eastAsia="宋体" w:cs="Times New Roman"/>
                <w:color w:val="auto"/>
                <w:sz w:val="24"/>
                <w:szCs w:val="24"/>
                <w:shd w:val="clear" w:color="auto" w:fill="FFFFFF"/>
              </w:rPr>
              <w:t>m</w:t>
            </w:r>
            <w:r>
              <w:rPr>
                <w:rFonts w:ascii="Times New Roman" w:hAnsi="Times New Roman" w:eastAsia="宋体" w:cs="Times New Roman"/>
                <w:color w:val="auto"/>
                <w:sz w:val="24"/>
                <w:szCs w:val="24"/>
                <w:shd w:val="clear" w:color="auto" w:fill="FFFFFF"/>
                <w:vertAlign w:val="superscript"/>
              </w:rPr>
              <w:t>3</w:t>
            </w:r>
            <w:r>
              <w:rPr>
                <w:rFonts w:ascii="Times New Roman" w:hAnsi="Times New Roman" w:eastAsia="宋体" w:cs="Times New Roman"/>
                <w:color w:val="auto"/>
                <w:sz w:val="24"/>
                <w:szCs w:val="24"/>
                <w:shd w:val="clear" w:color="auto" w:fill="FFFFFF"/>
              </w:rPr>
              <w:t>/d</w:t>
            </w:r>
            <w:r>
              <w:rPr>
                <w:rFonts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8520</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/a</w:t>
            </w:r>
            <w:r>
              <w:rPr>
                <w:rFonts w:ascii="Times New Roman" w:hAnsi="Times New Roman" w:eastAsia="宋体" w:cs="Times New Roman"/>
                <w:color w:val="auto"/>
                <w:sz w:val="24"/>
                <w:szCs w:val="24"/>
                <w:shd w:val="clear" w:color="auto" w:fill="FFFFFF"/>
              </w:rPr>
              <w:t>）</w:t>
            </w:r>
            <w:r>
              <w:rPr>
                <w:rFonts w:hint="eastAsia" w:ascii="Times New Roman" w:hAnsi="Times New Roman" w:eastAsia="宋体" w:cs="Times New Roman"/>
                <w:color w:val="auto"/>
                <w:sz w:val="24"/>
                <w:szCs w:val="24"/>
                <w:shd w:val="clear" w:color="auto" w:fill="FFFFFF"/>
                <w:lang w:eastAsia="zh-CN"/>
              </w:rPr>
              <w:t>。</w:t>
            </w:r>
          </w:p>
          <w:p>
            <w:pPr>
              <w:spacing w:line="360" w:lineRule="auto"/>
              <w:ind w:firstLine="480" w:firstLineChars="200"/>
              <w:rPr>
                <w:rFonts w:hint="eastAsia" w:ascii="Times New Roman" w:hAnsi="Times New Roman" w:eastAsia="宋体" w:cs="Times New Roman"/>
                <w:color w:val="auto"/>
                <w:sz w:val="24"/>
                <w:szCs w:val="24"/>
                <w:shd w:val="clear" w:color="auto" w:fill="FFFFFF"/>
              </w:rPr>
            </w:pPr>
            <w:r>
              <w:rPr>
                <w:rFonts w:hint="eastAsia" w:ascii="Times New Roman" w:hAnsi="Times New Roman" w:eastAsia="宋体" w:cs="Times New Roman"/>
                <w:color w:val="auto"/>
                <w:sz w:val="24"/>
                <w:szCs w:val="24"/>
                <w:shd w:val="clear" w:color="auto" w:fill="FFFFFF"/>
              </w:rPr>
              <w:t>（2）排水</w:t>
            </w:r>
          </w:p>
          <w:p>
            <w:pPr>
              <w:spacing w:line="360" w:lineRule="auto"/>
              <w:ind w:firstLine="480" w:firstLineChars="200"/>
              <w:rPr>
                <w:rFonts w:hint="eastAsia" w:ascii="Times New Roman" w:hAnsi="Times New Roman" w:eastAsia="宋体" w:cs="Times New Roman"/>
                <w:color w:val="auto"/>
                <w:sz w:val="24"/>
                <w:szCs w:val="24"/>
                <w:shd w:val="clear" w:color="auto" w:fill="FFFFFF"/>
              </w:rPr>
            </w:pPr>
            <w:r>
              <w:rPr>
                <w:rFonts w:hint="eastAsia" w:ascii="Times New Roman" w:hAnsi="Times New Roman" w:eastAsia="宋体" w:cs="Times New Roman"/>
                <w:color w:val="auto"/>
                <w:sz w:val="24"/>
                <w:szCs w:val="24"/>
                <w:shd w:val="clear" w:color="auto" w:fill="FFFFFF"/>
              </w:rPr>
              <w:t>项目园区实行雨污分流。</w:t>
            </w:r>
          </w:p>
          <w:p>
            <w:pPr>
              <w:spacing w:line="360" w:lineRule="auto"/>
              <w:ind w:firstLine="480" w:firstLineChars="200"/>
              <w:rPr>
                <w:rFonts w:hint="eastAsia" w:ascii="Times New Roman" w:hAnsi="Times New Roman" w:eastAsia="宋体" w:cs="Times New Roman"/>
                <w:color w:val="auto"/>
                <w:sz w:val="24"/>
                <w:szCs w:val="24"/>
                <w:shd w:val="clear" w:color="auto" w:fill="FFFFFF"/>
                <w:lang w:val="en-US" w:eastAsia="zh-CN"/>
              </w:rPr>
            </w:pPr>
            <w:r>
              <w:rPr>
                <w:rFonts w:hint="eastAsia" w:ascii="Times New Roman" w:hAnsi="Times New Roman" w:eastAsia="宋体" w:cs="Times New Roman"/>
                <w:color w:val="auto"/>
                <w:sz w:val="24"/>
                <w:szCs w:val="24"/>
                <w:shd w:val="clear" w:color="auto" w:fill="FFFFFF"/>
                <w:lang w:val="en-US" w:eastAsia="zh-CN"/>
              </w:rPr>
              <w:t>A雨水</w:t>
            </w:r>
          </w:p>
          <w:p>
            <w:pPr>
              <w:spacing w:line="360" w:lineRule="auto"/>
              <w:ind w:firstLine="480" w:firstLineChars="200"/>
              <w:rPr>
                <w:rFonts w:ascii="Times New Roman" w:hAnsi="Times New Roman" w:eastAsia="宋体" w:cs="Times New Roman"/>
                <w:color w:val="auto"/>
                <w:sz w:val="24"/>
                <w:szCs w:val="24"/>
                <w:shd w:val="clear" w:color="auto" w:fill="FFFFFF"/>
              </w:rPr>
            </w:pPr>
            <w:r>
              <w:rPr>
                <w:rFonts w:ascii="Times New Roman" w:hAnsi="Times New Roman" w:eastAsia="宋体" w:cs="Times New Roman"/>
                <w:color w:val="auto"/>
                <w:sz w:val="24"/>
                <w:szCs w:val="24"/>
                <w:shd w:val="clear" w:color="auto" w:fill="FFFFFF"/>
              </w:rPr>
              <w:t>项目园区共有</w:t>
            </w:r>
            <w:r>
              <w:rPr>
                <w:rFonts w:hint="eastAsia" w:ascii="Times New Roman" w:hAnsi="Times New Roman" w:eastAsia="宋体" w:cs="Times New Roman"/>
                <w:color w:val="auto"/>
                <w:sz w:val="24"/>
                <w:szCs w:val="24"/>
                <w:shd w:val="clear" w:color="auto" w:fill="FFFFFF"/>
                <w:lang w:val="en-US" w:eastAsia="zh-CN"/>
              </w:rPr>
              <w:t>9</w:t>
            </w:r>
            <w:r>
              <w:rPr>
                <w:rFonts w:ascii="Times New Roman" w:hAnsi="Times New Roman" w:eastAsia="宋体" w:cs="Times New Roman"/>
                <w:color w:val="auto"/>
                <w:sz w:val="24"/>
                <w:szCs w:val="24"/>
                <w:shd w:val="clear" w:color="auto" w:fill="FFFFFF"/>
              </w:rPr>
              <w:t>个雨水排口，</w:t>
            </w:r>
            <w:r>
              <w:rPr>
                <w:rFonts w:hint="eastAsia" w:ascii="Times New Roman" w:hAnsi="Times New Roman" w:eastAsia="宋体" w:cs="Times New Roman"/>
                <w:color w:val="auto"/>
                <w:sz w:val="24"/>
                <w:szCs w:val="24"/>
                <w:shd w:val="clear" w:color="auto" w:fill="FFFFFF"/>
              </w:rPr>
              <w:t>其中</w:t>
            </w:r>
            <w:r>
              <w:rPr>
                <w:rFonts w:hint="eastAsia" w:ascii="Times New Roman" w:hAnsi="Times New Roman" w:eastAsia="宋体" w:cs="Times New Roman"/>
                <w:color w:val="auto"/>
                <w:sz w:val="24"/>
                <w:szCs w:val="24"/>
                <w:shd w:val="clear" w:color="auto" w:fill="FFFFFF"/>
                <w:lang w:val="en-US" w:eastAsia="zh-CN"/>
              </w:rPr>
              <w:t>规划望夷路</w:t>
            </w:r>
            <w:r>
              <w:rPr>
                <w:rFonts w:hint="eastAsia" w:ascii="Times New Roman" w:hAnsi="Times New Roman" w:eastAsia="宋体" w:cs="Times New Roman"/>
                <w:color w:val="auto"/>
                <w:sz w:val="24"/>
                <w:szCs w:val="24"/>
                <w:shd w:val="clear" w:color="auto" w:fill="FFFFFF"/>
              </w:rPr>
              <w:t>（项目北侧）</w:t>
            </w:r>
            <w:r>
              <w:rPr>
                <w:rFonts w:hint="eastAsia" w:ascii="Times New Roman" w:hAnsi="Times New Roman" w:eastAsia="宋体" w:cs="Times New Roman"/>
                <w:color w:val="auto"/>
                <w:sz w:val="24"/>
                <w:szCs w:val="24"/>
                <w:shd w:val="clear" w:color="auto" w:fill="FFFFFF"/>
                <w:lang w:val="en-US" w:eastAsia="zh-CN"/>
              </w:rPr>
              <w:t>3</w:t>
            </w:r>
            <w:r>
              <w:rPr>
                <w:rFonts w:hint="eastAsia" w:ascii="Times New Roman" w:hAnsi="Times New Roman" w:eastAsia="宋体" w:cs="Times New Roman"/>
                <w:color w:val="auto"/>
                <w:sz w:val="24"/>
                <w:szCs w:val="24"/>
                <w:shd w:val="clear" w:color="auto" w:fill="FFFFFF"/>
              </w:rPr>
              <w:t>个</w:t>
            </w:r>
            <w:r>
              <w:rPr>
                <w:rFonts w:ascii="Times New Roman" w:hAnsi="Times New Roman" w:eastAsia="宋体" w:cs="Times New Roman"/>
                <w:color w:val="auto"/>
                <w:sz w:val="24"/>
                <w:szCs w:val="24"/>
                <w:shd w:val="clear" w:color="auto" w:fill="FFFFFF"/>
              </w:rPr>
              <w:t>，</w:t>
            </w:r>
            <w:r>
              <w:rPr>
                <w:rFonts w:hint="eastAsia" w:ascii="Times New Roman" w:hAnsi="Times New Roman" w:eastAsia="宋体" w:cs="Times New Roman"/>
                <w:color w:val="auto"/>
                <w:sz w:val="24"/>
                <w:szCs w:val="24"/>
                <w:shd w:val="clear" w:color="auto" w:fill="FFFFFF"/>
                <w:lang w:val="en-US" w:eastAsia="zh-CN"/>
              </w:rPr>
              <w:t>汉风路</w:t>
            </w:r>
            <w:r>
              <w:rPr>
                <w:rFonts w:hint="eastAsia" w:ascii="Times New Roman" w:hAnsi="Times New Roman" w:eastAsia="宋体" w:cs="Times New Roman"/>
                <w:color w:val="auto"/>
                <w:sz w:val="24"/>
                <w:szCs w:val="24"/>
                <w:shd w:val="clear" w:color="auto" w:fill="FFFFFF"/>
              </w:rPr>
              <w:t>（项目东侧）</w:t>
            </w:r>
            <w:r>
              <w:rPr>
                <w:rFonts w:hint="eastAsia" w:ascii="Times New Roman" w:hAnsi="Times New Roman" w:eastAsia="宋体" w:cs="Times New Roman"/>
                <w:color w:val="auto"/>
                <w:sz w:val="24"/>
                <w:szCs w:val="24"/>
                <w:shd w:val="clear" w:color="auto" w:fill="FFFFFF"/>
                <w:lang w:val="en-US" w:eastAsia="zh-CN"/>
              </w:rPr>
              <w:t>2</w:t>
            </w:r>
            <w:r>
              <w:rPr>
                <w:rFonts w:hint="eastAsia" w:ascii="Times New Roman" w:hAnsi="Times New Roman" w:eastAsia="宋体" w:cs="Times New Roman"/>
                <w:color w:val="auto"/>
                <w:sz w:val="24"/>
                <w:szCs w:val="24"/>
                <w:shd w:val="clear" w:color="auto" w:fill="FFFFFF"/>
              </w:rPr>
              <w:t>个，</w:t>
            </w:r>
            <w:r>
              <w:rPr>
                <w:rFonts w:hint="eastAsia" w:ascii="Times New Roman" w:hAnsi="Times New Roman" w:eastAsia="宋体" w:cs="Times New Roman"/>
                <w:color w:val="auto"/>
                <w:sz w:val="24"/>
                <w:szCs w:val="24"/>
                <w:shd w:val="clear" w:color="auto" w:fill="FFFFFF"/>
                <w:lang w:val="en-US" w:eastAsia="zh-CN"/>
              </w:rPr>
              <w:t>汉风三路</w:t>
            </w:r>
            <w:r>
              <w:rPr>
                <w:rFonts w:hint="eastAsia" w:ascii="Times New Roman" w:hAnsi="Times New Roman" w:eastAsia="宋体" w:cs="Times New Roman"/>
                <w:color w:val="auto"/>
                <w:sz w:val="24"/>
                <w:szCs w:val="24"/>
                <w:shd w:val="clear" w:color="auto" w:fill="FFFFFF"/>
              </w:rPr>
              <w:t>（项目</w:t>
            </w:r>
            <w:r>
              <w:rPr>
                <w:rFonts w:hint="eastAsia" w:ascii="Times New Roman" w:hAnsi="Times New Roman" w:eastAsia="宋体" w:cs="Times New Roman"/>
                <w:color w:val="auto"/>
                <w:sz w:val="24"/>
                <w:szCs w:val="24"/>
                <w:shd w:val="clear" w:color="auto" w:fill="FFFFFF"/>
                <w:lang w:val="en-US" w:eastAsia="zh-CN"/>
              </w:rPr>
              <w:t>西</w:t>
            </w:r>
            <w:r>
              <w:rPr>
                <w:rFonts w:hint="eastAsia" w:ascii="Times New Roman" w:hAnsi="Times New Roman" w:eastAsia="宋体" w:cs="Times New Roman"/>
                <w:color w:val="auto"/>
                <w:sz w:val="24"/>
                <w:szCs w:val="24"/>
                <w:shd w:val="clear" w:color="auto" w:fill="FFFFFF"/>
              </w:rPr>
              <w:t>侧）</w:t>
            </w:r>
            <w:r>
              <w:rPr>
                <w:rFonts w:hint="eastAsia" w:ascii="Times New Roman" w:hAnsi="Times New Roman" w:eastAsia="宋体" w:cs="Times New Roman"/>
                <w:color w:val="auto"/>
                <w:sz w:val="24"/>
                <w:szCs w:val="24"/>
                <w:shd w:val="clear" w:color="auto" w:fill="FFFFFF"/>
                <w:lang w:val="en-US" w:eastAsia="zh-CN"/>
              </w:rPr>
              <w:t>2</w:t>
            </w:r>
            <w:r>
              <w:rPr>
                <w:rFonts w:hint="eastAsia" w:ascii="Times New Roman" w:hAnsi="Times New Roman" w:eastAsia="宋体" w:cs="Times New Roman"/>
                <w:color w:val="auto"/>
                <w:sz w:val="24"/>
                <w:szCs w:val="24"/>
                <w:shd w:val="clear" w:color="auto" w:fill="FFFFFF"/>
              </w:rPr>
              <w:t>个，</w:t>
            </w:r>
            <w:r>
              <w:rPr>
                <w:rFonts w:hint="eastAsia" w:ascii="Times New Roman" w:hAnsi="Times New Roman" w:eastAsia="宋体" w:cs="Times New Roman"/>
                <w:color w:val="auto"/>
                <w:sz w:val="24"/>
                <w:szCs w:val="24"/>
                <w:shd w:val="clear" w:color="auto" w:fill="FFFFFF"/>
                <w:lang w:val="en-US" w:eastAsia="zh-CN"/>
              </w:rPr>
              <w:t>剩余西南角1个与东南角1个均依托童话大街</w:t>
            </w:r>
            <w:r>
              <w:rPr>
                <w:rFonts w:ascii="Times New Roman" w:hAnsi="Times New Roman" w:eastAsia="宋体" w:cs="Times New Roman"/>
                <w:color w:val="auto"/>
                <w:sz w:val="24"/>
                <w:szCs w:val="24"/>
                <w:shd w:val="clear" w:color="auto" w:fill="FFFFFF"/>
              </w:rPr>
              <w:t>雨水管网</w:t>
            </w:r>
            <w:r>
              <w:rPr>
                <w:rFonts w:hint="eastAsia" w:ascii="Times New Roman" w:hAnsi="Times New Roman" w:eastAsia="宋体" w:cs="Times New Roman"/>
                <w:color w:val="auto"/>
                <w:sz w:val="24"/>
                <w:szCs w:val="24"/>
                <w:shd w:val="clear" w:color="auto" w:fill="FFFFFF"/>
                <w:lang w:val="en-US" w:eastAsia="zh-CN"/>
              </w:rPr>
              <w:t>共管排放</w:t>
            </w:r>
            <w:r>
              <w:rPr>
                <w:rFonts w:ascii="Times New Roman" w:hAnsi="Times New Roman" w:eastAsia="宋体" w:cs="Times New Roman"/>
                <w:color w:val="auto"/>
                <w:sz w:val="24"/>
                <w:szCs w:val="24"/>
                <w:shd w:val="clear" w:color="auto" w:fill="FFFFFF"/>
              </w:rPr>
              <w:t>。</w:t>
            </w:r>
          </w:p>
          <w:p>
            <w:pPr>
              <w:spacing w:line="360" w:lineRule="auto"/>
              <w:ind w:firstLine="480" w:firstLineChars="200"/>
              <w:rPr>
                <w:rFonts w:hint="eastAsia"/>
                <w:color w:val="auto"/>
                <w:sz w:val="24"/>
                <w:shd w:val="clear" w:color="auto" w:fill="FFFFFF"/>
                <w:lang w:val="en-US" w:eastAsia="zh-CN"/>
              </w:rPr>
            </w:pPr>
            <w:r>
              <w:rPr>
                <w:rFonts w:hint="eastAsia"/>
                <w:color w:val="auto"/>
                <w:sz w:val="24"/>
                <w:shd w:val="clear" w:color="auto" w:fill="FFFFFF"/>
                <w:lang w:val="en-US" w:eastAsia="zh-CN"/>
              </w:rPr>
              <w:t>B污水</w:t>
            </w:r>
          </w:p>
          <w:p>
            <w:pPr>
              <w:spacing w:line="360" w:lineRule="auto"/>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rPr>
              <w:t>项目排水包括员工办公废水、</w:t>
            </w:r>
            <w:r>
              <w:rPr>
                <w:rFonts w:hint="eastAsia" w:ascii="Times New Roman" w:hAnsi="Times New Roman" w:eastAsia="宋体" w:cs="Times New Roman"/>
                <w:color w:val="auto"/>
                <w:sz w:val="24"/>
                <w:szCs w:val="24"/>
                <w:lang w:val="en-US" w:eastAsia="zh-CN"/>
              </w:rPr>
              <w:t>员工食堂废水、</w:t>
            </w:r>
            <w:r>
              <w:rPr>
                <w:rFonts w:hint="eastAsia" w:ascii="Times New Roman" w:hAnsi="Times New Roman" w:eastAsia="宋体" w:cs="Times New Roman"/>
                <w:color w:val="auto"/>
                <w:sz w:val="24"/>
                <w:szCs w:val="24"/>
              </w:rPr>
              <w:t>游客游览废水及游乐设备废水，</w:t>
            </w:r>
            <w:r>
              <w:rPr>
                <w:rFonts w:hint="eastAsia" w:cs="Times New Roman"/>
                <w:color w:val="auto"/>
                <w:sz w:val="24"/>
                <w:szCs w:val="24"/>
                <w:lang w:val="en-US" w:eastAsia="zh-CN"/>
              </w:rPr>
              <w:t>项目废水产生量为147613.4m</w:t>
            </w:r>
            <w:r>
              <w:rPr>
                <w:rFonts w:hint="eastAsia" w:cs="Times New Roman"/>
                <w:color w:val="auto"/>
                <w:sz w:val="24"/>
                <w:szCs w:val="24"/>
                <w:vertAlign w:val="superscript"/>
                <w:lang w:val="en-US" w:eastAsia="zh-CN"/>
              </w:rPr>
              <w:t>3</w:t>
            </w:r>
            <w:r>
              <w:rPr>
                <w:rFonts w:hint="eastAsia" w:cs="Times New Roman"/>
                <w:color w:val="auto"/>
                <w:sz w:val="24"/>
                <w:szCs w:val="24"/>
                <w:lang w:val="en-US" w:eastAsia="zh-CN"/>
              </w:rPr>
              <w:t>/a。</w:t>
            </w:r>
          </w:p>
          <w:p>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产污系数按0.8计，</w:t>
            </w:r>
            <w:r>
              <w:rPr>
                <w:rFonts w:hint="eastAsia" w:ascii="Times New Roman" w:hAnsi="Times New Roman" w:eastAsia="宋体" w:cs="Times New Roman"/>
                <w:color w:val="auto"/>
                <w:sz w:val="24"/>
                <w:szCs w:val="24"/>
              </w:rPr>
              <w:t>员工办公废水为</w:t>
            </w:r>
            <w:r>
              <w:rPr>
                <w:rFonts w:ascii="Times New Roman" w:hAnsi="Times New Roman" w:eastAsia="宋体" w:cs="Times New Roman"/>
                <w:color w:val="auto"/>
                <w:sz w:val="24"/>
                <w:szCs w:val="24"/>
              </w:rPr>
              <w:t>21.6</w:t>
            </w:r>
            <w:r>
              <w:rPr>
                <w:rFonts w:ascii="Times New Roman" w:hAnsi="Times New Roman" w:eastAsia="宋体" w:cs="Times New Roman"/>
                <w:color w:val="auto"/>
                <w:sz w:val="24"/>
                <w:szCs w:val="24"/>
                <w:shd w:val="clear" w:color="auto" w:fill="FFFFFF"/>
              </w:rPr>
              <w:t>m</w:t>
            </w:r>
            <w:r>
              <w:rPr>
                <w:rFonts w:ascii="Times New Roman" w:hAnsi="Times New Roman" w:eastAsia="宋体" w:cs="Times New Roman"/>
                <w:color w:val="auto"/>
                <w:sz w:val="24"/>
                <w:szCs w:val="24"/>
                <w:shd w:val="clear" w:color="auto" w:fill="FFFFFF"/>
                <w:vertAlign w:val="superscript"/>
              </w:rPr>
              <w:t>3</w:t>
            </w:r>
            <w:r>
              <w:rPr>
                <w:rFonts w:ascii="Times New Roman" w:hAnsi="Times New Roman" w:eastAsia="宋体" w:cs="Times New Roman"/>
                <w:color w:val="auto"/>
                <w:sz w:val="24"/>
                <w:szCs w:val="24"/>
                <w:shd w:val="clear" w:color="auto" w:fill="FFFFFF"/>
              </w:rPr>
              <w:t>/d</w:t>
            </w:r>
            <w:r>
              <w:rPr>
                <w:rFonts w:ascii="Times New Roman" w:hAnsi="Times New Roman" w:eastAsia="宋体" w:cs="Times New Roman"/>
                <w:color w:val="auto"/>
                <w:sz w:val="24"/>
                <w:szCs w:val="24"/>
              </w:rPr>
              <w:t>（7884m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/a</w:t>
            </w:r>
            <w:r>
              <w:rPr>
                <w:rFonts w:ascii="Times New Roman" w:hAnsi="Times New Roman" w:eastAsia="宋体" w:cs="Times New Roman"/>
                <w:color w:val="auto"/>
                <w:sz w:val="24"/>
                <w:szCs w:val="24"/>
                <w:shd w:val="clear" w:color="auto" w:fill="FFFFFF"/>
              </w:rPr>
              <w:t>）</w:t>
            </w:r>
            <w:r>
              <w:rPr>
                <w:rFonts w:hint="eastAsia" w:ascii="Times New Roman" w:hAnsi="Times New Roman" w:eastAsia="宋体" w:cs="Times New Roman"/>
                <w:color w:val="auto"/>
                <w:sz w:val="24"/>
                <w:szCs w:val="24"/>
              </w:rPr>
              <w:t>，游客游览废水为</w:t>
            </w:r>
            <w:r>
              <w:rPr>
                <w:rFonts w:hint="eastAsia" w:ascii="Times New Roman" w:hAnsi="Times New Roman" w:eastAsia="宋体" w:cs="Times New Roman"/>
                <w:color w:val="auto"/>
                <w:sz w:val="24"/>
                <w:szCs w:val="24"/>
                <w:lang w:val="en-US" w:eastAsia="zh-CN"/>
              </w:rPr>
              <w:t>87048</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/a</w:t>
            </w:r>
            <w:r>
              <w:rPr>
                <w:rFonts w:hint="eastAsia" w:ascii="Times New Roman" w:hAnsi="Times New Roman" w:eastAsia="宋体" w:cs="Times New Roman"/>
                <w:color w:val="auto"/>
                <w:sz w:val="24"/>
                <w:szCs w:val="24"/>
                <w:shd w:val="clear" w:color="auto" w:fill="FFFFFF"/>
              </w:rPr>
              <w:t>（旺季</w:t>
            </w:r>
            <w:r>
              <w:rPr>
                <w:rFonts w:ascii="Times New Roman" w:hAnsi="Times New Roman" w:eastAsia="宋体" w:cs="Times New Roman"/>
                <w:color w:val="auto"/>
                <w:sz w:val="24"/>
                <w:szCs w:val="24"/>
                <w:shd w:val="clear" w:color="auto" w:fill="FFFFFF"/>
              </w:rPr>
              <w:t>302.4m</w:t>
            </w:r>
            <w:r>
              <w:rPr>
                <w:rFonts w:ascii="Times New Roman" w:hAnsi="Times New Roman" w:eastAsia="宋体" w:cs="Times New Roman"/>
                <w:color w:val="auto"/>
                <w:sz w:val="24"/>
                <w:szCs w:val="24"/>
                <w:shd w:val="clear" w:color="auto" w:fill="FFFFFF"/>
                <w:vertAlign w:val="superscript"/>
              </w:rPr>
              <w:t>3</w:t>
            </w:r>
            <w:r>
              <w:rPr>
                <w:rFonts w:ascii="Times New Roman" w:hAnsi="Times New Roman" w:eastAsia="宋体" w:cs="Times New Roman"/>
                <w:color w:val="auto"/>
                <w:sz w:val="24"/>
                <w:szCs w:val="24"/>
                <w:shd w:val="clear" w:color="auto" w:fill="FFFFFF"/>
              </w:rPr>
              <w:t>/d</w:t>
            </w:r>
            <w:r>
              <w:rPr>
                <w:rFonts w:hint="eastAsia" w:ascii="Times New Roman" w:hAnsi="Times New Roman" w:eastAsia="宋体" w:cs="Times New Roman"/>
                <w:color w:val="auto"/>
                <w:sz w:val="24"/>
                <w:szCs w:val="24"/>
                <w:shd w:val="clear" w:color="auto" w:fill="FFFFFF"/>
              </w:rPr>
              <w:t>；淡季</w:t>
            </w:r>
            <w:r>
              <w:rPr>
                <w:rFonts w:ascii="Times New Roman" w:hAnsi="Times New Roman" w:eastAsia="宋体" w:cs="Times New Roman"/>
                <w:color w:val="auto"/>
                <w:sz w:val="24"/>
                <w:szCs w:val="24"/>
                <w:shd w:val="clear" w:color="auto" w:fill="FFFFFF"/>
              </w:rPr>
              <w:t>172.8m</w:t>
            </w:r>
            <w:r>
              <w:rPr>
                <w:rFonts w:ascii="Times New Roman" w:hAnsi="Times New Roman" w:eastAsia="宋体" w:cs="Times New Roman"/>
                <w:color w:val="auto"/>
                <w:sz w:val="24"/>
                <w:szCs w:val="24"/>
                <w:shd w:val="clear" w:color="auto" w:fill="FFFFFF"/>
                <w:vertAlign w:val="superscript"/>
              </w:rPr>
              <w:t>3</w:t>
            </w:r>
            <w:r>
              <w:rPr>
                <w:rFonts w:ascii="Times New Roman" w:hAnsi="Times New Roman" w:eastAsia="宋体" w:cs="Times New Roman"/>
                <w:color w:val="auto"/>
                <w:sz w:val="24"/>
                <w:szCs w:val="24"/>
                <w:shd w:val="clear" w:color="auto" w:fill="FFFFFF"/>
              </w:rPr>
              <w:t>/d</w:t>
            </w:r>
            <w:r>
              <w:rPr>
                <w:rFonts w:hint="eastAsia" w:ascii="Times New Roman" w:hAnsi="Times New Roman" w:eastAsia="宋体" w:cs="Times New Roman"/>
                <w:color w:val="auto"/>
                <w:sz w:val="24"/>
                <w:szCs w:val="24"/>
                <w:shd w:val="clear" w:color="auto" w:fill="FFFFFF"/>
              </w:rPr>
              <w:t>）</w:t>
            </w:r>
            <w:r>
              <w:rPr>
                <w:rFonts w:hint="eastAsia" w:ascii="Times New Roman" w:hAnsi="Times New Roman" w:eastAsia="宋体" w:cs="Times New Roman"/>
                <w:color w:val="auto"/>
                <w:sz w:val="24"/>
                <w:szCs w:val="24"/>
              </w:rPr>
              <w:t>，餐饮废水为</w:t>
            </w:r>
            <w:r>
              <w:rPr>
                <w:rFonts w:hint="eastAsia" w:ascii="Times New Roman" w:hAnsi="Times New Roman" w:eastAsia="宋体" w:cs="Times New Roman"/>
                <w:color w:val="auto"/>
                <w:sz w:val="24"/>
                <w:szCs w:val="24"/>
                <w:lang w:val="en-US" w:eastAsia="zh-CN"/>
              </w:rPr>
              <w:t>36.2</w:t>
            </w:r>
            <w:r>
              <w:rPr>
                <w:rFonts w:ascii="Times New Roman" w:hAnsi="Times New Roman" w:eastAsia="宋体" w:cs="Times New Roman"/>
                <w:color w:val="auto"/>
                <w:sz w:val="24"/>
                <w:szCs w:val="24"/>
                <w:shd w:val="clear" w:color="auto" w:fill="FFFFFF"/>
              </w:rPr>
              <w:t>m</w:t>
            </w:r>
            <w:r>
              <w:rPr>
                <w:rFonts w:ascii="Times New Roman" w:hAnsi="Times New Roman" w:eastAsia="宋体" w:cs="Times New Roman"/>
                <w:color w:val="auto"/>
                <w:sz w:val="24"/>
                <w:szCs w:val="24"/>
                <w:shd w:val="clear" w:color="auto" w:fill="FFFFFF"/>
                <w:vertAlign w:val="superscript"/>
              </w:rPr>
              <w:t>3</w:t>
            </w:r>
            <w:r>
              <w:rPr>
                <w:rFonts w:ascii="Times New Roman" w:hAnsi="Times New Roman" w:eastAsia="宋体" w:cs="Times New Roman"/>
                <w:color w:val="auto"/>
                <w:sz w:val="24"/>
                <w:szCs w:val="24"/>
                <w:shd w:val="clear" w:color="auto" w:fill="FFFFFF"/>
              </w:rPr>
              <w:t>/d</w:t>
            </w:r>
            <w:r>
              <w:rPr>
                <w:rFonts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13213</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/a</w:t>
            </w:r>
            <w:r>
              <w:rPr>
                <w:rFonts w:ascii="Times New Roman" w:hAnsi="Times New Roman" w:eastAsia="宋体" w:cs="Times New Roman"/>
                <w:color w:val="auto"/>
                <w:sz w:val="24"/>
                <w:szCs w:val="24"/>
                <w:shd w:val="clear" w:color="auto" w:fill="FFFFFF"/>
              </w:rPr>
              <w:t>）</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rPr>
              <w:t>生活废水共计</w:t>
            </w:r>
            <w:r>
              <w:rPr>
                <w:rFonts w:hint="eastAsia" w:cs="Times New Roman"/>
                <w:color w:val="auto"/>
                <w:sz w:val="24"/>
                <w:szCs w:val="24"/>
                <w:lang w:val="en-US" w:eastAsia="zh-CN"/>
              </w:rPr>
              <w:t>108145</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/a</w:t>
            </w:r>
            <w:r>
              <w:rPr>
                <w:rFonts w:hint="eastAsia" w:ascii="Times New Roman" w:hAnsi="Times New Roman" w:eastAsia="宋体" w:cs="Times New Roman"/>
                <w:color w:val="auto"/>
                <w:sz w:val="24"/>
                <w:szCs w:val="24"/>
              </w:rPr>
              <w:t>；餐饮废水经过隔油池隔油后与其他生活废水一起排入化粪池，最终排入市政污水管网，排入市政污水管网。</w:t>
            </w:r>
          </w:p>
          <w:p>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产污系数按0.8计，</w:t>
            </w:r>
            <w:r>
              <w:rPr>
                <w:rFonts w:hint="eastAsia" w:ascii="Times New Roman" w:hAnsi="Times New Roman" w:eastAsia="宋体" w:cs="Times New Roman"/>
                <w:color w:val="auto"/>
                <w:sz w:val="24"/>
                <w:szCs w:val="24"/>
              </w:rPr>
              <w:t>娱乐废水中</w:t>
            </w:r>
            <w:r>
              <w:rPr>
                <w:rFonts w:hint="eastAsia" w:ascii="Times New Roman" w:hAnsi="Times New Roman" w:eastAsia="宋体" w:cs="Times New Roman"/>
                <w:color w:val="auto"/>
                <w:sz w:val="24"/>
                <w:szCs w:val="24"/>
                <w:shd w:val="clear" w:color="auto" w:fill="FFFFFF"/>
              </w:rPr>
              <w:t>互动战船和情景激流勇进</w:t>
            </w:r>
            <w:r>
              <w:rPr>
                <w:rFonts w:hint="eastAsia" w:cs="Times New Roman"/>
                <w:color w:val="auto"/>
                <w:sz w:val="24"/>
                <w:szCs w:val="24"/>
                <w:shd w:val="clear" w:color="auto" w:fill="FFFFFF"/>
                <w:lang w:val="en-US" w:eastAsia="zh-CN"/>
              </w:rPr>
              <w:t>2个</w:t>
            </w:r>
            <w:r>
              <w:rPr>
                <w:rFonts w:hint="eastAsia" w:ascii="Times New Roman" w:hAnsi="Times New Roman" w:eastAsia="宋体" w:cs="Times New Roman"/>
                <w:color w:val="auto"/>
                <w:sz w:val="24"/>
                <w:szCs w:val="24"/>
              </w:rPr>
              <w:t>游乐设备用水循环利用，每三个月排放一次，</w:t>
            </w:r>
            <w:r>
              <w:rPr>
                <w:rFonts w:hint="eastAsia" w:cs="Times New Roman"/>
                <w:color w:val="auto"/>
                <w:sz w:val="24"/>
                <w:szCs w:val="24"/>
                <w:shd w:val="clear" w:color="auto" w:fill="FFFFFF"/>
                <w:lang w:val="en-US" w:eastAsia="zh-CN"/>
              </w:rPr>
              <w:t>其中：互动战船更换排放一次池水，需要5天时间；激流勇进更换排放一次池水，需要10天时间，因此，最大</w:t>
            </w:r>
            <w:r>
              <w:rPr>
                <w:rFonts w:hint="eastAsia" w:ascii="Times New Roman" w:hAnsi="Times New Roman" w:eastAsia="宋体" w:cs="Times New Roman"/>
                <w:color w:val="auto"/>
                <w:sz w:val="24"/>
                <w:szCs w:val="24"/>
              </w:rPr>
              <w:t>排放量为</w:t>
            </w:r>
            <w:r>
              <w:rPr>
                <w:rFonts w:hint="eastAsia" w:cs="Times New Roman"/>
                <w:color w:val="auto"/>
                <w:sz w:val="24"/>
                <w:szCs w:val="24"/>
                <w:lang w:val="en-US" w:eastAsia="zh-CN"/>
              </w:rPr>
              <w:t>360</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/d</w:t>
            </w:r>
            <w:r>
              <w:rPr>
                <w:rFonts w:hint="eastAsia"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11</w:t>
            </w:r>
            <w:r>
              <w:rPr>
                <w:rFonts w:hint="eastAsia" w:cs="Times New Roman"/>
                <w:color w:val="auto"/>
                <w:sz w:val="24"/>
                <w:szCs w:val="24"/>
                <w:lang w:val="en-US" w:eastAsia="zh-CN"/>
              </w:rPr>
              <w:t>198.2</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/a</w:t>
            </w:r>
            <w:r>
              <w:rPr>
                <w:rFonts w:hint="eastAsia" w:ascii="Times New Roman" w:hAnsi="Times New Roman" w:eastAsia="宋体" w:cs="Times New Roman"/>
                <w:color w:val="auto"/>
                <w:sz w:val="24"/>
                <w:szCs w:val="24"/>
              </w:rPr>
              <w:t>），反冲洗废水每2</w:t>
            </w:r>
            <w:r>
              <w:rPr>
                <w:rFonts w:ascii="Times New Roman" w:hAnsi="Times New Roman" w:eastAsia="宋体" w:cs="Times New Roman"/>
                <w:color w:val="auto"/>
                <w:sz w:val="24"/>
                <w:szCs w:val="24"/>
              </w:rPr>
              <w:t>0</w:t>
            </w:r>
            <w:r>
              <w:rPr>
                <w:rFonts w:hint="eastAsia" w:ascii="Times New Roman" w:hAnsi="Times New Roman" w:eastAsia="宋体" w:cs="Times New Roman"/>
                <w:color w:val="auto"/>
                <w:sz w:val="24"/>
                <w:szCs w:val="24"/>
              </w:rPr>
              <w:t>天排放一次，排放量为</w:t>
            </w:r>
            <w:r>
              <w:rPr>
                <w:rFonts w:hint="eastAsia" w:cs="Times New Roman"/>
                <w:color w:val="auto"/>
                <w:sz w:val="24"/>
                <w:szCs w:val="24"/>
                <w:lang w:val="en-US" w:eastAsia="zh-CN"/>
              </w:rPr>
              <w:t>3.48</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/d</w:t>
            </w:r>
            <w:r>
              <w:rPr>
                <w:rFonts w:hint="eastAsia"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1270.2</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/a</w:t>
            </w:r>
            <w:r>
              <w:rPr>
                <w:rFonts w:hint="eastAsia" w:ascii="Times New Roman" w:hAnsi="Times New Roman" w:eastAsia="宋体" w:cs="Times New Roman"/>
                <w:color w:val="auto"/>
                <w:sz w:val="24"/>
                <w:szCs w:val="24"/>
              </w:rPr>
              <w:t>），娱乐废水共计</w:t>
            </w:r>
            <w:r>
              <w:rPr>
                <w:rFonts w:hint="eastAsia" w:cs="Times New Roman"/>
                <w:color w:val="auto"/>
                <w:sz w:val="24"/>
                <w:szCs w:val="24"/>
                <w:lang w:val="en-US" w:eastAsia="zh-CN"/>
              </w:rPr>
              <w:t>12468.4</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/a</w:t>
            </w:r>
            <w:r>
              <w:rPr>
                <w:rFonts w:hint="eastAsia" w:cs="Times New Roman"/>
                <w:color w:val="auto"/>
                <w:sz w:val="24"/>
                <w:szCs w:val="24"/>
                <w:lang w:eastAsia="zh-CN"/>
              </w:rPr>
              <w:t>。</w:t>
            </w:r>
            <w:r>
              <w:rPr>
                <w:rFonts w:hint="eastAsia" w:ascii="Times New Roman" w:hAnsi="Times New Roman" w:eastAsia="宋体" w:cs="Times New Roman"/>
                <w:color w:val="auto"/>
                <w:sz w:val="24"/>
                <w:szCs w:val="24"/>
              </w:rPr>
              <w:t>排入市政污水管网。</w:t>
            </w:r>
          </w:p>
          <w:p>
            <w:pPr>
              <w:spacing w:line="360" w:lineRule="auto"/>
              <w:ind w:firstLine="480" w:firstLineChars="200"/>
              <w:rPr>
                <w:rFonts w:hint="eastAsia" w:ascii="Times New Roman" w:hAnsi="Times New Roman" w:eastAsia="宋体" w:cs="Times New Roman"/>
                <w:color w:val="auto"/>
                <w:sz w:val="24"/>
                <w:szCs w:val="24"/>
                <w:shd w:val="clear" w:color="auto" w:fill="FFFFFF"/>
                <w:lang w:val="en-US" w:eastAsia="zh-CN"/>
              </w:rPr>
            </w:pPr>
            <w:r>
              <w:rPr>
                <w:rFonts w:hint="eastAsia" w:cs="Times New Roman"/>
                <w:color w:val="auto"/>
                <w:sz w:val="24"/>
                <w:szCs w:val="24"/>
                <w:shd w:val="clear" w:color="auto" w:fill="FFFFFF"/>
                <w:lang w:val="en-US" w:eastAsia="zh-CN"/>
              </w:rPr>
              <w:t>冷却塔排水量为</w:t>
            </w:r>
            <w:r>
              <w:rPr>
                <w:rFonts w:hint="eastAsia" w:ascii="Times New Roman" w:hAnsi="Times New Roman" w:eastAsia="宋体" w:cs="Times New Roman"/>
                <w:color w:val="auto"/>
                <w:sz w:val="24"/>
                <w:szCs w:val="24"/>
                <w:shd w:val="clear" w:color="auto" w:fill="FFFFFF"/>
                <w:lang w:val="en-US" w:eastAsia="zh-CN"/>
              </w:rPr>
              <w:t>循环水损失量的</w:t>
            </w:r>
            <w:r>
              <w:rPr>
                <w:rFonts w:hint="eastAsia" w:cs="Times New Roman"/>
                <w:color w:val="auto"/>
                <w:sz w:val="24"/>
                <w:szCs w:val="24"/>
                <w:shd w:val="clear" w:color="auto" w:fill="FFFFFF"/>
                <w:lang w:val="en-US" w:eastAsia="zh-CN"/>
              </w:rPr>
              <w:t>0.375</w:t>
            </w:r>
            <w:r>
              <w:rPr>
                <w:rFonts w:hint="eastAsia" w:ascii="Times New Roman" w:hAnsi="Times New Roman" w:eastAsia="宋体" w:cs="Times New Roman"/>
                <w:color w:val="auto"/>
                <w:sz w:val="24"/>
                <w:szCs w:val="24"/>
                <w:shd w:val="clear" w:color="auto" w:fill="FFFFFF"/>
              </w:rPr>
              <w:t>%</w:t>
            </w:r>
            <w:r>
              <w:rPr>
                <w:rFonts w:hint="eastAsia" w:cs="Times New Roman"/>
                <w:color w:val="auto"/>
                <w:sz w:val="24"/>
                <w:szCs w:val="24"/>
                <w:shd w:val="clear" w:color="auto" w:fill="FFFFFF"/>
                <w:lang w:eastAsia="zh-CN"/>
              </w:rPr>
              <w:t>，</w:t>
            </w:r>
            <w:r>
              <w:rPr>
                <w:rFonts w:hint="eastAsia" w:cs="Times New Roman"/>
                <w:color w:val="auto"/>
                <w:sz w:val="24"/>
                <w:szCs w:val="24"/>
                <w:shd w:val="clear" w:color="auto" w:fill="FFFFFF"/>
                <w:lang w:val="en-US" w:eastAsia="zh-CN"/>
              </w:rPr>
              <w:t>即排放量为225</w:t>
            </w:r>
            <w:r>
              <w:rPr>
                <w:rFonts w:hint="eastAsia" w:ascii="Times New Roman" w:hAnsi="Times New Roman" w:eastAsia="宋体" w:cs="Times New Roman"/>
                <w:color w:val="auto"/>
                <w:sz w:val="24"/>
                <w:szCs w:val="24"/>
                <w:shd w:val="clear" w:color="auto" w:fill="FFFFFF"/>
                <w:lang w:val="en-US" w:eastAsia="zh-CN"/>
              </w:rPr>
              <w:t>m</w:t>
            </w:r>
            <w:r>
              <w:rPr>
                <w:rFonts w:hint="eastAsia" w:ascii="Times New Roman" w:hAnsi="Times New Roman" w:eastAsia="宋体" w:cs="Times New Roman"/>
                <w:color w:val="auto"/>
                <w:sz w:val="24"/>
                <w:szCs w:val="24"/>
                <w:shd w:val="clear" w:color="auto" w:fill="FFFFFF"/>
                <w:vertAlign w:val="superscript"/>
                <w:lang w:val="en-US" w:eastAsia="zh-CN"/>
              </w:rPr>
              <w:t>3</w:t>
            </w:r>
            <w:r>
              <w:rPr>
                <w:rFonts w:hint="eastAsia" w:ascii="Times New Roman" w:hAnsi="Times New Roman" w:eastAsia="宋体" w:cs="Times New Roman"/>
                <w:color w:val="auto"/>
                <w:sz w:val="24"/>
                <w:szCs w:val="24"/>
                <w:shd w:val="clear" w:color="auto" w:fill="FFFFFF"/>
                <w:lang w:val="en-US" w:eastAsia="zh-CN"/>
              </w:rPr>
              <w:t>/d（</w:t>
            </w:r>
            <w:r>
              <w:rPr>
                <w:rFonts w:hint="eastAsia" w:cs="Times New Roman"/>
                <w:color w:val="auto"/>
                <w:sz w:val="24"/>
                <w:szCs w:val="24"/>
                <w:shd w:val="clear" w:color="auto" w:fill="FFFFFF"/>
                <w:lang w:val="en-US" w:eastAsia="zh-CN"/>
              </w:rPr>
              <w:t>27000</w:t>
            </w:r>
            <w:r>
              <w:rPr>
                <w:rFonts w:hint="eastAsia" w:ascii="Times New Roman" w:hAnsi="Times New Roman" w:eastAsia="宋体" w:cs="Times New Roman"/>
                <w:color w:val="auto"/>
                <w:sz w:val="24"/>
                <w:szCs w:val="24"/>
                <w:shd w:val="clear" w:color="auto" w:fill="FFFFFF"/>
                <w:lang w:val="en-US" w:eastAsia="zh-CN"/>
              </w:rPr>
              <w:t>m</w:t>
            </w:r>
            <w:r>
              <w:rPr>
                <w:rFonts w:hint="eastAsia" w:ascii="Times New Roman" w:hAnsi="Times New Roman" w:eastAsia="宋体" w:cs="Times New Roman"/>
                <w:color w:val="auto"/>
                <w:sz w:val="24"/>
                <w:szCs w:val="24"/>
                <w:shd w:val="clear" w:color="auto" w:fill="FFFFFF"/>
                <w:vertAlign w:val="superscript"/>
                <w:lang w:val="en-US" w:eastAsia="zh-CN"/>
              </w:rPr>
              <w:t>3</w:t>
            </w:r>
            <w:r>
              <w:rPr>
                <w:rFonts w:hint="eastAsia" w:ascii="Times New Roman" w:hAnsi="Times New Roman" w:eastAsia="宋体" w:cs="Times New Roman"/>
                <w:color w:val="auto"/>
                <w:sz w:val="24"/>
                <w:szCs w:val="24"/>
                <w:shd w:val="clear" w:color="auto" w:fill="FFFFFF"/>
                <w:lang w:val="en-US" w:eastAsia="zh-CN"/>
              </w:rPr>
              <w:t>/a）。</w:t>
            </w:r>
          </w:p>
          <w:p>
            <w:pPr>
              <w:spacing w:line="360" w:lineRule="auto"/>
              <w:ind w:firstLine="480" w:firstLineChars="200"/>
              <w:rPr>
                <w:rFonts w:hint="eastAsia" w:ascii="Times New Roman" w:hAnsi="Times New Roman" w:eastAsia="宋体" w:cs="Times New Roman"/>
                <w:color w:val="auto"/>
                <w:sz w:val="24"/>
                <w:szCs w:val="24"/>
                <w:shd w:val="clear" w:color="auto" w:fill="FFFFFF"/>
                <w:lang w:eastAsia="zh-CN"/>
              </w:rPr>
            </w:pPr>
            <w:r>
              <w:rPr>
                <w:rFonts w:hint="eastAsia" w:ascii="Times New Roman" w:hAnsi="Times New Roman" w:eastAsia="宋体" w:cs="Times New Roman"/>
                <w:color w:val="auto"/>
                <w:sz w:val="24"/>
                <w:szCs w:val="24"/>
                <w:shd w:val="clear" w:color="auto" w:fill="FFFFFF"/>
              </w:rPr>
              <w:t>项目</w:t>
            </w:r>
            <w:r>
              <w:rPr>
                <w:rFonts w:hint="eastAsia" w:ascii="Times New Roman" w:hAnsi="Times New Roman" w:eastAsia="宋体" w:cs="Times New Roman"/>
                <w:color w:val="auto"/>
                <w:sz w:val="24"/>
                <w:szCs w:val="24"/>
                <w:shd w:val="clear" w:color="auto" w:fill="FFFFFF"/>
                <w:lang w:val="en-US" w:eastAsia="zh-CN"/>
              </w:rPr>
              <w:t>6个职工食堂所在的建筑物外各设置1座隔油沉淀池，</w:t>
            </w:r>
            <w:r>
              <w:rPr>
                <w:rFonts w:hint="eastAsia" w:cs="Times New Roman"/>
                <w:color w:val="auto"/>
                <w:sz w:val="24"/>
                <w:szCs w:val="24"/>
                <w:shd w:val="clear" w:color="auto" w:fill="FFFFFF"/>
                <w:lang w:val="en-US" w:eastAsia="zh-CN"/>
              </w:rPr>
              <w:t>各个</w:t>
            </w:r>
            <w:r>
              <w:rPr>
                <w:rFonts w:hint="eastAsia" w:ascii="Times New Roman" w:hAnsi="Times New Roman" w:eastAsia="宋体" w:cs="Times New Roman"/>
                <w:color w:val="auto"/>
                <w:sz w:val="24"/>
                <w:szCs w:val="24"/>
                <w:shd w:val="clear" w:color="auto" w:fill="FFFFFF"/>
                <w:lang w:val="en-US" w:eastAsia="zh-CN"/>
              </w:rPr>
              <w:t>食堂</w:t>
            </w:r>
            <w:r>
              <w:rPr>
                <w:rFonts w:hint="eastAsia" w:ascii="Times New Roman" w:hAnsi="Times New Roman" w:eastAsia="宋体" w:cs="Times New Roman"/>
                <w:color w:val="auto"/>
                <w:sz w:val="24"/>
                <w:szCs w:val="24"/>
                <w:shd w:val="clear" w:color="auto" w:fill="FFFFFF"/>
              </w:rPr>
              <w:t>废水经隔油沉淀池处理后</w:t>
            </w:r>
            <w:r>
              <w:rPr>
                <w:rFonts w:hint="eastAsia" w:ascii="Times New Roman" w:hAnsi="Times New Roman" w:eastAsia="宋体" w:cs="Times New Roman"/>
                <w:color w:val="auto"/>
                <w:sz w:val="24"/>
                <w:szCs w:val="24"/>
                <w:shd w:val="clear" w:color="auto" w:fill="FFFFFF"/>
                <w:lang w:val="en-US" w:eastAsia="zh-CN"/>
              </w:rPr>
              <w:t>再</w:t>
            </w:r>
            <w:r>
              <w:rPr>
                <w:rFonts w:hint="eastAsia" w:ascii="Times New Roman" w:hAnsi="Times New Roman" w:eastAsia="宋体" w:cs="Times New Roman"/>
                <w:color w:val="auto"/>
                <w:sz w:val="24"/>
                <w:szCs w:val="24"/>
                <w:shd w:val="clear" w:color="auto" w:fill="FFFFFF"/>
              </w:rPr>
              <w:t>经化粪池处理后排入市政污水管网</w:t>
            </w:r>
            <w:r>
              <w:rPr>
                <w:rFonts w:hint="eastAsia" w:ascii="Times New Roman" w:hAnsi="Times New Roman" w:eastAsia="宋体" w:cs="Times New Roman"/>
                <w:color w:val="auto"/>
                <w:sz w:val="24"/>
                <w:szCs w:val="24"/>
                <w:shd w:val="clear" w:color="auto" w:fill="FFFFFF"/>
                <w:lang w:eastAsia="zh-CN"/>
              </w:rPr>
              <w:t>。</w:t>
            </w:r>
          </w:p>
          <w:p>
            <w:pPr>
              <w:spacing w:line="360" w:lineRule="auto"/>
              <w:ind w:firstLine="480" w:firstLineChars="200"/>
              <w:rPr>
                <w:rFonts w:hint="eastAsia" w:ascii="Times New Roman" w:hAnsi="Times New Roman" w:eastAsia="宋体" w:cs="Times New Roman"/>
                <w:color w:val="auto"/>
                <w:sz w:val="24"/>
                <w:szCs w:val="24"/>
                <w:shd w:val="clear" w:color="auto" w:fill="FFFFFF"/>
                <w:lang w:val="en-US"/>
              </w:rPr>
            </w:pPr>
            <w:r>
              <w:rPr>
                <w:rFonts w:hint="eastAsia" w:ascii="Times New Roman" w:hAnsi="Times New Roman" w:eastAsia="宋体" w:cs="Times New Roman"/>
                <w:color w:val="auto"/>
                <w:sz w:val="24"/>
                <w:szCs w:val="24"/>
                <w:shd w:val="clear" w:color="auto" w:fill="FFFFFF"/>
              </w:rPr>
              <w:t>项目园区共有</w:t>
            </w:r>
            <w:r>
              <w:rPr>
                <w:rFonts w:hint="eastAsia" w:ascii="Times New Roman" w:hAnsi="Times New Roman" w:eastAsia="宋体" w:cs="Times New Roman"/>
                <w:color w:val="auto"/>
                <w:sz w:val="24"/>
                <w:szCs w:val="24"/>
                <w:shd w:val="clear" w:color="auto" w:fill="FFFFFF"/>
                <w:lang w:val="en-US" w:eastAsia="zh-CN"/>
              </w:rPr>
              <w:t>11座</w:t>
            </w:r>
            <w:r>
              <w:rPr>
                <w:rFonts w:hint="eastAsia" w:ascii="Times New Roman" w:hAnsi="Times New Roman" w:eastAsia="宋体" w:cs="Times New Roman"/>
                <w:color w:val="auto"/>
                <w:sz w:val="24"/>
                <w:szCs w:val="24"/>
                <w:shd w:val="clear" w:color="auto" w:fill="FFFFFF"/>
              </w:rPr>
              <w:t>化粪池，园区北侧</w:t>
            </w:r>
            <w:r>
              <w:rPr>
                <w:rFonts w:hint="eastAsia" w:ascii="Times New Roman" w:hAnsi="Times New Roman" w:eastAsia="宋体" w:cs="Times New Roman"/>
                <w:color w:val="auto"/>
                <w:sz w:val="24"/>
                <w:szCs w:val="24"/>
                <w:shd w:val="clear" w:color="auto" w:fill="FFFFFF"/>
                <w:lang w:val="en-US" w:eastAsia="zh-CN"/>
              </w:rPr>
              <w:t>设3座容积分别为100m</w:t>
            </w:r>
            <w:r>
              <w:rPr>
                <w:rFonts w:hint="eastAsia" w:ascii="Times New Roman" w:hAnsi="Times New Roman" w:eastAsia="宋体" w:cs="Times New Roman"/>
                <w:color w:val="auto"/>
                <w:sz w:val="24"/>
                <w:szCs w:val="24"/>
                <w:shd w:val="clear" w:color="auto" w:fill="FFFFFF"/>
                <w:vertAlign w:val="superscript"/>
                <w:lang w:val="en-US" w:eastAsia="zh-CN"/>
              </w:rPr>
              <w:t>3</w:t>
            </w:r>
            <w:r>
              <w:rPr>
                <w:rFonts w:hint="eastAsia" w:ascii="Times New Roman" w:hAnsi="Times New Roman" w:eastAsia="宋体" w:cs="Times New Roman"/>
                <w:color w:val="auto"/>
                <w:sz w:val="24"/>
                <w:szCs w:val="24"/>
                <w:shd w:val="clear" w:color="auto" w:fill="FFFFFF"/>
                <w:lang w:val="en-US" w:eastAsia="zh-CN"/>
              </w:rPr>
              <w:t>的化粪池</w:t>
            </w:r>
            <w:r>
              <w:rPr>
                <w:rFonts w:hint="eastAsia" w:ascii="Times New Roman" w:hAnsi="Times New Roman" w:eastAsia="宋体" w:cs="Times New Roman"/>
                <w:color w:val="auto"/>
                <w:sz w:val="24"/>
                <w:szCs w:val="24"/>
                <w:shd w:val="clear" w:color="auto" w:fill="FFFFFF"/>
              </w:rPr>
              <w:t>；</w:t>
            </w:r>
            <w:r>
              <w:rPr>
                <w:rFonts w:hint="eastAsia" w:ascii="Times New Roman" w:hAnsi="Times New Roman" w:eastAsia="宋体" w:cs="Times New Roman"/>
                <w:color w:val="auto"/>
                <w:sz w:val="24"/>
                <w:szCs w:val="24"/>
                <w:shd w:val="clear" w:color="auto" w:fill="FFFFFF"/>
                <w:lang w:val="en-US" w:eastAsia="zh-CN"/>
              </w:rPr>
              <w:t>园区</w:t>
            </w:r>
            <w:r>
              <w:rPr>
                <w:rFonts w:hint="eastAsia" w:ascii="Times New Roman" w:hAnsi="Times New Roman" w:eastAsia="宋体" w:cs="Times New Roman"/>
                <w:color w:val="auto"/>
                <w:sz w:val="24"/>
                <w:szCs w:val="24"/>
                <w:shd w:val="clear" w:color="auto" w:fill="FFFFFF"/>
              </w:rPr>
              <w:t>东侧设</w:t>
            </w:r>
            <w:r>
              <w:rPr>
                <w:rFonts w:hint="eastAsia" w:ascii="Times New Roman" w:hAnsi="Times New Roman" w:eastAsia="宋体" w:cs="Times New Roman"/>
                <w:color w:val="auto"/>
                <w:sz w:val="24"/>
                <w:szCs w:val="24"/>
                <w:shd w:val="clear" w:color="auto" w:fill="FFFFFF"/>
                <w:lang w:val="en-US" w:eastAsia="zh-CN"/>
              </w:rPr>
              <w:t>2座</w:t>
            </w:r>
            <w:r>
              <w:rPr>
                <w:rFonts w:hint="eastAsia" w:ascii="Times New Roman" w:hAnsi="Times New Roman" w:eastAsia="宋体" w:cs="Times New Roman"/>
                <w:color w:val="auto"/>
                <w:sz w:val="24"/>
                <w:szCs w:val="24"/>
                <w:shd w:val="clear" w:color="auto" w:fill="FFFFFF"/>
              </w:rPr>
              <w:t>化粪池，容积分别是100m³，共200m³；</w:t>
            </w:r>
            <w:r>
              <w:rPr>
                <w:rFonts w:hint="eastAsia" w:ascii="Times New Roman" w:hAnsi="Times New Roman" w:eastAsia="宋体" w:cs="Times New Roman"/>
                <w:color w:val="auto"/>
                <w:sz w:val="24"/>
                <w:szCs w:val="24"/>
                <w:shd w:val="clear" w:color="auto" w:fill="FFFFFF"/>
                <w:lang w:val="en-US" w:eastAsia="zh-CN"/>
              </w:rPr>
              <w:t>园区南侧设4座容积分别为100m</w:t>
            </w:r>
            <w:r>
              <w:rPr>
                <w:rFonts w:hint="eastAsia" w:ascii="Times New Roman" w:hAnsi="Times New Roman" w:eastAsia="宋体" w:cs="Times New Roman"/>
                <w:color w:val="auto"/>
                <w:sz w:val="24"/>
                <w:szCs w:val="24"/>
                <w:shd w:val="clear" w:color="auto" w:fill="FFFFFF"/>
                <w:vertAlign w:val="superscript"/>
                <w:lang w:val="en-US" w:eastAsia="zh-CN"/>
              </w:rPr>
              <w:t>3</w:t>
            </w:r>
            <w:r>
              <w:rPr>
                <w:rFonts w:hint="eastAsia" w:ascii="Times New Roman" w:hAnsi="Times New Roman" w:eastAsia="宋体" w:cs="Times New Roman"/>
                <w:color w:val="auto"/>
                <w:sz w:val="24"/>
                <w:szCs w:val="24"/>
                <w:shd w:val="clear" w:color="auto" w:fill="FFFFFF"/>
                <w:lang w:val="en-US" w:eastAsia="zh-CN"/>
              </w:rPr>
              <w:t>的化粪池，园区西侧</w:t>
            </w:r>
            <w:r>
              <w:rPr>
                <w:rFonts w:hint="eastAsia" w:ascii="Times New Roman" w:hAnsi="Times New Roman" w:eastAsia="宋体" w:cs="Times New Roman"/>
                <w:color w:val="auto"/>
                <w:sz w:val="24"/>
                <w:szCs w:val="24"/>
                <w:shd w:val="clear" w:color="auto" w:fill="FFFFFF"/>
              </w:rPr>
              <w:t>设</w:t>
            </w:r>
            <w:r>
              <w:rPr>
                <w:rFonts w:hint="eastAsia" w:ascii="Times New Roman" w:hAnsi="Times New Roman" w:eastAsia="宋体" w:cs="Times New Roman"/>
                <w:color w:val="auto"/>
                <w:sz w:val="24"/>
                <w:szCs w:val="24"/>
                <w:shd w:val="clear" w:color="auto" w:fill="FFFFFF"/>
                <w:lang w:val="en-US" w:eastAsia="zh-CN"/>
              </w:rPr>
              <w:t>2座容积分别为</w:t>
            </w:r>
            <w:r>
              <w:rPr>
                <w:rFonts w:hint="eastAsia" w:ascii="Times New Roman" w:hAnsi="Times New Roman" w:eastAsia="宋体" w:cs="Times New Roman"/>
                <w:color w:val="auto"/>
                <w:sz w:val="24"/>
                <w:szCs w:val="24"/>
                <w:shd w:val="clear" w:color="auto" w:fill="FFFFFF"/>
              </w:rPr>
              <w:t>100m³</w:t>
            </w:r>
            <w:r>
              <w:rPr>
                <w:rFonts w:hint="eastAsia" w:ascii="Times New Roman" w:hAnsi="Times New Roman" w:eastAsia="宋体" w:cs="Times New Roman"/>
                <w:color w:val="auto"/>
                <w:sz w:val="24"/>
                <w:szCs w:val="24"/>
                <w:shd w:val="clear" w:color="auto" w:fill="FFFFFF"/>
                <w:lang w:val="en-US" w:eastAsia="zh-CN"/>
              </w:rPr>
              <w:t>的化粪池，总容积为1200m</w:t>
            </w:r>
            <w:r>
              <w:rPr>
                <w:rFonts w:hint="eastAsia" w:ascii="Times New Roman" w:hAnsi="Times New Roman" w:eastAsia="宋体" w:cs="Times New Roman"/>
                <w:color w:val="auto"/>
                <w:sz w:val="24"/>
                <w:szCs w:val="24"/>
                <w:shd w:val="clear" w:color="auto" w:fill="FFFFFF"/>
                <w:vertAlign w:val="superscript"/>
                <w:lang w:val="en-US" w:eastAsia="zh-CN"/>
              </w:rPr>
              <w:t>3</w:t>
            </w:r>
            <w:r>
              <w:rPr>
                <w:rFonts w:hint="eastAsia" w:ascii="Times New Roman" w:hAnsi="Times New Roman" w:eastAsia="宋体" w:cs="Times New Roman"/>
                <w:color w:val="auto"/>
                <w:sz w:val="24"/>
                <w:szCs w:val="24"/>
                <w:shd w:val="clear" w:color="auto" w:fill="FFFFFF"/>
                <w:lang w:val="en-US" w:eastAsia="zh-CN"/>
              </w:rPr>
              <w:t>。</w:t>
            </w:r>
          </w:p>
          <w:p>
            <w:pPr>
              <w:spacing w:line="360" w:lineRule="auto"/>
              <w:ind w:firstLine="480" w:firstLineChars="200"/>
              <w:rPr>
                <w:rFonts w:ascii="Times New Roman" w:hAnsi="Times New Roman" w:eastAsia="宋体" w:cs="Times New Roman"/>
                <w:color w:val="auto"/>
                <w:sz w:val="24"/>
                <w:szCs w:val="24"/>
              </w:rPr>
            </w:pPr>
            <w:r>
              <w:rPr>
                <w:rFonts w:hint="eastAsia"/>
                <w:b/>
                <w:color w:val="auto"/>
                <w:kern w:val="0"/>
                <w:sz w:val="24"/>
              </w:rPr>
              <w:pict>
                <v:shape id="_x0000_s1026" o:spid="_x0000_s1026" o:spt="75" type="#_x0000_t75" style="position:absolute;left:0pt;margin-left:47.55pt;margin-top:69.05pt;height:487.7pt;width:327.6pt;mso-wrap-distance-left:9pt;mso-wrap-distance-right:9pt;z-index:-251650048;mso-width-relative:page;mso-height-relative:page;" o:ole="t" filled="f" o:preferrelative="t" stroked="f" coordsize="21600,21600" wrapcoords="21592 -2 0 0 0 21600 21592 21602 8 21602 21600 21600 21600 0 8 -2 21592 -2">
                  <v:path/>
                  <v:fill on="f" focussize="0,0"/>
                  <v:stroke on="f"/>
                  <v:imagedata r:id="rId9" o:title=""/>
                  <o:lock v:ext="edit" aspectratio="f"/>
                  <w10:wrap type="tight"/>
                </v:shape>
                <o:OLEObject Type="Embed" ProgID="Visio.Drawing.15" ShapeID="_x0000_s1026" DrawAspect="Content" ObjectID="_1468075725" r:id="rId8">
                  <o:LockedField>false</o:LockedField>
                </o:OLEObject>
              </w:pict>
            </w:r>
            <w:r>
              <w:rPr>
                <w:rFonts w:ascii="Times New Roman" w:hAnsi="Times New Roman" w:eastAsia="宋体" w:cs="Times New Roman"/>
                <w:color w:val="auto"/>
                <w:sz w:val="24"/>
                <w:szCs w:val="24"/>
              </w:rPr>
              <w:t>共</w:t>
            </w:r>
            <w:r>
              <w:rPr>
                <w:rFonts w:hint="eastAsia" w:cs="Times New Roman"/>
                <w:color w:val="auto"/>
                <w:sz w:val="24"/>
                <w:szCs w:val="24"/>
                <w:lang w:val="en-US" w:eastAsia="zh-CN"/>
              </w:rPr>
              <w:t>设</w:t>
            </w:r>
            <w:r>
              <w:rPr>
                <w:rFonts w:hint="eastAsia" w:ascii="Times New Roman" w:hAnsi="Times New Roman" w:eastAsia="宋体" w:cs="Times New Roman"/>
                <w:color w:val="auto"/>
                <w:sz w:val="24"/>
                <w:szCs w:val="24"/>
                <w:lang w:val="en-US" w:eastAsia="zh-CN"/>
              </w:rPr>
              <w:t>9</w:t>
            </w:r>
            <w:r>
              <w:rPr>
                <w:rFonts w:hint="eastAsia" w:ascii="Times New Roman" w:hAnsi="Times New Roman" w:eastAsia="宋体" w:cs="Times New Roman"/>
                <w:color w:val="auto"/>
                <w:sz w:val="24"/>
                <w:szCs w:val="24"/>
              </w:rPr>
              <w:t>个污水排放口，其中</w:t>
            </w:r>
            <w:r>
              <w:rPr>
                <w:rFonts w:hint="eastAsia" w:ascii="Times New Roman" w:hAnsi="Times New Roman" w:eastAsia="宋体" w:cs="Times New Roman"/>
                <w:color w:val="auto"/>
                <w:sz w:val="24"/>
                <w:szCs w:val="24"/>
                <w:lang w:val="en-US" w:eastAsia="zh-CN"/>
              </w:rPr>
              <w:t>规划</w:t>
            </w:r>
            <w:r>
              <w:rPr>
                <w:rFonts w:hint="eastAsia" w:ascii="Times New Roman" w:hAnsi="Times New Roman" w:eastAsia="宋体" w:cs="Times New Roman"/>
                <w:color w:val="auto"/>
                <w:sz w:val="24"/>
                <w:szCs w:val="24"/>
              </w:rPr>
              <w:t>北侧望夷路（项目北侧）</w:t>
            </w:r>
            <w:r>
              <w:rPr>
                <w:rFonts w:hint="eastAsia" w:ascii="Times New Roman" w:hAnsi="Times New Roman" w:eastAsia="宋体" w:cs="Times New Roman"/>
                <w:color w:val="auto"/>
                <w:sz w:val="24"/>
                <w:szCs w:val="24"/>
                <w:lang w:val="en-US" w:eastAsia="zh-CN"/>
              </w:rPr>
              <w:t>3</w:t>
            </w:r>
            <w:r>
              <w:rPr>
                <w:rFonts w:hint="eastAsia" w:ascii="Times New Roman" w:hAnsi="Times New Roman" w:eastAsia="宋体" w:cs="Times New Roman"/>
                <w:color w:val="auto"/>
                <w:sz w:val="24"/>
                <w:szCs w:val="24"/>
              </w:rPr>
              <w:t>个</w:t>
            </w:r>
            <w:r>
              <w:rPr>
                <w:rFonts w:ascii="Times New Roman" w:hAnsi="Times New Roman" w:eastAsia="宋体" w:cs="Times New Roman"/>
                <w:color w:val="auto"/>
                <w:sz w:val="24"/>
                <w:szCs w:val="24"/>
              </w:rPr>
              <w:t>，汉风路</w:t>
            </w:r>
            <w:r>
              <w:rPr>
                <w:rFonts w:hint="eastAsia" w:ascii="Times New Roman" w:hAnsi="Times New Roman" w:eastAsia="宋体" w:cs="Times New Roman"/>
                <w:color w:val="auto"/>
                <w:sz w:val="24"/>
                <w:szCs w:val="24"/>
              </w:rPr>
              <w:t>（项目东侧）</w:t>
            </w:r>
            <w:r>
              <w:rPr>
                <w:rFonts w:hint="eastAsia"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rPr>
              <w:t>个，沣泾大道（项目南侧）</w:t>
            </w:r>
            <w:r>
              <w:rPr>
                <w:rFonts w:ascii="Times New Roman" w:hAnsi="Times New Roman" w:eastAsia="宋体" w:cs="Times New Roman"/>
                <w:color w:val="auto"/>
                <w:sz w:val="24"/>
                <w:szCs w:val="24"/>
              </w:rPr>
              <w:t>2</w:t>
            </w:r>
            <w:r>
              <w:rPr>
                <w:rFonts w:hint="eastAsia" w:ascii="Times New Roman" w:hAnsi="Times New Roman" w:eastAsia="宋体" w:cs="Times New Roman"/>
                <w:color w:val="auto"/>
                <w:sz w:val="24"/>
                <w:szCs w:val="24"/>
              </w:rPr>
              <w:t>个，汉风三路</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rPr>
              <w:t>西侧</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2个，</w:t>
            </w:r>
            <w:r>
              <w:rPr>
                <w:rFonts w:ascii="Times New Roman" w:hAnsi="Times New Roman" w:eastAsia="宋体" w:cs="Times New Roman"/>
                <w:color w:val="auto"/>
                <w:sz w:val="24"/>
                <w:szCs w:val="24"/>
              </w:rPr>
              <w:t>污水</w:t>
            </w:r>
            <w:r>
              <w:rPr>
                <w:rFonts w:hint="eastAsia" w:ascii="Times New Roman" w:hAnsi="Times New Roman" w:eastAsia="宋体" w:cs="Times New Roman"/>
                <w:color w:val="auto"/>
                <w:sz w:val="24"/>
                <w:szCs w:val="24"/>
                <w:lang w:val="en-US" w:eastAsia="zh-CN"/>
              </w:rPr>
              <w:t>经化粪池处理后</w:t>
            </w:r>
            <w:r>
              <w:rPr>
                <w:rFonts w:ascii="Times New Roman" w:hAnsi="Times New Roman" w:eastAsia="宋体" w:cs="Times New Roman"/>
                <w:color w:val="auto"/>
                <w:sz w:val="24"/>
                <w:szCs w:val="24"/>
              </w:rPr>
              <w:t>排入市政管网后进入</w:t>
            </w:r>
            <w:r>
              <w:rPr>
                <w:rFonts w:hint="eastAsia" w:ascii="Times New Roman" w:hAnsi="Times New Roman" w:eastAsia="宋体" w:cs="Times New Roman"/>
                <w:color w:val="auto"/>
                <w:sz w:val="24"/>
                <w:szCs w:val="24"/>
                <w:lang w:val="en-US" w:eastAsia="zh-CN"/>
              </w:rPr>
              <w:t>泾河第三</w:t>
            </w:r>
            <w:r>
              <w:rPr>
                <w:rFonts w:ascii="Times New Roman" w:hAnsi="Times New Roman" w:eastAsia="宋体" w:cs="Times New Roman"/>
                <w:color w:val="auto"/>
                <w:sz w:val="24"/>
                <w:szCs w:val="24"/>
              </w:rPr>
              <w:t>污水处理厂。</w:t>
            </w:r>
            <w:r>
              <w:rPr>
                <w:rFonts w:hint="eastAsia" w:cs="Times New Roman"/>
                <w:color w:val="auto"/>
                <w:sz w:val="24"/>
                <w:szCs w:val="24"/>
                <w:lang w:val="en-US" w:eastAsia="zh-CN"/>
              </w:rPr>
              <w:t>水平衡图见图1-1、1-2。</w:t>
            </w:r>
          </w:p>
          <w:p>
            <w:pPr>
              <w:adjustRightInd w:val="0"/>
              <w:snapToGrid w:val="0"/>
              <w:spacing w:line="360" w:lineRule="auto"/>
              <w:jc w:val="center"/>
              <w:rPr>
                <w:rFonts w:hint="eastAsia"/>
                <w:b/>
                <w:color w:val="auto"/>
                <w:kern w:val="0"/>
                <w:sz w:val="24"/>
              </w:rPr>
            </w:pPr>
          </w:p>
          <w:p>
            <w:pPr>
              <w:adjustRightInd w:val="0"/>
              <w:snapToGrid w:val="0"/>
              <w:spacing w:line="360" w:lineRule="auto"/>
              <w:jc w:val="center"/>
              <w:rPr>
                <w:rFonts w:hint="eastAsia"/>
                <w:b/>
                <w:color w:val="auto"/>
                <w:kern w:val="0"/>
                <w:sz w:val="24"/>
              </w:rPr>
            </w:pPr>
          </w:p>
          <w:p>
            <w:pPr>
              <w:adjustRightInd w:val="0"/>
              <w:snapToGrid w:val="0"/>
              <w:spacing w:line="360" w:lineRule="auto"/>
              <w:jc w:val="center"/>
              <w:rPr>
                <w:rFonts w:hint="eastAsia"/>
                <w:b/>
                <w:color w:val="auto"/>
                <w:kern w:val="0"/>
                <w:sz w:val="24"/>
              </w:rPr>
            </w:pPr>
          </w:p>
          <w:p>
            <w:pPr>
              <w:adjustRightInd w:val="0"/>
              <w:snapToGrid w:val="0"/>
              <w:spacing w:line="360" w:lineRule="auto"/>
              <w:jc w:val="center"/>
              <w:rPr>
                <w:rFonts w:hint="eastAsia"/>
                <w:b/>
                <w:color w:val="auto"/>
                <w:kern w:val="0"/>
                <w:sz w:val="24"/>
              </w:rPr>
            </w:pPr>
          </w:p>
          <w:p>
            <w:pPr>
              <w:adjustRightInd w:val="0"/>
              <w:snapToGrid w:val="0"/>
              <w:spacing w:line="360" w:lineRule="auto"/>
              <w:jc w:val="center"/>
              <w:rPr>
                <w:rFonts w:hint="eastAsia"/>
                <w:b/>
                <w:color w:val="auto"/>
                <w:kern w:val="0"/>
                <w:sz w:val="24"/>
              </w:rPr>
            </w:pPr>
          </w:p>
          <w:p>
            <w:pPr>
              <w:adjustRightInd w:val="0"/>
              <w:snapToGrid w:val="0"/>
              <w:spacing w:line="360" w:lineRule="auto"/>
              <w:jc w:val="center"/>
              <w:rPr>
                <w:rFonts w:hint="eastAsia"/>
                <w:b/>
                <w:color w:val="auto"/>
                <w:kern w:val="0"/>
                <w:sz w:val="24"/>
              </w:rPr>
            </w:pPr>
          </w:p>
          <w:p>
            <w:pPr>
              <w:adjustRightInd w:val="0"/>
              <w:snapToGrid w:val="0"/>
              <w:spacing w:line="360" w:lineRule="auto"/>
              <w:jc w:val="center"/>
              <w:rPr>
                <w:rFonts w:hint="eastAsia"/>
                <w:b/>
                <w:color w:val="auto"/>
                <w:kern w:val="0"/>
                <w:sz w:val="24"/>
              </w:rPr>
            </w:pPr>
          </w:p>
          <w:p>
            <w:pPr>
              <w:adjustRightInd w:val="0"/>
              <w:snapToGrid w:val="0"/>
              <w:spacing w:line="360" w:lineRule="auto"/>
              <w:jc w:val="center"/>
              <w:rPr>
                <w:rFonts w:hint="eastAsia"/>
                <w:b/>
                <w:color w:val="auto"/>
                <w:kern w:val="0"/>
                <w:sz w:val="24"/>
              </w:rPr>
            </w:pPr>
          </w:p>
          <w:p>
            <w:pPr>
              <w:adjustRightInd w:val="0"/>
              <w:snapToGrid w:val="0"/>
              <w:spacing w:line="360" w:lineRule="auto"/>
              <w:jc w:val="center"/>
              <w:rPr>
                <w:rFonts w:hint="eastAsia"/>
                <w:b/>
                <w:color w:val="auto"/>
                <w:kern w:val="0"/>
                <w:sz w:val="24"/>
              </w:rPr>
            </w:pPr>
          </w:p>
          <w:p>
            <w:pPr>
              <w:adjustRightInd w:val="0"/>
              <w:snapToGrid w:val="0"/>
              <w:spacing w:line="360" w:lineRule="auto"/>
              <w:jc w:val="center"/>
              <w:rPr>
                <w:rFonts w:hint="eastAsia"/>
                <w:b/>
                <w:color w:val="auto"/>
                <w:kern w:val="0"/>
                <w:sz w:val="24"/>
              </w:rPr>
            </w:pPr>
          </w:p>
          <w:p>
            <w:pPr>
              <w:adjustRightInd w:val="0"/>
              <w:snapToGrid w:val="0"/>
              <w:spacing w:line="360" w:lineRule="auto"/>
              <w:jc w:val="center"/>
              <w:rPr>
                <w:rFonts w:hint="eastAsia"/>
                <w:b/>
                <w:color w:val="auto"/>
                <w:kern w:val="0"/>
                <w:sz w:val="24"/>
              </w:rPr>
            </w:pPr>
          </w:p>
          <w:p>
            <w:pPr>
              <w:adjustRightInd w:val="0"/>
              <w:snapToGrid w:val="0"/>
              <w:spacing w:line="360" w:lineRule="auto"/>
              <w:jc w:val="center"/>
              <w:rPr>
                <w:rFonts w:hint="eastAsia"/>
                <w:b/>
                <w:color w:val="auto"/>
                <w:kern w:val="0"/>
                <w:sz w:val="24"/>
              </w:rPr>
            </w:pPr>
          </w:p>
          <w:p>
            <w:pPr>
              <w:adjustRightInd w:val="0"/>
              <w:snapToGrid w:val="0"/>
              <w:spacing w:line="360" w:lineRule="auto"/>
              <w:jc w:val="center"/>
              <w:rPr>
                <w:rFonts w:hint="eastAsia"/>
                <w:b/>
                <w:color w:val="auto"/>
                <w:kern w:val="0"/>
                <w:sz w:val="24"/>
              </w:rPr>
            </w:pPr>
          </w:p>
          <w:p>
            <w:pPr>
              <w:adjustRightInd w:val="0"/>
              <w:snapToGrid w:val="0"/>
              <w:spacing w:line="360" w:lineRule="auto"/>
              <w:jc w:val="center"/>
              <w:rPr>
                <w:rFonts w:hint="eastAsia"/>
                <w:b/>
                <w:color w:val="auto"/>
                <w:kern w:val="0"/>
                <w:sz w:val="24"/>
              </w:rPr>
            </w:pPr>
          </w:p>
          <w:p>
            <w:pPr>
              <w:adjustRightInd w:val="0"/>
              <w:snapToGrid w:val="0"/>
              <w:spacing w:line="360" w:lineRule="auto"/>
              <w:jc w:val="center"/>
              <w:rPr>
                <w:rFonts w:hint="eastAsia"/>
                <w:b/>
                <w:color w:val="auto"/>
                <w:kern w:val="0"/>
                <w:sz w:val="24"/>
              </w:rPr>
            </w:pPr>
          </w:p>
          <w:p>
            <w:pPr>
              <w:adjustRightInd w:val="0"/>
              <w:snapToGrid w:val="0"/>
              <w:spacing w:line="360" w:lineRule="auto"/>
              <w:jc w:val="center"/>
              <w:rPr>
                <w:rFonts w:hint="eastAsia"/>
                <w:b/>
                <w:color w:val="auto"/>
                <w:kern w:val="0"/>
                <w:sz w:val="24"/>
              </w:rPr>
            </w:pPr>
          </w:p>
          <w:p>
            <w:pPr>
              <w:adjustRightInd w:val="0"/>
              <w:snapToGrid w:val="0"/>
              <w:spacing w:line="360" w:lineRule="auto"/>
              <w:jc w:val="center"/>
              <w:rPr>
                <w:rFonts w:hint="eastAsia"/>
                <w:b/>
                <w:color w:val="auto"/>
                <w:kern w:val="0"/>
                <w:sz w:val="24"/>
              </w:rPr>
            </w:pPr>
          </w:p>
          <w:p>
            <w:pPr>
              <w:adjustRightInd w:val="0"/>
              <w:snapToGrid w:val="0"/>
              <w:spacing w:line="360" w:lineRule="auto"/>
              <w:jc w:val="center"/>
              <w:rPr>
                <w:rFonts w:hint="eastAsia"/>
                <w:b/>
                <w:color w:val="auto"/>
                <w:kern w:val="0"/>
                <w:sz w:val="24"/>
              </w:rPr>
            </w:pPr>
          </w:p>
          <w:p>
            <w:pPr>
              <w:spacing w:line="360" w:lineRule="auto"/>
              <w:ind w:firstLine="482" w:firstLineChars="200"/>
              <w:jc w:val="center"/>
              <w:rPr>
                <w:rFonts w:ascii="Times New Roman" w:hAnsi="Times New Roman" w:eastAsia="宋体" w:cs="Times New Roman"/>
                <w:b/>
                <w:bCs/>
                <w:color w:val="auto"/>
                <w:sz w:val="24"/>
                <w:szCs w:val="24"/>
              </w:rPr>
            </w:pPr>
          </w:p>
          <w:p>
            <w:pPr>
              <w:spacing w:line="360" w:lineRule="auto"/>
              <w:ind w:firstLine="482" w:firstLineChars="200"/>
              <w:jc w:val="center"/>
              <w:rPr>
                <w:rFonts w:ascii="Times New Roman" w:hAnsi="Times New Roman" w:eastAsia="宋体" w:cs="Times New Roman"/>
                <w:b/>
                <w:bCs/>
                <w:color w:val="auto"/>
                <w:sz w:val="24"/>
                <w:szCs w:val="24"/>
              </w:rPr>
            </w:pPr>
          </w:p>
          <w:p>
            <w:pPr>
              <w:spacing w:line="360" w:lineRule="auto"/>
              <w:ind w:firstLine="482" w:firstLineChars="200"/>
              <w:jc w:val="center"/>
              <w:rPr>
                <w:rFonts w:ascii="Times New Roman" w:hAnsi="Times New Roman" w:eastAsia="宋体" w:cs="Times New Roman"/>
                <w:b/>
                <w:bCs/>
                <w:color w:val="auto"/>
                <w:sz w:val="24"/>
                <w:szCs w:val="24"/>
              </w:rPr>
            </w:pPr>
          </w:p>
          <w:p>
            <w:pPr>
              <w:spacing w:line="360" w:lineRule="auto"/>
              <w:jc w:val="both"/>
              <w:rPr>
                <w:rFonts w:ascii="Times New Roman" w:hAnsi="Times New Roman" w:eastAsia="宋体" w:cs="Times New Roman"/>
                <w:b/>
                <w:bCs/>
                <w:color w:val="auto"/>
                <w:sz w:val="24"/>
                <w:szCs w:val="24"/>
              </w:rPr>
            </w:pPr>
          </w:p>
          <w:p>
            <w:pPr>
              <w:spacing w:line="360" w:lineRule="auto"/>
              <w:ind w:firstLine="482" w:firstLineChars="200"/>
              <w:jc w:val="center"/>
              <w:rPr>
                <w:rFonts w:ascii="Times New Roman" w:hAnsi="Times New Roman" w:eastAsia="宋体" w:cs="Times New Roman"/>
                <w:b/>
                <w:bCs/>
                <w:color w:val="auto"/>
                <w:sz w:val="24"/>
                <w:szCs w:val="24"/>
              </w:rPr>
            </w:pPr>
          </w:p>
          <w:p>
            <w:pPr>
              <w:spacing w:line="360" w:lineRule="auto"/>
              <w:ind w:firstLine="482" w:firstLineChars="200"/>
              <w:jc w:val="center"/>
              <w:rPr>
                <w:rFonts w:ascii="Times New Roman" w:hAnsi="Times New Roman" w:eastAsia="宋体" w:cs="Times New Roman"/>
                <w:b/>
                <w:bCs/>
                <w:color w:val="auto"/>
                <w:sz w:val="24"/>
                <w:szCs w:val="24"/>
              </w:rPr>
            </w:pPr>
          </w:p>
          <w:p>
            <w:pPr>
              <w:spacing w:line="360" w:lineRule="auto"/>
              <w:ind w:firstLine="482" w:firstLineChars="200"/>
              <w:jc w:val="center"/>
              <w:rPr>
                <w:rFonts w:ascii="Times New Roman" w:hAnsi="Times New Roman" w:eastAsia="宋体" w:cs="Times New Roman"/>
                <w:b/>
                <w:bCs/>
                <w:color w:val="auto"/>
                <w:sz w:val="24"/>
                <w:szCs w:val="24"/>
              </w:rPr>
            </w:pPr>
          </w:p>
          <w:p>
            <w:pPr>
              <w:spacing w:line="360" w:lineRule="auto"/>
              <w:ind w:firstLine="482" w:firstLineChars="200"/>
              <w:jc w:val="center"/>
              <w:rPr>
                <w:rFonts w:ascii="Times New Roman" w:hAnsi="Times New Roman" w:eastAsia="宋体" w:cs="Times New Roman"/>
                <w:b/>
                <w:bCs/>
                <w:color w:val="auto"/>
                <w:sz w:val="24"/>
                <w:szCs w:val="24"/>
              </w:rPr>
            </w:pPr>
          </w:p>
          <w:p>
            <w:pPr>
              <w:spacing w:line="360" w:lineRule="auto"/>
              <w:ind w:firstLine="482" w:firstLineChars="200"/>
              <w:jc w:val="center"/>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图</w:t>
            </w:r>
            <w:r>
              <w:rPr>
                <w:rFonts w:hint="eastAsia" w:ascii="Times New Roman" w:hAnsi="Times New Roman" w:eastAsia="宋体" w:cs="Times New Roman"/>
                <w:b/>
                <w:bCs/>
                <w:color w:val="auto"/>
                <w:sz w:val="24"/>
                <w:szCs w:val="24"/>
                <w:lang w:val="en-US" w:eastAsia="zh-CN"/>
              </w:rPr>
              <w:t>1-1</w:t>
            </w:r>
            <w:r>
              <w:rPr>
                <w:rFonts w:ascii="Times New Roman" w:hAnsi="Times New Roman" w:eastAsia="宋体" w:cs="Times New Roman"/>
                <w:b/>
                <w:bCs/>
                <w:color w:val="auto"/>
                <w:sz w:val="24"/>
                <w:szCs w:val="24"/>
              </w:rPr>
              <w:t xml:space="preserve">   项目</w:t>
            </w:r>
            <w:r>
              <w:rPr>
                <w:rFonts w:hint="eastAsia" w:ascii="Times New Roman" w:hAnsi="Times New Roman" w:eastAsia="宋体" w:cs="Times New Roman"/>
                <w:b/>
                <w:bCs/>
                <w:color w:val="auto"/>
                <w:sz w:val="24"/>
                <w:szCs w:val="24"/>
              </w:rPr>
              <w:t>旺季</w:t>
            </w:r>
            <w:r>
              <w:rPr>
                <w:rFonts w:ascii="Times New Roman" w:hAnsi="Times New Roman" w:eastAsia="宋体" w:cs="Times New Roman"/>
                <w:b/>
                <w:bCs/>
                <w:color w:val="auto"/>
                <w:sz w:val="24"/>
                <w:szCs w:val="24"/>
              </w:rPr>
              <w:t>水平衡图    单位m</w:t>
            </w:r>
            <w:r>
              <w:rPr>
                <w:rFonts w:ascii="Times New Roman" w:hAnsi="Times New Roman" w:eastAsia="宋体" w:cs="Times New Roman"/>
                <w:b/>
                <w:bCs/>
                <w:color w:val="auto"/>
                <w:sz w:val="24"/>
                <w:szCs w:val="24"/>
                <w:vertAlign w:val="superscript"/>
              </w:rPr>
              <w:t>3</w:t>
            </w:r>
            <w:r>
              <w:rPr>
                <w:rFonts w:ascii="Times New Roman" w:hAnsi="Times New Roman" w:eastAsia="宋体" w:cs="Times New Roman"/>
                <w:b/>
                <w:bCs/>
                <w:color w:val="auto"/>
                <w:sz w:val="24"/>
                <w:szCs w:val="24"/>
              </w:rPr>
              <w:t>/d</w:t>
            </w:r>
          </w:p>
          <w:p>
            <w:pPr>
              <w:spacing w:line="360" w:lineRule="auto"/>
              <w:ind w:firstLine="482" w:firstLineChars="200"/>
              <w:jc w:val="center"/>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pict>
                <v:shape id="_x0000_s1027" o:spid="_x0000_s1027" o:spt="75" type="#_x0000_t75" style="position:absolute;left:0pt;margin-left:22.1pt;margin-top:19pt;height:503.85pt;width:366.7pt;mso-wrap-distance-left:9pt;mso-wrap-distance-right:9pt;z-index:-251651072;mso-width-relative:page;mso-height-relative:page;" o:ole="t" filled="f" o:preferrelative="t" stroked="f" coordsize="21600,21600" wrapcoords="21592 -2 0 0 0 21600 21592 21602 8 21602 21600 21600 21600 0 8 -2 21592 -2">
                  <v:path/>
                  <v:fill on="f" focussize="0,0"/>
                  <v:stroke on="f"/>
                  <v:imagedata r:id="rId11" o:title=""/>
                  <o:lock v:ext="edit" aspectratio="f"/>
                  <w10:wrap type="tight"/>
                </v:shape>
                <o:OLEObject Type="Embed" ProgID="Visio.Drawing.15" ShapeID="_x0000_s1027" DrawAspect="Content" ObjectID="_1468075726" r:id="rId10">
                  <o:LockedField>false</o:LockedField>
                </o:OLEObject>
              </w:pict>
            </w:r>
          </w:p>
          <w:p>
            <w:pPr>
              <w:spacing w:line="360" w:lineRule="auto"/>
              <w:ind w:firstLine="482" w:firstLineChars="200"/>
              <w:jc w:val="center"/>
              <w:rPr>
                <w:rFonts w:ascii="Times New Roman" w:hAnsi="Times New Roman" w:eastAsia="宋体" w:cs="Times New Roman"/>
                <w:b/>
                <w:bCs/>
                <w:color w:val="auto"/>
                <w:sz w:val="24"/>
                <w:szCs w:val="24"/>
              </w:rPr>
            </w:pPr>
          </w:p>
          <w:p>
            <w:pPr>
              <w:spacing w:line="360" w:lineRule="auto"/>
              <w:ind w:firstLine="482" w:firstLineChars="200"/>
              <w:jc w:val="center"/>
              <w:rPr>
                <w:rFonts w:ascii="Times New Roman" w:hAnsi="Times New Roman" w:eastAsia="宋体" w:cs="Times New Roman"/>
                <w:b/>
                <w:bCs/>
                <w:color w:val="auto"/>
                <w:sz w:val="24"/>
                <w:szCs w:val="24"/>
              </w:rPr>
            </w:pPr>
          </w:p>
          <w:p>
            <w:pPr>
              <w:spacing w:line="360" w:lineRule="auto"/>
              <w:ind w:firstLine="482" w:firstLineChars="200"/>
              <w:jc w:val="center"/>
              <w:rPr>
                <w:rFonts w:ascii="Times New Roman" w:hAnsi="Times New Roman" w:eastAsia="宋体" w:cs="Times New Roman"/>
                <w:b/>
                <w:bCs/>
                <w:color w:val="auto"/>
                <w:sz w:val="24"/>
                <w:szCs w:val="24"/>
              </w:rPr>
            </w:pPr>
          </w:p>
          <w:p>
            <w:pPr>
              <w:spacing w:line="360" w:lineRule="auto"/>
              <w:ind w:firstLine="482" w:firstLineChars="200"/>
              <w:jc w:val="center"/>
              <w:rPr>
                <w:rFonts w:ascii="Times New Roman" w:hAnsi="Times New Roman" w:eastAsia="宋体" w:cs="Times New Roman"/>
                <w:b/>
                <w:bCs/>
                <w:color w:val="auto"/>
                <w:sz w:val="24"/>
                <w:szCs w:val="24"/>
              </w:rPr>
            </w:pPr>
          </w:p>
          <w:p>
            <w:pPr>
              <w:spacing w:line="360" w:lineRule="auto"/>
              <w:ind w:firstLine="482" w:firstLineChars="200"/>
              <w:jc w:val="center"/>
              <w:rPr>
                <w:rFonts w:ascii="Times New Roman" w:hAnsi="Times New Roman" w:eastAsia="宋体" w:cs="Times New Roman"/>
                <w:b/>
                <w:bCs/>
                <w:color w:val="auto"/>
                <w:sz w:val="24"/>
                <w:szCs w:val="24"/>
              </w:rPr>
            </w:pPr>
          </w:p>
          <w:p>
            <w:pPr>
              <w:spacing w:line="360" w:lineRule="auto"/>
              <w:ind w:firstLine="482" w:firstLineChars="200"/>
              <w:jc w:val="center"/>
              <w:rPr>
                <w:rFonts w:ascii="Times New Roman" w:hAnsi="Times New Roman" w:eastAsia="宋体" w:cs="Times New Roman"/>
                <w:b/>
                <w:bCs/>
                <w:color w:val="auto"/>
                <w:sz w:val="24"/>
                <w:szCs w:val="24"/>
              </w:rPr>
            </w:pPr>
          </w:p>
          <w:p>
            <w:pPr>
              <w:spacing w:line="360" w:lineRule="auto"/>
              <w:ind w:firstLine="482" w:firstLineChars="200"/>
              <w:jc w:val="center"/>
              <w:rPr>
                <w:rFonts w:ascii="Times New Roman" w:hAnsi="Times New Roman" w:eastAsia="宋体" w:cs="Times New Roman"/>
                <w:b/>
                <w:bCs/>
                <w:color w:val="auto"/>
                <w:sz w:val="24"/>
                <w:szCs w:val="24"/>
              </w:rPr>
            </w:pPr>
          </w:p>
          <w:p>
            <w:pPr>
              <w:spacing w:line="360" w:lineRule="auto"/>
              <w:ind w:firstLine="482" w:firstLineChars="200"/>
              <w:jc w:val="center"/>
              <w:rPr>
                <w:rFonts w:ascii="Times New Roman" w:hAnsi="Times New Roman" w:eastAsia="宋体" w:cs="Times New Roman"/>
                <w:b/>
                <w:bCs/>
                <w:color w:val="auto"/>
                <w:sz w:val="24"/>
                <w:szCs w:val="24"/>
              </w:rPr>
            </w:pPr>
          </w:p>
          <w:p>
            <w:pPr>
              <w:spacing w:line="360" w:lineRule="auto"/>
              <w:ind w:firstLine="482" w:firstLineChars="200"/>
              <w:jc w:val="center"/>
              <w:rPr>
                <w:rFonts w:ascii="Times New Roman" w:hAnsi="Times New Roman" w:eastAsia="宋体" w:cs="Times New Roman"/>
                <w:b/>
                <w:bCs/>
                <w:color w:val="auto"/>
                <w:sz w:val="24"/>
                <w:szCs w:val="24"/>
              </w:rPr>
            </w:pPr>
          </w:p>
          <w:p>
            <w:pPr>
              <w:spacing w:line="360" w:lineRule="auto"/>
              <w:ind w:firstLine="482" w:firstLineChars="200"/>
              <w:jc w:val="center"/>
              <w:rPr>
                <w:rFonts w:ascii="Times New Roman" w:hAnsi="Times New Roman" w:eastAsia="宋体" w:cs="Times New Roman"/>
                <w:b/>
                <w:bCs/>
                <w:color w:val="auto"/>
                <w:sz w:val="24"/>
                <w:szCs w:val="24"/>
              </w:rPr>
            </w:pPr>
          </w:p>
          <w:p>
            <w:pPr>
              <w:spacing w:line="360" w:lineRule="auto"/>
              <w:ind w:firstLine="482" w:firstLineChars="200"/>
              <w:jc w:val="center"/>
              <w:rPr>
                <w:rFonts w:ascii="Times New Roman" w:hAnsi="Times New Roman" w:eastAsia="宋体" w:cs="Times New Roman"/>
                <w:b/>
                <w:bCs/>
                <w:color w:val="auto"/>
                <w:sz w:val="24"/>
                <w:szCs w:val="24"/>
              </w:rPr>
            </w:pPr>
          </w:p>
          <w:p>
            <w:pPr>
              <w:spacing w:line="360" w:lineRule="auto"/>
              <w:ind w:firstLine="482" w:firstLineChars="200"/>
              <w:jc w:val="center"/>
              <w:rPr>
                <w:rFonts w:ascii="Times New Roman" w:hAnsi="Times New Roman" w:eastAsia="宋体" w:cs="Times New Roman"/>
                <w:b/>
                <w:bCs/>
                <w:color w:val="auto"/>
                <w:sz w:val="24"/>
                <w:szCs w:val="24"/>
              </w:rPr>
            </w:pPr>
          </w:p>
          <w:p>
            <w:pPr>
              <w:spacing w:line="360" w:lineRule="auto"/>
              <w:ind w:firstLine="482" w:firstLineChars="200"/>
              <w:jc w:val="center"/>
              <w:rPr>
                <w:rFonts w:ascii="Times New Roman" w:hAnsi="Times New Roman" w:eastAsia="宋体" w:cs="Times New Roman"/>
                <w:b/>
                <w:bCs/>
                <w:color w:val="auto"/>
                <w:sz w:val="24"/>
                <w:szCs w:val="24"/>
              </w:rPr>
            </w:pPr>
          </w:p>
          <w:p>
            <w:pPr>
              <w:spacing w:line="360" w:lineRule="auto"/>
              <w:ind w:firstLine="482" w:firstLineChars="200"/>
              <w:jc w:val="center"/>
              <w:rPr>
                <w:rFonts w:ascii="Times New Roman" w:hAnsi="Times New Roman" w:eastAsia="宋体" w:cs="Times New Roman"/>
                <w:b/>
                <w:bCs/>
                <w:color w:val="auto"/>
                <w:sz w:val="24"/>
                <w:szCs w:val="24"/>
              </w:rPr>
            </w:pPr>
          </w:p>
          <w:p>
            <w:pPr>
              <w:spacing w:line="360" w:lineRule="auto"/>
              <w:ind w:firstLine="482" w:firstLineChars="200"/>
              <w:jc w:val="center"/>
              <w:rPr>
                <w:rFonts w:ascii="Times New Roman" w:hAnsi="Times New Roman" w:eastAsia="宋体" w:cs="Times New Roman"/>
                <w:b/>
                <w:bCs/>
                <w:color w:val="auto"/>
                <w:sz w:val="24"/>
                <w:szCs w:val="24"/>
              </w:rPr>
            </w:pPr>
          </w:p>
          <w:p>
            <w:pPr>
              <w:spacing w:line="360" w:lineRule="auto"/>
              <w:ind w:firstLine="482" w:firstLineChars="200"/>
              <w:jc w:val="center"/>
              <w:rPr>
                <w:rFonts w:ascii="Times New Roman" w:hAnsi="Times New Roman" w:eastAsia="宋体" w:cs="Times New Roman"/>
                <w:b/>
                <w:bCs/>
                <w:color w:val="auto"/>
                <w:sz w:val="24"/>
                <w:szCs w:val="24"/>
              </w:rPr>
            </w:pPr>
          </w:p>
          <w:p>
            <w:pPr>
              <w:spacing w:line="360" w:lineRule="auto"/>
              <w:ind w:firstLine="482" w:firstLineChars="200"/>
              <w:jc w:val="center"/>
              <w:rPr>
                <w:rFonts w:ascii="Times New Roman" w:hAnsi="Times New Roman" w:eastAsia="宋体" w:cs="Times New Roman"/>
                <w:b/>
                <w:bCs/>
                <w:color w:val="auto"/>
                <w:sz w:val="24"/>
                <w:szCs w:val="24"/>
              </w:rPr>
            </w:pPr>
          </w:p>
          <w:p>
            <w:pPr>
              <w:spacing w:line="360" w:lineRule="auto"/>
              <w:ind w:firstLine="482" w:firstLineChars="200"/>
              <w:jc w:val="center"/>
              <w:rPr>
                <w:rFonts w:ascii="Times New Roman" w:hAnsi="Times New Roman" w:eastAsia="宋体" w:cs="Times New Roman"/>
                <w:b/>
                <w:bCs/>
                <w:color w:val="auto"/>
                <w:sz w:val="24"/>
                <w:szCs w:val="24"/>
              </w:rPr>
            </w:pPr>
          </w:p>
          <w:p>
            <w:pPr>
              <w:spacing w:line="360" w:lineRule="auto"/>
              <w:ind w:firstLine="482" w:firstLineChars="200"/>
              <w:jc w:val="center"/>
              <w:rPr>
                <w:rFonts w:ascii="Times New Roman" w:hAnsi="Times New Roman" w:eastAsia="宋体" w:cs="Times New Roman"/>
                <w:b/>
                <w:bCs/>
                <w:color w:val="auto"/>
                <w:sz w:val="24"/>
                <w:szCs w:val="24"/>
              </w:rPr>
            </w:pPr>
          </w:p>
          <w:p>
            <w:pPr>
              <w:spacing w:line="360" w:lineRule="auto"/>
              <w:ind w:firstLine="482" w:firstLineChars="200"/>
              <w:jc w:val="center"/>
              <w:rPr>
                <w:rFonts w:ascii="Times New Roman" w:hAnsi="Times New Roman" w:eastAsia="宋体" w:cs="Times New Roman"/>
                <w:b/>
                <w:bCs/>
                <w:color w:val="auto"/>
                <w:sz w:val="24"/>
                <w:szCs w:val="24"/>
              </w:rPr>
            </w:pPr>
          </w:p>
          <w:p>
            <w:pPr>
              <w:spacing w:line="360" w:lineRule="auto"/>
              <w:ind w:firstLine="482" w:firstLineChars="200"/>
              <w:jc w:val="center"/>
              <w:rPr>
                <w:rFonts w:ascii="Times New Roman" w:hAnsi="Times New Roman" w:eastAsia="宋体" w:cs="Times New Roman"/>
                <w:b/>
                <w:bCs/>
                <w:color w:val="auto"/>
                <w:sz w:val="24"/>
                <w:szCs w:val="24"/>
              </w:rPr>
            </w:pPr>
          </w:p>
          <w:p>
            <w:pPr>
              <w:spacing w:line="360" w:lineRule="auto"/>
              <w:ind w:firstLine="482" w:firstLineChars="200"/>
              <w:jc w:val="center"/>
              <w:rPr>
                <w:rFonts w:ascii="Times New Roman" w:hAnsi="Times New Roman" w:eastAsia="宋体" w:cs="Times New Roman"/>
                <w:b/>
                <w:bCs/>
                <w:color w:val="auto"/>
                <w:sz w:val="24"/>
                <w:szCs w:val="24"/>
              </w:rPr>
            </w:pPr>
          </w:p>
          <w:p>
            <w:pPr>
              <w:spacing w:line="360" w:lineRule="auto"/>
              <w:ind w:firstLine="482" w:firstLineChars="200"/>
              <w:jc w:val="center"/>
              <w:rPr>
                <w:rFonts w:ascii="Times New Roman" w:hAnsi="Times New Roman" w:eastAsia="宋体" w:cs="Times New Roman"/>
                <w:b/>
                <w:bCs/>
                <w:color w:val="auto"/>
                <w:sz w:val="24"/>
                <w:szCs w:val="24"/>
              </w:rPr>
            </w:pPr>
          </w:p>
          <w:p>
            <w:pPr>
              <w:spacing w:line="360" w:lineRule="auto"/>
              <w:ind w:firstLine="482" w:firstLineChars="200"/>
              <w:jc w:val="center"/>
              <w:rPr>
                <w:rFonts w:ascii="Times New Roman" w:hAnsi="Times New Roman" w:eastAsia="宋体" w:cs="Times New Roman"/>
                <w:b/>
                <w:bCs/>
                <w:color w:val="auto"/>
                <w:sz w:val="24"/>
                <w:szCs w:val="24"/>
              </w:rPr>
            </w:pPr>
          </w:p>
          <w:p>
            <w:pPr>
              <w:spacing w:line="360" w:lineRule="auto"/>
              <w:ind w:firstLine="482" w:firstLineChars="200"/>
              <w:jc w:val="center"/>
              <w:rPr>
                <w:rFonts w:ascii="Times New Roman" w:hAnsi="Times New Roman" w:eastAsia="宋体" w:cs="Times New Roman"/>
                <w:b/>
                <w:bCs/>
                <w:color w:val="auto"/>
                <w:sz w:val="24"/>
                <w:szCs w:val="24"/>
              </w:rPr>
            </w:pPr>
          </w:p>
          <w:p>
            <w:pPr>
              <w:spacing w:line="360" w:lineRule="auto"/>
              <w:ind w:firstLine="482" w:firstLineChars="200"/>
              <w:jc w:val="center"/>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图</w:t>
            </w:r>
            <w:r>
              <w:rPr>
                <w:rFonts w:hint="eastAsia" w:cs="Times New Roman"/>
                <w:b/>
                <w:bCs/>
                <w:color w:val="auto"/>
                <w:sz w:val="24"/>
                <w:szCs w:val="24"/>
                <w:lang w:val="en-US" w:eastAsia="zh-CN"/>
              </w:rPr>
              <w:t>1-2</w:t>
            </w:r>
            <w:r>
              <w:rPr>
                <w:rFonts w:ascii="Times New Roman" w:hAnsi="Times New Roman" w:eastAsia="宋体" w:cs="Times New Roman"/>
                <w:b/>
                <w:bCs/>
                <w:color w:val="auto"/>
                <w:sz w:val="24"/>
                <w:szCs w:val="24"/>
              </w:rPr>
              <w:t xml:space="preserve">  项目</w:t>
            </w:r>
            <w:r>
              <w:rPr>
                <w:rFonts w:hint="eastAsia" w:cs="Times New Roman"/>
                <w:b/>
                <w:bCs/>
                <w:color w:val="auto"/>
                <w:sz w:val="24"/>
                <w:szCs w:val="24"/>
                <w:lang w:val="en-US" w:eastAsia="zh-CN"/>
              </w:rPr>
              <w:t>淡季</w:t>
            </w:r>
            <w:r>
              <w:rPr>
                <w:rFonts w:ascii="Times New Roman" w:hAnsi="Times New Roman" w:eastAsia="宋体" w:cs="Times New Roman"/>
                <w:b/>
                <w:bCs/>
                <w:color w:val="auto"/>
                <w:sz w:val="24"/>
                <w:szCs w:val="24"/>
              </w:rPr>
              <w:t>水平衡图    单位m</w:t>
            </w:r>
            <w:r>
              <w:rPr>
                <w:rFonts w:ascii="Times New Roman" w:hAnsi="Times New Roman" w:eastAsia="宋体" w:cs="Times New Roman"/>
                <w:b/>
                <w:bCs/>
                <w:color w:val="auto"/>
                <w:sz w:val="24"/>
                <w:szCs w:val="24"/>
                <w:vertAlign w:val="superscript"/>
              </w:rPr>
              <w:t>3</w:t>
            </w:r>
            <w:r>
              <w:rPr>
                <w:rFonts w:ascii="Times New Roman" w:hAnsi="Times New Roman" w:eastAsia="宋体" w:cs="Times New Roman"/>
                <w:b/>
                <w:bCs/>
                <w:color w:val="auto"/>
                <w:sz w:val="24"/>
                <w:szCs w:val="24"/>
              </w:rPr>
              <w:t>/d</w:t>
            </w:r>
          </w:p>
          <w:p>
            <w:pPr>
              <w:spacing w:line="360" w:lineRule="auto"/>
              <w:ind w:firstLine="482" w:firstLineChars="200"/>
              <w:rPr>
                <w:rFonts w:hint="eastAsia"/>
                <w:b/>
                <w:color w:val="auto"/>
                <w:sz w:val="24"/>
                <w:lang w:val="en-US" w:eastAsia="zh-CN"/>
              </w:rPr>
            </w:pPr>
            <w:r>
              <w:rPr>
                <w:rFonts w:hint="eastAsia"/>
                <w:b/>
                <w:color w:val="auto"/>
                <w:sz w:val="24"/>
                <w:lang w:val="en-US" w:eastAsia="zh-CN"/>
              </w:rPr>
              <w:t>9、劳动定员及工作制度</w:t>
            </w:r>
          </w:p>
          <w:p>
            <w:pPr>
              <w:spacing w:line="360" w:lineRule="auto"/>
              <w:ind w:firstLine="480" w:firstLineChars="200"/>
              <w:rPr>
                <w:b/>
                <w:color w:val="auto"/>
                <w:kern w:val="0"/>
                <w:sz w:val="24"/>
              </w:rPr>
            </w:pPr>
            <w:r>
              <w:rPr>
                <w:rFonts w:hint="eastAsia"/>
                <w:color w:val="auto"/>
                <w:sz w:val="24"/>
              </w:rPr>
              <w:t>项目员工为</w:t>
            </w:r>
            <w:r>
              <w:rPr>
                <w:rFonts w:hint="eastAsia"/>
                <w:color w:val="auto"/>
                <w:sz w:val="24"/>
                <w:lang w:val="en-US" w:eastAsia="zh-CN"/>
              </w:rPr>
              <w:t>1000</w:t>
            </w:r>
            <w:r>
              <w:rPr>
                <w:rFonts w:hint="eastAsia"/>
                <w:color w:val="auto"/>
                <w:sz w:val="24"/>
              </w:rPr>
              <w:t>人，年工作3</w:t>
            </w:r>
            <w:r>
              <w:rPr>
                <w:color w:val="auto"/>
                <w:sz w:val="24"/>
              </w:rPr>
              <w:t>65</w:t>
            </w:r>
            <w:r>
              <w:rPr>
                <w:rFonts w:hint="eastAsia"/>
                <w:color w:val="auto"/>
                <w:sz w:val="24"/>
              </w:rPr>
              <w:t>天，工作时间：淡季（1</w:t>
            </w:r>
            <w:r>
              <w:rPr>
                <w:color w:val="auto"/>
                <w:sz w:val="24"/>
              </w:rPr>
              <w:t>1</w:t>
            </w:r>
            <w:r>
              <w:rPr>
                <w:rFonts w:hint="eastAsia"/>
                <w:color w:val="auto"/>
                <w:sz w:val="24"/>
              </w:rPr>
              <w:t>月~次年4月）：0</w:t>
            </w:r>
            <w:r>
              <w:rPr>
                <w:color w:val="auto"/>
                <w:sz w:val="24"/>
              </w:rPr>
              <w:t>9</w:t>
            </w:r>
            <w:r>
              <w:rPr>
                <w:rFonts w:hint="eastAsia"/>
                <w:color w:val="auto"/>
                <w:sz w:val="24"/>
              </w:rPr>
              <w:t>:</w:t>
            </w:r>
            <w:r>
              <w:rPr>
                <w:color w:val="auto"/>
                <w:sz w:val="24"/>
              </w:rPr>
              <w:t>30</w:t>
            </w:r>
            <w:r>
              <w:rPr>
                <w:rFonts w:hint="eastAsia"/>
                <w:color w:val="auto"/>
                <w:sz w:val="24"/>
              </w:rPr>
              <w:t>~</w:t>
            </w:r>
            <w:r>
              <w:rPr>
                <w:color w:val="auto"/>
                <w:sz w:val="24"/>
              </w:rPr>
              <w:t>18</w:t>
            </w:r>
            <w:r>
              <w:rPr>
                <w:rFonts w:hint="eastAsia"/>
                <w:color w:val="auto"/>
                <w:sz w:val="24"/>
              </w:rPr>
              <w:t>:</w:t>
            </w:r>
            <w:r>
              <w:rPr>
                <w:color w:val="auto"/>
                <w:sz w:val="24"/>
              </w:rPr>
              <w:t>00</w:t>
            </w:r>
            <w:r>
              <w:rPr>
                <w:rFonts w:hint="eastAsia"/>
                <w:color w:val="auto"/>
                <w:sz w:val="24"/>
              </w:rPr>
              <w:t>，旺季（5月~</w:t>
            </w:r>
            <w:r>
              <w:rPr>
                <w:color w:val="auto"/>
                <w:sz w:val="24"/>
              </w:rPr>
              <w:t>10</w:t>
            </w:r>
            <w:r>
              <w:rPr>
                <w:rFonts w:hint="eastAsia"/>
                <w:color w:val="auto"/>
                <w:sz w:val="24"/>
              </w:rPr>
              <w:t>月）：0</w:t>
            </w:r>
            <w:r>
              <w:rPr>
                <w:color w:val="auto"/>
                <w:sz w:val="24"/>
              </w:rPr>
              <w:t>9</w:t>
            </w:r>
            <w:r>
              <w:rPr>
                <w:rFonts w:hint="eastAsia"/>
                <w:color w:val="auto"/>
                <w:sz w:val="24"/>
              </w:rPr>
              <w:t>:</w:t>
            </w:r>
            <w:r>
              <w:rPr>
                <w:color w:val="auto"/>
                <w:sz w:val="24"/>
              </w:rPr>
              <w:t>30</w:t>
            </w:r>
            <w:r>
              <w:rPr>
                <w:rFonts w:hint="eastAsia"/>
                <w:color w:val="auto"/>
                <w:sz w:val="24"/>
              </w:rPr>
              <w:t>~</w:t>
            </w:r>
            <w:r>
              <w:rPr>
                <w:color w:val="auto"/>
                <w:sz w:val="24"/>
              </w:rPr>
              <w:t>22</w:t>
            </w:r>
            <w:r>
              <w:rPr>
                <w:rFonts w:hint="eastAsia"/>
                <w:color w:val="auto"/>
                <w:sz w:val="24"/>
              </w:rPr>
              <w:t>:</w:t>
            </w:r>
            <w:r>
              <w:rPr>
                <w:color w:val="auto"/>
                <w:sz w:val="24"/>
              </w:rPr>
              <w:t>00</w:t>
            </w:r>
            <w:r>
              <w:rPr>
                <w:rFonts w:hint="eastAsia"/>
                <w:color w:val="auto"/>
                <w:sz w:val="24"/>
                <w:shd w:val="clear" w:color="auto" w:fill="FFFFFF"/>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9" w:hRule="atLeast"/>
          <w:jc w:val="center"/>
        </w:trPr>
        <w:tc>
          <w:tcPr>
            <w:tcW w:w="712" w:type="dxa"/>
            <w:vAlign w:val="center"/>
          </w:tcPr>
          <w:p>
            <w:pPr>
              <w:adjustRightInd w:val="0"/>
              <w:snapToGrid w:val="0"/>
              <w:jc w:val="center"/>
              <w:rPr>
                <w:rFonts w:ascii="宋体" w:hAnsi="宋体" w:cs="宋体"/>
                <w:color w:val="auto"/>
                <w:kern w:val="0"/>
                <w:sz w:val="24"/>
              </w:rPr>
            </w:pPr>
            <w:r>
              <w:rPr>
                <w:rFonts w:hint="eastAsia" w:ascii="宋体" w:hAnsi="宋体" w:cs="宋体"/>
                <w:color w:val="auto"/>
                <w:kern w:val="0"/>
                <w:sz w:val="24"/>
              </w:rPr>
              <w:t>总平面及现场布置</w:t>
            </w:r>
          </w:p>
        </w:tc>
        <w:tc>
          <w:tcPr>
            <w:tcW w:w="8408" w:type="dxa"/>
            <w:vAlign w:val="center"/>
          </w:tcPr>
          <w:p>
            <w:pPr>
              <w:adjustRightInd w:val="0"/>
              <w:snapToGrid w:val="0"/>
              <w:spacing w:line="360" w:lineRule="auto"/>
              <w:ind w:firstLine="482" w:firstLineChars="200"/>
              <w:rPr>
                <w:rFonts w:ascii="宋体" w:hAnsi="宋体" w:cs="宋体"/>
                <w:b/>
                <w:bCs/>
                <w:color w:val="auto"/>
                <w:kern w:val="0"/>
                <w:sz w:val="24"/>
              </w:rPr>
            </w:pPr>
            <w:r>
              <w:rPr>
                <w:rFonts w:hint="eastAsia" w:ascii="宋体" w:hAnsi="宋体" w:cs="宋体"/>
                <w:b/>
                <w:bCs/>
                <w:color w:val="auto"/>
                <w:kern w:val="0"/>
                <w:sz w:val="24"/>
              </w:rPr>
              <w:t>1、工作布局情况</w:t>
            </w:r>
          </w:p>
          <w:p>
            <w:pPr>
              <w:tabs>
                <w:tab w:val="left" w:pos="2100"/>
              </w:tabs>
              <w:spacing w:line="360" w:lineRule="auto"/>
              <w:ind w:firstLine="480" w:firstLineChars="200"/>
              <w:rPr>
                <w:rFonts w:hint="eastAsia"/>
                <w:color w:val="auto"/>
                <w:sz w:val="24"/>
                <w:lang w:val="en-US" w:eastAsia="zh-CN"/>
              </w:rPr>
            </w:pPr>
            <w:r>
              <w:rPr>
                <w:rFonts w:hint="eastAsia"/>
                <w:color w:val="auto"/>
                <w:sz w:val="24"/>
                <w:lang w:val="en-US" w:eastAsia="zh-CN"/>
              </w:rPr>
              <w:t>本项目包括主城堡、六个主题区、中心园林及配套设施，主城堡位于乐园南侧入口处，为童世界文化旅游项目的标志性建筑物，同时布设乐园主入口、游客服务中心。璀璨中华区位于乐园东侧，包括13个游乐设施单体建筑；神秘古国区位于乐园北侧，包括5个游乐设施单体建筑；漫游海洋区位于乐园北侧，包括3个游乐设施单体建筑；穿越太空区位于乐园西北侧，包括3个游乐设施单体建筑；探险南美区位于乐园西侧，包括3个游乐设施单体建筑；魔幻西欧区位于乐园西南侧，包括7个游乐设施单体建筑。</w:t>
            </w:r>
          </w:p>
          <w:p>
            <w:pPr>
              <w:tabs>
                <w:tab w:val="left" w:pos="2100"/>
              </w:tabs>
              <w:spacing w:line="360" w:lineRule="auto"/>
              <w:ind w:firstLine="480" w:firstLineChars="200"/>
              <w:rPr>
                <w:rFonts w:hint="eastAsia"/>
                <w:color w:val="auto"/>
                <w:sz w:val="24"/>
                <w:szCs w:val="24"/>
                <w:lang w:val="en-US" w:eastAsia="zh-CN"/>
              </w:rPr>
            </w:pPr>
            <w:r>
              <w:rPr>
                <w:rFonts w:hint="eastAsia"/>
                <w:color w:val="auto"/>
                <w:sz w:val="24"/>
                <w:lang w:val="en-US" w:eastAsia="zh-CN"/>
              </w:rPr>
              <w:t>魔幻西欧区西侧布设动力中心C，璀璨中华区东侧布设动力中心A与动力中心B，动力中心内主要布设中央空调主机、冷却塔等设施；乐园东北角布设智轨车站，乐园西北角布设员工综合办公楼，10座垃圾房分布于乐园四周，乐园中部布设中央园林，其中，零星分布售卖亭、景观亭及公共卫生间，主城堡地下1-2层布设停车场，地上车位分布于主城堡、办公楼区域。</w:t>
            </w:r>
            <w:r>
              <w:rPr>
                <w:rFonts w:hint="eastAsia"/>
                <w:color w:val="auto"/>
                <w:sz w:val="24"/>
                <w:szCs w:val="24"/>
                <w:lang w:val="en-US" w:eastAsia="zh-CN"/>
              </w:rPr>
              <w:t>单体梦幻屋负1层、单体情景激流勇进屋面、主城堡负1层布设水泵房及消防水池。</w:t>
            </w:r>
          </w:p>
          <w:p>
            <w:pPr>
              <w:spacing w:line="360" w:lineRule="auto"/>
              <w:ind w:firstLine="480" w:firstLineChars="200"/>
              <w:rPr>
                <w:rFonts w:ascii="Times New Roman" w:hAnsi="Times New Roman" w:eastAsia="宋体" w:cs="Times New Roman"/>
                <w:color w:val="auto"/>
                <w:sz w:val="24"/>
                <w:szCs w:val="24"/>
              </w:rPr>
            </w:pPr>
            <w:r>
              <w:rPr>
                <w:rFonts w:hint="eastAsia"/>
                <w:color w:val="auto"/>
                <w:sz w:val="24"/>
                <w:lang w:val="en-US" w:eastAsia="zh-CN"/>
              </w:rPr>
              <w:t>项目总平面布置图见附图3。</w:t>
            </w:r>
            <w:r>
              <w:rPr>
                <w:rFonts w:hint="eastAsia" w:ascii="Times New Roman" w:hAnsi="Times New Roman" w:eastAsia="宋体" w:cs="Times New Roman"/>
                <w:color w:val="auto"/>
                <w:sz w:val="24"/>
                <w:szCs w:val="24"/>
              </w:rPr>
              <w:t>项目建筑综合技术经济指标表见表</w:t>
            </w:r>
            <w:r>
              <w:rPr>
                <w:rFonts w:hint="eastAsia" w:cs="Times New Roman"/>
                <w:color w:val="auto"/>
                <w:sz w:val="24"/>
                <w:szCs w:val="24"/>
                <w:lang w:val="en-US" w:eastAsia="zh-CN"/>
              </w:rPr>
              <w:t>10</w:t>
            </w:r>
            <w:r>
              <w:rPr>
                <w:rFonts w:hint="eastAsia" w:ascii="Times New Roman" w:hAnsi="Times New Roman" w:eastAsia="宋体" w:cs="Times New Roman"/>
                <w:color w:val="auto"/>
                <w:sz w:val="24"/>
                <w:szCs w:val="24"/>
              </w:rPr>
              <w:t>。</w:t>
            </w:r>
          </w:p>
          <w:p>
            <w:pPr>
              <w:widowControl w:val="0"/>
              <w:snapToGrid w:val="0"/>
              <w:spacing w:line="360" w:lineRule="auto"/>
              <w:jc w:val="center"/>
              <w:rPr>
                <w:rFonts w:hint="eastAsia" w:ascii="Times New Roman" w:hAnsi="Times New Roman" w:eastAsia="黑体" w:cs="Times New Roman"/>
                <w:color w:val="auto"/>
                <w:sz w:val="24"/>
                <w:szCs w:val="24"/>
              </w:rPr>
            </w:pPr>
            <w:r>
              <w:rPr>
                <w:rFonts w:hint="eastAsia" w:ascii="Times New Roman" w:hAnsi="Times New Roman" w:eastAsia="黑体" w:cs="Times New Roman"/>
                <w:color w:val="auto"/>
                <w:sz w:val="24"/>
                <w:szCs w:val="24"/>
              </w:rPr>
              <w:t>表</w:t>
            </w:r>
            <w:r>
              <w:rPr>
                <w:rFonts w:hint="eastAsia" w:eastAsia="黑体" w:cs="Times New Roman"/>
                <w:color w:val="auto"/>
                <w:sz w:val="24"/>
                <w:szCs w:val="24"/>
                <w:lang w:val="en-US" w:eastAsia="zh-CN"/>
              </w:rPr>
              <w:t>10</w:t>
            </w:r>
            <w:r>
              <w:rPr>
                <w:rFonts w:hint="eastAsia" w:ascii="Times New Roman" w:hAnsi="Times New Roman" w:eastAsia="黑体" w:cs="Times New Roman"/>
                <w:color w:val="auto"/>
                <w:sz w:val="24"/>
                <w:szCs w:val="24"/>
              </w:rPr>
              <w:t xml:space="preserve">   </w:t>
            </w:r>
            <w:r>
              <w:rPr>
                <w:rFonts w:hint="eastAsia" w:eastAsia="黑体" w:cs="Times New Roman"/>
                <w:color w:val="auto"/>
                <w:sz w:val="24"/>
                <w:szCs w:val="24"/>
                <w:lang w:val="en-US" w:eastAsia="zh-CN"/>
              </w:rPr>
              <w:t xml:space="preserve"> </w:t>
            </w:r>
            <w:r>
              <w:rPr>
                <w:rFonts w:hint="eastAsia" w:ascii="Times New Roman" w:hAnsi="Times New Roman" w:eastAsia="黑体" w:cs="Times New Roman"/>
                <w:color w:val="auto"/>
                <w:sz w:val="24"/>
                <w:szCs w:val="24"/>
              </w:rPr>
              <w:t xml:space="preserve">项目建筑综合技术经济指标表 </w:t>
            </w:r>
          </w:p>
          <w:tbl>
            <w:tblPr>
              <w:tblStyle w:val="25"/>
              <w:tblW w:w="786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530"/>
              <w:gridCol w:w="1020"/>
              <w:gridCol w:w="1730"/>
              <w:gridCol w:w="273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849" w:type="dxa"/>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eastAsia="zh-CN"/>
                    </w:rPr>
                  </w:pPr>
                  <w:r>
                    <w:rPr>
                      <w:rFonts w:hint="eastAsia" w:cs="Times New Roman"/>
                      <w:color w:val="auto"/>
                      <w:sz w:val="21"/>
                      <w:szCs w:val="21"/>
                      <w:lang w:val="en-US" w:eastAsia="zh-CN"/>
                    </w:rPr>
                    <w:t>序号</w:t>
                  </w:r>
                </w:p>
              </w:tc>
              <w:tc>
                <w:tcPr>
                  <w:tcW w:w="1530" w:type="dxa"/>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eastAsia="zh-CN"/>
                    </w:rPr>
                  </w:pPr>
                  <w:r>
                    <w:rPr>
                      <w:rFonts w:hint="eastAsia" w:cs="Times New Roman"/>
                      <w:color w:val="auto"/>
                      <w:sz w:val="21"/>
                      <w:szCs w:val="21"/>
                      <w:lang w:val="en-US" w:eastAsia="zh-CN"/>
                    </w:rPr>
                    <w:t>项目</w:t>
                  </w:r>
                </w:p>
              </w:tc>
              <w:tc>
                <w:tcPr>
                  <w:tcW w:w="1020" w:type="dxa"/>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单位</w:t>
                  </w:r>
                </w:p>
              </w:tc>
              <w:tc>
                <w:tcPr>
                  <w:tcW w:w="1730" w:type="dxa"/>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数值</w:t>
                  </w:r>
                </w:p>
              </w:tc>
              <w:tc>
                <w:tcPr>
                  <w:tcW w:w="2733" w:type="dxa"/>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849"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Times New Roman" w:hAnsi="Times New Roman" w:eastAsia="宋体" w:cs="Times New Roman"/>
                      <w:color w:val="auto"/>
                      <w:sz w:val="21"/>
                      <w:szCs w:val="21"/>
                    </w:rPr>
                  </w:pPr>
                  <w:r>
                    <w:rPr>
                      <w:rFonts w:hint="eastAsia"/>
                      <w:color w:val="auto"/>
                      <w:sz w:val="21"/>
                      <w:szCs w:val="21"/>
                      <w:lang w:val="en-US" w:eastAsia="zh-CN"/>
                    </w:rPr>
                    <w:t>1</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eastAsia="zh-CN"/>
                    </w:rPr>
                  </w:pPr>
                  <w:r>
                    <w:rPr>
                      <w:rFonts w:hint="eastAsia" w:cs="Times New Roman"/>
                      <w:color w:val="auto"/>
                      <w:kern w:val="0"/>
                      <w:sz w:val="21"/>
                      <w:szCs w:val="21"/>
                      <w:lang w:val="en-US" w:eastAsia="zh-CN" w:bidi="ar"/>
                    </w:rPr>
                    <w:t>总用地面积</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Times New Roman" w:hAnsi="Times New Roman" w:eastAsia="宋体" w:cs="Times New Roman"/>
                      <w:color w:val="auto"/>
                      <w:kern w:val="0"/>
                      <w:sz w:val="21"/>
                      <w:szCs w:val="21"/>
                      <w:lang w:val="en-US" w:eastAsia="zh-CN" w:bidi="ar"/>
                    </w:rPr>
                  </w:pPr>
                  <w:r>
                    <w:rPr>
                      <w:rFonts w:hint="eastAsia" w:cs="Times New Roman"/>
                      <w:color w:val="auto"/>
                      <w:kern w:val="0"/>
                      <w:sz w:val="21"/>
                      <w:szCs w:val="21"/>
                      <w:lang w:val="en-US" w:eastAsia="zh-CN" w:bidi="ar"/>
                    </w:rPr>
                    <w:t>m</w:t>
                  </w:r>
                  <w:r>
                    <w:rPr>
                      <w:rFonts w:hint="eastAsia" w:cs="Times New Roman"/>
                      <w:color w:val="auto"/>
                      <w:kern w:val="0"/>
                      <w:sz w:val="21"/>
                      <w:szCs w:val="21"/>
                      <w:vertAlign w:val="superscript"/>
                      <w:lang w:val="en-US" w:eastAsia="zh-CN" w:bidi="ar"/>
                    </w:rPr>
                    <w:t>2</w:t>
                  </w:r>
                </w:p>
              </w:tc>
              <w:tc>
                <w:tcPr>
                  <w:tcW w:w="173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eastAsia="zh-CN"/>
                    </w:rPr>
                  </w:pPr>
                  <w:r>
                    <w:rPr>
                      <w:rFonts w:hint="eastAsia" w:cs="Times New Roman"/>
                      <w:color w:val="auto"/>
                      <w:kern w:val="0"/>
                      <w:sz w:val="21"/>
                      <w:szCs w:val="21"/>
                      <w:lang w:val="en-US" w:eastAsia="zh-CN" w:bidi="ar"/>
                    </w:rPr>
                    <w:t>809104.7</w:t>
                  </w:r>
                </w:p>
              </w:tc>
              <w:tc>
                <w:tcPr>
                  <w:tcW w:w="2733"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Times New Roman" w:hAnsi="Times New Roman" w:eastAsia="宋体" w:cs="Times New Roman"/>
                      <w:color w:val="auto"/>
                      <w:kern w:val="0"/>
                      <w:sz w:val="21"/>
                      <w:szCs w:val="21"/>
                      <w:lang w:val="en-US" w:eastAsia="zh-CN" w:bidi="ar"/>
                    </w:rPr>
                  </w:pPr>
                  <w:r>
                    <w:rPr>
                      <w:rFonts w:hint="eastAsia" w:cs="Times New Roman"/>
                      <w:color w:val="auto"/>
                      <w:kern w:val="0"/>
                      <w:sz w:val="21"/>
                      <w:szCs w:val="21"/>
                      <w:lang w:val="en-US" w:eastAsia="zh-CN"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849"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Times New Roman" w:hAnsi="Times New Roman" w:eastAsia="宋体" w:cs="Times New Roman"/>
                      <w:color w:val="auto"/>
                      <w:sz w:val="21"/>
                      <w:szCs w:val="21"/>
                    </w:rPr>
                  </w:pPr>
                  <w:r>
                    <w:rPr>
                      <w:rFonts w:hint="eastAsia"/>
                      <w:color w:val="auto"/>
                      <w:sz w:val="21"/>
                      <w:szCs w:val="21"/>
                      <w:lang w:val="en-US" w:eastAsia="zh-CN"/>
                    </w:rPr>
                    <w:t>2</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eastAsia="zh-CN"/>
                    </w:rPr>
                  </w:pPr>
                  <w:r>
                    <w:rPr>
                      <w:rFonts w:hint="eastAsia" w:cs="Times New Roman"/>
                      <w:color w:val="auto"/>
                      <w:kern w:val="0"/>
                      <w:sz w:val="21"/>
                      <w:szCs w:val="21"/>
                      <w:lang w:val="en-US" w:eastAsia="zh-CN" w:bidi="ar"/>
                    </w:rPr>
                    <w:t>建筑面积</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Times New Roman" w:hAnsi="Times New Roman" w:eastAsia="宋体" w:cs="Times New Roman"/>
                      <w:color w:val="auto"/>
                      <w:kern w:val="0"/>
                      <w:sz w:val="21"/>
                      <w:szCs w:val="21"/>
                      <w:lang w:val="en-US" w:eastAsia="zh-CN" w:bidi="ar"/>
                    </w:rPr>
                  </w:pPr>
                  <w:r>
                    <w:rPr>
                      <w:rFonts w:hint="eastAsia" w:cs="Times New Roman"/>
                      <w:color w:val="auto"/>
                      <w:kern w:val="0"/>
                      <w:sz w:val="21"/>
                      <w:szCs w:val="21"/>
                      <w:lang w:val="en-US" w:eastAsia="zh-CN" w:bidi="ar"/>
                    </w:rPr>
                    <w:t>m</w:t>
                  </w:r>
                  <w:r>
                    <w:rPr>
                      <w:rFonts w:hint="eastAsia" w:cs="Times New Roman"/>
                      <w:color w:val="auto"/>
                      <w:kern w:val="0"/>
                      <w:sz w:val="21"/>
                      <w:szCs w:val="21"/>
                      <w:vertAlign w:val="superscript"/>
                      <w:lang w:val="en-US" w:eastAsia="zh-CN" w:bidi="ar"/>
                    </w:rPr>
                    <w:t>2</w:t>
                  </w:r>
                </w:p>
              </w:tc>
              <w:tc>
                <w:tcPr>
                  <w:tcW w:w="173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eastAsia="zh-CN"/>
                    </w:rPr>
                  </w:pPr>
                  <w:r>
                    <w:rPr>
                      <w:rFonts w:hint="eastAsia" w:cs="Times New Roman"/>
                      <w:color w:val="auto"/>
                      <w:kern w:val="0"/>
                      <w:sz w:val="21"/>
                      <w:szCs w:val="21"/>
                      <w:lang w:val="en-US" w:eastAsia="zh-CN" w:bidi="ar"/>
                    </w:rPr>
                    <w:t>405942.6</w:t>
                  </w:r>
                </w:p>
              </w:tc>
              <w:tc>
                <w:tcPr>
                  <w:tcW w:w="2733" w:type="dxa"/>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s="Times New Roman"/>
                      <w:color w:val="auto"/>
                      <w:kern w:val="0"/>
                      <w:sz w:val="21"/>
                      <w:szCs w:val="21"/>
                      <w:lang w:val="en-US" w:eastAsia="zh-CN" w:bidi="ar"/>
                    </w:rPr>
                  </w:pPr>
                  <w:r>
                    <w:rPr>
                      <w:rFonts w:hint="eastAsia" w:cs="Times New Roman"/>
                      <w:color w:val="auto"/>
                      <w:kern w:val="0"/>
                      <w:sz w:val="21"/>
                      <w:szCs w:val="21"/>
                      <w:lang w:val="en-US" w:eastAsia="zh-CN" w:bidi="ar"/>
                    </w:rPr>
                    <w:t>地上建筑面积：290346.79m</w:t>
                  </w:r>
                  <w:r>
                    <w:rPr>
                      <w:rFonts w:hint="eastAsia" w:cs="Times New Roman"/>
                      <w:color w:val="auto"/>
                      <w:kern w:val="0"/>
                      <w:sz w:val="21"/>
                      <w:szCs w:val="21"/>
                      <w:vertAlign w:val="superscript"/>
                      <w:lang w:val="en-US" w:eastAsia="zh-CN" w:bidi="ar"/>
                    </w:rPr>
                    <w:t>2</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lang w:val="en-US" w:eastAsia="zh-CN"/>
                    </w:rPr>
                  </w:pPr>
                  <w:r>
                    <w:rPr>
                      <w:rFonts w:hint="eastAsia" w:cs="Times New Roman"/>
                      <w:color w:val="auto"/>
                      <w:kern w:val="0"/>
                      <w:sz w:val="21"/>
                      <w:szCs w:val="21"/>
                      <w:lang w:val="en-US" w:eastAsia="zh-CN" w:bidi="ar"/>
                    </w:rPr>
                    <w:t>地下建筑面积：115595.81m</w:t>
                  </w:r>
                  <w:r>
                    <w:rPr>
                      <w:rFonts w:hint="eastAsia" w:cs="Times New Roman"/>
                      <w:color w:val="auto"/>
                      <w:kern w:val="0"/>
                      <w:sz w:val="21"/>
                      <w:szCs w:val="21"/>
                      <w:vertAlign w:val="superscript"/>
                      <w:lang w:val="en-US" w:eastAsia="zh-CN" w:bidi="ar"/>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849"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Times New Roman" w:hAnsi="Times New Roman" w:eastAsia="宋体" w:cs="Times New Roman"/>
                      <w:color w:val="auto"/>
                      <w:sz w:val="21"/>
                      <w:szCs w:val="21"/>
                    </w:rPr>
                  </w:pPr>
                  <w:r>
                    <w:rPr>
                      <w:rFonts w:hint="eastAsia"/>
                      <w:color w:val="auto"/>
                      <w:sz w:val="21"/>
                      <w:szCs w:val="21"/>
                      <w:lang w:val="en-US" w:eastAsia="zh-CN"/>
                    </w:rPr>
                    <w:t>3</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eastAsia="zh-CN"/>
                    </w:rPr>
                  </w:pPr>
                  <w:r>
                    <w:rPr>
                      <w:rFonts w:hint="eastAsia" w:cs="Times New Roman"/>
                      <w:color w:val="auto"/>
                      <w:kern w:val="0"/>
                      <w:sz w:val="21"/>
                      <w:szCs w:val="21"/>
                      <w:lang w:val="en-US" w:eastAsia="zh-CN" w:bidi="ar"/>
                    </w:rPr>
                    <w:t>建筑密度</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w:t>
                  </w:r>
                </w:p>
              </w:tc>
              <w:tc>
                <w:tcPr>
                  <w:tcW w:w="173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eastAsia="zh-CN"/>
                    </w:rPr>
                  </w:pPr>
                  <w:r>
                    <w:rPr>
                      <w:rFonts w:hint="eastAsia" w:cs="Times New Roman"/>
                      <w:color w:val="auto"/>
                      <w:kern w:val="0"/>
                      <w:sz w:val="21"/>
                      <w:szCs w:val="21"/>
                      <w:lang w:val="en-US" w:eastAsia="zh-CN" w:bidi="ar"/>
                    </w:rPr>
                    <w:t>25.61</w:t>
                  </w:r>
                </w:p>
              </w:tc>
              <w:tc>
                <w:tcPr>
                  <w:tcW w:w="2733" w:type="dxa"/>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Times New Roman" w:hAnsi="Times New Roman" w:eastAsia="宋体" w:cs="Times New Roman"/>
                      <w:color w:val="auto"/>
                      <w:kern w:val="0"/>
                      <w:sz w:val="21"/>
                      <w:szCs w:val="21"/>
                      <w:lang w:val="en-US" w:eastAsia="zh-CN" w:bidi="ar"/>
                    </w:rPr>
                  </w:pPr>
                  <w:r>
                    <w:rPr>
                      <w:rFonts w:hint="eastAsia" w:cs="Times New Roman"/>
                      <w:color w:val="auto"/>
                      <w:kern w:val="0"/>
                      <w:sz w:val="21"/>
                      <w:szCs w:val="21"/>
                      <w:lang w:val="en-US" w:eastAsia="zh-CN"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849"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Times New Roman" w:hAnsi="Times New Roman" w:eastAsia="宋体" w:cs="Times New Roman"/>
                      <w:color w:val="auto"/>
                      <w:sz w:val="21"/>
                      <w:szCs w:val="21"/>
                    </w:rPr>
                  </w:pPr>
                  <w:r>
                    <w:rPr>
                      <w:rFonts w:hint="eastAsia"/>
                      <w:color w:val="auto"/>
                      <w:sz w:val="21"/>
                      <w:szCs w:val="21"/>
                      <w:lang w:val="en-US" w:eastAsia="zh-CN"/>
                    </w:rPr>
                    <w:t>4</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eastAsia="zh-CN"/>
                    </w:rPr>
                  </w:pPr>
                  <w:r>
                    <w:rPr>
                      <w:rFonts w:hint="eastAsia" w:cs="Times New Roman"/>
                      <w:color w:val="auto"/>
                      <w:kern w:val="0"/>
                      <w:sz w:val="21"/>
                      <w:szCs w:val="21"/>
                      <w:lang w:val="en-US" w:eastAsia="zh-CN" w:bidi="ar"/>
                    </w:rPr>
                    <w:t>容积率</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Times New Roman" w:hAnsi="Times New Roman" w:eastAsia="宋体" w:cs="Times New Roman"/>
                      <w:color w:val="auto"/>
                      <w:kern w:val="0"/>
                      <w:sz w:val="21"/>
                      <w:szCs w:val="21"/>
                      <w:lang w:val="en-US" w:eastAsia="zh-CN" w:bidi="ar"/>
                    </w:rPr>
                  </w:pPr>
                  <w:r>
                    <w:rPr>
                      <w:rFonts w:hint="eastAsia" w:cs="Times New Roman"/>
                      <w:color w:val="auto"/>
                      <w:kern w:val="0"/>
                      <w:sz w:val="21"/>
                      <w:szCs w:val="21"/>
                      <w:lang w:val="en-US" w:eastAsia="zh-CN" w:bidi="ar"/>
                    </w:rPr>
                    <w:t>/</w:t>
                  </w:r>
                </w:p>
              </w:tc>
              <w:tc>
                <w:tcPr>
                  <w:tcW w:w="173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eastAsia="zh-CN"/>
                    </w:rPr>
                  </w:pPr>
                  <w:r>
                    <w:rPr>
                      <w:rFonts w:hint="eastAsia" w:cs="Times New Roman"/>
                      <w:color w:val="auto"/>
                      <w:kern w:val="0"/>
                      <w:sz w:val="21"/>
                      <w:szCs w:val="21"/>
                      <w:lang w:val="en-US" w:eastAsia="zh-CN" w:bidi="ar"/>
                    </w:rPr>
                    <w:t>0.36</w:t>
                  </w:r>
                </w:p>
              </w:tc>
              <w:tc>
                <w:tcPr>
                  <w:tcW w:w="2733" w:type="dxa"/>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Times New Roman" w:hAnsi="Times New Roman" w:eastAsia="宋体" w:cs="Times New Roman"/>
                      <w:color w:val="auto"/>
                      <w:kern w:val="0"/>
                      <w:sz w:val="21"/>
                      <w:szCs w:val="21"/>
                      <w:lang w:val="en-US" w:eastAsia="zh-CN" w:bidi="ar"/>
                    </w:rPr>
                  </w:pPr>
                  <w:r>
                    <w:rPr>
                      <w:rFonts w:hint="eastAsia" w:cs="Times New Roman"/>
                      <w:color w:val="auto"/>
                      <w:kern w:val="0"/>
                      <w:sz w:val="21"/>
                      <w:szCs w:val="21"/>
                      <w:lang w:val="en-US" w:eastAsia="zh-CN"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849"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Times New Roman" w:hAnsi="Times New Roman" w:eastAsia="宋体" w:cs="Times New Roman"/>
                      <w:color w:val="auto"/>
                      <w:kern w:val="0"/>
                      <w:sz w:val="21"/>
                      <w:szCs w:val="21"/>
                      <w:lang w:bidi="ar"/>
                    </w:rPr>
                  </w:pPr>
                  <w:r>
                    <w:rPr>
                      <w:rFonts w:hint="eastAsia"/>
                      <w:color w:val="auto"/>
                      <w:sz w:val="21"/>
                      <w:szCs w:val="21"/>
                      <w:lang w:val="en-US" w:eastAsia="zh-CN"/>
                    </w:rPr>
                    <w:t>5</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Times New Roman" w:hAnsi="Times New Roman" w:eastAsia="宋体" w:cs="Times New Roman"/>
                      <w:color w:val="auto"/>
                      <w:kern w:val="0"/>
                      <w:sz w:val="21"/>
                      <w:szCs w:val="21"/>
                      <w:lang w:eastAsia="zh-CN" w:bidi="ar"/>
                    </w:rPr>
                  </w:pPr>
                  <w:r>
                    <w:rPr>
                      <w:rFonts w:hint="eastAsia" w:cs="Times New Roman"/>
                      <w:color w:val="auto"/>
                      <w:sz w:val="21"/>
                      <w:szCs w:val="21"/>
                      <w:lang w:val="en-US" w:eastAsia="zh-CN"/>
                    </w:rPr>
                    <w:t>绿地面积</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m</w:t>
                  </w:r>
                  <w:r>
                    <w:rPr>
                      <w:rFonts w:hint="eastAsia" w:cs="Times New Roman"/>
                      <w:color w:val="auto"/>
                      <w:sz w:val="21"/>
                      <w:szCs w:val="21"/>
                      <w:vertAlign w:val="superscript"/>
                      <w:lang w:val="en-US" w:eastAsia="zh-CN"/>
                    </w:rPr>
                    <w:t>2</w:t>
                  </w:r>
                </w:p>
              </w:tc>
              <w:tc>
                <w:tcPr>
                  <w:tcW w:w="173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Times New Roman" w:hAnsi="Times New Roman" w:eastAsia="宋体" w:cs="Times New Roman"/>
                      <w:color w:val="auto"/>
                      <w:kern w:val="0"/>
                      <w:sz w:val="21"/>
                      <w:szCs w:val="21"/>
                      <w:lang w:eastAsia="zh-CN" w:bidi="ar"/>
                    </w:rPr>
                  </w:pPr>
                  <w:r>
                    <w:rPr>
                      <w:rFonts w:hint="eastAsia" w:cs="Times New Roman"/>
                      <w:color w:val="auto"/>
                      <w:kern w:val="0"/>
                      <w:sz w:val="21"/>
                      <w:szCs w:val="21"/>
                      <w:lang w:val="en-US" w:eastAsia="zh-CN" w:bidi="ar"/>
                    </w:rPr>
                    <w:t>283186.65</w:t>
                  </w:r>
                </w:p>
              </w:tc>
              <w:tc>
                <w:tcPr>
                  <w:tcW w:w="2733" w:type="dxa"/>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Times New Roman" w:hAnsi="Times New Roman" w:eastAsia="宋体" w:cs="Times New Roman"/>
                      <w:color w:val="auto"/>
                      <w:kern w:val="0"/>
                      <w:sz w:val="21"/>
                      <w:szCs w:val="21"/>
                      <w:lang w:val="en-US" w:eastAsia="zh-CN" w:bidi="ar"/>
                    </w:rPr>
                  </w:pPr>
                  <w:r>
                    <w:rPr>
                      <w:rFonts w:hint="eastAsia" w:cs="Times New Roman"/>
                      <w:color w:val="auto"/>
                      <w:kern w:val="0"/>
                      <w:sz w:val="21"/>
                      <w:szCs w:val="21"/>
                      <w:lang w:val="en-US" w:eastAsia="zh-CN" w:bidi="ar"/>
                    </w:rPr>
                    <w:t>绿化率35</w:t>
                  </w:r>
                  <w:r>
                    <w:rPr>
                      <w:rFonts w:hint="eastAsia" w:ascii="宋体" w:hAnsi="宋体" w:eastAsia="宋体" w:cs="宋体"/>
                      <w:color w:val="auto"/>
                      <w:kern w:val="0"/>
                      <w:sz w:val="21"/>
                      <w:szCs w:val="21"/>
                      <w:lang w:val="en-US" w:eastAsia="zh-CN"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849"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s="Times New Roman"/>
                      <w:color w:val="auto"/>
                      <w:kern w:val="0"/>
                      <w:sz w:val="21"/>
                      <w:szCs w:val="21"/>
                      <w:lang w:val="en-US" w:eastAsia="zh-CN" w:bidi="ar"/>
                    </w:rPr>
                  </w:pPr>
                  <w:r>
                    <w:rPr>
                      <w:rFonts w:hint="eastAsia" w:cs="Times New Roman"/>
                      <w:color w:val="auto"/>
                      <w:kern w:val="0"/>
                      <w:sz w:val="21"/>
                      <w:szCs w:val="21"/>
                      <w:lang w:val="en-US" w:eastAsia="zh-CN" w:bidi="ar"/>
                    </w:rPr>
                    <w:t>6</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s="Times New Roman"/>
                      <w:color w:val="auto"/>
                      <w:kern w:val="0"/>
                      <w:sz w:val="21"/>
                      <w:szCs w:val="21"/>
                      <w:lang w:val="en-US" w:eastAsia="zh-CN" w:bidi="ar"/>
                    </w:rPr>
                  </w:pPr>
                  <w:r>
                    <w:rPr>
                      <w:rFonts w:hint="eastAsia" w:cs="Times New Roman"/>
                      <w:color w:val="auto"/>
                      <w:kern w:val="0"/>
                      <w:sz w:val="21"/>
                      <w:szCs w:val="21"/>
                      <w:lang w:val="en-US" w:eastAsia="zh-CN" w:bidi="ar"/>
                    </w:rPr>
                    <w:t>机动车停车位</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s="Times New Roman"/>
                      <w:color w:val="auto"/>
                      <w:kern w:val="0"/>
                      <w:sz w:val="21"/>
                      <w:szCs w:val="21"/>
                      <w:lang w:val="en-US" w:eastAsia="zh-CN" w:bidi="ar"/>
                    </w:rPr>
                  </w:pPr>
                  <w:r>
                    <w:rPr>
                      <w:rFonts w:hint="eastAsia" w:cs="Times New Roman"/>
                      <w:color w:val="auto"/>
                      <w:kern w:val="0"/>
                      <w:sz w:val="21"/>
                      <w:szCs w:val="21"/>
                      <w:lang w:val="en-US" w:eastAsia="zh-CN" w:bidi="ar"/>
                    </w:rPr>
                    <w:t>个</w:t>
                  </w:r>
                </w:p>
              </w:tc>
              <w:tc>
                <w:tcPr>
                  <w:tcW w:w="173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s="Times New Roman"/>
                      <w:color w:val="auto"/>
                      <w:kern w:val="0"/>
                      <w:sz w:val="21"/>
                      <w:szCs w:val="21"/>
                      <w:lang w:val="en-US" w:eastAsia="zh-CN" w:bidi="ar"/>
                    </w:rPr>
                  </w:pPr>
                  <w:r>
                    <w:rPr>
                      <w:rFonts w:hint="eastAsia" w:cs="Times New Roman"/>
                      <w:color w:val="auto"/>
                      <w:kern w:val="0"/>
                      <w:sz w:val="21"/>
                      <w:szCs w:val="21"/>
                      <w:lang w:val="en-US" w:eastAsia="zh-CN" w:bidi="ar"/>
                    </w:rPr>
                    <w:t>1721</w:t>
                  </w:r>
                </w:p>
              </w:tc>
              <w:tc>
                <w:tcPr>
                  <w:tcW w:w="2733" w:type="dxa"/>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s="Times New Roman"/>
                      <w:color w:val="auto"/>
                      <w:kern w:val="0"/>
                      <w:sz w:val="21"/>
                      <w:szCs w:val="21"/>
                      <w:lang w:val="en-US" w:eastAsia="zh-CN" w:bidi="ar"/>
                    </w:rPr>
                  </w:pPr>
                  <w:r>
                    <w:rPr>
                      <w:rFonts w:hint="eastAsia" w:cs="Times New Roman"/>
                      <w:color w:val="auto"/>
                      <w:kern w:val="0"/>
                      <w:sz w:val="21"/>
                      <w:szCs w:val="21"/>
                      <w:lang w:val="en-US" w:eastAsia="zh-CN" w:bidi="ar"/>
                    </w:rPr>
                    <w:t>地下：1682个</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s="Times New Roman"/>
                      <w:color w:val="auto"/>
                      <w:kern w:val="0"/>
                      <w:sz w:val="21"/>
                      <w:szCs w:val="21"/>
                      <w:lang w:val="en-US" w:eastAsia="zh-CN" w:bidi="ar"/>
                    </w:rPr>
                  </w:pPr>
                  <w:r>
                    <w:rPr>
                      <w:rFonts w:hint="eastAsia" w:cs="Times New Roman"/>
                      <w:color w:val="auto"/>
                      <w:kern w:val="0"/>
                      <w:sz w:val="21"/>
                      <w:szCs w:val="21"/>
                      <w:lang w:val="en-US" w:eastAsia="zh-CN" w:bidi="ar"/>
                    </w:rPr>
                    <w:t>地上：39个</w:t>
                  </w:r>
                </w:p>
              </w:tc>
            </w:tr>
          </w:tbl>
          <w:p>
            <w:pPr>
              <w:adjustRightInd w:val="0"/>
              <w:snapToGrid w:val="0"/>
              <w:spacing w:line="360" w:lineRule="auto"/>
              <w:ind w:firstLine="482" w:firstLineChars="200"/>
              <w:rPr>
                <w:rFonts w:ascii="宋体" w:hAnsi="宋体" w:cs="宋体"/>
                <w:b/>
                <w:bCs/>
                <w:color w:val="auto"/>
                <w:kern w:val="0"/>
                <w:sz w:val="24"/>
              </w:rPr>
            </w:pPr>
            <w:r>
              <w:rPr>
                <w:rFonts w:hint="eastAsia" w:ascii="宋体" w:hAnsi="宋体" w:cs="宋体"/>
                <w:b/>
                <w:bCs/>
                <w:color w:val="auto"/>
                <w:kern w:val="0"/>
                <w:sz w:val="24"/>
              </w:rPr>
              <w:t>2、施工布置情况</w:t>
            </w:r>
          </w:p>
          <w:p>
            <w:pPr>
              <w:spacing w:line="360" w:lineRule="auto"/>
              <w:ind w:firstLine="480" w:firstLineChars="200"/>
              <w:rPr>
                <w:rFonts w:hint="eastAsia" w:ascii="宋体" w:hAnsi="宋体"/>
                <w:color w:val="auto"/>
                <w:sz w:val="24"/>
              </w:rPr>
            </w:pPr>
            <w:r>
              <w:rPr>
                <w:rFonts w:hint="eastAsia"/>
                <w:color w:val="auto"/>
                <w:sz w:val="24"/>
              </w:rPr>
              <w:t>（1）施工交通</w:t>
            </w:r>
          </w:p>
          <w:p>
            <w:pPr>
              <w:spacing w:line="360" w:lineRule="auto"/>
              <w:ind w:firstLine="480" w:firstLineChars="200"/>
              <w:rPr>
                <w:rFonts w:hint="eastAsia"/>
                <w:color w:val="auto"/>
                <w:sz w:val="24"/>
              </w:rPr>
            </w:pPr>
            <w:r>
              <w:rPr>
                <w:rFonts w:hint="eastAsia" w:ascii="宋体" w:hAnsi="宋体"/>
                <w:color w:val="auto"/>
                <w:sz w:val="24"/>
              </w:rPr>
              <w:t>①</w:t>
            </w:r>
            <w:r>
              <w:rPr>
                <w:rFonts w:hint="eastAsia"/>
                <w:color w:val="auto"/>
                <w:sz w:val="24"/>
              </w:rPr>
              <w:t>对外交通道路</w:t>
            </w:r>
          </w:p>
          <w:p>
            <w:pPr>
              <w:spacing w:line="360" w:lineRule="auto"/>
              <w:ind w:firstLine="480" w:firstLineChars="200"/>
              <w:rPr>
                <w:rFonts w:hint="eastAsia" w:ascii="宋体" w:hAnsi="宋体"/>
                <w:color w:val="auto"/>
                <w:sz w:val="24"/>
              </w:rPr>
            </w:pPr>
            <w:r>
              <w:rPr>
                <w:rFonts w:hint="eastAsia"/>
                <w:color w:val="auto"/>
                <w:sz w:val="24"/>
              </w:rPr>
              <w:t>对外施工运输道路依托现有的</w:t>
            </w:r>
            <w:r>
              <w:rPr>
                <w:rFonts w:hint="eastAsia"/>
                <w:color w:val="auto"/>
                <w:sz w:val="24"/>
                <w:lang w:val="en-US" w:eastAsia="zh-CN"/>
              </w:rPr>
              <w:t>沣泾大道</w:t>
            </w:r>
            <w:r>
              <w:rPr>
                <w:rFonts w:hint="eastAsia"/>
                <w:color w:val="auto"/>
                <w:sz w:val="24"/>
              </w:rPr>
              <w:t>，</w:t>
            </w:r>
            <w:r>
              <w:rPr>
                <w:rFonts w:hint="eastAsia"/>
                <w:color w:val="auto"/>
                <w:sz w:val="24"/>
                <w:lang w:val="en-US" w:eastAsia="zh-CN"/>
              </w:rPr>
              <w:t>为城市主干道，</w:t>
            </w:r>
            <w:r>
              <w:rPr>
                <w:rFonts w:hint="eastAsia"/>
                <w:color w:val="auto"/>
                <w:sz w:val="24"/>
              </w:rPr>
              <w:t>可满足本工程施工</w:t>
            </w:r>
            <w:r>
              <w:rPr>
                <w:rFonts w:hint="eastAsia"/>
                <w:color w:val="auto"/>
                <w:sz w:val="24"/>
                <w:lang w:val="en-US" w:eastAsia="zh-CN"/>
              </w:rPr>
              <w:t>运输</w:t>
            </w:r>
            <w:r>
              <w:rPr>
                <w:rFonts w:hint="eastAsia"/>
                <w:color w:val="auto"/>
                <w:sz w:val="24"/>
              </w:rPr>
              <w:t>需要。</w:t>
            </w:r>
          </w:p>
          <w:p>
            <w:pPr>
              <w:spacing w:line="360" w:lineRule="auto"/>
              <w:ind w:firstLine="480" w:firstLineChars="200"/>
              <w:rPr>
                <w:rFonts w:hint="eastAsia"/>
                <w:color w:val="auto"/>
                <w:sz w:val="24"/>
              </w:rPr>
            </w:pPr>
            <w:r>
              <w:rPr>
                <w:rFonts w:hint="eastAsia" w:ascii="宋体" w:hAnsi="宋体"/>
                <w:color w:val="auto"/>
                <w:sz w:val="24"/>
              </w:rPr>
              <w:t>②</w:t>
            </w:r>
            <w:r>
              <w:rPr>
                <w:rFonts w:hint="eastAsia"/>
                <w:color w:val="auto"/>
                <w:sz w:val="24"/>
              </w:rPr>
              <w:t>场内施工道路</w:t>
            </w:r>
          </w:p>
          <w:p>
            <w:pPr>
              <w:spacing w:line="360" w:lineRule="auto"/>
              <w:ind w:firstLine="480" w:firstLineChars="200"/>
              <w:rPr>
                <w:rFonts w:hint="eastAsia"/>
                <w:color w:val="auto"/>
                <w:sz w:val="24"/>
                <w:lang w:val="en-US" w:eastAsia="zh-CN"/>
              </w:rPr>
            </w:pPr>
            <w:r>
              <w:rPr>
                <w:rFonts w:hint="eastAsia"/>
                <w:color w:val="auto"/>
                <w:sz w:val="24"/>
              </w:rPr>
              <w:t>场内交通需修建</w:t>
            </w:r>
            <w:r>
              <w:rPr>
                <w:rFonts w:hint="eastAsia"/>
                <w:color w:val="auto"/>
                <w:sz w:val="24"/>
                <w:lang w:val="en-US" w:eastAsia="zh-CN"/>
              </w:rPr>
              <w:t>施工道路</w:t>
            </w:r>
            <w:r>
              <w:rPr>
                <w:rFonts w:hint="eastAsia"/>
                <w:color w:val="auto"/>
                <w:sz w:val="24"/>
              </w:rPr>
              <w:t>满足工程</w:t>
            </w:r>
            <w:r>
              <w:rPr>
                <w:rFonts w:hint="eastAsia"/>
                <w:color w:val="auto"/>
                <w:sz w:val="24"/>
                <w:lang w:val="en-US" w:eastAsia="zh-CN"/>
              </w:rPr>
              <w:t>管理要求，</w:t>
            </w:r>
            <w:r>
              <w:rPr>
                <w:rFonts w:hint="eastAsia"/>
                <w:color w:val="auto"/>
                <w:sz w:val="24"/>
              </w:rPr>
              <w:t>后期</w:t>
            </w:r>
            <w:r>
              <w:rPr>
                <w:rFonts w:hint="eastAsia"/>
                <w:color w:val="auto"/>
                <w:sz w:val="24"/>
                <w:lang w:val="en-US" w:eastAsia="zh-CN"/>
              </w:rPr>
              <w:t>可作为营运期永久道路。道路长6.04km，均为新建道路。</w:t>
            </w:r>
          </w:p>
          <w:p>
            <w:pPr>
              <w:spacing w:line="360" w:lineRule="auto"/>
              <w:ind w:firstLine="480" w:firstLineChars="200"/>
              <w:rPr>
                <w:rFonts w:hint="eastAsia"/>
                <w:color w:val="auto"/>
                <w:sz w:val="24"/>
              </w:rPr>
            </w:pPr>
            <w:r>
              <w:rPr>
                <w:rFonts w:hint="eastAsia"/>
                <w:color w:val="auto"/>
                <w:sz w:val="24"/>
              </w:rPr>
              <w:t>（2）施工总布置</w:t>
            </w:r>
          </w:p>
          <w:p>
            <w:pPr>
              <w:spacing w:line="360" w:lineRule="auto"/>
              <w:ind w:firstLine="480" w:firstLineChars="200"/>
              <w:rPr>
                <w:rFonts w:hint="eastAsia"/>
                <w:color w:val="auto"/>
                <w:sz w:val="24"/>
                <w:lang w:val="en-US" w:eastAsia="zh-CN"/>
              </w:rPr>
            </w:pPr>
            <w:r>
              <w:rPr>
                <w:rFonts w:hint="eastAsia"/>
                <w:color w:val="auto"/>
                <w:sz w:val="24"/>
              </w:rPr>
              <w:t>根据本工程特点，</w:t>
            </w:r>
            <w:r>
              <w:rPr>
                <w:rFonts w:hint="eastAsia"/>
                <w:color w:val="auto"/>
                <w:sz w:val="24"/>
                <w:lang w:val="en-US" w:eastAsia="zh-CN"/>
              </w:rPr>
              <w:t>施工辅助企业分散于园区各个分区内，包括钢筋加工车间、木材加工车间、原辅料堆放区。</w:t>
            </w:r>
          </w:p>
          <w:p>
            <w:pPr>
              <w:spacing w:line="360" w:lineRule="auto"/>
              <w:ind w:firstLine="482"/>
              <w:rPr>
                <w:rFonts w:hint="eastAsia"/>
                <w:color w:val="auto"/>
                <w:sz w:val="24"/>
              </w:rPr>
            </w:pPr>
            <w:r>
              <w:rPr>
                <w:rFonts w:hint="eastAsia"/>
                <w:color w:val="auto"/>
                <w:sz w:val="24"/>
              </w:rPr>
              <w:t>由于项目工程量较大，施工人员众多，施工期</w:t>
            </w:r>
            <w:r>
              <w:rPr>
                <w:rFonts w:hint="eastAsia"/>
                <w:color w:val="auto"/>
                <w:sz w:val="24"/>
                <w:lang w:val="en-US" w:eastAsia="zh-CN"/>
              </w:rPr>
              <w:t>需</w:t>
            </w:r>
            <w:r>
              <w:rPr>
                <w:rFonts w:hint="eastAsia"/>
                <w:color w:val="auto"/>
                <w:sz w:val="24"/>
              </w:rPr>
              <w:t>自建</w:t>
            </w:r>
            <w:r>
              <w:rPr>
                <w:rFonts w:hint="eastAsia"/>
                <w:color w:val="auto"/>
                <w:sz w:val="24"/>
                <w:lang w:val="en-US" w:eastAsia="zh-CN"/>
              </w:rPr>
              <w:t>2个</w:t>
            </w:r>
            <w:r>
              <w:rPr>
                <w:rFonts w:hint="eastAsia"/>
                <w:color w:val="auto"/>
                <w:sz w:val="24"/>
              </w:rPr>
              <w:t>施工营地。</w:t>
            </w:r>
            <w:r>
              <w:rPr>
                <w:rFonts w:hint="eastAsia"/>
                <w:color w:val="auto"/>
                <w:sz w:val="24"/>
                <w:lang w:val="en-US" w:eastAsia="zh-CN"/>
              </w:rPr>
              <w:t>施工营地包括施工人员办公室、宿舍、卫生间等设施，</w:t>
            </w:r>
            <w:r>
              <w:rPr>
                <w:rFonts w:hint="eastAsia"/>
                <w:color w:val="auto"/>
                <w:sz w:val="24"/>
              </w:rPr>
              <w:t>可满足施工需求。该施工营地</w:t>
            </w:r>
            <w:r>
              <w:rPr>
                <w:rFonts w:hint="eastAsia"/>
                <w:color w:val="auto"/>
                <w:sz w:val="24"/>
                <w:lang w:val="en-US" w:eastAsia="zh-CN"/>
              </w:rPr>
              <w:t>分别</w:t>
            </w:r>
            <w:r>
              <w:rPr>
                <w:rFonts w:hint="eastAsia"/>
                <w:color w:val="auto"/>
                <w:sz w:val="24"/>
              </w:rPr>
              <w:t>位于项目区域西北角</w:t>
            </w:r>
            <w:r>
              <w:rPr>
                <w:rFonts w:hint="eastAsia"/>
                <w:color w:val="auto"/>
                <w:sz w:val="24"/>
                <w:lang w:val="en-US" w:eastAsia="zh-CN"/>
              </w:rPr>
              <w:t>与东南角。</w:t>
            </w:r>
          </w:p>
          <w:p>
            <w:pPr>
              <w:spacing w:line="360" w:lineRule="auto"/>
              <w:ind w:firstLine="480" w:firstLineChars="200"/>
              <w:rPr>
                <w:rFonts w:ascii="宋体" w:hAnsi="宋体" w:cs="宋体"/>
                <w:b/>
                <w:bCs/>
                <w:color w:val="auto"/>
                <w:kern w:val="0"/>
                <w:sz w:val="24"/>
              </w:rPr>
            </w:pPr>
            <w:r>
              <w:rPr>
                <w:rFonts w:hint="eastAsia"/>
                <w:color w:val="auto"/>
                <w:sz w:val="24"/>
              </w:rPr>
              <w:t>工程施工总平面布置见图</w:t>
            </w:r>
            <w:r>
              <w:rPr>
                <w:rFonts w:hint="eastAsia"/>
                <w:color w:val="auto"/>
                <w:sz w:val="24"/>
                <w:lang w:val="en-US" w:eastAsia="zh-CN"/>
              </w:rPr>
              <w:t>4</w:t>
            </w:r>
            <w:r>
              <w:rPr>
                <w:rFonts w:hint="eastAsia"/>
                <w:color w:val="auto"/>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701" w:hRule="atLeast"/>
          <w:jc w:val="center"/>
        </w:trPr>
        <w:tc>
          <w:tcPr>
            <w:tcW w:w="712" w:type="dxa"/>
            <w:vAlign w:val="center"/>
          </w:tcPr>
          <w:p>
            <w:pPr>
              <w:adjustRightInd w:val="0"/>
              <w:snapToGrid w:val="0"/>
              <w:jc w:val="center"/>
              <w:rPr>
                <w:rFonts w:ascii="宋体" w:hAnsi="宋体" w:cs="宋体"/>
                <w:color w:val="auto"/>
                <w:kern w:val="0"/>
                <w:sz w:val="24"/>
              </w:rPr>
            </w:pPr>
            <w:r>
              <w:rPr>
                <w:rFonts w:hint="eastAsia" w:ascii="宋体" w:hAnsi="宋体" w:cs="宋体"/>
                <w:color w:val="auto"/>
                <w:kern w:val="0"/>
                <w:sz w:val="24"/>
              </w:rPr>
              <w:t>施工方案</w:t>
            </w:r>
          </w:p>
        </w:tc>
        <w:tc>
          <w:tcPr>
            <w:tcW w:w="8408" w:type="dxa"/>
            <w:vAlign w:val="center"/>
          </w:tcPr>
          <w:p>
            <w:pPr>
              <w:spacing w:line="360" w:lineRule="auto"/>
              <w:ind w:firstLine="482"/>
              <w:rPr>
                <w:rFonts w:hint="default"/>
                <w:b/>
                <w:bCs/>
                <w:color w:val="auto"/>
                <w:sz w:val="24"/>
                <w:lang w:val="en-US" w:eastAsia="zh-CN"/>
              </w:rPr>
            </w:pPr>
            <w:r>
              <w:rPr>
                <w:rFonts w:hint="default"/>
                <w:b/>
                <w:bCs/>
                <w:color w:val="auto"/>
                <w:sz w:val="24"/>
                <w:lang w:val="en-US" w:eastAsia="zh-CN"/>
              </w:rPr>
              <w:t>1、施工工艺</w:t>
            </w:r>
          </w:p>
          <w:p>
            <w:pPr>
              <w:adjustRightInd w:val="0"/>
              <w:snapToGrid w:val="0"/>
              <w:spacing w:line="360" w:lineRule="auto"/>
              <w:ind w:firstLine="480" w:firstLineChars="200"/>
              <w:rPr>
                <w:rFonts w:hint="default" w:ascii="Times New Roman" w:hAnsi="Times New Roman" w:cs="Times New Roman"/>
                <w:color w:val="auto"/>
                <w:kern w:val="0"/>
                <w:sz w:val="24"/>
              </w:rPr>
            </w:pPr>
            <w:r>
              <w:rPr>
                <w:rFonts w:hint="default" w:ascii="Times New Roman" w:hAnsi="Times New Roman" w:cs="Times New Roman"/>
                <w:color w:val="auto"/>
                <w:kern w:val="0"/>
                <w:sz w:val="24"/>
              </w:rPr>
              <w:t>本项目施工工艺及产物环节见图</w:t>
            </w:r>
            <w:r>
              <w:rPr>
                <w:rFonts w:hint="eastAsia" w:cs="Times New Roman"/>
                <w:color w:val="auto"/>
                <w:kern w:val="0"/>
                <w:sz w:val="24"/>
                <w:lang w:val="en-US" w:eastAsia="zh-CN"/>
              </w:rPr>
              <w:t>1</w:t>
            </w:r>
            <w:r>
              <w:rPr>
                <w:rFonts w:hint="default" w:ascii="Times New Roman" w:hAnsi="Times New Roman" w:cs="Times New Roman"/>
                <w:color w:val="auto"/>
                <w:kern w:val="0"/>
                <w:sz w:val="24"/>
              </w:rPr>
              <w:t>-</w:t>
            </w:r>
            <w:r>
              <w:rPr>
                <w:rFonts w:hint="eastAsia" w:cs="Times New Roman"/>
                <w:color w:val="auto"/>
                <w:kern w:val="0"/>
                <w:sz w:val="24"/>
                <w:lang w:val="en-US" w:eastAsia="zh-CN"/>
              </w:rPr>
              <w:t>3</w:t>
            </w:r>
            <w:r>
              <w:rPr>
                <w:rFonts w:hint="default" w:ascii="Times New Roman" w:hAnsi="Times New Roman" w:cs="Times New Roman"/>
                <w:color w:val="auto"/>
                <w:kern w:val="0"/>
                <w:sz w:val="24"/>
              </w:rPr>
              <w:t>。</w:t>
            </w:r>
          </w:p>
          <w:p>
            <w:pPr>
              <w:spacing w:line="360" w:lineRule="auto"/>
              <w:ind w:firstLine="482"/>
              <w:rPr>
                <w:rFonts w:hint="eastAsia"/>
                <w:b/>
                <w:bCs/>
                <w:color w:val="auto"/>
                <w:sz w:val="24"/>
                <w:lang w:val="en-US" w:eastAsia="zh-CN"/>
              </w:rPr>
            </w:pPr>
            <w:r>
              <w:rPr>
                <w:rFonts w:eastAsia="黑体"/>
                <w:b/>
                <w:color w:val="auto"/>
                <w:sz w:val="24"/>
                <w:szCs w:val="20"/>
                <w:lang w:val="zh-CN"/>
              </w:rPr>
              <w:drawing>
                <wp:anchor distT="0" distB="0" distL="114300" distR="114300" simplePos="0" relativeHeight="251692032" behindDoc="1" locked="0" layoutInCell="1" allowOverlap="1">
                  <wp:simplePos x="0" y="0"/>
                  <wp:positionH relativeFrom="column">
                    <wp:posOffset>83820</wp:posOffset>
                  </wp:positionH>
                  <wp:positionV relativeFrom="paragraph">
                    <wp:posOffset>71755</wp:posOffset>
                  </wp:positionV>
                  <wp:extent cx="4741545" cy="1509395"/>
                  <wp:effectExtent l="0" t="0" r="33655" b="40005"/>
                  <wp:wrapTight wrapText="bothSides">
                    <wp:wrapPolygon>
                      <wp:start x="0" y="0"/>
                      <wp:lineTo x="0" y="21446"/>
                      <wp:lineTo x="21522" y="21446"/>
                      <wp:lineTo x="21522" y="0"/>
                      <wp:lineTo x="0" y="0"/>
                    </wp:wrapPolygon>
                  </wp:wrapTight>
                  <wp:docPr id="1" name="图片 1" descr="施工期工艺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施工期工艺流程图"/>
                          <pic:cNvPicPr>
                            <a:picLocks noChangeAspect="1"/>
                          </pic:cNvPicPr>
                        </pic:nvPicPr>
                        <pic:blipFill>
                          <a:blip r:embed="rId12"/>
                          <a:stretch>
                            <a:fillRect/>
                          </a:stretch>
                        </pic:blipFill>
                        <pic:spPr>
                          <a:xfrm>
                            <a:off x="0" y="0"/>
                            <a:ext cx="4741545" cy="1509395"/>
                          </a:xfrm>
                          <a:prstGeom prst="rect">
                            <a:avLst/>
                          </a:prstGeom>
                        </pic:spPr>
                      </pic:pic>
                    </a:graphicData>
                  </a:graphic>
                </wp:anchor>
              </w:drawing>
            </w:r>
          </w:p>
          <w:p>
            <w:pPr>
              <w:adjustRightInd w:val="0"/>
              <w:snapToGrid w:val="0"/>
              <w:spacing w:line="360" w:lineRule="auto"/>
              <w:jc w:val="center"/>
              <w:rPr>
                <w:rFonts w:hint="eastAsia" w:hAnsi="宋体"/>
                <w:b/>
                <w:color w:val="auto"/>
                <w:kern w:val="0"/>
                <w:sz w:val="24"/>
              </w:rPr>
            </w:pPr>
          </w:p>
          <w:p>
            <w:pPr>
              <w:adjustRightInd w:val="0"/>
              <w:snapToGrid w:val="0"/>
              <w:spacing w:line="360" w:lineRule="auto"/>
              <w:jc w:val="center"/>
              <w:rPr>
                <w:rFonts w:hint="eastAsia" w:hAnsi="宋体"/>
                <w:b/>
                <w:color w:val="auto"/>
                <w:kern w:val="0"/>
                <w:sz w:val="24"/>
              </w:rPr>
            </w:pPr>
          </w:p>
          <w:p>
            <w:pPr>
              <w:adjustRightInd w:val="0"/>
              <w:snapToGrid w:val="0"/>
              <w:spacing w:line="360" w:lineRule="auto"/>
              <w:jc w:val="center"/>
              <w:rPr>
                <w:rFonts w:hint="eastAsia" w:hAnsi="宋体"/>
                <w:b/>
                <w:color w:val="auto"/>
                <w:kern w:val="0"/>
                <w:sz w:val="24"/>
              </w:rPr>
            </w:pPr>
          </w:p>
          <w:p>
            <w:pPr>
              <w:adjustRightInd w:val="0"/>
              <w:snapToGrid w:val="0"/>
              <w:spacing w:line="360" w:lineRule="auto"/>
              <w:jc w:val="center"/>
              <w:rPr>
                <w:rFonts w:hint="eastAsia" w:hAnsi="宋体"/>
                <w:b/>
                <w:color w:val="auto"/>
                <w:kern w:val="0"/>
                <w:sz w:val="24"/>
              </w:rPr>
            </w:pPr>
          </w:p>
          <w:p>
            <w:pPr>
              <w:adjustRightInd w:val="0"/>
              <w:snapToGrid w:val="0"/>
              <w:spacing w:line="360" w:lineRule="auto"/>
              <w:jc w:val="center"/>
              <w:rPr>
                <w:rFonts w:hint="eastAsia" w:hAnsi="宋体"/>
                <w:b/>
                <w:color w:val="auto"/>
                <w:kern w:val="0"/>
                <w:sz w:val="24"/>
              </w:rPr>
            </w:pPr>
          </w:p>
          <w:p>
            <w:pPr>
              <w:adjustRightInd w:val="0"/>
              <w:snapToGrid w:val="0"/>
              <w:spacing w:line="360" w:lineRule="auto"/>
              <w:jc w:val="center"/>
              <w:rPr>
                <w:rFonts w:hint="eastAsia" w:hAnsi="宋体"/>
                <w:b/>
                <w:color w:val="auto"/>
                <w:kern w:val="0"/>
                <w:sz w:val="24"/>
              </w:rPr>
            </w:pPr>
          </w:p>
          <w:p>
            <w:pPr>
              <w:adjustRightInd w:val="0"/>
              <w:snapToGrid w:val="0"/>
              <w:spacing w:line="360" w:lineRule="auto"/>
              <w:jc w:val="center"/>
              <w:rPr>
                <w:rFonts w:hAnsi="宋体"/>
                <w:b/>
                <w:color w:val="auto"/>
                <w:kern w:val="0"/>
                <w:sz w:val="24"/>
              </w:rPr>
            </w:pPr>
            <w:r>
              <w:rPr>
                <w:rFonts w:hint="eastAsia" w:hAnsi="宋体"/>
                <w:b/>
                <w:color w:val="auto"/>
                <w:kern w:val="0"/>
                <w:sz w:val="24"/>
              </w:rPr>
              <w:t>图</w:t>
            </w:r>
            <w:r>
              <w:rPr>
                <w:rFonts w:hint="eastAsia" w:hAnsi="宋体"/>
                <w:b/>
                <w:color w:val="auto"/>
                <w:kern w:val="0"/>
                <w:sz w:val="24"/>
                <w:lang w:val="en-US" w:eastAsia="zh-CN"/>
              </w:rPr>
              <w:t>1</w:t>
            </w:r>
            <w:r>
              <w:rPr>
                <w:rFonts w:hint="eastAsia" w:hAnsi="宋体"/>
                <w:b/>
                <w:color w:val="auto"/>
                <w:kern w:val="0"/>
                <w:sz w:val="24"/>
              </w:rPr>
              <w:t>-</w:t>
            </w:r>
            <w:r>
              <w:rPr>
                <w:rFonts w:hint="eastAsia" w:hAnsi="宋体"/>
                <w:b/>
                <w:color w:val="auto"/>
                <w:kern w:val="0"/>
                <w:sz w:val="24"/>
                <w:lang w:val="en-US" w:eastAsia="zh-CN"/>
              </w:rPr>
              <w:t>3</w:t>
            </w:r>
            <w:r>
              <w:rPr>
                <w:rFonts w:hAnsi="宋体"/>
                <w:b/>
                <w:color w:val="auto"/>
                <w:kern w:val="0"/>
                <w:sz w:val="24"/>
              </w:rPr>
              <w:t xml:space="preserve">   </w:t>
            </w:r>
            <w:r>
              <w:rPr>
                <w:rFonts w:hint="eastAsia" w:hAnsi="宋体"/>
                <w:b/>
                <w:color w:val="auto"/>
                <w:kern w:val="0"/>
                <w:sz w:val="24"/>
              </w:rPr>
              <w:t>施工工艺及产</w:t>
            </w:r>
            <w:r>
              <w:rPr>
                <w:rFonts w:hint="eastAsia" w:hAnsi="宋体"/>
                <w:b/>
                <w:color w:val="auto"/>
                <w:kern w:val="0"/>
                <w:sz w:val="24"/>
                <w:lang w:val="en-US" w:eastAsia="zh-CN"/>
              </w:rPr>
              <w:t>污</w:t>
            </w:r>
            <w:r>
              <w:rPr>
                <w:rFonts w:hint="eastAsia" w:hAnsi="宋体"/>
                <w:b/>
                <w:color w:val="auto"/>
                <w:kern w:val="0"/>
                <w:sz w:val="24"/>
              </w:rPr>
              <w:t>环节图</w:t>
            </w:r>
          </w:p>
          <w:p>
            <w:pPr>
              <w:spacing w:line="360" w:lineRule="auto"/>
              <w:ind w:firstLine="482"/>
              <w:rPr>
                <w:rFonts w:hint="default"/>
                <w:b/>
                <w:bCs/>
                <w:color w:val="auto"/>
                <w:sz w:val="24"/>
              </w:rPr>
            </w:pPr>
            <w:r>
              <w:rPr>
                <w:rFonts w:hint="eastAsia"/>
                <w:b/>
                <w:bCs/>
                <w:color w:val="auto"/>
                <w:sz w:val="24"/>
                <w:lang w:val="en-US" w:eastAsia="zh-CN"/>
              </w:rPr>
              <w:t>2、</w:t>
            </w:r>
            <w:r>
              <w:rPr>
                <w:rFonts w:hint="default"/>
                <w:b/>
                <w:bCs/>
                <w:color w:val="auto"/>
                <w:sz w:val="24"/>
              </w:rPr>
              <w:t>施工时序</w:t>
            </w:r>
          </w:p>
          <w:p>
            <w:pPr>
              <w:spacing w:line="360" w:lineRule="auto"/>
              <w:ind w:firstLine="482"/>
              <w:rPr>
                <w:rFonts w:hint="eastAsia"/>
                <w:color w:val="auto"/>
                <w:sz w:val="24"/>
                <w:lang w:val="en-US" w:eastAsia="zh-CN"/>
              </w:rPr>
            </w:pPr>
            <w:r>
              <w:rPr>
                <w:rFonts w:hint="default"/>
                <w:color w:val="auto"/>
                <w:sz w:val="24"/>
              </w:rPr>
              <w:t>本项目</w:t>
            </w:r>
            <w:r>
              <w:rPr>
                <w:rFonts w:hint="default"/>
                <w:color w:val="auto"/>
                <w:sz w:val="24"/>
                <w:lang w:val="en-US" w:eastAsia="zh-CN"/>
              </w:rPr>
              <w:t>不分期建设，</w:t>
            </w:r>
            <w:r>
              <w:rPr>
                <w:rFonts w:hint="eastAsia"/>
                <w:color w:val="auto"/>
                <w:sz w:val="24"/>
                <w:lang w:val="en-US" w:eastAsia="zh-CN"/>
              </w:rPr>
              <w:t>8个片区均同时开工建设。</w:t>
            </w:r>
          </w:p>
          <w:p>
            <w:pPr>
              <w:spacing w:line="360" w:lineRule="auto"/>
              <w:ind w:firstLine="482"/>
              <w:rPr>
                <w:rFonts w:hint="default"/>
                <w:b/>
                <w:bCs/>
                <w:color w:val="auto"/>
                <w:sz w:val="24"/>
              </w:rPr>
            </w:pPr>
            <w:r>
              <w:rPr>
                <w:rFonts w:hint="eastAsia"/>
                <w:b/>
                <w:bCs/>
                <w:color w:val="auto"/>
                <w:sz w:val="24"/>
                <w:lang w:val="en-US" w:eastAsia="zh-CN"/>
              </w:rPr>
              <w:t>3、</w:t>
            </w:r>
            <w:r>
              <w:rPr>
                <w:rFonts w:hint="default"/>
                <w:b/>
                <w:bCs/>
                <w:color w:val="auto"/>
                <w:sz w:val="24"/>
              </w:rPr>
              <w:t>建设周期</w:t>
            </w:r>
          </w:p>
          <w:p>
            <w:pPr>
              <w:spacing w:line="360" w:lineRule="auto"/>
              <w:ind w:firstLine="482"/>
              <w:rPr>
                <w:rFonts w:ascii="宋体" w:hAnsi="宋体" w:cs="宋体"/>
                <w:color w:val="auto"/>
                <w:kern w:val="0"/>
                <w:sz w:val="24"/>
              </w:rPr>
            </w:pPr>
            <w:r>
              <w:rPr>
                <w:rFonts w:hint="default"/>
                <w:color w:val="auto"/>
                <w:sz w:val="24"/>
              </w:rPr>
              <w:t>建设周期为20</w:t>
            </w:r>
            <w:r>
              <w:rPr>
                <w:rFonts w:hint="default"/>
                <w:color w:val="auto"/>
                <w:sz w:val="24"/>
                <w:lang w:val="en-US" w:eastAsia="zh-CN"/>
              </w:rPr>
              <w:t>19</w:t>
            </w:r>
            <w:r>
              <w:rPr>
                <w:rFonts w:hint="default"/>
                <w:color w:val="auto"/>
                <w:sz w:val="24"/>
              </w:rPr>
              <w:t>年</w:t>
            </w:r>
            <w:r>
              <w:rPr>
                <w:rFonts w:hint="default"/>
                <w:color w:val="auto"/>
                <w:sz w:val="24"/>
                <w:lang w:val="en-US" w:eastAsia="zh-CN"/>
              </w:rPr>
              <w:t>2</w:t>
            </w:r>
            <w:r>
              <w:rPr>
                <w:rFonts w:hint="default"/>
                <w:color w:val="auto"/>
                <w:sz w:val="24"/>
              </w:rPr>
              <w:t>月-2022年</w:t>
            </w:r>
            <w:r>
              <w:rPr>
                <w:rFonts w:hint="default"/>
                <w:color w:val="auto"/>
                <w:sz w:val="24"/>
                <w:lang w:val="en-US" w:eastAsia="zh-CN"/>
              </w:rPr>
              <w:t>12</w:t>
            </w:r>
            <w:r>
              <w:rPr>
                <w:rFonts w:hint="default"/>
                <w:color w:val="auto"/>
                <w:sz w:val="24"/>
              </w:rPr>
              <w:t>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323" w:hRule="atLeast"/>
          <w:jc w:val="center"/>
        </w:trPr>
        <w:tc>
          <w:tcPr>
            <w:tcW w:w="712" w:type="dxa"/>
            <w:vAlign w:val="center"/>
          </w:tcPr>
          <w:p>
            <w:pPr>
              <w:adjustRightInd w:val="0"/>
              <w:snapToGrid w:val="0"/>
              <w:jc w:val="center"/>
              <w:rPr>
                <w:rFonts w:ascii="宋体" w:hAnsi="宋体" w:cs="宋体"/>
                <w:color w:val="auto"/>
                <w:kern w:val="0"/>
                <w:sz w:val="24"/>
              </w:rPr>
            </w:pPr>
            <w:r>
              <w:rPr>
                <w:rFonts w:hint="eastAsia" w:ascii="宋体" w:hAnsi="宋体" w:cs="宋体"/>
                <w:color w:val="auto"/>
                <w:kern w:val="0"/>
                <w:sz w:val="24"/>
              </w:rPr>
              <w:t>其他</w:t>
            </w:r>
          </w:p>
        </w:tc>
        <w:tc>
          <w:tcPr>
            <w:tcW w:w="8408" w:type="dxa"/>
            <w:vAlign w:val="center"/>
          </w:tcPr>
          <w:p>
            <w:pPr>
              <w:adjustRightInd w:val="0"/>
              <w:snapToGrid w:val="0"/>
              <w:jc w:val="center"/>
              <w:rPr>
                <w:rFonts w:ascii="宋体" w:hAnsi="宋体" w:cs="宋体"/>
                <w:color w:val="auto"/>
                <w:kern w:val="0"/>
                <w:sz w:val="24"/>
              </w:rPr>
            </w:pPr>
            <w:r>
              <w:rPr>
                <w:rFonts w:hint="eastAsia" w:ascii="宋体" w:hAnsi="宋体" w:cs="宋体"/>
                <w:color w:val="auto"/>
                <w:kern w:val="0"/>
                <w:sz w:val="24"/>
              </w:rPr>
              <w:t>无</w:t>
            </w:r>
          </w:p>
        </w:tc>
      </w:tr>
    </w:tbl>
    <w:p>
      <w:pPr>
        <w:pStyle w:val="19"/>
        <w:jc w:val="center"/>
        <w:outlineLvl w:val="0"/>
        <w:rPr>
          <w:rFonts w:ascii="黑体" w:hAnsi="黑体" w:eastAsia="黑体"/>
          <w:snapToGrid w:val="0"/>
          <w:color w:val="auto"/>
          <w:sz w:val="30"/>
          <w:szCs w:val="30"/>
        </w:rPr>
      </w:pPr>
      <w:r>
        <w:rPr>
          <w:rFonts w:eastAsia="仿宋_GB2312"/>
          <w:b/>
          <w:bCs/>
          <w:color w:val="auto"/>
        </w:rPr>
        <w:br w:type="page"/>
      </w:r>
      <w:r>
        <w:rPr>
          <w:rFonts w:hint="eastAsia" w:ascii="黑体" w:hAnsi="黑体" w:eastAsia="黑体"/>
          <w:snapToGrid w:val="0"/>
          <w:color w:val="auto"/>
          <w:sz w:val="30"/>
          <w:szCs w:val="30"/>
        </w:rPr>
        <w:t>三、生态环境现状、保护目标及评价标准</w:t>
      </w:r>
    </w:p>
    <w:tbl>
      <w:tblPr>
        <w:tblStyle w:val="24"/>
        <w:tblW w:w="9157"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4"/>
        <w:gridCol w:w="825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012" w:hRule="atLeast"/>
          <w:jc w:val="center"/>
        </w:trPr>
        <w:tc>
          <w:tcPr>
            <w:tcW w:w="904" w:type="dxa"/>
            <w:vAlign w:val="center"/>
          </w:tcPr>
          <w:p>
            <w:pPr>
              <w:adjustRightInd w:val="0"/>
              <w:snapToGrid w:val="0"/>
              <w:jc w:val="center"/>
              <w:rPr>
                <w:rFonts w:ascii="宋体" w:hAnsi="宋体" w:cs="宋体"/>
                <w:color w:val="auto"/>
                <w:kern w:val="0"/>
                <w:sz w:val="24"/>
              </w:rPr>
            </w:pPr>
            <w:r>
              <w:rPr>
                <w:rFonts w:hint="eastAsia" w:ascii="宋体" w:hAnsi="宋体" w:cs="宋体"/>
                <w:color w:val="auto"/>
                <w:kern w:val="0"/>
                <w:sz w:val="24"/>
              </w:rPr>
              <w:t>生态环境现状</w:t>
            </w:r>
          </w:p>
        </w:tc>
        <w:tc>
          <w:tcPr>
            <w:tcW w:w="8253" w:type="dxa"/>
            <w:vAlign w:val="center"/>
          </w:tcPr>
          <w:p>
            <w:pPr>
              <w:adjustRightInd w:val="0"/>
              <w:snapToGrid w:val="0"/>
              <w:spacing w:line="360" w:lineRule="auto"/>
              <w:ind w:firstLine="482" w:firstLineChars="200"/>
              <w:rPr>
                <w:rFonts w:ascii="宋体" w:hAnsi="宋体" w:cs="宋体"/>
                <w:b/>
                <w:bCs/>
                <w:color w:val="auto"/>
                <w:kern w:val="0"/>
                <w:sz w:val="24"/>
              </w:rPr>
            </w:pPr>
            <w:r>
              <w:rPr>
                <w:rFonts w:hint="eastAsia" w:ascii="宋体" w:hAnsi="宋体" w:cs="宋体"/>
                <w:b/>
                <w:bCs/>
                <w:color w:val="auto"/>
                <w:kern w:val="0"/>
                <w:sz w:val="24"/>
              </w:rPr>
              <w:t>1、主体功能区规划</w:t>
            </w:r>
          </w:p>
          <w:p>
            <w:pPr>
              <w:spacing w:line="360" w:lineRule="auto"/>
              <w:ind w:firstLine="480" w:firstLineChars="200"/>
              <w:rPr>
                <w:rFonts w:hAnsi="宋体"/>
                <w:color w:val="auto"/>
                <w:kern w:val="0"/>
                <w:sz w:val="24"/>
              </w:rPr>
            </w:pPr>
            <w:r>
              <w:rPr>
                <w:rFonts w:hint="eastAsia" w:hAnsi="宋体"/>
                <w:color w:val="auto"/>
                <w:kern w:val="0"/>
                <w:sz w:val="24"/>
              </w:rPr>
              <w:t>本项目位于</w:t>
            </w:r>
            <w:r>
              <w:rPr>
                <w:rFonts w:hint="eastAsia" w:hAnsi="宋体"/>
                <w:color w:val="auto"/>
                <w:kern w:val="0"/>
                <w:sz w:val="24"/>
                <w:lang w:val="en-US" w:eastAsia="zh-CN"/>
              </w:rPr>
              <w:t>秦汉</w:t>
            </w:r>
            <w:r>
              <w:rPr>
                <w:rFonts w:hint="eastAsia" w:hAnsi="宋体"/>
                <w:color w:val="auto"/>
                <w:kern w:val="0"/>
                <w:sz w:val="24"/>
              </w:rPr>
              <w:t>新城</w:t>
            </w:r>
            <w:r>
              <w:rPr>
                <w:rFonts w:hint="eastAsia" w:hAnsi="宋体"/>
                <w:color w:val="auto"/>
                <w:kern w:val="0"/>
                <w:sz w:val="24"/>
                <w:lang w:val="en-US" w:eastAsia="zh-CN"/>
              </w:rPr>
              <w:t>沣泾大道</w:t>
            </w:r>
            <w:r>
              <w:rPr>
                <w:rFonts w:hint="eastAsia" w:hAnsi="宋体"/>
                <w:color w:val="auto"/>
                <w:kern w:val="0"/>
                <w:sz w:val="24"/>
              </w:rPr>
              <w:t>以北、</w:t>
            </w:r>
            <w:r>
              <w:rPr>
                <w:rFonts w:hint="eastAsia" w:hAnsi="宋体"/>
                <w:color w:val="auto"/>
                <w:kern w:val="0"/>
                <w:sz w:val="24"/>
                <w:lang w:val="en-US" w:eastAsia="zh-CN"/>
              </w:rPr>
              <w:t>规划的望夷路</w:t>
            </w:r>
            <w:r>
              <w:rPr>
                <w:rFonts w:hint="eastAsia" w:hAnsi="宋体"/>
                <w:color w:val="auto"/>
                <w:kern w:val="0"/>
                <w:sz w:val="24"/>
              </w:rPr>
              <w:t>以</w:t>
            </w:r>
            <w:r>
              <w:rPr>
                <w:rFonts w:hint="eastAsia" w:hAnsi="宋体"/>
                <w:color w:val="auto"/>
                <w:kern w:val="0"/>
                <w:sz w:val="24"/>
                <w:lang w:val="en-US" w:eastAsia="zh-CN"/>
              </w:rPr>
              <w:t>南</w:t>
            </w:r>
            <w:r>
              <w:rPr>
                <w:rFonts w:hint="eastAsia" w:hAnsi="宋体"/>
                <w:color w:val="auto"/>
                <w:kern w:val="0"/>
                <w:sz w:val="24"/>
              </w:rPr>
              <w:t>、</w:t>
            </w:r>
            <w:r>
              <w:rPr>
                <w:rFonts w:hint="eastAsia" w:hAnsi="宋体"/>
                <w:color w:val="auto"/>
                <w:kern w:val="0"/>
                <w:sz w:val="24"/>
                <w:lang w:val="en-US" w:eastAsia="zh-CN"/>
              </w:rPr>
              <w:t>汉风三路</w:t>
            </w:r>
            <w:r>
              <w:rPr>
                <w:rFonts w:hint="eastAsia" w:hAnsi="宋体"/>
                <w:color w:val="auto"/>
                <w:kern w:val="0"/>
                <w:sz w:val="24"/>
              </w:rPr>
              <w:t>以</w:t>
            </w:r>
            <w:r>
              <w:rPr>
                <w:rFonts w:hint="eastAsia" w:hAnsi="宋体"/>
                <w:color w:val="auto"/>
                <w:kern w:val="0"/>
                <w:sz w:val="24"/>
                <w:lang w:val="en-US" w:eastAsia="zh-CN"/>
              </w:rPr>
              <w:t>东</w:t>
            </w:r>
            <w:r>
              <w:rPr>
                <w:rFonts w:hint="eastAsia" w:hAnsi="宋体"/>
                <w:color w:val="auto"/>
                <w:kern w:val="0"/>
                <w:sz w:val="24"/>
                <w:lang w:eastAsia="zh-CN"/>
              </w:rPr>
              <w:t>、</w:t>
            </w:r>
            <w:r>
              <w:rPr>
                <w:rFonts w:hint="eastAsia" w:hAnsi="宋体"/>
                <w:color w:val="auto"/>
                <w:kern w:val="0"/>
                <w:sz w:val="24"/>
                <w:lang w:val="en-US" w:eastAsia="zh-CN"/>
              </w:rPr>
              <w:t>规划的汉风路</w:t>
            </w:r>
            <w:r>
              <w:rPr>
                <w:rFonts w:hint="default" w:hAnsi="宋体"/>
                <w:color w:val="auto"/>
                <w:kern w:val="0"/>
                <w:sz w:val="24"/>
                <w:lang w:val="en-US" w:eastAsia="zh-CN"/>
              </w:rPr>
              <w:t>以西，</w:t>
            </w:r>
            <w:r>
              <w:rPr>
                <w:rFonts w:hint="eastAsia" w:hAnsi="宋体"/>
                <w:color w:val="auto"/>
                <w:kern w:val="0"/>
                <w:sz w:val="24"/>
              </w:rPr>
              <w:t>根据《</w:t>
            </w:r>
            <w:r>
              <w:rPr>
                <w:rFonts w:hint="eastAsia" w:hAnsi="宋体"/>
                <w:color w:val="auto"/>
                <w:kern w:val="0"/>
                <w:sz w:val="24"/>
                <w:lang w:val="en-US" w:eastAsia="zh-CN"/>
              </w:rPr>
              <w:t>陕西省</w:t>
            </w:r>
            <w:r>
              <w:rPr>
                <w:rFonts w:hint="eastAsia" w:hAnsi="宋体"/>
                <w:color w:val="auto"/>
                <w:kern w:val="0"/>
                <w:sz w:val="24"/>
              </w:rPr>
              <w:t>西咸新区</w:t>
            </w:r>
            <w:r>
              <w:rPr>
                <w:rFonts w:hint="eastAsia" w:hAnsi="宋体"/>
                <w:color w:val="auto"/>
                <w:kern w:val="0"/>
                <w:sz w:val="24"/>
                <w:lang w:val="en-US" w:eastAsia="zh-CN"/>
              </w:rPr>
              <w:t>秦汉</w:t>
            </w:r>
            <w:r>
              <w:rPr>
                <w:rFonts w:hint="eastAsia" w:hAnsi="宋体"/>
                <w:color w:val="auto"/>
                <w:kern w:val="0"/>
                <w:sz w:val="24"/>
              </w:rPr>
              <w:t>新城</w:t>
            </w:r>
            <w:r>
              <w:rPr>
                <w:rFonts w:hint="eastAsia" w:hAnsi="宋体"/>
                <w:color w:val="auto"/>
                <w:kern w:val="0"/>
                <w:sz w:val="24"/>
                <w:lang w:val="en-US" w:eastAsia="zh-CN"/>
              </w:rPr>
              <w:t>分区</w:t>
            </w:r>
            <w:r>
              <w:rPr>
                <w:rFonts w:hint="eastAsia" w:hAnsi="宋体"/>
                <w:color w:val="auto"/>
                <w:kern w:val="0"/>
                <w:sz w:val="24"/>
              </w:rPr>
              <w:t>规划</w:t>
            </w:r>
            <w:r>
              <w:rPr>
                <w:rFonts w:hint="eastAsia" w:hAnsi="宋体"/>
                <w:color w:val="auto"/>
                <w:kern w:val="0"/>
                <w:sz w:val="24"/>
                <w:lang w:eastAsia="zh-CN"/>
              </w:rPr>
              <w:t>（</w:t>
            </w:r>
            <w:r>
              <w:rPr>
                <w:rFonts w:hint="eastAsia" w:hAnsi="宋体"/>
                <w:color w:val="auto"/>
                <w:kern w:val="0"/>
                <w:sz w:val="24"/>
                <w:lang w:val="en-US" w:eastAsia="zh-CN"/>
              </w:rPr>
              <w:t>2016-2035）</w:t>
            </w:r>
            <w:r>
              <w:rPr>
                <w:rFonts w:hint="eastAsia" w:hAnsi="宋体"/>
                <w:color w:val="auto"/>
                <w:kern w:val="0"/>
                <w:sz w:val="24"/>
              </w:rPr>
              <w:t>》，本项目属于</w:t>
            </w:r>
            <w:r>
              <w:rPr>
                <w:rFonts w:hint="eastAsia" w:hAnsi="宋体"/>
                <w:color w:val="auto"/>
                <w:kern w:val="0"/>
                <w:sz w:val="24"/>
                <w:lang w:val="en-US" w:eastAsia="zh-CN"/>
              </w:rPr>
              <w:t>秦汉</w:t>
            </w:r>
            <w:r>
              <w:rPr>
                <w:rFonts w:hint="eastAsia" w:hAnsi="宋体"/>
                <w:color w:val="auto"/>
                <w:kern w:val="0"/>
                <w:sz w:val="24"/>
              </w:rPr>
              <w:t>新城</w:t>
            </w:r>
            <w:r>
              <w:rPr>
                <w:rFonts w:hint="eastAsia" w:hAnsi="宋体"/>
                <w:color w:val="auto"/>
                <w:kern w:val="0"/>
                <w:sz w:val="24"/>
                <w:lang w:val="en-US" w:eastAsia="zh-CN"/>
              </w:rPr>
              <w:t>塬北文化生活核心区</w:t>
            </w:r>
            <w:r>
              <w:rPr>
                <w:rFonts w:hint="eastAsia" w:hAnsi="宋体"/>
                <w:color w:val="auto"/>
                <w:kern w:val="0"/>
                <w:sz w:val="24"/>
              </w:rPr>
              <w:t>中的</w:t>
            </w:r>
            <w:r>
              <w:rPr>
                <w:rFonts w:hint="eastAsia" w:hAnsi="宋体"/>
                <w:color w:val="auto"/>
                <w:kern w:val="0"/>
                <w:sz w:val="24"/>
                <w:lang w:val="en-US" w:eastAsia="zh-CN"/>
              </w:rPr>
              <w:t>童世界创意组团</w:t>
            </w:r>
            <w:r>
              <w:rPr>
                <w:rFonts w:hint="eastAsia" w:hAnsi="宋体"/>
                <w:color w:val="auto"/>
                <w:kern w:val="0"/>
                <w:sz w:val="24"/>
              </w:rPr>
              <w:t>。</w:t>
            </w:r>
          </w:p>
          <w:p>
            <w:pPr>
              <w:adjustRightInd w:val="0"/>
              <w:snapToGrid w:val="0"/>
              <w:spacing w:line="360" w:lineRule="auto"/>
              <w:ind w:firstLine="482" w:firstLineChars="200"/>
              <w:rPr>
                <w:rFonts w:ascii="宋体" w:hAnsi="宋体" w:cs="宋体"/>
                <w:b/>
                <w:bCs/>
                <w:color w:val="auto"/>
                <w:kern w:val="0"/>
                <w:sz w:val="24"/>
              </w:rPr>
            </w:pPr>
            <w:r>
              <w:rPr>
                <w:rFonts w:ascii="宋体" w:hAnsi="宋体" w:cs="宋体"/>
                <w:b/>
                <w:bCs/>
                <w:color w:val="auto"/>
                <w:kern w:val="0"/>
                <w:sz w:val="24"/>
              </w:rPr>
              <w:t>2</w:t>
            </w:r>
            <w:r>
              <w:rPr>
                <w:rFonts w:hint="eastAsia" w:ascii="宋体" w:hAnsi="宋体" w:cs="宋体"/>
                <w:b/>
                <w:bCs/>
                <w:color w:val="auto"/>
                <w:kern w:val="0"/>
                <w:sz w:val="24"/>
              </w:rPr>
              <w:t>、生态功能区划</w:t>
            </w:r>
          </w:p>
          <w:p>
            <w:pPr>
              <w:spacing w:line="360" w:lineRule="auto"/>
              <w:ind w:firstLine="480" w:firstLineChars="200"/>
              <w:rPr>
                <w:color w:val="auto"/>
                <w:sz w:val="24"/>
              </w:rPr>
            </w:pPr>
            <w:r>
              <w:rPr>
                <w:rFonts w:hAnsi="宋体"/>
                <w:color w:val="auto"/>
                <w:kern w:val="0"/>
                <w:sz w:val="24"/>
              </w:rPr>
              <w:t>根据《陕西省生态功能区划》，陕西省划分了</w:t>
            </w:r>
            <w:r>
              <w:rPr>
                <w:color w:val="auto"/>
                <w:kern w:val="0"/>
                <w:sz w:val="24"/>
              </w:rPr>
              <w:t>4</w:t>
            </w:r>
            <w:r>
              <w:rPr>
                <w:rFonts w:hAnsi="宋体"/>
                <w:color w:val="auto"/>
                <w:kern w:val="0"/>
                <w:sz w:val="24"/>
              </w:rPr>
              <w:t>个一级生态区、</w:t>
            </w:r>
            <w:r>
              <w:rPr>
                <w:color w:val="auto"/>
                <w:kern w:val="0"/>
                <w:sz w:val="24"/>
              </w:rPr>
              <w:t>10</w:t>
            </w:r>
            <w:r>
              <w:rPr>
                <w:rFonts w:hAnsi="宋体"/>
                <w:color w:val="auto"/>
                <w:kern w:val="0"/>
                <w:sz w:val="24"/>
              </w:rPr>
              <w:t>个二级生态功能区、</w:t>
            </w:r>
            <w:r>
              <w:rPr>
                <w:color w:val="auto"/>
                <w:kern w:val="0"/>
                <w:sz w:val="24"/>
              </w:rPr>
              <w:t>35</w:t>
            </w:r>
            <w:r>
              <w:rPr>
                <w:rFonts w:hAnsi="宋体"/>
                <w:color w:val="auto"/>
                <w:kern w:val="0"/>
                <w:sz w:val="24"/>
              </w:rPr>
              <w:t>个三级小区。本工程位于一级区划中渭河谷地农业生态区，二级区划中关中平原城乡一体化生态功能区，三级区划中关中平原城镇及农业区。</w:t>
            </w:r>
            <w:r>
              <w:rPr>
                <w:rFonts w:hint="eastAsia"/>
                <w:color w:val="auto"/>
                <w:sz w:val="24"/>
              </w:rPr>
              <w:t>陕西省生态功能区划见附图</w:t>
            </w:r>
            <w:r>
              <w:rPr>
                <w:rFonts w:hint="eastAsia"/>
                <w:color w:val="auto"/>
                <w:sz w:val="24"/>
                <w:lang w:val="en-US" w:eastAsia="zh-CN"/>
              </w:rPr>
              <w:t>5</w:t>
            </w:r>
            <w:r>
              <w:rPr>
                <w:rFonts w:hint="eastAsia"/>
                <w:color w:val="auto"/>
                <w:sz w:val="24"/>
              </w:rPr>
              <w:t>。</w:t>
            </w:r>
          </w:p>
          <w:p>
            <w:pPr>
              <w:adjustRightInd w:val="0"/>
              <w:snapToGrid w:val="0"/>
              <w:spacing w:line="360" w:lineRule="auto"/>
              <w:ind w:firstLine="482" w:firstLineChars="200"/>
              <w:rPr>
                <w:rFonts w:hAnsi="宋体"/>
                <w:b/>
                <w:bCs/>
                <w:color w:val="auto"/>
                <w:kern w:val="0"/>
                <w:sz w:val="24"/>
              </w:rPr>
            </w:pPr>
            <w:r>
              <w:rPr>
                <w:rFonts w:hint="eastAsia" w:hAnsi="宋体"/>
                <w:b/>
                <w:bCs/>
                <w:color w:val="auto"/>
                <w:kern w:val="0"/>
                <w:sz w:val="24"/>
              </w:rPr>
              <w:t>3、项目用地及周边与项目生态环境影响相关的生态环境现状</w:t>
            </w:r>
          </w:p>
          <w:p>
            <w:pPr>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（1）项目用地</w:t>
            </w:r>
          </w:p>
          <w:p>
            <w:pPr>
              <w:adjustRightInd w:val="0"/>
              <w:snapToGrid w:val="0"/>
              <w:spacing w:line="360" w:lineRule="auto"/>
              <w:ind w:firstLine="480" w:firstLineChars="200"/>
              <w:rPr>
                <w:color w:val="auto"/>
                <w:kern w:val="0"/>
                <w:sz w:val="24"/>
              </w:rPr>
            </w:pPr>
            <w:r>
              <w:rPr>
                <w:rFonts w:hint="eastAsia" w:ascii="宋体" w:hAnsi="宋体" w:cs="宋体"/>
                <w:color w:val="auto"/>
                <w:kern w:val="0"/>
                <w:sz w:val="24"/>
              </w:rPr>
              <w:t>根据《</w:t>
            </w:r>
            <w:r>
              <w:rPr>
                <w:rFonts w:hint="eastAsia" w:ascii="宋体" w:hAnsi="宋体" w:cs="宋体"/>
                <w:color w:val="auto"/>
                <w:kern w:val="0"/>
                <w:sz w:val="24"/>
                <w:lang w:val="en-US" w:eastAsia="zh-CN"/>
              </w:rPr>
              <w:t>陕西省</w:t>
            </w:r>
            <w:r>
              <w:rPr>
                <w:rFonts w:hint="eastAsia" w:ascii="宋体" w:hAnsi="宋体" w:cs="宋体"/>
                <w:color w:val="auto"/>
                <w:kern w:val="0"/>
                <w:sz w:val="24"/>
              </w:rPr>
              <w:t>西咸新区</w:t>
            </w:r>
            <w:r>
              <w:rPr>
                <w:rFonts w:hint="eastAsia" w:ascii="宋体" w:hAnsi="宋体" w:cs="宋体"/>
                <w:color w:val="auto"/>
                <w:kern w:val="0"/>
                <w:sz w:val="24"/>
                <w:lang w:val="en-US" w:eastAsia="zh-CN"/>
              </w:rPr>
              <w:t>秦汉</w:t>
            </w:r>
            <w:r>
              <w:rPr>
                <w:rFonts w:hint="eastAsia" w:ascii="宋体" w:hAnsi="宋体" w:cs="宋体"/>
                <w:color w:val="auto"/>
                <w:kern w:val="0"/>
                <w:sz w:val="24"/>
              </w:rPr>
              <w:t>新城</w:t>
            </w:r>
            <w:r>
              <w:rPr>
                <w:rFonts w:hint="eastAsia" w:ascii="宋体" w:hAnsi="宋体" w:cs="宋体"/>
                <w:color w:val="auto"/>
                <w:kern w:val="0"/>
                <w:sz w:val="24"/>
                <w:lang w:val="en-US" w:eastAsia="zh-CN"/>
              </w:rPr>
              <w:t>分区</w:t>
            </w:r>
            <w:r>
              <w:rPr>
                <w:rFonts w:hint="eastAsia" w:ascii="宋体" w:hAnsi="宋体" w:cs="宋体"/>
                <w:color w:val="auto"/>
                <w:kern w:val="0"/>
                <w:sz w:val="24"/>
              </w:rPr>
              <w:t>规划</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2016-2035）</w:t>
            </w:r>
            <w:r>
              <w:rPr>
                <w:rFonts w:hint="eastAsia" w:ascii="宋体" w:hAnsi="宋体" w:cs="宋体"/>
                <w:color w:val="auto"/>
                <w:kern w:val="0"/>
                <w:sz w:val="24"/>
              </w:rPr>
              <w:t>》要求，</w:t>
            </w:r>
            <w:r>
              <w:rPr>
                <w:color w:val="auto"/>
                <w:kern w:val="0"/>
                <w:sz w:val="24"/>
              </w:rPr>
              <w:t>本项目</w:t>
            </w:r>
            <w:r>
              <w:rPr>
                <w:rFonts w:hint="eastAsia"/>
                <w:color w:val="auto"/>
                <w:kern w:val="0"/>
                <w:sz w:val="24"/>
              </w:rPr>
              <w:t>所在地</w:t>
            </w:r>
            <w:r>
              <w:rPr>
                <w:color w:val="auto"/>
                <w:kern w:val="0"/>
                <w:sz w:val="24"/>
              </w:rPr>
              <w:t>属于娱乐康体设施用地</w:t>
            </w:r>
            <w:r>
              <w:rPr>
                <w:rFonts w:hint="eastAsia"/>
                <w:color w:val="auto"/>
                <w:kern w:val="0"/>
                <w:sz w:val="24"/>
              </w:rPr>
              <w:t>。</w:t>
            </w:r>
          </w:p>
          <w:p>
            <w:pPr>
              <w:adjustRightInd w:val="0"/>
              <w:snapToGrid w:val="0"/>
              <w:spacing w:line="360" w:lineRule="auto"/>
              <w:ind w:firstLine="480" w:firstLineChars="200"/>
              <w:rPr>
                <w:color w:val="auto"/>
                <w:kern w:val="0"/>
                <w:sz w:val="24"/>
              </w:rPr>
            </w:pPr>
            <w:r>
              <w:rPr>
                <w:rFonts w:hint="eastAsia"/>
                <w:color w:val="auto"/>
                <w:kern w:val="0"/>
                <w:sz w:val="24"/>
              </w:rPr>
              <w:t>（2）与项目生态环境影响相关的生态环境现状</w:t>
            </w:r>
          </w:p>
          <w:p>
            <w:pPr>
              <w:adjustRightInd w:val="0"/>
              <w:snapToGrid w:val="0"/>
              <w:spacing w:line="360" w:lineRule="auto"/>
              <w:ind w:firstLine="480" w:firstLineChars="200"/>
              <w:rPr>
                <w:rFonts w:hAnsi="宋体"/>
                <w:color w:val="auto"/>
                <w:kern w:val="0"/>
                <w:sz w:val="24"/>
              </w:rPr>
            </w:pPr>
            <w:r>
              <w:rPr>
                <w:rFonts w:hint="eastAsia" w:ascii="宋体" w:hAnsi="宋体" w:cs="宋体"/>
                <w:color w:val="auto"/>
                <w:kern w:val="0"/>
                <w:sz w:val="24"/>
              </w:rPr>
              <w:t>本项目目前为空地，前期为</w:t>
            </w:r>
            <w:r>
              <w:rPr>
                <w:rFonts w:hint="eastAsia" w:ascii="宋体" w:hAnsi="宋体" w:cs="宋体"/>
                <w:color w:val="auto"/>
                <w:kern w:val="0"/>
                <w:sz w:val="24"/>
                <w:lang w:val="en-US" w:eastAsia="zh-CN"/>
              </w:rPr>
              <w:t>农田及宅基地</w:t>
            </w:r>
            <w:r>
              <w:rPr>
                <w:rFonts w:hint="eastAsia" w:ascii="宋体" w:hAnsi="宋体" w:cs="宋体"/>
                <w:color w:val="auto"/>
                <w:kern w:val="0"/>
                <w:sz w:val="24"/>
              </w:rPr>
              <w:t>。</w:t>
            </w:r>
            <w:r>
              <w:rPr>
                <w:rFonts w:hAnsi="宋体"/>
                <w:color w:val="auto"/>
                <w:kern w:val="0"/>
                <w:sz w:val="24"/>
              </w:rPr>
              <w:t>经过现场踏勘、收集资料、拍摄图片、现场访谈等，了解到目前项目</w:t>
            </w:r>
            <w:r>
              <w:rPr>
                <w:rFonts w:hint="eastAsia" w:hAnsi="宋体"/>
                <w:color w:val="auto"/>
                <w:kern w:val="0"/>
                <w:sz w:val="24"/>
              </w:rPr>
              <w:t>部分地块用防尘网覆盖，部分地块有少量野草</w:t>
            </w:r>
            <w:r>
              <w:rPr>
                <w:rFonts w:hAnsi="宋体"/>
                <w:color w:val="auto"/>
                <w:kern w:val="0"/>
                <w:sz w:val="24"/>
              </w:rPr>
              <w:t>，呈散生状分布。</w:t>
            </w:r>
          </w:p>
          <w:p>
            <w:pPr>
              <w:adjustRightInd w:val="0"/>
              <w:snapToGrid w:val="0"/>
              <w:spacing w:line="360" w:lineRule="auto"/>
              <w:ind w:firstLine="482" w:firstLineChars="200"/>
              <w:rPr>
                <w:rFonts w:ascii="宋体" w:hAnsi="宋体" w:cs="宋体"/>
                <w:b/>
                <w:bCs/>
                <w:color w:val="auto"/>
                <w:kern w:val="0"/>
                <w:sz w:val="24"/>
              </w:rPr>
            </w:pPr>
            <w:r>
              <w:rPr>
                <w:rFonts w:hint="eastAsia" w:ascii="宋体" w:hAnsi="宋体" w:cs="宋体"/>
                <w:b/>
                <w:bCs/>
                <w:color w:val="auto"/>
                <w:kern w:val="0"/>
                <w:sz w:val="24"/>
              </w:rPr>
              <w:t>4、环境质量现状</w:t>
            </w:r>
          </w:p>
          <w:p>
            <w:pPr>
              <w:adjustRightInd w:val="0"/>
              <w:snapToGrid w:val="0"/>
              <w:spacing w:line="360" w:lineRule="auto"/>
              <w:ind w:firstLine="480" w:firstLineChars="200"/>
              <w:rPr>
                <w:bCs/>
                <w:color w:val="auto"/>
                <w:sz w:val="24"/>
              </w:rPr>
            </w:pPr>
            <w:r>
              <w:rPr>
                <w:rFonts w:hint="eastAsia"/>
                <w:bCs/>
                <w:color w:val="auto"/>
                <w:sz w:val="24"/>
              </w:rPr>
              <w:t>（1）</w:t>
            </w:r>
            <w:r>
              <w:rPr>
                <w:bCs/>
                <w:color w:val="auto"/>
                <w:sz w:val="24"/>
              </w:rPr>
              <w:t>大气环境</w:t>
            </w:r>
          </w:p>
          <w:p>
            <w:pPr>
              <w:spacing w:line="360" w:lineRule="auto"/>
              <w:ind w:firstLine="480" w:firstLineChars="200"/>
              <w:rPr>
                <w:color w:val="auto"/>
                <w:sz w:val="24"/>
              </w:rPr>
            </w:pPr>
            <w:r>
              <w:rPr>
                <w:color w:val="auto"/>
                <w:sz w:val="24"/>
              </w:rPr>
              <w:t>区域环境空气质量现状</w:t>
            </w:r>
          </w:p>
          <w:p>
            <w:pPr>
              <w:spacing w:line="360" w:lineRule="auto"/>
              <w:ind w:firstLine="480"/>
              <w:rPr>
                <w:color w:val="auto"/>
                <w:sz w:val="24"/>
                <w:szCs w:val="24"/>
              </w:rPr>
            </w:pPr>
            <w:r>
              <w:rPr>
                <w:color w:val="auto"/>
                <w:sz w:val="24"/>
                <w:szCs w:val="24"/>
              </w:rPr>
              <w:t>为了解项目所在区域环境空气质量现状，根据《环境影响评价技术导则-大气环境》（HJ2.2-2018）6.2.1中</w:t>
            </w:r>
            <w:r>
              <w:rPr>
                <w:rFonts w:hint="eastAsia"/>
                <w:color w:val="auto"/>
                <w:sz w:val="24"/>
                <w:szCs w:val="24"/>
                <w:lang w:eastAsia="zh-CN"/>
              </w:rPr>
              <w:t>“</w:t>
            </w:r>
            <w:r>
              <w:rPr>
                <w:color w:val="auto"/>
                <w:sz w:val="24"/>
                <w:szCs w:val="24"/>
              </w:rPr>
              <w:t>基本污染物环境质量现状数据采用评价范围内国家或地方环境质量监测网中评价基准年连续1年的监测数据</w:t>
            </w:r>
            <w:r>
              <w:rPr>
                <w:rFonts w:hint="eastAsia"/>
                <w:color w:val="auto"/>
                <w:sz w:val="24"/>
                <w:szCs w:val="24"/>
                <w:lang w:eastAsia="zh-CN"/>
              </w:rPr>
              <w:t>”</w:t>
            </w:r>
            <w:r>
              <w:rPr>
                <w:color w:val="auto"/>
                <w:sz w:val="24"/>
                <w:szCs w:val="24"/>
              </w:rPr>
              <w:t>，本项目基本污染物环境质量现状数据引用</w:t>
            </w:r>
            <w:r>
              <w:rPr>
                <w:rFonts w:hint="eastAsia"/>
                <w:color w:val="auto"/>
                <w:sz w:val="24"/>
                <w:szCs w:val="24"/>
                <w:lang w:val="en-US" w:eastAsia="zh-CN"/>
              </w:rPr>
              <w:t>陕西省</w:t>
            </w:r>
            <w:r>
              <w:rPr>
                <w:color w:val="auto"/>
                <w:sz w:val="24"/>
                <w:szCs w:val="24"/>
              </w:rPr>
              <w:t>生态</w:t>
            </w:r>
            <w:r>
              <w:rPr>
                <w:rFonts w:hint="eastAsia"/>
                <w:color w:val="auto"/>
                <w:sz w:val="24"/>
                <w:szCs w:val="24"/>
                <w:lang w:val="en-US" w:eastAsia="zh-CN"/>
              </w:rPr>
              <w:t>环境厅</w:t>
            </w:r>
            <w:r>
              <w:rPr>
                <w:color w:val="auto"/>
                <w:sz w:val="24"/>
                <w:szCs w:val="24"/>
              </w:rPr>
              <w:t>于202</w:t>
            </w:r>
            <w:r>
              <w:rPr>
                <w:rFonts w:hint="eastAsia"/>
                <w:color w:val="auto"/>
                <w:sz w:val="24"/>
                <w:szCs w:val="24"/>
                <w:lang w:val="en-US" w:eastAsia="zh-CN"/>
              </w:rPr>
              <w:t>1</w:t>
            </w:r>
            <w:r>
              <w:rPr>
                <w:color w:val="auto"/>
                <w:sz w:val="24"/>
                <w:szCs w:val="24"/>
              </w:rPr>
              <w:t>年</w:t>
            </w:r>
            <w:r>
              <w:rPr>
                <w:rFonts w:hint="eastAsia"/>
                <w:color w:val="auto"/>
                <w:sz w:val="24"/>
                <w:szCs w:val="24"/>
                <w:lang w:val="en-US" w:eastAsia="zh-CN"/>
              </w:rPr>
              <w:t>1</w:t>
            </w:r>
            <w:r>
              <w:rPr>
                <w:color w:val="auto"/>
                <w:sz w:val="24"/>
                <w:szCs w:val="24"/>
              </w:rPr>
              <w:t>月</w:t>
            </w:r>
            <w:r>
              <w:rPr>
                <w:rFonts w:hint="eastAsia"/>
                <w:color w:val="auto"/>
                <w:sz w:val="24"/>
                <w:szCs w:val="24"/>
                <w:lang w:val="en-US" w:eastAsia="zh-CN"/>
              </w:rPr>
              <w:t>26</w:t>
            </w:r>
            <w:r>
              <w:rPr>
                <w:color w:val="auto"/>
                <w:sz w:val="24"/>
                <w:szCs w:val="24"/>
              </w:rPr>
              <w:t>日发布的《</w:t>
            </w:r>
            <w:r>
              <w:rPr>
                <w:rFonts w:hint="eastAsia"/>
                <w:color w:val="auto"/>
                <w:sz w:val="24"/>
                <w:szCs w:val="24"/>
                <w:lang w:val="en-US" w:eastAsia="zh-CN"/>
              </w:rPr>
              <w:t>陕西省2020</w:t>
            </w:r>
            <w:r>
              <w:rPr>
                <w:color w:val="auto"/>
                <w:sz w:val="24"/>
                <w:szCs w:val="24"/>
              </w:rPr>
              <w:t>年</w:t>
            </w:r>
            <w:r>
              <w:rPr>
                <w:rFonts w:hint="eastAsia"/>
                <w:color w:val="auto"/>
                <w:sz w:val="24"/>
                <w:szCs w:val="24"/>
                <w:lang w:val="en-US" w:eastAsia="zh-CN"/>
              </w:rPr>
              <w:t>环保快报</w:t>
            </w:r>
            <w:r>
              <w:rPr>
                <w:color w:val="auto"/>
                <w:sz w:val="24"/>
                <w:szCs w:val="24"/>
              </w:rPr>
              <w:t>》中数据。</w:t>
            </w:r>
            <w:r>
              <w:rPr>
                <w:rFonts w:hint="eastAsia"/>
                <w:color w:val="auto"/>
                <w:sz w:val="24"/>
                <w:szCs w:val="24"/>
                <w:lang w:val="en-US" w:eastAsia="zh-CN"/>
              </w:rPr>
              <w:t>秦汉新城</w:t>
            </w:r>
            <w:r>
              <w:rPr>
                <w:color w:val="auto"/>
                <w:sz w:val="24"/>
                <w:szCs w:val="24"/>
              </w:rPr>
              <w:t>区域空气质量现状评价见表</w:t>
            </w:r>
            <w:r>
              <w:rPr>
                <w:rFonts w:hint="eastAsia"/>
                <w:color w:val="auto"/>
                <w:sz w:val="24"/>
                <w:szCs w:val="24"/>
                <w:lang w:val="en-US" w:eastAsia="zh-CN"/>
              </w:rPr>
              <w:t>11</w:t>
            </w:r>
            <w:r>
              <w:rPr>
                <w:color w:val="auto"/>
                <w:sz w:val="24"/>
                <w:szCs w:val="24"/>
              </w:rPr>
              <w:t>。</w:t>
            </w:r>
          </w:p>
          <w:p>
            <w:pPr>
              <w:pStyle w:val="2"/>
              <w:adjustRightInd w:val="0"/>
              <w:snapToGrid w:val="0"/>
              <w:spacing w:after="0" w:line="360" w:lineRule="auto"/>
              <w:ind w:left="0" w:leftChars="0" w:firstLine="0" w:firstLineChars="0"/>
              <w:jc w:val="center"/>
              <w:rPr>
                <w:rFonts w:hint="eastAsia"/>
                <w:color w:val="auto"/>
                <w:sz w:val="24"/>
                <w:szCs w:val="24"/>
                <w:lang w:val="en-US" w:eastAsia="zh-CN"/>
              </w:rPr>
            </w:pPr>
            <w:r>
              <w:rPr>
                <w:rFonts w:hint="eastAsia"/>
                <w:color w:val="auto"/>
                <w:sz w:val="24"/>
                <w:szCs w:val="24"/>
                <w:lang w:val="en-US" w:eastAsia="zh-CN"/>
              </w:rPr>
              <w:t xml:space="preserve">    </w:t>
            </w:r>
          </w:p>
          <w:p>
            <w:pPr>
              <w:widowControl w:val="0"/>
              <w:snapToGrid w:val="0"/>
              <w:spacing w:line="360" w:lineRule="auto"/>
              <w:jc w:val="center"/>
              <w:rPr>
                <w:rFonts w:hint="eastAsia" w:ascii="Times New Roman" w:hAnsi="Times New Roman" w:eastAsia="黑体" w:cs="Times New Roman"/>
                <w:color w:val="auto"/>
                <w:sz w:val="24"/>
                <w:szCs w:val="24"/>
                <w:lang w:val="en-US" w:eastAsia="zh-CN"/>
              </w:rPr>
            </w:pPr>
            <w:r>
              <w:rPr>
                <w:rFonts w:hint="eastAsia" w:ascii="Times New Roman" w:hAnsi="Times New Roman" w:eastAsia="黑体" w:cs="Times New Roman"/>
                <w:color w:val="auto"/>
                <w:sz w:val="24"/>
                <w:szCs w:val="24"/>
                <w:lang w:val="en-US" w:eastAsia="zh-CN"/>
              </w:rPr>
              <w:t>表1</w:t>
            </w:r>
            <w:r>
              <w:rPr>
                <w:rFonts w:hint="eastAsia" w:eastAsia="黑体" w:cs="Times New Roman"/>
                <w:color w:val="auto"/>
                <w:sz w:val="24"/>
                <w:szCs w:val="24"/>
                <w:lang w:val="en-US" w:eastAsia="zh-CN"/>
              </w:rPr>
              <w:t>1</w:t>
            </w:r>
            <w:r>
              <w:rPr>
                <w:rFonts w:hint="eastAsia" w:ascii="Times New Roman" w:hAnsi="Times New Roman" w:eastAsia="黑体" w:cs="Times New Roman"/>
                <w:color w:val="auto"/>
                <w:sz w:val="24"/>
                <w:szCs w:val="24"/>
                <w:lang w:val="en-US" w:eastAsia="zh-CN"/>
              </w:rPr>
              <w:t xml:space="preserve">      基本污染物环境质量现状分析</w:t>
            </w:r>
          </w:p>
          <w:tbl>
            <w:tblPr>
              <w:tblStyle w:val="24"/>
              <w:tblW w:w="790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954"/>
              <w:gridCol w:w="2179"/>
              <w:gridCol w:w="1363"/>
              <w:gridCol w:w="1173"/>
              <w:gridCol w:w="1083"/>
              <w:gridCol w:w="114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630" w:hRule="atLeast"/>
                <w:jc w:val="center"/>
              </w:trPr>
              <w:tc>
                <w:tcPr>
                  <w:tcW w:w="954" w:type="dxa"/>
                  <w:tcBorders>
                    <w:tl2br w:val="nil"/>
                    <w:tr2bl w:val="nil"/>
                  </w:tcBorders>
                  <w:vAlign w:val="center"/>
                </w:tcPr>
                <w:p>
                  <w:pPr>
                    <w:pStyle w:val="54"/>
                    <w:adjustRightInd w:val="0"/>
                    <w:snapToGrid w:val="0"/>
                    <w:spacing w:line="240" w:lineRule="auto"/>
                    <w:ind w:left="0" w:leftChars="0" w:firstLine="0" w:firstLineChars="0"/>
                    <w:jc w:val="center"/>
                    <w:rPr>
                      <w:color w:val="auto"/>
                      <w:sz w:val="21"/>
                      <w:szCs w:val="21"/>
                    </w:rPr>
                  </w:pPr>
                  <w:r>
                    <w:rPr>
                      <w:color w:val="auto"/>
                      <w:sz w:val="21"/>
                      <w:szCs w:val="21"/>
                    </w:rPr>
                    <w:t>污染物</w:t>
                  </w:r>
                </w:p>
              </w:tc>
              <w:tc>
                <w:tcPr>
                  <w:tcW w:w="2179" w:type="dxa"/>
                  <w:tcBorders>
                    <w:tl2br w:val="nil"/>
                    <w:tr2bl w:val="nil"/>
                  </w:tcBorders>
                  <w:vAlign w:val="center"/>
                </w:tcPr>
                <w:p>
                  <w:pPr>
                    <w:pStyle w:val="54"/>
                    <w:adjustRightInd w:val="0"/>
                    <w:snapToGrid w:val="0"/>
                    <w:spacing w:line="240" w:lineRule="auto"/>
                    <w:jc w:val="center"/>
                    <w:rPr>
                      <w:color w:val="auto"/>
                      <w:sz w:val="21"/>
                      <w:szCs w:val="21"/>
                    </w:rPr>
                  </w:pPr>
                  <w:r>
                    <w:rPr>
                      <w:color w:val="auto"/>
                      <w:sz w:val="21"/>
                      <w:szCs w:val="21"/>
                    </w:rPr>
                    <w:t>年评价指标</w:t>
                  </w:r>
                </w:p>
              </w:tc>
              <w:tc>
                <w:tcPr>
                  <w:tcW w:w="1363" w:type="dxa"/>
                  <w:tcBorders>
                    <w:tl2br w:val="nil"/>
                    <w:tr2bl w:val="nil"/>
                  </w:tcBorders>
                  <w:vAlign w:val="center"/>
                </w:tcPr>
                <w:p>
                  <w:pPr>
                    <w:pStyle w:val="54"/>
                    <w:adjustRightInd w:val="0"/>
                    <w:snapToGrid w:val="0"/>
                    <w:spacing w:line="240" w:lineRule="auto"/>
                    <w:jc w:val="center"/>
                    <w:rPr>
                      <w:color w:val="auto"/>
                      <w:sz w:val="21"/>
                      <w:szCs w:val="21"/>
                    </w:rPr>
                  </w:pPr>
                  <w:r>
                    <w:rPr>
                      <w:color w:val="auto"/>
                      <w:sz w:val="21"/>
                      <w:szCs w:val="21"/>
                    </w:rPr>
                    <w:t>现状浓度</w:t>
                  </w:r>
                </w:p>
                <w:p>
                  <w:pPr>
                    <w:pStyle w:val="54"/>
                    <w:adjustRightInd w:val="0"/>
                    <w:snapToGrid w:val="0"/>
                    <w:spacing w:line="240" w:lineRule="auto"/>
                    <w:jc w:val="center"/>
                    <w:rPr>
                      <w:color w:val="auto"/>
                      <w:sz w:val="21"/>
                      <w:szCs w:val="21"/>
                    </w:rPr>
                  </w:pPr>
                  <w:r>
                    <w:rPr>
                      <w:rFonts w:hint="default" w:ascii="Times New Roman" w:hAnsi="Times New Roman" w:cs="Times New Roman"/>
                      <w:color w:val="auto"/>
                      <w:sz w:val="21"/>
                      <w:szCs w:val="21"/>
                    </w:rPr>
                    <w:t>μg/m</w:t>
                  </w:r>
                  <w:r>
                    <w:rPr>
                      <w:rFonts w:hint="default" w:ascii="Times New Roman" w:hAnsi="Times New Roman" w:cs="Times New Roman"/>
                      <w:color w:val="auto"/>
                      <w:sz w:val="21"/>
                      <w:szCs w:val="21"/>
                      <w:vertAlign w:val="superscript"/>
                    </w:rPr>
                    <w:t>3</w:t>
                  </w:r>
                </w:p>
              </w:tc>
              <w:tc>
                <w:tcPr>
                  <w:tcW w:w="1173" w:type="dxa"/>
                  <w:tcBorders>
                    <w:tl2br w:val="nil"/>
                    <w:tr2bl w:val="nil"/>
                  </w:tcBorders>
                  <w:vAlign w:val="center"/>
                </w:tcPr>
                <w:p>
                  <w:pPr>
                    <w:pStyle w:val="54"/>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标准值</w:t>
                  </w:r>
                </w:p>
                <w:p>
                  <w:pPr>
                    <w:pStyle w:val="54"/>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μg/m</w:t>
                  </w:r>
                  <w:r>
                    <w:rPr>
                      <w:rFonts w:hint="default" w:ascii="Times New Roman" w:hAnsi="Times New Roman" w:cs="Times New Roman"/>
                      <w:color w:val="auto"/>
                      <w:sz w:val="21"/>
                      <w:szCs w:val="21"/>
                      <w:vertAlign w:val="baseline"/>
                    </w:rPr>
                    <w:t>3</w:t>
                  </w:r>
                </w:p>
              </w:tc>
              <w:tc>
                <w:tcPr>
                  <w:tcW w:w="1083" w:type="dxa"/>
                  <w:tcBorders>
                    <w:tl2br w:val="nil"/>
                    <w:tr2bl w:val="nil"/>
                  </w:tcBorders>
                  <w:vAlign w:val="center"/>
                </w:tcPr>
                <w:p>
                  <w:pPr>
                    <w:pStyle w:val="54"/>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占标率</w:t>
                  </w:r>
                </w:p>
                <w:p>
                  <w:pPr>
                    <w:pStyle w:val="54"/>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148" w:type="dxa"/>
                  <w:tcBorders>
                    <w:tl2br w:val="nil"/>
                    <w:tr2bl w:val="nil"/>
                  </w:tcBorders>
                  <w:vAlign w:val="center"/>
                </w:tcPr>
                <w:p>
                  <w:pPr>
                    <w:pStyle w:val="54"/>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379" w:hRule="atLeast"/>
                <w:jc w:val="center"/>
              </w:trPr>
              <w:tc>
                <w:tcPr>
                  <w:tcW w:w="954" w:type="dxa"/>
                  <w:tcBorders>
                    <w:tl2br w:val="nil"/>
                    <w:tr2bl w:val="nil"/>
                  </w:tcBorders>
                  <w:vAlign w:val="center"/>
                </w:tcPr>
                <w:p>
                  <w:pPr>
                    <w:adjustRightInd w:val="0"/>
                    <w:snapToGrid w:val="0"/>
                    <w:jc w:val="center"/>
                    <w:rPr>
                      <w:color w:val="auto"/>
                      <w:sz w:val="21"/>
                      <w:szCs w:val="21"/>
                    </w:rPr>
                  </w:pPr>
                  <w:r>
                    <w:rPr>
                      <w:color w:val="auto"/>
                      <w:sz w:val="21"/>
                      <w:szCs w:val="21"/>
                    </w:rPr>
                    <w:t>PM</w:t>
                  </w:r>
                  <w:r>
                    <w:rPr>
                      <w:color w:val="auto"/>
                      <w:sz w:val="21"/>
                      <w:szCs w:val="21"/>
                      <w:vertAlign w:val="subscript"/>
                    </w:rPr>
                    <w:t>10</w:t>
                  </w:r>
                </w:p>
              </w:tc>
              <w:tc>
                <w:tcPr>
                  <w:tcW w:w="2179" w:type="dxa"/>
                  <w:tcBorders>
                    <w:tl2br w:val="nil"/>
                    <w:tr2bl w:val="nil"/>
                  </w:tcBorders>
                  <w:vAlign w:val="center"/>
                </w:tcPr>
                <w:p>
                  <w:pPr>
                    <w:adjustRightInd w:val="0"/>
                    <w:snapToGrid w:val="0"/>
                    <w:jc w:val="center"/>
                    <w:rPr>
                      <w:color w:val="auto"/>
                      <w:sz w:val="21"/>
                      <w:szCs w:val="21"/>
                    </w:rPr>
                  </w:pPr>
                  <w:r>
                    <w:rPr>
                      <w:color w:val="auto"/>
                      <w:sz w:val="21"/>
                      <w:szCs w:val="21"/>
                    </w:rPr>
                    <w:t>年平均质量浓度</w:t>
                  </w:r>
                </w:p>
              </w:tc>
              <w:tc>
                <w:tcPr>
                  <w:tcW w:w="1363" w:type="dxa"/>
                  <w:tcBorders>
                    <w:tl2br w:val="nil"/>
                    <w:tr2bl w:val="nil"/>
                  </w:tcBorders>
                  <w:vAlign w:val="center"/>
                </w:tcPr>
                <w:p>
                  <w:pPr>
                    <w:adjustRightInd w:val="0"/>
                    <w:snapToGrid w:val="0"/>
                    <w:jc w:val="center"/>
                    <w:rPr>
                      <w:rFonts w:hint="eastAsia"/>
                      <w:color w:val="auto"/>
                      <w:sz w:val="21"/>
                      <w:szCs w:val="21"/>
                      <w:lang w:eastAsia="zh-CN"/>
                    </w:rPr>
                  </w:pPr>
                  <w:r>
                    <w:rPr>
                      <w:rFonts w:hint="eastAsia"/>
                      <w:color w:val="auto"/>
                      <w:sz w:val="21"/>
                      <w:szCs w:val="21"/>
                      <w:lang w:val="en-US" w:eastAsia="zh-CN"/>
                    </w:rPr>
                    <w:t>84</w:t>
                  </w:r>
                </w:p>
              </w:tc>
              <w:tc>
                <w:tcPr>
                  <w:tcW w:w="1173" w:type="dxa"/>
                  <w:tcBorders>
                    <w:tl2br w:val="nil"/>
                    <w:tr2bl w:val="nil"/>
                  </w:tcBorders>
                  <w:vAlign w:val="center"/>
                </w:tcPr>
                <w:p>
                  <w:pPr>
                    <w:adjustRightInd w:val="0"/>
                    <w:snapToGrid w:val="0"/>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70</w:t>
                  </w:r>
                </w:p>
              </w:tc>
              <w:tc>
                <w:tcPr>
                  <w:tcW w:w="1083" w:type="dxa"/>
                  <w:tcBorders>
                    <w:tl2br w:val="nil"/>
                    <w:tr2bl w:val="nil"/>
                  </w:tcBorders>
                  <w:vAlign w:val="center"/>
                </w:tcPr>
                <w:p>
                  <w:pPr>
                    <w:adjustRightInd w:val="0"/>
                    <w:snapToGrid w:val="0"/>
                    <w:jc w:val="center"/>
                    <w:rPr>
                      <w:rFonts w:hint="eastAsia" w:ascii="Times New Roman" w:hAnsi="Times New Roman" w:eastAsia="宋体" w:cs="Times New Roman"/>
                      <w:snapToGrid w:val="0"/>
                      <w:color w:val="auto"/>
                      <w:kern w:val="0"/>
                      <w:sz w:val="21"/>
                      <w:szCs w:val="21"/>
                      <w:lang w:val="en-US" w:eastAsia="zh-CN" w:bidi="ar-SA"/>
                    </w:rPr>
                  </w:pPr>
                  <w:r>
                    <w:rPr>
                      <w:rFonts w:hint="eastAsia" w:ascii="Times New Roman" w:hAnsi="Times New Roman" w:eastAsia="宋体" w:cs="Times New Roman"/>
                      <w:snapToGrid w:val="0"/>
                      <w:color w:val="auto"/>
                      <w:kern w:val="0"/>
                      <w:sz w:val="21"/>
                      <w:szCs w:val="21"/>
                      <w:lang w:val="en-US" w:eastAsia="zh-CN" w:bidi="ar-SA"/>
                    </w:rPr>
                    <w:t>120</w:t>
                  </w:r>
                </w:p>
              </w:tc>
              <w:tc>
                <w:tcPr>
                  <w:tcW w:w="1148" w:type="dxa"/>
                  <w:tcBorders>
                    <w:tl2br w:val="nil"/>
                    <w:tr2bl w:val="nil"/>
                  </w:tcBorders>
                  <w:vAlign w:val="center"/>
                </w:tcPr>
                <w:p>
                  <w:pPr>
                    <w:adjustRightInd w:val="0"/>
                    <w:snapToGrid w:val="0"/>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超标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379" w:hRule="atLeast"/>
                <w:jc w:val="center"/>
              </w:trPr>
              <w:tc>
                <w:tcPr>
                  <w:tcW w:w="954" w:type="dxa"/>
                  <w:tcBorders>
                    <w:tl2br w:val="nil"/>
                    <w:tr2bl w:val="nil"/>
                  </w:tcBorders>
                  <w:vAlign w:val="center"/>
                </w:tcPr>
                <w:p>
                  <w:pPr>
                    <w:adjustRightInd w:val="0"/>
                    <w:snapToGrid w:val="0"/>
                    <w:jc w:val="center"/>
                    <w:rPr>
                      <w:color w:val="auto"/>
                      <w:sz w:val="21"/>
                      <w:szCs w:val="21"/>
                    </w:rPr>
                  </w:pPr>
                  <w:r>
                    <w:rPr>
                      <w:color w:val="auto"/>
                      <w:sz w:val="21"/>
                      <w:szCs w:val="21"/>
                    </w:rPr>
                    <w:t>PM</w:t>
                  </w:r>
                  <w:r>
                    <w:rPr>
                      <w:color w:val="auto"/>
                      <w:sz w:val="21"/>
                      <w:szCs w:val="21"/>
                      <w:vertAlign w:val="subscript"/>
                    </w:rPr>
                    <w:t>2.5</w:t>
                  </w:r>
                </w:p>
              </w:tc>
              <w:tc>
                <w:tcPr>
                  <w:tcW w:w="2179" w:type="dxa"/>
                  <w:tcBorders>
                    <w:tl2br w:val="nil"/>
                    <w:tr2bl w:val="nil"/>
                  </w:tcBorders>
                  <w:vAlign w:val="center"/>
                </w:tcPr>
                <w:p>
                  <w:pPr>
                    <w:adjustRightInd w:val="0"/>
                    <w:snapToGrid w:val="0"/>
                    <w:jc w:val="center"/>
                    <w:rPr>
                      <w:color w:val="auto"/>
                      <w:sz w:val="21"/>
                      <w:szCs w:val="21"/>
                    </w:rPr>
                  </w:pPr>
                  <w:r>
                    <w:rPr>
                      <w:color w:val="auto"/>
                      <w:sz w:val="21"/>
                      <w:szCs w:val="21"/>
                    </w:rPr>
                    <w:t>年平均质量浓度</w:t>
                  </w:r>
                </w:p>
              </w:tc>
              <w:tc>
                <w:tcPr>
                  <w:tcW w:w="1363" w:type="dxa"/>
                  <w:tcBorders>
                    <w:tl2br w:val="nil"/>
                    <w:tr2bl w:val="nil"/>
                  </w:tcBorders>
                  <w:vAlign w:val="center"/>
                </w:tcPr>
                <w:p>
                  <w:pPr>
                    <w:adjustRightInd w:val="0"/>
                    <w:snapToGrid w:val="0"/>
                    <w:jc w:val="center"/>
                    <w:rPr>
                      <w:rFonts w:hint="eastAsia"/>
                      <w:color w:val="auto"/>
                      <w:sz w:val="21"/>
                      <w:szCs w:val="21"/>
                      <w:lang w:eastAsia="zh-CN"/>
                    </w:rPr>
                  </w:pPr>
                  <w:r>
                    <w:rPr>
                      <w:rFonts w:hint="eastAsia"/>
                      <w:color w:val="auto"/>
                      <w:sz w:val="21"/>
                      <w:szCs w:val="21"/>
                      <w:lang w:val="en-US" w:eastAsia="zh-CN"/>
                    </w:rPr>
                    <w:t>47</w:t>
                  </w:r>
                </w:p>
              </w:tc>
              <w:tc>
                <w:tcPr>
                  <w:tcW w:w="1173" w:type="dxa"/>
                  <w:tcBorders>
                    <w:tl2br w:val="nil"/>
                    <w:tr2bl w:val="nil"/>
                  </w:tcBorders>
                  <w:vAlign w:val="center"/>
                </w:tcPr>
                <w:p>
                  <w:pPr>
                    <w:adjustRightInd w:val="0"/>
                    <w:snapToGrid w:val="0"/>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35</w:t>
                  </w:r>
                </w:p>
              </w:tc>
              <w:tc>
                <w:tcPr>
                  <w:tcW w:w="1083" w:type="dxa"/>
                  <w:tcBorders>
                    <w:tl2br w:val="nil"/>
                    <w:tr2bl w:val="nil"/>
                  </w:tcBorders>
                  <w:vAlign w:val="center"/>
                </w:tcPr>
                <w:p>
                  <w:pPr>
                    <w:adjustRightInd w:val="0"/>
                    <w:snapToGrid w:val="0"/>
                    <w:jc w:val="center"/>
                    <w:rPr>
                      <w:rFonts w:hint="eastAsia" w:ascii="Times New Roman" w:hAnsi="Times New Roman" w:eastAsia="宋体" w:cs="Times New Roman"/>
                      <w:snapToGrid w:val="0"/>
                      <w:color w:val="auto"/>
                      <w:kern w:val="0"/>
                      <w:sz w:val="21"/>
                      <w:szCs w:val="21"/>
                      <w:lang w:val="en-US" w:eastAsia="zh-CN" w:bidi="ar-SA"/>
                    </w:rPr>
                  </w:pPr>
                  <w:r>
                    <w:rPr>
                      <w:rFonts w:hint="eastAsia" w:ascii="Times New Roman" w:hAnsi="Times New Roman" w:eastAsia="宋体" w:cs="Times New Roman"/>
                      <w:snapToGrid w:val="0"/>
                      <w:color w:val="auto"/>
                      <w:kern w:val="0"/>
                      <w:sz w:val="21"/>
                      <w:szCs w:val="21"/>
                      <w:lang w:val="en-US" w:eastAsia="zh-CN" w:bidi="ar-SA"/>
                    </w:rPr>
                    <w:t>134.3</w:t>
                  </w:r>
                </w:p>
              </w:tc>
              <w:tc>
                <w:tcPr>
                  <w:tcW w:w="1148" w:type="dxa"/>
                  <w:tcBorders>
                    <w:tl2br w:val="nil"/>
                    <w:tr2bl w:val="nil"/>
                  </w:tcBorders>
                  <w:vAlign w:val="center"/>
                </w:tcPr>
                <w:p>
                  <w:pPr>
                    <w:adjustRightInd w:val="0"/>
                    <w:snapToGrid w:val="0"/>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超标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379" w:hRule="atLeast"/>
                <w:jc w:val="center"/>
              </w:trPr>
              <w:tc>
                <w:tcPr>
                  <w:tcW w:w="954" w:type="dxa"/>
                  <w:tcBorders>
                    <w:tl2br w:val="nil"/>
                    <w:tr2bl w:val="nil"/>
                  </w:tcBorders>
                  <w:vAlign w:val="center"/>
                </w:tcPr>
                <w:p>
                  <w:pPr>
                    <w:adjustRightInd w:val="0"/>
                    <w:snapToGrid w:val="0"/>
                    <w:jc w:val="center"/>
                    <w:rPr>
                      <w:color w:val="auto"/>
                      <w:sz w:val="21"/>
                      <w:szCs w:val="21"/>
                    </w:rPr>
                  </w:pPr>
                  <w:r>
                    <w:rPr>
                      <w:color w:val="auto"/>
                      <w:sz w:val="21"/>
                      <w:szCs w:val="21"/>
                    </w:rPr>
                    <w:t>SO</w:t>
                  </w:r>
                  <w:r>
                    <w:rPr>
                      <w:color w:val="auto"/>
                      <w:sz w:val="21"/>
                      <w:szCs w:val="21"/>
                      <w:vertAlign w:val="subscript"/>
                    </w:rPr>
                    <w:t>2</w:t>
                  </w:r>
                </w:p>
              </w:tc>
              <w:tc>
                <w:tcPr>
                  <w:tcW w:w="2179" w:type="dxa"/>
                  <w:tcBorders>
                    <w:tl2br w:val="nil"/>
                    <w:tr2bl w:val="nil"/>
                  </w:tcBorders>
                  <w:vAlign w:val="center"/>
                </w:tcPr>
                <w:p>
                  <w:pPr>
                    <w:adjustRightInd w:val="0"/>
                    <w:snapToGrid w:val="0"/>
                    <w:jc w:val="center"/>
                    <w:rPr>
                      <w:color w:val="auto"/>
                      <w:sz w:val="21"/>
                      <w:szCs w:val="21"/>
                    </w:rPr>
                  </w:pPr>
                  <w:r>
                    <w:rPr>
                      <w:color w:val="auto"/>
                      <w:sz w:val="21"/>
                      <w:szCs w:val="21"/>
                    </w:rPr>
                    <w:t>年平均质量浓度</w:t>
                  </w:r>
                </w:p>
              </w:tc>
              <w:tc>
                <w:tcPr>
                  <w:tcW w:w="1363" w:type="dxa"/>
                  <w:tcBorders>
                    <w:tl2br w:val="nil"/>
                    <w:tr2bl w:val="nil"/>
                  </w:tcBorders>
                  <w:vAlign w:val="center"/>
                </w:tcPr>
                <w:p>
                  <w:pPr>
                    <w:adjustRightInd w:val="0"/>
                    <w:snapToGrid w:val="0"/>
                    <w:jc w:val="center"/>
                    <w:rPr>
                      <w:rFonts w:hint="eastAsia"/>
                      <w:color w:val="auto"/>
                      <w:sz w:val="21"/>
                      <w:szCs w:val="21"/>
                      <w:lang w:eastAsia="zh-CN"/>
                    </w:rPr>
                  </w:pPr>
                  <w:r>
                    <w:rPr>
                      <w:rFonts w:hint="eastAsia"/>
                      <w:color w:val="auto"/>
                      <w:sz w:val="21"/>
                      <w:szCs w:val="21"/>
                      <w:lang w:val="en-US" w:eastAsia="zh-CN"/>
                    </w:rPr>
                    <w:t>9</w:t>
                  </w:r>
                </w:p>
              </w:tc>
              <w:tc>
                <w:tcPr>
                  <w:tcW w:w="1173" w:type="dxa"/>
                  <w:tcBorders>
                    <w:tl2br w:val="nil"/>
                    <w:tr2bl w:val="nil"/>
                  </w:tcBorders>
                  <w:vAlign w:val="center"/>
                </w:tcPr>
                <w:p>
                  <w:pPr>
                    <w:adjustRightInd w:val="0"/>
                    <w:snapToGrid w:val="0"/>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60</w:t>
                  </w:r>
                </w:p>
              </w:tc>
              <w:tc>
                <w:tcPr>
                  <w:tcW w:w="1083" w:type="dxa"/>
                  <w:tcBorders>
                    <w:tl2br w:val="nil"/>
                    <w:tr2bl w:val="nil"/>
                  </w:tcBorders>
                  <w:vAlign w:val="center"/>
                </w:tcPr>
                <w:p>
                  <w:pPr>
                    <w:adjustRightInd w:val="0"/>
                    <w:snapToGrid w:val="0"/>
                    <w:jc w:val="center"/>
                    <w:rPr>
                      <w:rFonts w:hint="eastAsia" w:ascii="Times New Roman" w:hAnsi="Times New Roman" w:eastAsia="宋体" w:cs="Times New Roman"/>
                      <w:snapToGrid w:val="0"/>
                      <w:color w:val="auto"/>
                      <w:kern w:val="0"/>
                      <w:sz w:val="21"/>
                      <w:szCs w:val="21"/>
                      <w:lang w:val="en-US" w:eastAsia="zh-CN" w:bidi="ar-SA"/>
                    </w:rPr>
                  </w:pPr>
                  <w:r>
                    <w:rPr>
                      <w:rFonts w:hint="eastAsia" w:ascii="Times New Roman" w:hAnsi="Times New Roman" w:eastAsia="宋体" w:cs="Times New Roman"/>
                      <w:snapToGrid w:val="0"/>
                      <w:color w:val="auto"/>
                      <w:kern w:val="0"/>
                      <w:sz w:val="21"/>
                      <w:szCs w:val="21"/>
                      <w:lang w:val="en-US" w:eastAsia="zh-CN" w:bidi="ar-SA"/>
                    </w:rPr>
                    <w:t>15</w:t>
                  </w:r>
                </w:p>
              </w:tc>
              <w:tc>
                <w:tcPr>
                  <w:tcW w:w="1148" w:type="dxa"/>
                  <w:tcBorders>
                    <w:tl2br w:val="nil"/>
                    <w:tr2bl w:val="nil"/>
                  </w:tcBorders>
                  <w:vAlign w:val="center"/>
                </w:tcPr>
                <w:p>
                  <w:pPr>
                    <w:adjustRightInd w:val="0"/>
                    <w:snapToGrid w:val="0"/>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379" w:hRule="atLeast"/>
                <w:jc w:val="center"/>
              </w:trPr>
              <w:tc>
                <w:tcPr>
                  <w:tcW w:w="954" w:type="dxa"/>
                  <w:tcBorders>
                    <w:tl2br w:val="nil"/>
                    <w:tr2bl w:val="nil"/>
                  </w:tcBorders>
                  <w:vAlign w:val="center"/>
                </w:tcPr>
                <w:p>
                  <w:pPr>
                    <w:adjustRightInd w:val="0"/>
                    <w:snapToGrid w:val="0"/>
                    <w:jc w:val="center"/>
                    <w:rPr>
                      <w:color w:val="auto"/>
                      <w:sz w:val="21"/>
                      <w:szCs w:val="21"/>
                    </w:rPr>
                  </w:pPr>
                  <w:r>
                    <w:rPr>
                      <w:color w:val="auto"/>
                      <w:sz w:val="21"/>
                      <w:szCs w:val="21"/>
                    </w:rPr>
                    <w:t>NO</w:t>
                  </w:r>
                  <w:r>
                    <w:rPr>
                      <w:color w:val="auto"/>
                      <w:sz w:val="21"/>
                      <w:szCs w:val="21"/>
                      <w:vertAlign w:val="subscript"/>
                    </w:rPr>
                    <w:t>2</w:t>
                  </w:r>
                </w:p>
              </w:tc>
              <w:tc>
                <w:tcPr>
                  <w:tcW w:w="2179" w:type="dxa"/>
                  <w:tcBorders>
                    <w:tl2br w:val="nil"/>
                    <w:tr2bl w:val="nil"/>
                  </w:tcBorders>
                  <w:vAlign w:val="center"/>
                </w:tcPr>
                <w:p>
                  <w:pPr>
                    <w:adjustRightInd w:val="0"/>
                    <w:snapToGrid w:val="0"/>
                    <w:jc w:val="center"/>
                    <w:rPr>
                      <w:color w:val="auto"/>
                      <w:sz w:val="21"/>
                      <w:szCs w:val="21"/>
                    </w:rPr>
                  </w:pPr>
                  <w:r>
                    <w:rPr>
                      <w:color w:val="auto"/>
                      <w:sz w:val="21"/>
                      <w:szCs w:val="21"/>
                    </w:rPr>
                    <w:t>年平均质量浓度</w:t>
                  </w:r>
                </w:p>
              </w:tc>
              <w:tc>
                <w:tcPr>
                  <w:tcW w:w="1363" w:type="dxa"/>
                  <w:tcBorders>
                    <w:tl2br w:val="nil"/>
                    <w:tr2bl w:val="nil"/>
                  </w:tcBorders>
                  <w:vAlign w:val="center"/>
                </w:tcPr>
                <w:p>
                  <w:pPr>
                    <w:adjustRightInd w:val="0"/>
                    <w:snapToGrid w:val="0"/>
                    <w:jc w:val="center"/>
                    <w:rPr>
                      <w:rFonts w:hint="eastAsia"/>
                      <w:color w:val="auto"/>
                      <w:sz w:val="21"/>
                      <w:szCs w:val="21"/>
                      <w:lang w:eastAsia="zh-CN"/>
                    </w:rPr>
                  </w:pPr>
                  <w:r>
                    <w:rPr>
                      <w:rFonts w:hint="eastAsia"/>
                      <w:color w:val="auto"/>
                      <w:sz w:val="21"/>
                      <w:szCs w:val="21"/>
                      <w:lang w:val="en-US" w:eastAsia="zh-CN"/>
                    </w:rPr>
                    <w:t>38</w:t>
                  </w:r>
                </w:p>
              </w:tc>
              <w:tc>
                <w:tcPr>
                  <w:tcW w:w="1173" w:type="dxa"/>
                  <w:tcBorders>
                    <w:tl2br w:val="nil"/>
                    <w:tr2bl w:val="nil"/>
                  </w:tcBorders>
                  <w:vAlign w:val="center"/>
                </w:tcPr>
                <w:p>
                  <w:pPr>
                    <w:adjustRightInd w:val="0"/>
                    <w:snapToGrid w:val="0"/>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40</w:t>
                  </w:r>
                </w:p>
              </w:tc>
              <w:tc>
                <w:tcPr>
                  <w:tcW w:w="1083" w:type="dxa"/>
                  <w:tcBorders>
                    <w:tl2br w:val="nil"/>
                    <w:tr2bl w:val="nil"/>
                  </w:tcBorders>
                  <w:vAlign w:val="center"/>
                </w:tcPr>
                <w:p>
                  <w:pPr>
                    <w:adjustRightInd w:val="0"/>
                    <w:snapToGrid w:val="0"/>
                    <w:jc w:val="center"/>
                    <w:rPr>
                      <w:rFonts w:hint="eastAsia" w:ascii="Times New Roman" w:hAnsi="Times New Roman" w:eastAsia="宋体" w:cs="Times New Roman"/>
                      <w:snapToGrid w:val="0"/>
                      <w:color w:val="auto"/>
                      <w:kern w:val="0"/>
                      <w:sz w:val="21"/>
                      <w:szCs w:val="21"/>
                      <w:lang w:val="en-US" w:eastAsia="zh-CN" w:bidi="ar-SA"/>
                    </w:rPr>
                  </w:pPr>
                  <w:r>
                    <w:rPr>
                      <w:rFonts w:hint="eastAsia" w:ascii="Times New Roman" w:hAnsi="Times New Roman" w:eastAsia="宋体" w:cs="Times New Roman"/>
                      <w:snapToGrid w:val="0"/>
                      <w:color w:val="auto"/>
                      <w:kern w:val="0"/>
                      <w:sz w:val="21"/>
                      <w:szCs w:val="21"/>
                      <w:lang w:val="en-US" w:eastAsia="zh-CN" w:bidi="ar-SA"/>
                    </w:rPr>
                    <w:t>95</w:t>
                  </w:r>
                </w:p>
              </w:tc>
              <w:tc>
                <w:tcPr>
                  <w:tcW w:w="1148" w:type="dxa"/>
                  <w:tcBorders>
                    <w:tl2br w:val="nil"/>
                    <w:tr2bl w:val="nil"/>
                  </w:tcBorders>
                  <w:vAlign w:val="center"/>
                </w:tcPr>
                <w:p>
                  <w:pPr>
                    <w:adjustRightInd w:val="0"/>
                    <w:snapToGrid w:val="0"/>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526" w:hRule="atLeast"/>
                <w:jc w:val="center"/>
              </w:trPr>
              <w:tc>
                <w:tcPr>
                  <w:tcW w:w="954" w:type="dxa"/>
                  <w:tcBorders>
                    <w:tl2br w:val="nil"/>
                    <w:tr2bl w:val="nil"/>
                  </w:tcBorders>
                  <w:vAlign w:val="center"/>
                </w:tcPr>
                <w:p>
                  <w:pPr>
                    <w:adjustRightInd w:val="0"/>
                    <w:snapToGrid w:val="0"/>
                    <w:jc w:val="center"/>
                    <w:rPr>
                      <w:color w:val="auto"/>
                      <w:sz w:val="21"/>
                      <w:szCs w:val="21"/>
                    </w:rPr>
                  </w:pPr>
                  <w:r>
                    <w:rPr>
                      <w:color w:val="auto"/>
                      <w:sz w:val="21"/>
                      <w:szCs w:val="21"/>
                    </w:rPr>
                    <w:t>CO</w:t>
                  </w:r>
                </w:p>
              </w:tc>
              <w:tc>
                <w:tcPr>
                  <w:tcW w:w="2179" w:type="dxa"/>
                  <w:tcBorders>
                    <w:tl2br w:val="nil"/>
                    <w:tr2bl w:val="nil"/>
                  </w:tcBorders>
                  <w:vAlign w:val="center"/>
                </w:tcPr>
                <w:p>
                  <w:pPr>
                    <w:adjustRightInd w:val="0"/>
                    <w:snapToGrid w:val="0"/>
                    <w:jc w:val="center"/>
                    <w:rPr>
                      <w:color w:val="auto"/>
                      <w:sz w:val="21"/>
                      <w:szCs w:val="21"/>
                    </w:rPr>
                  </w:pPr>
                  <w:r>
                    <w:rPr>
                      <w:color w:val="auto"/>
                      <w:sz w:val="21"/>
                      <w:szCs w:val="21"/>
                    </w:rPr>
                    <w:t>CO第95百分位</w:t>
                  </w:r>
                  <w:r>
                    <w:rPr>
                      <w:rFonts w:hint="eastAsia"/>
                      <w:color w:val="auto"/>
                      <w:sz w:val="21"/>
                      <w:szCs w:val="21"/>
                      <w:lang w:val="en-US" w:eastAsia="zh-CN"/>
                    </w:rPr>
                    <w:t>日均</w:t>
                  </w:r>
                  <w:r>
                    <w:rPr>
                      <w:color w:val="auto"/>
                      <w:sz w:val="21"/>
                      <w:szCs w:val="21"/>
                    </w:rPr>
                    <w:t>浓度</w:t>
                  </w:r>
                </w:p>
              </w:tc>
              <w:tc>
                <w:tcPr>
                  <w:tcW w:w="1363" w:type="dxa"/>
                  <w:tcBorders>
                    <w:tl2br w:val="nil"/>
                    <w:tr2bl w:val="nil"/>
                  </w:tcBorders>
                  <w:vAlign w:val="center"/>
                </w:tcPr>
                <w:p>
                  <w:pPr>
                    <w:adjustRightInd w:val="0"/>
                    <w:snapToGrid w:val="0"/>
                    <w:jc w:val="center"/>
                    <w:rPr>
                      <w:rFonts w:hint="eastAsia"/>
                      <w:color w:val="auto"/>
                      <w:sz w:val="21"/>
                      <w:szCs w:val="21"/>
                      <w:lang w:eastAsia="zh-CN"/>
                    </w:rPr>
                  </w:pPr>
                  <w:r>
                    <w:rPr>
                      <w:rFonts w:hint="eastAsia"/>
                      <w:color w:val="auto"/>
                      <w:sz w:val="21"/>
                      <w:szCs w:val="21"/>
                      <w:lang w:val="en-US" w:eastAsia="zh-CN"/>
                    </w:rPr>
                    <w:t>1.6</w:t>
                  </w:r>
                </w:p>
              </w:tc>
              <w:tc>
                <w:tcPr>
                  <w:tcW w:w="1173" w:type="dxa"/>
                  <w:tcBorders>
                    <w:tl2br w:val="nil"/>
                    <w:tr2bl w:val="nil"/>
                  </w:tcBorders>
                  <w:vAlign w:val="center"/>
                </w:tcPr>
                <w:p>
                  <w:pPr>
                    <w:adjustRightInd w:val="0"/>
                    <w:snapToGrid w:val="0"/>
                    <w:jc w:val="center"/>
                    <w:rPr>
                      <w:rFonts w:hint="eastAsia" w:ascii="Times New Roman" w:hAnsi="Times New Roman" w:eastAsia="宋体" w:cs="Times New Roman"/>
                      <w:snapToGrid w:val="0"/>
                      <w:color w:val="auto"/>
                      <w:kern w:val="0"/>
                      <w:sz w:val="21"/>
                      <w:szCs w:val="21"/>
                      <w:lang w:val="en-US" w:eastAsia="zh-CN" w:bidi="ar-SA"/>
                    </w:rPr>
                  </w:pPr>
                  <w:r>
                    <w:rPr>
                      <w:rFonts w:hint="eastAsia" w:ascii="Times New Roman" w:hAnsi="Times New Roman" w:eastAsia="宋体" w:cs="Times New Roman"/>
                      <w:snapToGrid w:val="0"/>
                      <w:color w:val="auto"/>
                      <w:kern w:val="0"/>
                      <w:sz w:val="21"/>
                      <w:szCs w:val="21"/>
                      <w:lang w:val="en-US" w:eastAsia="zh-CN" w:bidi="ar-SA"/>
                    </w:rPr>
                    <w:t>10</w:t>
                  </w:r>
                </w:p>
              </w:tc>
              <w:tc>
                <w:tcPr>
                  <w:tcW w:w="1083" w:type="dxa"/>
                  <w:tcBorders>
                    <w:tl2br w:val="nil"/>
                    <w:tr2bl w:val="nil"/>
                  </w:tcBorders>
                  <w:vAlign w:val="center"/>
                </w:tcPr>
                <w:p>
                  <w:pPr>
                    <w:adjustRightInd w:val="0"/>
                    <w:snapToGrid w:val="0"/>
                    <w:jc w:val="center"/>
                    <w:rPr>
                      <w:rFonts w:hint="eastAsia" w:ascii="Times New Roman" w:hAnsi="Times New Roman" w:eastAsia="宋体" w:cs="Times New Roman"/>
                      <w:snapToGrid w:val="0"/>
                      <w:color w:val="auto"/>
                      <w:kern w:val="0"/>
                      <w:sz w:val="21"/>
                      <w:szCs w:val="21"/>
                      <w:lang w:val="en-US" w:eastAsia="zh-CN" w:bidi="ar-SA"/>
                    </w:rPr>
                  </w:pPr>
                  <w:r>
                    <w:rPr>
                      <w:rFonts w:hint="eastAsia" w:ascii="Times New Roman" w:hAnsi="Times New Roman" w:eastAsia="宋体" w:cs="Times New Roman"/>
                      <w:snapToGrid w:val="0"/>
                      <w:color w:val="auto"/>
                      <w:kern w:val="0"/>
                      <w:sz w:val="21"/>
                      <w:szCs w:val="21"/>
                      <w:lang w:val="en-US" w:eastAsia="zh-CN" w:bidi="ar-SA"/>
                    </w:rPr>
                    <w:t>16</w:t>
                  </w:r>
                </w:p>
              </w:tc>
              <w:tc>
                <w:tcPr>
                  <w:tcW w:w="1148" w:type="dxa"/>
                  <w:tcBorders>
                    <w:tl2br w:val="nil"/>
                    <w:tr2bl w:val="nil"/>
                  </w:tcBorders>
                  <w:vAlign w:val="center"/>
                </w:tcPr>
                <w:p>
                  <w:pPr>
                    <w:adjustRightInd w:val="0"/>
                    <w:snapToGrid w:val="0"/>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jc w:val="center"/>
              </w:trPr>
              <w:tc>
                <w:tcPr>
                  <w:tcW w:w="954" w:type="dxa"/>
                  <w:tcBorders>
                    <w:tl2br w:val="nil"/>
                    <w:tr2bl w:val="nil"/>
                  </w:tcBorders>
                  <w:vAlign w:val="center"/>
                </w:tcPr>
                <w:p>
                  <w:pPr>
                    <w:adjustRightInd w:val="0"/>
                    <w:snapToGrid w:val="0"/>
                    <w:jc w:val="center"/>
                    <w:rPr>
                      <w:color w:val="auto"/>
                      <w:sz w:val="21"/>
                      <w:szCs w:val="21"/>
                    </w:rPr>
                  </w:pPr>
                  <w:r>
                    <w:rPr>
                      <w:color w:val="auto"/>
                      <w:sz w:val="21"/>
                      <w:szCs w:val="21"/>
                    </w:rPr>
                    <w:t>O</w:t>
                  </w:r>
                  <w:r>
                    <w:rPr>
                      <w:color w:val="auto"/>
                      <w:sz w:val="21"/>
                      <w:szCs w:val="21"/>
                      <w:vertAlign w:val="subscript"/>
                    </w:rPr>
                    <w:t>3</w:t>
                  </w:r>
                </w:p>
              </w:tc>
              <w:tc>
                <w:tcPr>
                  <w:tcW w:w="2179" w:type="dxa"/>
                  <w:tcBorders>
                    <w:tl2br w:val="nil"/>
                    <w:tr2bl w:val="nil"/>
                  </w:tcBorders>
                  <w:vAlign w:val="center"/>
                </w:tcPr>
                <w:p>
                  <w:pPr>
                    <w:adjustRightInd w:val="0"/>
                    <w:snapToGrid w:val="0"/>
                    <w:jc w:val="center"/>
                    <w:rPr>
                      <w:color w:val="auto"/>
                      <w:sz w:val="21"/>
                      <w:szCs w:val="21"/>
                    </w:rPr>
                  </w:pPr>
                  <w:r>
                    <w:rPr>
                      <w:color w:val="auto"/>
                      <w:sz w:val="21"/>
                      <w:szCs w:val="21"/>
                    </w:rPr>
                    <w:t>第90百分位</w:t>
                  </w:r>
                  <w:r>
                    <w:rPr>
                      <w:rFonts w:hint="eastAsia"/>
                      <w:color w:val="auto"/>
                      <w:sz w:val="21"/>
                      <w:szCs w:val="21"/>
                      <w:lang w:val="en-US" w:eastAsia="zh-CN"/>
                    </w:rPr>
                    <w:t>8h平均</w:t>
                  </w:r>
                  <w:r>
                    <w:rPr>
                      <w:color w:val="auto"/>
                      <w:sz w:val="21"/>
                      <w:szCs w:val="21"/>
                    </w:rPr>
                    <w:t>浓度</w:t>
                  </w:r>
                </w:p>
              </w:tc>
              <w:tc>
                <w:tcPr>
                  <w:tcW w:w="1363" w:type="dxa"/>
                  <w:tcBorders>
                    <w:tl2br w:val="nil"/>
                    <w:tr2bl w:val="nil"/>
                  </w:tcBorders>
                  <w:vAlign w:val="center"/>
                </w:tcPr>
                <w:p>
                  <w:pPr>
                    <w:adjustRightInd w:val="0"/>
                    <w:snapToGrid w:val="0"/>
                    <w:jc w:val="center"/>
                    <w:rPr>
                      <w:rFonts w:hint="eastAsia"/>
                      <w:color w:val="auto"/>
                      <w:sz w:val="21"/>
                      <w:szCs w:val="21"/>
                      <w:lang w:eastAsia="zh-CN"/>
                    </w:rPr>
                  </w:pPr>
                  <w:r>
                    <w:rPr>
                      <w:rFonts w:hint="eastAsia"/>
                      <w:color w:val="auto"/>
                      <w:sz w:val="21"/>
                      <w:szCs w:val="21"/>
                      <w:lang w:val="en-US" w:eastAsia="zh-CN"/>
                    </w:rPr>
                    <w:t>148</w:t>
                  </w:r>
                </w:p>
              </w:tc>
              <w:tc>
                <w:tcPr>
                  <w:tcW w:w="1173" w:type="dxa"/>
                  <w:tcBorders>
                    <w:tl2br w:val="nil"/>
                    <w:tr2bl w:val="nil"/>
                  </w:tcBorders>
                  <w:vAlign w:val="center"/>
                </w:tcPr>
                <w:p>
                  <w:pPr>
                    <w:adjustRightInd w:val="0"/>
                    <w:snapToGrid w:val="0"/>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160</w:t>
                  </w:r>
                </w:p>
              </w:tc>
              <w:tc>
                <w:tcPr>
                  <w:tcW w:w="1083" w:type="dxa"/>
                  <w:tcBorders>
                    <w:tl2br w:val="nil"/>
                    <w:tr2bl w:val="nil"/>
                  </w:tcBorders>
                  <w:vAlign w:val="center"/>
                </w:tcPr>
                <w:p>
                  <w:pPr>
                    <w:adjustRightInd w:val="0"/>
                    <w:snapToGrid w:val="0"/>
                    <w:jc w:val="center"/>
                    <w:rPr>
                      <w:rFonts w:hint="eastAsia" w:ascii="Times New Roman" w:hAnsi="Times New Roman" w:eastAsia="宋体" w:cs="Times New Roman"/>
                      <w:snapToGrid w:val="0"/>
                      <w:color w:val="auto"/>
                      <w:kern w:val="0"/>
                      <w:sz w:val="21"/>
                      <w:szCs w:val="21"/>
                      <w:lang w:val="en-US" w:eastAsia="zh-CN" w:bidi="ar-SA"/>
                    </w:rPr>
                  </w:pPr>
                  <w:r>
                    <w:rPr>
                      <w:rFonts w:hint="eastAsia" w:ascii="Times New Roman" w:hAnsi="Times New Roman" w:eastAsia="宋体" w:cs="Times New Roman"/>
                      <w:snapToGrid w:val="0"/>
                      <w:color w:val="auto"/>
                      <w:kern w:val="0"/>
                      <w:sz w:val="21"/>
                      <w:szCs w:val="21"/>
                      <w:lang w:val="en-US" w:eastAsia="zh-CN" w:bidi="ar-SA"/>
                    </w:rPr>
                    <w:t>92.5</w:t>
                  </w:r>
                </w:p>
              </w:tc>
              <w:tc>
                <w:tcPr>
                  <w:tcW w:w="1148" w:type="dxa"/>
                  <w:tcBorders>
                    <w:tl2br w:val="nil"/>
                    <w:tr2bl w:val="nil"/>
                  </w:tcBorders>
                  <w:vAlign w:val="center"/>
                </w:tcPr>
                <w:p>
                  <w:pPr>
                    <w:adjustRightInd w:val="0"/>
                    <w:snapToGrid w:val="0"/>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达标</w:t>
                  </w:r>
                </w:p>
              </w:tc>
            </w:tr>
          </w:tbl>
          <w:p>
            <w:pPr>
              <w:spacing w:line="360" w:lineRule="auto"/>
              <w:ind w:firstLine="480"/>
              <w:rPr>
                <w:color w:val="auto"/>
                <w:sz w:val="24"/>
                <w:szCs w:val="24"/>
              </w:rPr>
            </w:pPr>
            <w:r>
              <w:rPr>
                <w:color w:val="auto"/>
                <w:sz w:val="24"/>
                <w:szCs w:val="24"/>
              </w:rPr>
              <w:t>根据上表可知，</w:t>
            </w:r>
            <w:r>
              <w:rPr>
                <w:rFonts w:hint="eastAsia"/>
                <w:color w:val="auto"/>
                <w:sz w:val="24"/>
                <w:szCs w:val="24"/>
                <w:lang w:val="en-US" w:eastAsia="zh-CN"/>
              </w:rPr>
              <w:t>秦汉新城2020</w:t>
            </w:r>
            <w:r>
              <w:rPr>
                <w:color w:val="auto"/>
                <w:sz w:val="24"/>
                <w:szCs w:val="24"/>
              </w:rPr>
              <w:t>年的环境空气中SO</w:t>
            </w:r>
            <w:r>
              <w:rPr>
                <w:color w:val="auto"/>
                <w:sz w:val="24"/>
                <w:szCs w:val="24"/>
                <w:vertAlign w:val="subscript"/>
              </w:rPr>
              <w:t>2</w:t>
            </w:r>
            <w:r>
              <w:rPr>
                <w:color w:val="auto"/>
                <w:sz w:val="24"/>
                <w:szCs w:val="24"/>
              </w:rPr>
              <w:t>、NO</w:t>
            </w:r>
            <w:r>
              <w:rPr>
                <w:color w:val="auto"/>
                <w:sz w:val="24"/>
                <w:szCs w:val="24"/>
                <w:vertAlign w:val="subscript"/>
              </w:rPr>
              <w:t>2</w:t>
            </w:r>
            <w:r>
              <w:rPr>
                <w:color w:val="auto"/>
                <w:sz w:val="24"/>
                <w:szCs w:val="24"/>
              </w:rPr>
              <w:t>年平均浓度值、CO</w:t>
            </w:r>
            <w:r>
              <w:rPr>
                <w:rFonts w:hint="eastAsia"/>
                <w:color w:val="auto"/>
                <w:sz w:val="24"/>
                <w:szCs w:val="24"/>
                <w:lang w:val="en-US" w:eastAsia="zh-CN"/>
              </w:rPr>
              <w:t>第95位百分位</w:t>
            </w:r>
            <w:r>
              <w:rPr>
                <w:color w:val="auto"/>
                <w:sz w:val="24"/>
                <w:szCs w:val="24"/>
              </w:rPr>
              <w:t>日平均浓度和O</w:t>
            </w:r>
            <w:r>
              <w:rPr>
                <w:color w:val="auto"/>
                <w:sz w:val="24"/>
                <w:szCs w:val="24"/>
                <w:vertAlign w:val="subscript"/>
              </w:rPr>
              <w:t>3</w:t>
            </w:r>
            <w:r>
              <w:rPr>
                <w:rFonts w:hint="eastAsia"/>
                <w:color w:val="auto"/>
                <w:sz w:val="24"/>
                <w:szCs w:val="24"/>
                <w:lang w:val="en-US" w:eastAsia="zh-CN"/>
              </w:rPr>
              <w:t>第90位百分位</w:t>
            </w:r>
            <w:r>
              <w:rPr>
                <w:color w:val="auto"/>
                <w:sz w:val="24"/>
                <w:szCs w:val="24"/>
              </w:rPr>
              <w:t>8小时平均浓度值满足《环境空气质量标准》（GB3095-2012）中的二级标准要求；PM</w:t>
            </w:r>
            <w:r>
              <w:rPr>
                <w:color w:val="auto"/>
                <w:sz w:val="24"/>
                <w:szCs w:val="24"/>
                <w:vertAlign w:val="subscript"/>
              </w:rPr>
              <w:t>10</w:t>
            </w:r>
            <w:r>
              <w:rPr>
                <w:color w:val="auto"/>
                <w:sz w:val="24"/>
                <w:szCs w:val="24"/>
              </w:rPr>
              <w:t>、PM</w:t>
            </w:r>
            <w:r>
              <w:rPr>
                <w:color w:val="auto"/>
                <w:sz w:val="24"/>
                <w:szCs w:val="24"/>
                <w:vertAlign w:val="subscript"/>
              </w:rPr>
              <w:t>2.5</w:t>
            </w:r>
            <w:r>
              <w:rPr>
                <w:color w:val="auto"/>
                <w:sz w:val="24"/>
                <w:szCs w:val="24"/>
              </w:rPr>
              <w:t>年平均浓度值均不满足《环境空气质量标准》（GB3095-2012）中的二级标准要求。根据《环境影响评价技术导则 大气环境》（HJ2.2-2018），本项目所在区域属于不达标区域。</w:t>
            </w:r>
          </w:p>
          <w:p>
            <w:pPr>
              <w:adjustRightInd w:val="0"/>
              <w:snapToGrid w:val="0"/>
              <w:spacing w:line="360" w:lineRule="auto"/>
              <w:ind w:firstLine="480" w:firstLineChars="200"/>
              <w:jc w:val="left"/>
              <w:rPr>
                <w:color w:val="auto"/>
                <w:sz w:val="24"/>
              </w:rPr>
            </w:pPr>
            <w:r>
              <w:rPr>
                <w:rFonts w:hint="eastAsia"/>
                <w:color w:val="auto"/>
                <w:sz w:val="24"/>
              </w:rPr>
              <w:t>（2）</w:t>
            </w:r>
            <w:r>
              <w:rPr>
                <w:color w:val="auto"/>
                <w:sz w:val="24"/>
              </w:rPr>
              <w:t>地表水环境</w:t>
            </w:r>
          </w:p>
          <w:p>
            <w:pPr>
              <w:adjustRightInd w:val="0"/>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根据西咸新区生态环境局2021年1月29日发布的《西咸新区2020年12月水环境质量状况》，对地表水环境现状进行评价。</w:t>
            </w:r>
          </w:p>
          <w:p>
            <w:pPr>
              <w:adjustRightInd w:val="0"/>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监测断面1个，为泾河出西咸段。监测1次。测结果见表12。</w:t>
            </w:r>
          </w:p>
          <w:p>
            <w:pPr>
              <w:pStyle w:val="2"/>
              <w:spacing w:after="0"/>
              <w:ind w:left="0" w:leftChars="0" w:firstLine="0" w:firstLineChars="0"/>
              <w:jc w:val="center"/>
              <w:rPr>
                <w:rFonts w:hint="eastAsia" w:ascii="Times New Roman" w:hAnsi="Times New Roman" w:eastAsia="黑体" w:cs="Times New Roman"/>
                <w:color w:val="auto"/>
                <w:kern w:val="2"/>
                <w:sz w:val="24"/>
                <w:szCs w:val="24"/>
                <w:lang w:val="en-US" w:eastAsia="zh-CN" w:bidi="ar-SA"/>
              </w:rPr>
            </w:pPr>
            <w:r>
              <w:rPr>
                <w:rFonts w:hint="eastAsia" w:ascii="Times New Roman" w:hAnsi="Times New Roman" w:eastAsia="黑体" w:cs="Times New Roman"/>
                <w:color w:val="auto"/>
                <w:kern w:val="2"/>
                <w:sz w:val="24"/>
                <w:szCs w:val="24"/>
                <w:lang w:val="en-US" w:eastAsia="zh-CN" w:bidi="ar-SA"/>
              </w:rPr>
              <w:t>表12   地表水环境质量监测结果一览表</w:t>
            </w:r>
          </w:p>
          <w:tbl>
            <w:tblPr>
              <w:tblStyle w:val="24"/>
              <w:tblW w:w="7944"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3262"/>
              <w:gridCol w:w="2678"/>
              <w:gridCol w:w="5"/>
              <w:gridCol w:w="1996"/>
              <w:gridCol w:w="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jc w:val="center"/>
              </w:trPr>
              <w:tc>
                <w:tcPr>
                  <w:tcW w:w="3262" w:type="dxa"/>
                  <w:vMerge w:val="restart"/>
                  <w:vAlign w:val="center"/>
                </w:tcPr>
                <w:p>
                  <w:pPr>
                    <w:adjustRightInd w:val="0"/>
                    <w:snapToGrid w:val="0"/>
                    <w:jc w:val="center"/>
                    <w:rPr>
                      <w:color w:val="auto"/>
                      <w:sz w:val="21"/>
                      <w:szCs w:val="21"/>
                    </w:rPr>
                  </w:pPr>
                  <w:r>
                    <w:rPr>
                      <w:color w:val="auto"/>
                      <w:sz w:val="21"/>
                      <w:szCs w:val="21"/>
                    </w:rPr>
                    <w:t>项目</w:t>
                  </w:r>
                </w:p>
              </w:tc>
              <w:tc>
                <w:tcPr>
                  <w:tcW w:w="2683" w:type="dxa"/>
                  <w:gridSpan w:val="2"/>
                  <w:vAlign w:val="center"/>
                </w:tcPr>
                <w:p>
                  <w:pPr>
                    <w:adjustRightInd w:val="0"/>
                    <w:snapToGrid w:val="0"/>
                    <w:jc w:val="center"/>
                    <w:rPr>
                      <w:color w:val="auto"/>
                      <w:sz w:val="21"/>
                      <w:szCs w:val="21"/>
                    </w:rPr>
                  </w:pPr>
                  <w:r>
                    <w:rPr>
                      <w:rFonts w:hint="eastAsia"/>
                      <w:color w:val="auto"/>
                      <w:sz w:val="21"/>
                      <w:szCs w:val="21"/>
                      <w:lang w:val="en-US" w:eastAsia="zh-CN"/>
                    </w:rPr>
                    <w:t>泾河出西咸段断面</w:t>
                  </w:r>
                </w:p>
              </w:tc>
              <w:tc>
                <w:tcPr>
                  <w:tcW w:w="1999" w:type="dxa"/>
                  <w:gridSpan w:val="2"/>
                  <w:vAlign w:val="center"/>
                </w:tcPr>
                <w:p>
                  <w:pPr>
                    <w:adjustRightInd w:val="0"/>
                    <w:snapToGrid w:val="0"/>
                    <w:jc w:val="center"/>
                    <w:rPr>
                      <w:color w:val="auto"/>
                      <w:sz w:val="21"/>
                      <w:szCs w:val="21"/>
                    </w:rPr>
                  </w:pPr>
                  <w:r>
                    <w:rPr>
                      <w:rFonts w:hint="eastAsia"/>
                      <w:color w:val="auto"/>
                      <w:sz w:val="21"/>
                      <w:szCs w:val="21"/>
                    </w:rPr>
                    <w:t>水质目标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gridAfter w:val="1"/>
                <w:wAfter w:w="3" w:type="dxa"/>
                <w:trHeight w:val="283" w:hRule="atLeast"/>
                <w:jc w:val="center"/>
              </w:trPr>
              <w:tc>
                <w:tcPr>
                  <w:tcW w:w="3262" w:type="dxa"/>
                  <w:vMerge w:val="continue"/>
                  <w:vAlign w:val="center"/>
                </w:tcPr>
                <w:p>
                  <w:pPr>
                    <w:adjustRightInd w:val="0"/>
                    <w:snapToGrid w:val="0"/>
                    <w:jc w:val="center"/>
                    <w:rPr>
                      <w:color w:val="auto"/>
                      <w:sz w:val="21"/>
                      <w:szCs w:val="21"/>
                    </w:rPr>
                  </w:pPr>
                </w:p>
              </w:tc>
              <w:tc>
                <w:tcPr>
                  <w:tcW w:w="2678" w:type="dxa"/>
                  <w:vAlign w:val="center"/>
                </w:tcPr>
                <w:p>
                  <w:pPr>
                    <w:adjustRightInd w:val="0"/>
                    <w:snapToGrid w:val="0"/>
                    <w:jc w:val="center"/>
                    <w:rPr>
                      <w:color w:val="auto"/>
                      <w:sz w:val="21"/>
                      <w:szCs w:val="21"/>
                    </w:rPr>
                  </w:pPr>
                  <w:r>
                    <w:rPr>
                      <w:color w:val="auto"/>
                      <w:sz w:val="21"/>
                      <w:szCs w:val="21"/>
                    </w:rPr>
                    <w:t>2020.12</w:t>
                  </w:r>
                </w:p>
              </w:tc>
              <w:tc>
                <w:tcPr>
                  <w:tcW w:w="2001" w:type="dxa"/>
                  <w:gridSpan w:val="2"/>
                  <w:vAlign w:val="center"/>
                </w:tcPr>
                <w:p>
                  <w:pPr>
                    <w:adjustRightInd w:val="0"/>
                    <w:snapToGrid w:val="0"/>
                    <w:jc w:val="center"/>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gridAfter w:val="1"/>
                <w:wAfter w:w="3" w:type="dxa"/>
                <w:trHeight w:val="283" w:hRule="atLeast"/>
                <w:jc w:val="center"/>
              </w:trPr>
              <w:tc>
                <w:tcPr>
                  <w:tcW w:w="3262" w:type="dxa"/>
                  <w:vAlign w:val="center"/>
                </w:tcPr>
                <w:p>
                  <w:pPr>
                    <w:adjustRightInd w:val="0"/>
                    <w:snapToGrid w:val="0"/>
                    <w:jc w:val="center"/>
                    <w:rPr>
                      <w:color w:val="auto"/>
                      <w:sz w:val="21"/>
                      <w:szCs w:val="21"/>
                    </w:rPr>
                  </w:pPr>
                  <w:r>
                    <w:rPr>
                      <w:color w:val="auto"/>
                      <w:sz w:val="21"/>
                      <w:szCs w:val="21"/>
                    </w:rPr>
                    <w:t>COD</w:t>
                  </w:r>
                </w:p>
              </w:tc>
              <w:tc>
                <w:tcPr>
                  <w:tcW w:w="2678" w:type="dxa"/>
                  <w:vAlign w:val="center"/>
                </w:tcPr>
                <w:p>
                  <w:pPr>
                    <w:adjustRightInd w:val="0"/>
                    <w:snapToGrid w:val="0"/>
                    <w:jc w:val="center"/>
                    <w:rPr>
                      <w:rFonts w:hint="eastAsia" w:eastAsia="宋体"/>
                      <w:color w:val="auto"/>
                      <w:sz w:val="21"/>
                      <w:szCs w:val="21"/>
                      <w:lang w:val="en-US" w:eastAsia="zh-CN"/>
                    </w:rPr>
                  </w:pPr>
                  <w:r>
                    <w:rPr>
                      <w:rFonts w:hint="eastAsia"/>
                      <w:color w:val="auto"/>
                      <w:sz w:val="21"/>
                      <w:szCs w:val="21"/>
                      <w:lang w:val="en-US" w:eastAsia="zh-CN"/>
                    </w:rPr>
                    <w:t>8</w:t>
                  </w:r>
                </w:p>
              </w:tc>
              <w:tc>
                <w:tcPr>
                  <w:tcW w:w="2001" w:type="dxa"/>
                  <w:gridSpan w:val="2"/>
                  <w:vAlign w:val="center"/>
                </w:tcPr>
                <w:p>
                  <w:pPr>
                    <w:adjustRightInd w:val="0"/>
                    <w:snapToGrid w:val="0"/>
                    <w:jc w:val="center"/>
                    <w:rPr>
                      <w:color w:val="auto"/>
                      <w:sz w:val="21"/>
                      <w:szCs w:val="21"/>
                    </w:rPr>
                  </w:pPr>
                  <w:r>
                    <w:rPr>
                      <w:color w:val="auto"/>
                      <w:sz w:val="21"/>
                      <w:szCs w:val="21"/>
                    </w:rPr>
                    <w:t>≤</w:t>
                  </w:r>
                  <w:r>
                    <w:rPr>
                      <w:rFonts w:hint="eastAsia"/>
                      <w:color w:val="auto"/>
                      <w:sz w:val="21"/>
                      <w:szCs w:val="21"/>
                      <w:lang w:val="en-US" w:eastAsia="zh-CN"/>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gridAfter w:val="1"/>
                <w:wAfter w:w="3" w:type="dxa"/>
                <w:trHeight w:val="283" w:hRule="atLeast"/>
                <w:jc w:val="center"/>
              </w:trPr>
              <w:tc>
                <w:tcPr>
                  <w:tcW w:w="3262" w:type="dxa"/>
                  <w:vAlign w:val="center"/>
                </w:tcPr>
                <w:p>
                  <w:pPr>
                    <w:adjustRightInd w:val="0"/>
                    <w:snapToGrid w:val="0"/>
                    <w:jc w:val="center"/>
                    <w:rPr>
                      <w:color w:val="auto"/>
                      <w:sz w:val="21"/>
                      <w:szCs w:val="21"/>
                    </w:rPr>
                  </w:pPr>
                  <w:r>
                    <w:rPr>
                      <w:color w:val="auto"/>
                      <w:sz w:val="21"/>
                      <w:szCs w:val="21"/>
                    </w:rPr>
                    <w:t>NH</w:t>
                  </w:r>
                  <w:r>
                    <w:rPr>
                      <w:color w:val="auto"/>
                      <w:sz w:val="21"/>
                      <w:szCs w:val="21"/>
                      <w:vertAlign w:val="subscript"/>
                    </w:rPr>
                    <w:t>3</w:t>
                  </w:r>
                  <w:r>
                    <w:rPr>
                      <w:color w:val="auto"/>
                      <w:sz w:val="21"/>
                      <w:szCs w:val="21"/>
                    </w:rPr>
                    <w:t>-N</w:t>
                  </w:r>
                </w:p>
              </w:tc>
              <w:tc>
                <w:tcPr>
                  <w:tcW w:w="2678" w:type="dxa"/>
                  <w:vAlign w:val="center"/>
                </w:tcPr>
                <w:p>
                  <w:pPr>
                    <w:adjustRightInd w:val="0"/>
                    <w:snapToGrid w:val="0"/>
                    <w:jc w:val="center"/>
                    <w:rPr>
                      <w:color w:val="auto"/>
                      <w:sz w:val="21"/>
                      <w:szCs w:val="21"/>
                    </w:rPr>
                  </w:pPr>
                  <w:r>
                    <w:rPr>
                      <w:rFonts w:hint="eastAsia"/>
                      <w:color w:val="auto"/>
                      <w:sz w:val="21"/>
                      <w:szCs w:val="21"/>
                    </w:rPr>
                    <w:t>0</w:t>
                  </w:r>
                  <w:r>
                    <w:rPr>
                      <w:color w:val="auto"/>
                      <w:sz w:val="21"/>
                      <w:szCs w:val="21"/>
                    </w:rPr>
                    <w:t>.</w:t>
                  </w:r>
                  <w:r>
                    <w:rPr>
                      <w:rFonts w:hint="eastAsia"/>
                      <w:color w:val="auto"/>
                      <w:sz w:val="21"/>
                      <w:szCs w:val="21"/>
                      <w:lang w:val="en-US" w:eastAsia="zh-CN"/>
                    </w:rPr>
                    <w:t>19</w:t>
                  </w:r>
                </w:p>
              </w:tc>
              <w:tc>
                <w:tcPr>
                  <w:tcW w:w="2001" w:type="dxa"/>
                  <w:gridSpan w:val="2"/>
                  <w:vAlign w:val="center"/>
                </w:tcPr>
                <w:p>
                  <w:pPr>
                    <w:adjustRightInd w:val="0"/>
                    <w:snapToGrid w:val="0"/>
                    <w:jc w:val="center"/>
                    <w:rPr>
                      <w:color w:val="auto"/>
                      <w:sz w:val="21"/>
                      <w:szCs w:val="21"/>
                    </w:rPr>
                  </w:pPr>
                  <w:r>
                    <w:rPr>
                      <w:color w:val="auto"/>
                      <w:sz w:val="21"/>
                      <w:szCs w:val="21"/>
                    </w:rPr>
                    <w:t>≤</w:t>
                  </w:r>
                  <w:r>
                    <w:rPr>
                      <w:rFonts w:hint="eastAsia"/>
                      <w:color w:val="auto"/>
                      <w:sz w:val="21"/>
                      <w:szCs w:val="21"/>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gridAfter w:val="1"/>
                <w:wAfter w:w="3" w:type="dxa"/>
                <w:trHeight w:val="283" w:hRule="atLeast"/>
                <w:jc w:val="center"/>
              </w:trPr>
              <w:tc>
                <w:tcPr>
                  <w:tcW w:w="3262" w:type="dxa"/>
                  <w:vAlign w:val="center"/>
                </w:tcPr>
                <w:p>
                  <w:pPr>
                    <w:adjustRightInd w:val="0"/>
                    <w:snapToGrid w:val="0"/>
                    <w:jc w:val="center"/>
                    <w:rPr>
                      <w:color w:val="auto"/>
                      <w:sz w:val="21"/>
                      <w:szCs w:val="21"/>
                    </w:rPr>
                  </w:pPr>
                  <w:r>
                    <w:rPr>
                      <w:rFonts w:hint="eastAsia"/>
                      <w:color w:val="auto"/>
                      <w:sz w:val="21"/>
                      <w:szCs w:val="21"/>
                    </w:rPr>
                    <w:t>溶解氧</w:t>
                  </w:r>
                </w:p>
              </w:tc>
              <w:tc>
                <w:tcPr>
                  <w:tcW w:w="2678" w:type="dxa"/>
                  <w:vAlign w:val="center"/>
                </w:tcPr>
                <w:p>
                  <w:pPr>
                    <w:adjustRightInd w:val="0"/>
                    <w:snapToGrid w:val="0"/>
                    <w:jc w:val="center"/>
                    <w:rPr>
                      <w:rFonts w:hint="eastAsia" w:eastAsia="宋体"/>
                      <w:color w:val="auto"/>
                      <w:sz w:val="21"/>
                      <w:szCs w:val="21"/>
                      <w:lang w:eastAsia="zh-CN"/>
                    </w:rPr>
                  </w:pPr>
                  <w:r>
                    <w:rPr>
                      <w:rFonts w:hint="eastAsia"/>
                      <w:color w:val="auto"/>
                      <w:sz w:val="21"/>
                      <w:szCs w:val="21"/>
                      <w:lang w:val="en-US" w:eastAsia="zh-CN"/>
                    </w:rPr>
                    <w:t>12.7</w:t>
                  </w:r>
                </w:p>
              </w:tc>
              <w:tc>
                <w:tcPr>
                  <w:tcW w:w="2001" w:type="dxa"/>
                  <w:gridSpan w:val="2"/>
                  <w:vAlign w:val="center"/>
                </w:tcPr>
                <w:p>
                  <w:pPr>
                    <w:adjustRightInd w:val="0"/>
                    <w:snapToGrid w:val="0"/>
                    <w:jc w:val="center"/>
                    <w:rPr>
                      <w:color w:val="auto"/>
                      <w:sz w:val="21"/>
                      <w:szCs w:val="21"/>
                    </w:rPr>
                  </w:pPr>
                  <w:r>
                    <w:rPr>
                      <w:rFonts w:hint="eastAsia"/>
                      <w:color w:val="auto"/>
                      <w:sz w:val="21"/>
                      <w:szCs w:val="21"/>
                    </w:rPr>
                    <w:t>≥5</w:t>
                  </w:r>
                  <w:r>
                    <w:rPr>
                      <w:rFonts w:hint="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gridAfter w:val="1"/>
                <w:wAfter w:w="3" w:type="dxa"/>
                <w:trHeight w:val="283" w:hRule="atLeast"/>
                <w:jc w:val="center"/>
              </w:trPr>
              <w:tc>
                <w:tcPr>
                  <w:tcW w:w="3262" w:type="dxa"/>
                  <w:vAlign w:val="center"/>
                </w:tcPr>
                <w:p>
                  <w:pPr>
                    <w:adjustRightInd w:val="0"/>
                    <w:snapToGrid w:val="0"/>
                    <w:jc w:val="center"/>
                    <w:rPr>
                      <w:color w:val="auto"/>
                      <w:sz w:val="21"/>
                      <w:szCs w:val="21"/>
                    </w:rPr>
                  </w:pPr>
                  <w:r>
                    <w:rPr>
                      <w:rFonts w:hint="eastAsia"/>
                      <w:color w:val="auto"/>
                      <w:sz w:val="21"/>
                      <w:szCs w:val="21"/>
                    </w:rPr>
                    <w:t>总磷</w:t>
                  </w:r>
                </w:p>
              </w:tc>
              <w:tc>
                <w:tcPr>
                  <w:tcW w:w="2678" w:type="dxa"/>
                  <w:vAlign w:val="center"/>
                </w:tcPr>
                <w:p>
                  <w:pPr>
                    <w:adjustRightInd w:val="0"/>
                    <w:snapToGrid w:val="0"/>
                    <w:jc w:val="center"/>
                    <w:rPr>
                      <w:color w:val="auto"/>
                      <w:sz w:val="21"/>
                      <w:szCs w:val="21"/>
                    </w:rPr>
                  </w:pPr>
                  <w:r>
                    <w:rPr>
                      <w:rFonts w:hint="eastAsia"/>
                      <w:color w:val="auto"/>
                      <w:sz w:val="21"/>
                      <w:szCs w:val="21"/>
                    </w:rPr>
                    <w:t>0</w:t>
                  </w:r>
                  <w:r>
                    <w:rPr>
                      <w:color w:val="auto"/>
                      <w:sz w:val="21"/>
                      <w:szCs w:val="21"/>
                    </w:rPr>
                    <w:t>.0</w:t>
                  </w:r>
                  <w:r>
                    <w:rPr>
                      <w:rFonts w:hint="eastAsia"/>
                      <w:color w:val="auto"/>
                      <w:sz w:val="21"/>
                      <w:szCs w:val="21"/>
                      <w:lang w:val="en-US" w:eastAsia="zh-CN"/>
                    </w:rPr>
                    <w:t>3</w:t>
                  </w:r>
                </w:p>
              </w:tc>
              <w:tc>
                <w:tcPr>
                  <w:tcW w:w="2001" w:type="dxa"/>
                  <w:gridSpan w:val="2"/>
                  <w:vAlign w:val="center"/>
                </w:tcPr>
                <w:p>
                  <w:pPr>
                    <w:adjustRightInd w:val="0"/>
                    <w:snapToGrid w:val="0"/>
                    <w:jc w:val="center"/>
                    <w:rPr>
                      <w:color w:val="auto"/>
                      <w:sz w:val="21"/>
                      <w:szCs w:val="21"/>
                    </w:rPr>
                  </w:pPr>
                  <w:r>
                    <w:rPr>
                      <w:color w:val="auto"/>
                      <w:sz w:val="21"/>
                      <w:szCs w:val="21"/>
                    </w:rPr>
                    <w:t>≤</w:t>
                  </w:r>
                  <w:r>
                    <w:rPr>
                      <w:rFonts w:hint="eastAsia"/>
                      <w:color w:val="auto"/>
                      <w:sz w:val="21"/>
                      <w:szCs w:val="21"/>
                    </w:rPr>
                    <w:t>0.</w:t>
                  </w:r>
                  <w:r>
                    <w:rPr>
                      <w:color w:val="auto"/>
                      <w:sz w:val="21"/>
                      <w:szCs w:val="21"/>
                    </w:rPr>
                    <w:t>2</w:t>
                  </w:r>
                </w:p>
              </w:tc>
            </w:tr>
          </w:tbl>
          <w:p>
            <w:pPr>
              <w:adjustRightInd w:val="0"/>
              <w:snapToGrid w:val="0"/>
              <w:spacing w:line="360" w:lineRule="auto"/>
              <w:ind w:firstLine="480" w:firstLineChars="200"/>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监测结果显示，</w:t>
            </w:r>
            <w:r>
              <w:rPr>
                <w:rFonts w:hint="eastAsia" w:cs="Times New Roman"/>
                <w:color w:val="auto"/>
                <w:sz w:val="24"/>
                <w:szCs w:val="24"/>
                <w:lang w:val="en-US" w:eastAsia="zh-CN"/>
              </w:rPr>
              <w:t>该</w:t>
            </w:r>
            <w:r>
              <w:rPr>
                <w:rFonts w:hint="eastAsia" w:ascii="Times New Roman" w:hAnsi="Times New Roman" w:cs="Times New Roman"/>
                <w:color w:val="auto"/>
                <w:sz w:val="24"/>
                <w:szCs w:val="24"/>
              </w:rPr>
              <w:t>监测断面水质综合评价均达到《地表水环境质量标准》（GB 3838-2002）</w:t>
            </w:r>
            <w:r>
              <w:rPr>
                <w:rFonts w:hint="eastAsia" w:ascii="宋体" w:hAnsi="宋体" w:eastAsia="宋体" w:cs="宋体"/>
                <w:color w:val="auto"/>
                <w:sz w:val="24"/>
                <w:szCs w:val="24"/>
              </w:rPr>
              <w:t>Ⅲ</w:t>
            </w:r>
            <w:r>
              <w:rPr>
                <w:rFonts w:hint="eastAsia" w:ascii="Times New Roman" w:hAnsi="Times New Roman" w:cs="Times New Roman"/>
                <w:color w:val="auto"/>
                <w:sz w:val="24"/>
                <w:szCs w:val="24"/>
              </w:rPr>
              <w:t>类标准，</w:t>
            </w:r>
            <w:r>
              <w:rPr>
                <w:rFonts w:hint="eastAsia" w:cs="Times New Roman"/>
                <w:color w:val="auto"/>
                <w:sz w:val="24"/>
                <w:szCs w:val="24"/>
                <w:lang w:val="en-US" w:eastAsia="zh-CN"/>
              </w:rPr>
              <w:t>由于省考断面，</w:t>
            </w:r>
            <w:r>
              <w:rPr>
                <w:rFonts w:hint="eastAsia" w:ascii="Times New Roman" w:hAnsi="Times New Roman" w:cs="Times New Roman"/>
                <w:color w:val="auto"/>
                <w:sz w:val="24"/>
                <w:szCs w:val="24"/>
              </w:rPr>
              <w:t>与2019年相比水质状况明显提升。</w:t>
            </w:r>
          </w:p>
          <w:p>
            <w:pPr>
              <w:adjustRightInd w:val="0"/>
              <w:snapToGrid w:val="0"/>
              <w:spacing w:line="360" w:lineRule="auto"/>
              <w:ind w:firstLine="482" w:firstLineChars="200"/>
              <w:jc w:val="left"/>
              <w:rPr>
                <w:b/>
                <w:bCs/>
                <w:color w:val="auto"/>
                <w:sz w:val="24"/>
                <w:szCs w:val="24"/>
              </w:rPr>
            </w:pPr>
            <w:r>
              <w:rPr>
                <w:rFonts w:hint="eastAsia"/>
                <w:b/>
                <w:bCs/>
                <w:color w:val="auto"/>
                <w:sz w:val="24"/>
                <w:szCs w:val="24"/>
                <w:lang w:val="en-US" w:eastAsia="zh-CN"/>
              </w:rPr>
              <w:t>（3）声</w:t>
            </w:r>
            <w:r>
              <w:rPr>
                <w:b/>
                <w:bCs/>
                <w:color w:val="auto"/>
                <w:sz w:val="24"/>
                <w:szCs w:val="24"/>
              </w:rPr>
              <w:t>环境</w:t>
            </w:r>
          </w:p>
          <w:p>
            <w:pPr>
              <w:adjustRightInd w:val="0"/>
              <w:snapToGrid w:val="0"/>
              <w:spacing w:line="360" w:lineRule="auto"/>
              <w:ind w:firstLine="480" w:firstLineChars="200"/>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本次委托</w:t>
            </w:r>
            <w:r>
              <w:rPr>
                <w:rFonts w:hint="eastAsia" w:ascii="Times New Roman" w:hAnsi="Times New Roman" w:cs="Times New Roman"/>
                <w:color w:val="auto"/>
                <w:sz w:val="24"/>
                <w:szCs w:val="24"/>
                <w:lang w:val="en-US" w:eastAsia="zh-CN"/>
              </w:rPr>
              <w:t>核工业二〇三研究所</w:t>
            </w:r>
            <w:r>
              <w:rPr>
                <w:rFonts w:hint="eastAsia" w:ascii="Times New Roman" w:hAnsi="Times New Roman" w:cs="Times New Roman"/>
                <w:color w:val="auto"/>
                <w:sz w:val="24"/>
                <w:szCs w:val="24"/>
              </w:rPr>
              <w:t>对项目地</w:t>
            </w:r>
            <w:r>
              <w:rPr>
                <w:rFonts w:hint="eastAsia" w:ascii="Times New Roman" w:hAnsi="Times New Roman" w:cs="Times New Roman"/>
                <w:color w:val="auto"/>
                <w:sz w:val="24"/>
                <w:szCs w:val="24"/>
                <w:lang w:val="en-US" w:eastAsia="zh-CN"/>
              </w:rPr>
              <w:t>周围50m</w:t>
            </w:r>
            <w:r>
              <w:rPr>
                <w:rFonts w:hint="eastAsia" w:ascii="Times New Roman" w:hAnsi="Times New Roman" w:cs="Times New Roman"/>
                <w:color w:val="auto"/>
                <w:sz w:val="24"/>
                <w:szCs w:val="24"/>
              </w:rPr>
              <w:t>的</w:t>
            </w:r>
            <w:r>
              <w:rPr>
                <w:rFonts w:hint="eastAsia" w:ascii="Times New Roman" w:hAnsi="Times New Roman" w:cs="Times New Roman"/>
                <w:color w:val="auto"/>
                <w:sz w:val="24"/>
                <w:szCs w:val="24"/>
                <w:lang w:val="en-US" w:eastAsia="zh-CN"/>
              </w:rPr>
              <w:t>敏感点的</w:t>
            </w:r>
            <w:r>
              <w:rPr>
                <w:rFonts w:hint="eastAsia" w:ascii="Times New Roman" w:hAnsi="Times New Roman" w:cs="Times New Roman"/>
                <w:color w:val="auto"/>
                <w:sz w:val="24"/>
                <w:szCs w:val="24"/>
              </w:rPr>
              <w:t>声环境现状进行监测，环境质量现状监测点位见图</w:t>
            </w:r>
            <w:r>
              <w:rPr>
                <w:rFonts w:hint="eastAsia" w:cs="Times New Roman"/>
                <w:color w:val="auto"/>
                <w:sz w:val="24"/>
                <w:szCs w:val="24"/>
                <w:lang w:val="en-US" w:eastAsia="zh-CN"/>
              </w:rPr>
              <w:t>6</w:t>
            </w:r>
            <w:r>
              <w:rPr>
                <w:rFonts w:hint="eastAsia" w:ascii="Times New Roman" w:hAnsi="Times New Roman" w:cs="Times New Roman"/>
                <w:color w:val="auto"/>
                <w:sz w:val="24"/>
                <w:szCs w:val="24"/>
              </w:rPr>
              <w:t>，监测报告见附件。</w:t>
            </w:r>
          </w:p>
          <w:p>
            <w:pPr>
              <w:adjustRightInd w:val="0"/>
              <w:snapToGrid w:val="0"/>
              <w:spacing w:line="360" w:lineRule="auto"/>
              <w:ind w:firstLine="480" w:firstLineChars="200"/>
              <w:rPr>
                <w:rFonts w:hint="eastAsia" w:ascii="Times New Roman" w:hAnsi="Times New Roman" w:cs="Times New Roman"/>
                <w:color w:val="auto"/>
                <w:sz w:val="24"/>
                <w:szCs w:val="24"/>
              </w:rPr>
            </w:pPr>
            <w:r>
              <w:rPr>
                <w:rFonts w:hint="eastAsia" w:ascii="Times New Roman" w:hAnsi="Times New Roman" w:cs="Times New Roman"/>
                <w:color w:val="auto"/>
                <w:sz w:val="24"/>
                <w:szCs w:val="24"/>
                <w:lang w:val="en-US" w:eastAsia="zh-CN"/>
              </w:rPr>
              <w:t>①</w:t>
            </w:r>
            <w:r>
              <w:rPr>
                <w:rFonts w:hint="eastAsia" w:ascii="Times New Roman" w:hAnsi="Times New Roman" w:cs="Times New Roman"/>
                <w:color w:val="auto"/>
                <w:sz w:val="24"/>
                <w:szCs w:val="24"/>
              </w:rPr>
              <w:t>监测布点</w:t>
            </w:r>
          </w:p>
          <w:p>
            <w:pPr>
              <w:adjustRightInd w:val="0"/>
              <w:snapToGrid w:val="0"/>
              <w:spacing w:line="360" w:lineRule="auto"/>
              <w:ind w:firstLine="480" w:firstLineChars="200"/>
              <w:rPr>
                <w:rFonts w:hint="eastAsia" w:cs="Times New Roman"/>
                <w:color w:val="auto"/>
                <w:sz w:val="24"/>
                <w:szCs w:val="24"/>
                <w:lang w:val="en-US" w:eastAsia="zh-CN"/>
              </w:rPr>
            </w:pPr>
            <w:r>
              <w:rPr>
                <w:rFonts w:hint="eastAsia" w:ascii="Times New Roman" w:hAnsi="Times New Roman" w:cs="Times New Roman"/>
                <w:color w:val="auto"/>
                <w:sz w:val="24"/>
                <w:szCs w:val="24"/>
              </w:rPr>
              <w:t>布设</w:t>
            </w:r>
            <w:r>
              <w:rPr>
                <w:rFonts w:hint="eastAsia" w:ascii="Times New Roman" w:hAnsi="Times New Roman" w:cs="Times New Roman"/>
                <w:color w:val="auto"/>
                <w:sz w:val="24"/>
                <w:szCs w:val="24"/>
                <w:lang w:val="en-US" w:eastAsia="zh-CN"/>
              </w:rPr>
              <w:t>1</w:t>
            </w:r>
            <w:r>
              <w:rPr>
                <w:rFonts w:hint="eastAsia" w:ascii="Times New Roman" w:hAnsi="Times New Roman" w:cs="Times New Roman"/>
                <w:color w:val="auto"/>
                <w:sz w:val="24"/>
                <w:szCs w:val="24"/>
              </w:rPr>
              <w:t>个监测点位，</w:t>
            </w:r>
            <w:r>
              <w:rPr>
                <w:rFonts w:hint="eastAsia" w:ascii="Times New Roman" w:hAnsi="Times New Roman" w:cs="Times New Roman"/>
                <w:color w:val="auto"/>
                <w:sz w:val="24"/>
                <w:szCs w:val="24"/>
                <w:lang w:val="en-US" w:eastAsia="zh-CN"/>
              </w:rPr>
              <w:t>位于二杨庄村（项目地东北</w:t>
            </w:r>
            <w:r>
              <w:rPr>
                <w:rFonts w:hint="eastAsia" w:cs="Times New Roman"/>
                <w:color w:val="auto"/>
                <w:sz w:val="24"/>
                <w:szCs w:val="24"/>
                <w:lang w:val="en-US" w:eastAsia="zh-CN"/>
              </w:rPr>
              <w:t>35</w:t>
            </w:r>
            <w:r>
              <w:rPr>
                <w:rFonts w:hint="eastAsia" w:ascii="Times New Roman" w:hAnsi="Times New Roman" w:cs="Times New Roman"/>
                <w:color w:val="auto"/>
                <w:sz w:val="24"/>
                <w:szCs w:val="24"/>
                <w:lang w:val="en-US" w:eastAsia="zh-CN"/>
              </w:rPr>
              <w:t>m</w:t>
            </w:r>
            <w:r>
              <w:rPr>
                <w:rFonts w:hint="eastAsia" w:cs="Times New Roman"/>
                <w:color w:val="auto"/>
                <w:sz w:val="24"/>
                <w:szCs w:val="24"/>
                <w:lang w:val="en-US" w:eastAsia="zh-CN"/>
              </w:rPr>
              <w:t>）、蒋刘中学（</w:t>
            </w:r>
            <w:r>
              <w:rPr>
                <w:rFonts w:hint="eastAsia" w:ascii="Times New Roman" w:hAnsi="Times New Roman" w:cs="Times New Roman"/>
                <w:color w:val="auto"/>
                <w:sz w:val="24"/>
                <w:szCs w:val="24"/>
                <w:lang w:val="en-US" w:eastAsia="zh-CN"/>
              </w:rPr>
              <w:t>项目地北</w:t>
            </w:r>
            <w:r>
              <w:rPr>
                <w:rFonts w:hint="eastAsia" w:cs="Times New Roman"/>
                <w:color w:val="auto"/>
                <w:sz w:val="24"/>
                <w:szCs w:val="24"/>
                <w:lang w:val="en-US" w:eastAsia="zh-CN"/>
              </w:rPr>
              <w:t>20</w:t>
            </w:r>
            <w:r>
              <w:rPr>
                <w:rFonts w:hint="eastAsia" w:ascii="Times New Roman" w:hAnsi="Times New Roman" w:cs="Times New Roman"/>
                <w:color w:val="auto"/>
                <w:sz w:val="24"/>
                <w:szCs w:val="24"/>
                <w:lang w:val="en-US" w:eastAsia="zh-CN"/>
              </w:rPr>
              <w:t>m</w:t>
            </w:r>
            <w:r>
              <w:rPr>
                <w:rFonts w:hint="eastAsia" w:cs="Times New Roman"/>
                <w:color w:val="auto"/>
                <w:sz w:val="24"/>
                <w:szCs w:val="24"/>
                <w:lang w:val="en-US" w:eastAsia="zh-CN"/>
              </w:rPr>
              <w:t>）。</w:t>
            </w:r>
          </w:p>
          <w:p>
            <w:pPr>
              <w:adjustRightInd w:val="0"/>
              <w:snapToGrid w:val="0"/>
              <w:spacing w:line="360" w:lineRule="auto"/>
              <w:ind w:firstLine="480" w:firstLineChars="200"/>
              <w:rPr>
                <w:rFonts w:hint="eastAsia" w:ascii="Times New Roman" w:hAnsi="Times New Roman" w:cs="Times New Roman"/>
                <w:color w:val="auto"/>
                <w:sz w:val="24"/>
                <w:szCs w:val="24"/>
              </w:rPr>
            </w:pPr>
            <w:r>
              <w:rPr>
                <w:rFonts w:hint="eastAsia" w:ascii="Times New Roman" w:hAnsi="Times New Roman" w:cs="Times New Roman"/>
                <w:color w:val="auto"/>
                <w:sz w:val="24"/>
                <w:szCs w:val="24"/>
                <w:lang w:val="en-US" w:eastAsia="zh-CN"/>
              </w:rPr>
              <w:t>②</w:t>
            </w:r>
            <w:r>
              <w:rPr>
                <w:rFonts w:hint="eastAsia" w:ascii="Times New Roman" w:hAnsi="Times New Roman" w:cs="Times New Roman"/>
                <w:color w:val="auto"/>
                <w:sz w:val="24"/>
                <w:szCs w:val="24"/>
              </w:rPr>
              <w:t>监测项目</w:t>
            </w:r>
          </w:p>
          <w:p>
            <w:pPr>
              <w:adjustRightInd w:val="0"/>
              <w:snapToGrid w:val="0"/>
              <w:spacing w:line="360" w:lineRule="auto"/>
              <w:ind w:firstLine="480" w:firstLineChars="200"/>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监测项目：连续等效A声级。</w:t>
            </w:r>
          </w:p>
          <w:p>
            <w:pPr>
              <w:adjustRightInd w:val="0"/>
              <w:snapToGrid w:val="0"/>
              <w:spacing w:line="360" w:lineRule="auto"/>
              <w:ind w:firstLine="480" w:firstLineChars="200"/>
              <w:rPr>
                <w:rFonts w:hint="eastAsia" w:ascii="Times New Roman" w:hAnsi="Times New Roman" w:cs="Times New Roman"/>
                <w:color w:val="auto"/>
                <w:sz w:val="24"/>
                <w:szCs w:val="24"/>
              </w:rPr>
            </w:pPr>
            <w:r>
              <w:rPr>
                <w:rFonts w:hint="eastAsia" w:ascii="Times New Roman" w:hAnsi="Times New Roman" w:cs="Times New Roman"/>
                <w:color w:val="auto"/>
                <w:sz w:val="24"/>
                <w:szCs w:val="24"/>
                <w:lang w:val="en-US" w:eastAsia="zh-CN"/>
              </w:rPr>
              <w:t>③</w:t>
            </w:r>
            <w:r>
              <w:rPr>
                <w:rFonts w:hint="eastAsia" w:ascii="Times New Roman" w:hAnsi="Times New Roman" w:cs="Times New Roman"/>
                <w:color w:val="auto"/>
                <w:sz w:val="24"/>
                <w:szCs w:val="24"/>
              </w:rPr>
              <w:t>监测频次</w:t>
            </w:r>
          </w:p>
          <w:p>
            <w:pPr>
              <w:adjustRightInd w:val="0"/>
              <w:snapToGrid w:val="0"/>
              <w:spacing w:line="360" w:lineRule="auto"/>
              <w:ind w:firstLine="480" w:firstLineChars="200"/>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连续监测</w:t>
            </w:r>
            <w:r>
              <w:rPr>
                <w:rFonts w:hint="eastAsia" w:cs="Times New Roman"/>
                <w:color w:val="auto"/>
                <w:sz w:val="24"/>
                <w:szCs w:val="24"/>
                <w:lang w:val="en-US" w:eastAsia="zh-CN"/>
              </w:rPr>
              <w:t>1</w:t>
            </w:r>
            <w:r>
              <w:rPr>
                <w:rFonts w:hint="eastAsia" w:ascii="Times New Roman" w:hAnsi="Times New Roman" w:cs="Times New Roman"/>
                <w:color w:val="auto"/>
                <w:sz w:val="24"/>
                <w:szCs w:val="24"/>
              </w:rPr>
              <w:t>天，每天昼夜各1次。</w:t>
            </w:r>
          </w:p>
          <w:p>
            <w:pPr>
              <w:adjustRightInd w:val="0"/>
              <w:snapToGrid w:val="0"/>
              <w:spacing w:line="360" w:lineRule="auto"/>
              <w:ind w:firstLine="480" w:firstLineChars="200"/>
              <w:rPr>
                <w:rFonts w:hint="eastAsia" w:ascii="Times New Roman" w:hAnsi="Times New Roman" w:cs="Times New Roman"/>
                <w:color w:val="auto"/>
                <w:sz w:val="24"/>
                <w:szCs w:val="24"/>
              </w:rPr>
            </w:pPr>
            <w:r>
              <w:rPr>
                <w:rFonts w:hint="eastAsia" w:ascii="Times New Roman" w:hAnsi="Times New Roman" w:cs="Times New Roman"/>
                <w:color w:val="auto"/>
                <w:sz w:val="24"/>
                <w:szCs w:val="24"/>
                <w:lang w:val="en-US" w:eastAsia="zh-CN"/>
              </w:rPr>
              <w:t>④</w:t>
            </w:r>
            <w:r>
              <w:rPr>
                <w:rFonts w:hint="eastAsia" w:ascii="Times New Roman" w:hAnsi="Times New Roman" w:cs="Times New Roman"/>
                <w:color w:val="auto"/>
                <w:sz w:val="24"/>
                <w:szCs w:val="24"/>
              </w:rPr>
              <w:t>监测结果及评价</w:t>
            </w:r>
          </w:p>
          <w:p>
            <w:pPr>
              <w:adjustRightInd w:val="0"/>
              <w:snapToGrid w:val="0"/>
              <w:spacing w:line="360" w:lineRule="auto"/>
              <w:ind w:firstLine="480" w:firstLineChars="200"/>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根据噪声监测数据统计，噪声现状监测结果见表</w:t>
            </w:r>
            <w:r>
              <w:rPr>
                <w:rFonts w:hint="eastAsia" w:cs="Times New Roman"/>
                <w:color w:val="auto"/>
                <w:sz w:val="24"/>
                <w:szCs w:val="24"/>
                <w:lang w:val="en-US" w:eastAsia="zh-CN"/>
              </w:rPr>
              <w:t>13</w:t>
            </w:r>
            <w:r>
              <w:rPr>
                <w:rFonts w:hint="eastAsia" w:ascii="Times New Roman" w:hAnsi="Times New Roman" w:cs="Times New Roman"/>
                <w:color w:val="auto"/>
                <w:sz w:val="24"/>
                <w:szCs w:val="24"/>
              </w:rPr>
              <w:t>。</w:t>
            </w:r>
          </w:p>
          <w:p>
            <w:pPr>
              <w:pStyle w:val="2"/>
              <w:spacing w:after="0"/>
              <w:ind w:left="0" w:leftChars="0" w:firstLine="0" w:firstLineChars="0"/>
              <w:jc w:val="center"/>
              <w:rPr>
                <w:rFonts w:hint="eastAsia" w:ascii="Times New Roman" w:hAnsi="Times New Roman" w:eastAsia="黑体" w:cs="Times New Roman"/>
                <w:color w:val="auto"/>
                <w:kern w:val="2"/>
                <w:sz w:val="24"/>
                <w:szCs w:val="24"/>
                <w:lang w:val="en-US" w:eastAsia="zh-CN" w:bidi="ar-SA"/>
              </w:rPr>
            </w:pPr>
            <w:r>
              <w:rPr>
                <w:rFonts w:hint="eastAsia" w:ascii="Times New Roman" w:hAnsi="Times New Roman" w:eastAsia="黑体" w:cs="Times New Roman"/>
                <w:color w:val="auto"/>
                <w:kern w:val="2"/>
                <w:sz w:val="24"/>
                <w:szCs w:val="24"/>
                <w:lang w:val="en-US" w:eastAsia="zh-CN" w:bidi="ar-SA"/>
              </w:rPr>
              <w:t>表13     噪声现状监测结果一览表</w:t>
            </w:r>
          </w:p>
          <w:tbl>
            <w:tblPr>
              <w:tblStyle w:val="24"/>
              <w:tblW w:w="794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90"/>
              <w:gridCol w:w="2025"/>
              <w:gridCol w:w="27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3190" w:type="dxa"/>
                  <w:vMerge w:val="restart"/>
                  <w:vAlign w:val="center"/>
                </w:tcPr>
                <w:p>
                  <w:pPr>
                    <w:spacing w:line="24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监测点位</w:t>
                  </w:r>
                </w:p>
              </w:tc>
              <w:tc>
                <w:tcPr>
                  <w:tcW w:w="4754" w:type="dxa"/>
                  <w:gridSpan w:val="2"/>
                  <w:vAlign w:val="center"/>
                </w:tcPr>
                <w:p>
                  <w:pPr>
                    <w:spacing w:line="24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2021年</w:t>
                  </w:r>
                  <w:r>
                    <w:rPr>
                      <w:rFonts w:hint="eastAsia" w:ascii="Times New Roman" w:hAnsi="Times New Roman" w:eastAsia="宋体" w:cs="Times New Roman"/>
                      <w:color w:val="auto"/>
                      <w:szCs w:val="21"/>
                      <w:lang w:val="en-US" w:eastAsia="zh-CN"/>
                    </w:rPr>
                    <w:t>5</w:t>
                  </w:r>
                  <w:r>
                    <w:rPr>
                      <w:rFonts w:ascii="Times New Roman" w:hAnsi="Times New Roman" w:eastAsia="宋体" w:cs="Times New Roman"/>
                      <w:color w:val="auto"/>
                      <w:szCs w:val="21"/>
                    </w:rPr>
                    <w:t>月</w:t>
                  </w:r>
                  <w:r>
                    <w:rPr>
                      <w:rFonts w:hint="eastAsia" w:ascii="Times New Roman" w:hAnsi="Times New Roman" w:eastAsia="宋体" w:cs="Times New Roman"/>
                      <w:color w:val="auto"/>
                      <w:szCs w:val="21"/>
                      <w:lang w:val="en-US" w:eastAsia="zh-CN"/>
                    </w:rPr>
                    <w:t>16</w:t>
                  </w:r>
                  <w:r>
                    <w:rPr>
                      <w:rFonts w:ascii="Times New Roman" w:hAnsi="Times New Roman" w:eastAsia="宋体" w:cs="Times New Roman"/>
                      <w:color w:val="auto"/>
                      <w:szCs w:val="21"/>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61" w:hRule="atLeast"/>
                <w:jc w:val="center"/>
              </w:trPr>
              <w:tc>
                <w:tcPr>
                  <w:tcW w:w="3190" w:type="dxa"/>
                  <w:vMerge w:val="continue"/>
                  <w:vAlign w:val="center"/>
                </w:tcPr>
                <w:p>
                  <w:pPr>
                    <w:spacing w:line="240" w:lineRule="exact"/>
                    <w:jc w:val="center"/>
                    <w:rPr>
                      <w:rFonts w:ascii="Times New Roman" w:hAnsi="Times New Roman" w:eastAsia="宋体" w:cs="Times New Roman"/>
                      <w:color w:val="auto"/>
                      <w:szCs w:val="21"/>
                    </w:rPr>
                  </w:pPr>
                </w:p>
              </w:tc>
              <w:tc>
                <w:tcPr>
                  <w:tcW w:w="2025" w:type="dxa"/>
                  <w:vAlign w:val="center"/>
                </w:tcPr>
                <w:p>
                  <w:pPr>
                    <w:spacing w:line="24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昼间</w:t>
                  </w:r>
                </w:p>
              </w:tc>
              <w:tc>
                <w:tcPr>
                  <w:tcW w:w="2729" w:type="dxa"/>
                  <w:vAlign w:val="center"/>
                </w:tcPr>
                <w:p>
                  <w:pPr>
                    <w:spacing w:line="24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夜间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51" w:hRule="atLeast"/>
                <w:jc w:val="center"/>
              </w:trPr>
              <w:tc>
                <w:tcPr>
                  <w:tcW w:w="3190" w:type="dxa"/>
                  <w:vAlign w:val="center"/>
                </w:tcPr>
                <w:p>
                  <w:pPr>
                    <w:spacing w:line="24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lang w:val="en-US" w:eastAsia="zh-CN"/>
                    </w:rPr>
                    <w:t>二杨庄村</w:t>
                  </w:r>
                  <w:r>
                    <w:rPr>
                      <w:rFonts w:ascii="Times New Roman" w:hAnsi="Times New Roman" w:eastAsia="宋体" w:cs="Times New Roman"/>
                      <w:color w:val="auto"/>
                      <w:szCs w:val="21"/>
                    </w:rPr>
                    <w:t>（N</w:t>
                  </w:r>
                  <w:r>
                    <w:rPr>
                      <w:rFonts w:ascii="Times New Roman" w:hAnsi="Times New Roman" w:eastAsia="宋体" w:cs="Times New Roman"/>
                      <w:color w:val="auto"/>
                      <w:szCs w:val="21"/>
                      <w:vertAlign w:val="subscript"/>
                    </w:rPr>
                    <w:t>1</w:t>
                  </w:r>
                  <w:r>
                    <w:rPr>
                      <w:rFonts w:ascii="Times New Roman" w:hAnsi="Times New Roman" w:eastAsia="宋体" w:cs="Times New Roman"/>
                      <w:color w:val="auto"/>
                      <w:szCs w:val="21"/>
                    </w:rPr>
                    <w:t>）</w:t>
                  </w:r>
                </w:p>
              </w:tc>
              <w:tc>
                <w:tcPr>
                  <w:tcW w:w="2025" w:type="dxa"/>
                  <w:vAlign w:val="center"/>
                </w:tcPr>
                <w:p>
                  <w:pPr>
                    <w:spacing w:line="24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5</w:t>
                  </w:r>
                  <w:r>
                    <w:rPr>
                      <w:rFonts w:hint="eastAsia" w:cs="Times New Roman"/>
                      <w:color w:val="auto"/>
                      <w:szCs w:val="21"/>
                      <w:lang w:val="en-US" w:eastAsia="zh-CN"/>
                    </w:rPr>
                    <w:t>2</w:t>
                  </w:r>
                </w:p>
              </w:tc>
              <w:tc>
                <w:tcPr>
                  <w:tcW w:w="2729" w:type="dxa"/>
                  <w:vAlign w:val="center"/>
                </w:tcPr>
                <w:p>
                  <w:pPr>
                    <w:spacing w:line="24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4</w:t>
                  </w:r>
                  <w:r>
                    <w:rPr>
                      <w:rFonts w:hint="eastAsia" w:cs="Times New Roman"/>
                      <w:color w:val="auto"/>
                      <w:szCs w:val="21"/>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61" w:hRule="atLeast"/>
                <w:jc w:val="center"/>
              </w:trPr>
              <w:tc>
                <w:tcPr>
                  <w:tcW w:w="3190" w:type="dxa"/>
                  <w:vAlign w:val="center"/>
                </w:tcPr>
                <w:p>
                  <w:pPr>
                    <w:spacing w:line="240" w:lineRule="exact"/>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蒋刘中学</w:t>
                  </w:r>
                </w:p>
              </w:tc>
              <w:tc>
                <w:tcPr>
                  <w:tcW w:w="2025" w:type="dxa"/>
                  <w:vAlign w:val="center"/>
                </w:tcPr>
                <w:p>
                  <w:pPr>
                    <w:spacing w:line="240" w:lineRule="exact"/>
                    <w:jc w:val="center"/>
                    <w:rPr>
                      <w:rFonts w:hint="eastAsia" w:ascii="Times New Roman" w:hAnsi="Times New Roman" w:eastAsia="宋体" w:cs="Times New Roman"/>
                      <w:color w:val="auto"/>
                      <w:szCs w:val="21"/>
                      <w:lang w:val="en-US" w:eastAsia="zh-CN"/>
                    </w:rPr>
                  </w:pPr>
                  <w:r>
                    <w:rPr>
                      <w:rFonts w:hint="eastAsia" w:cs="Times New Roman"/>
                      <w:color w:val="auto"/>
                      <w:szCs w:val="21"/>
                      <w:lang w:val="en-US" w:eastAsia="zh-CN"/>
                    </w:rPr>
                    <w:t>50</w:t>
                  </w:r>
                </w:p>
              </w:tc>
              <w:tc>
                <w:tcPr>
                  <w:tcW w:w="2729" w:type="dxa"/>
                  <w:vAlign w:val="center"/>
                </w:tcPr>
                <w:p>
                  <w:pPr>
                    <w:spacing w:line="240" w:lineRule="exact"/>
                    <w:jc w:val="center"/>
                    <w:rPr>
                      <w:rFonts w:hint="eastAsia" w:ascii="Times New Roman" w:hAnsi="Times New Roman" w:eastAsia="宋体" w:cs="Times New Roman"/>
                      <w:color w:val="auto"/>
                      <w:szCs w:val="21"/>
                      <w:lang w:val="en-US" w:eastAsia="zh-CN"/>
                    </w:rPr>
                  </w:pPr>
                  <w:r>
                    <w:rPr>
                      <w:rFonts w:hint="eastAsia" w:cs="Times New Roman"/>
                      <w:color w:val="auto"/>
                      <w:szCs w:val="21"/>
                      <w:lang w:val="en-US" w:eastAsia="zh-CN"/>
                    </w:rPr>
                    <w:t>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86" w:hRule="atLeast"/>
                <w:jc w:val="center"/>
              </w:trPr>
              <w:tc>
                <w:tcPr>
                  <w:tcW w:w="3190" w:type="dxa"/>
                  <w:vAlign w:val="center"/>
                </w:tcPr>
                <w:p>
                  <w:pPr>
                    <w:spacing w:line="240" w:lineRule="exact"/>
                    <w:rPr>
                      <w:rFonts w:ascii="Times New Roman" w:hAnsi="Times New Roman" w:eastAsia="宋体" w:cs="Times New Roman"/>
                      <w:color w:val="auto"/>
                      <w:szCs w:val="21"/>
                    </w:rPr>
                  </w:pPr>
                  <w:r>
                    <w:rPr>
                      <w:rFonts w:hint="eastAsia" w:cs="Times New Roman"/>
                      <w:color w:val="auto"/>
                      <w:szCs w:val="21"/>
                      <w:lang w:val="en-US" w:eastAsia="zh-CN"/>
                    </w:rPr>
                    <w:t xml:space="preserve">     </w:t>
                  </w:r>
                  <w:r>
                    <w:rPr>
                      <w:rFonts w:ascii="Times New Roman" w:hAnsi="Times New Roman" w:eastAsia="宋体" w:cs="Times New Roman"/>
                      <w:color w:val="auto"/>
                      <w:szCs w:val="21"/>
                    </w:rPr>
                    <w:t>GB3096-2008 2类</w:t>
                  </w:r>
                </w:p>
              </w:tc>
              <w:tc>
                <w:tcPr>
                  <w:tcW w:w="2025" w:type="dxa"/>
                  <w:vAlign w:val="center"/>
                </w:tcPr>
                <w:p>
                  <w:pPr>
                    <w:spacing w:line="24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60</w:t>
                  </w:r>
                </w:p>
              </w:tc>
              <w:tc>
                <w:tcPr>
                  <w:tcW w:w="2729" w:type="dxa"/>
                  <w:vAlign w:val="center"/>
                </w:tcPr>
                <w:p>
                  <w:pPr>
                    <w:spacing w:line="24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50</w:t>
                  </w:r>
                </w:p>
              </w:tc>
            </w:tr>
          </w:tbl>
          <w:p>
            <w:pPr>
              <w:spacing w:line="360" w:lineRule="auto"/>
              <w:ind w:firstLine="480" w:firstLineChars="200"/>
              <w:rPr>
                <w:rFonts w:ascii="宋体" w:hAnsi="宋体" w:cs="宋体"/>
                <w:b/>
                <w:bCs/>
                <w:color w:val="auto"/>
                <w:kern w:val="0"/>
                <w:sz w:val="24"/>
              </w:rPr>
            </w:pPr>
            <w:r>
              <w:rPr>
                <w:rFonts w:hint="eastAsia" w:ascii="Times New Roman" w:hAnsi="Times New Roman" w:eastAsia="宋体" w:cs="Times New Roman"/>
                <w:color w:val="auto"/>
                <w:sz w:val="24"/>
                <w:szCs w:val="20"/>
              </w:rPr>
              <w:t>根据表</w:t>
            </w:r>
            <w:r>
              <w:rPr>
                <w:rFonts w:hint="eastAsia" w:cs="Times New Roman"/>
                <w:color w:val="auto"/>
                <w:sz w:val="24"/>
                <w:szCs w:val="20"/>
                <w:lang w:val="en-US" w:eastAsia="zh-CN"/>
              </w:rPr>
              <w:t>13可知</w:t>
            </w:r>
            <w:r>
              <w:rPr>
                <w:rFonts w:hint="eastAsia" w:ascii="Times New Roman" w:hAnsi="Times New Roman" w:eastAsia="宋体" w:cs="Times New Roman"/>
                <w:color w:val="auto"/>
                <w:sz w:val="24"/>
                <w:szCs w:val="20"/>
              </w:rPr>
              <w:t>，项目</w:t>
            </w:r>
            <w:r>
              <w:rPr>
                <w:rFonts w:hint="eastAsia" w:cs="Times New Roman"/>
                <w:color w:val="auto"/>
                <w:sz w:val="24"/>
                <w:szCs w:val="20"/>
                <w:lang w:val="en-US" w:eastAsia="zh-CN"/>
              </w:rPr>
              <w:t>附近敏感点噪声</w:t>
            </w:r>
            <w:r>
              <w:rPr>
                <w:rFonts w:hint="eastAsia" w:ascii="Times New Roman" w:hAnsi="Times New Roman" w:eastAsia="宋体" w:cs="Times New Roman"/>
                <w:color w:val="auto"/>
                <w:sz w:val="24"/>
                <w:szCs w:val="20"/>
              </w:rPr>
              <w:t>满足《声环境质量标准》（GB3096-2008）中2类标准。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753" w:hRule="atLeast"/>
          <w:jc w:val="center"/>
        </w:trPr>
        <w:tc>
          <w:tcPr>
            <w:tcW w:w="904" w:type="dxa"/>
            <w:vAlign w:val="center"/>
          </w:tcPr>
          <w:p>
            <w:pPr>
              <w:adjustRightInd w:val="0"/>
              <w:snapToGrid w:val="0"/>
              <w:jc w:val="center"/>
              <w:rPr>
                <w:rFonts w:ascii="宋体" w:hAnsi="宋体" w:cs="宋体"/>
                <w:color w:val="auto"/>
                <w:kern w:val="0"/>
                <w:sz w:val="24"/>
              </w:rPr>
            </w:pPr>
            <w:r>
              <w:rPr>
                <w:rFonts w:hint="eastAsia" w:ascii="宋体" w:hAnsi="宋体"/>
                <w:bCs/>
                <w:color w:val="auto"/>
                <w:sz w:val="24"/>
              </w:rPr>
              <w:t>与项目有关的原有环境污染和生态破坏问题</w:t>
            </w:r>
          </w:p>
        </w:tc>
        <w:tc>
          <w:tcPr>
            <w:tcW w:w="8253" w:type="dxa"/>
            <w:vAlign w:val="center"/>
          </w:tcPr>
          <w:p>
            <w:pPr>
              <w:adjustRightInd w:val="0"/>
              <w:snapToGrid w:val="0"/>
              <w:spacing w:line="360" w:lineRule="auto"/>
              <w:ind w:firstLine="480" w:firstLineChars="200"/>
              <w:jc w:val="left"/>
              <w:rPr>
                <w:rFonts w:ascii="宋体" w:hAnsi="宋体" w:cs="宋体"/>
                <w:color w:val="auto"/>
                <w:kern w:val="0"/>
                <w:sz w:val="24"/>
              </w:rPr>
            </w:pPr>
            <w:r>
              <w:rPr>
                <w:rFonts w:hint="eastAsia"/>
                <w:color w:val="auto"/>
                <w:kern w:val="0"/>
                <w:sz w:val="24"/>
              </w:rPr>
              <w:t>本项目属于新建项目。目前</w:t>
            </w:r>
            <w:r>
              <w:rPr>
                <w:rFonts w:hint="eastAsia"/>
                <w:color w:val="auto"/>
                <w:kern w:val="0"/>
                <w:sz w:val="24"/>
                <w:lang w:val="en-US" w:eastAsia="zh-CN"/>
              </w:rPr>
              <w:t>项目为空地，</w:t>
            </w:r>
            <w:r>
              <w:rPr>
                <w:rFonts w:hint="eastAsia"/>
                <w:color w:val="auto"/>
                <w:kern w:val="0"/>
                <w:sz w:val="24"/>
              </w:rPr>
              <w:t>无</w:t>
            </w:r>
            <w:r>
              <w:rPr>
                <w:rFonts w:hint="eastAsia"/>
                <w:color w:val="auto"/>
                <w:kern w:val="0"/>
                <w:sz w:val="24"/>
                <w:lang w:val="en-US" w:eastAsia="zh-CN"/>
              </w:rPr>
              <w:t>原有</w:t>
            </w:r>
            <w:r>
              <w:rPr>
                <w:rFonts w:hint="eastAsia"/>
                <w:color w:val="auto"/>
                <w:kern w:val="0"/>
                <w:sz w:val="24"/>
              </w:rPr>
              <w:t>环境污染及生态破坏等问题。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435" w:hRule="atLeast"/>
          <w:jc w:val="center"/>
        </w:trPr>
        <w:tc>
          <w:tcPr>
            <w:tcW w:w="904" w:type="dxa"/>
            <w:vAlign w:val="center"/>
          </w:tcPr>
          <w:p>
            <w:pPr>
              <w:adjustRightInd w:val="0"/>
              <w:snapToGrid w:val="0"/>
              <w:jc w:val="center"/>
              <w:rPr>
                <w:rFonts w:ascii="宋体" w:hAnsi="宋体" w:cs="宋体"/>
                <w:color w:val="auto"/>
                <w:kern w:val="0"/>
                <w:sz w:val="24"/>
              </w:rPr>
            </w:pPr>
            <w:r>
              <w:rPr>
                <w:rFonts w:hint="eastAsia" w:ascii="宋体" w:hAnsi="宋体" w:cs="宋体"/>
                <w:color w:val="auto"/>
                <w:kern w:val="0"/>
                <w:sz w:val="24"/>
              </w:rPr>
              <w:t>生态环境保护目标</w:t>
            </w:r>
          </w:p>
        </w:tc>
        <w:tc>
          <w:tcPr>
            <w:tcW w:w="8253" w:type="dxa"/>
            <w:vAlign w:val="center"/>
          </w:tcPr>
          <w:p>
            <w:pPr>
              <w:pStyle w:val="2"/>
              <w:spacing w:after="0"/>
              <w:ind w:left="0" w:leftChars="0" w:firstLine="0" w:firstLineChars="0"/>
              <w:jc w:val="both"/>
              <w:rPr>
                <w:rFonts w:hint="default" w:ascii="Times New Roman" w:hAnsi="Times New Roman" w:cs="Times New Roman"/>
                <w:color w:val="auto"/>
                <w:kern w:val="0"/>
                <w:sz w:val="24"/>
                <w:lang w:val="en-US" w:eastAsia="zh-CN"/>
              </w:rPr>
            </w:pPr>
            <w:r>
              <w:rPr>
                <w:rFonts w:hint="eastAsia" w:ascii="宋体" w:hAnsi="宋体" w:cs="宋体"/>
                <w:color w:val="auto"/>
                <w:kern w:val="0"/>
                <w:sz w:val="24"/>
                <w:lang w:val="en-US" w:eastAsia="zh-CN"/>
              </w:rPr>
              <w:t xml:space="preserve">    </w:t>
            </w:r>
            <w:r>
              <w:rPr>
                <w:rFonts w:hint="default" w:ascii="Times New Roman" w:hAnsi="Times New Roman" w:cs="Times New Roman"/>
                <w:color w:val="auto"/>
                <w:kern w:val="0"/>
                <w:sz w:val="24"/>
                <w:lang w:val="en-US" w:eastAsia="zh-CN"/>
              </w:rPr>
              <w:t>敏感点分布见图7。</w:t>
            </w:r>
          </w:p>
          <w:p>
            <w:pPr>
              <w:pStyle w:val="2"/>
              <w:spacing w:after="0"/>
              <w:ind w:left="0" w:leftChars="0" w:firstLine="0" w:firstLineChars="0"/>
              <w:jc w:val="center"/>
              <w:rPr>
                <w:rFonts w:hint="eastAsia" w:ascii="Times New Roman" w:hAnsi="Times New Roman" w:eastAsia="黑体" w:cs="Times New Roman"/>
                <w:color w:val="auto"/>
                <w:kern w:val="2"/>
                <w:sz w:val="24"/>
                <w:szCs w:val="24"/>
                <w:lang w:val="en-US" w:eastAsia="zh-CN" w:bidi="ar-SA"/>
              </w:rPr>
            </w:pPr>
            <w:r>
              <w:rPr>
                <w:rFonts w:hint="eastAsia" w:ascii="Times New Roman" w:hAnsi="Times New Roman" w:eastAsia="黑体" w:cs="Times New Roman"/>
                <w:color w:val="auto"/>
                <w:kern w:val="2"/>
                <w:sz w:val="24"/>
                <w:szCs w:val="24"/>
                <w:lang w:val="en-US" w:eastAsia="zh-CN" w:bidi="ar-SA"/>
              </w:rPr>
              <w:t>表14    环境保护目标一览表</w:t>
            </w:r>
          </w:p>
          <w:tbl>
            <w:tblPr>
              <w:tblStyle w:val="24"/>
              <w:tblW w:w="800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0"/>
              <w:gridCol w:w="2698"/>
              <w:gridCol w:w="996"/>
              <w:gridCol w:w="706"/>
              <w:gridCol w:w="993"/>
              <w:gridCol w:w="850"/>
              <w:gridCol w:w="10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09" w:hRule="atLeast"/>
                <w:jc w:val="center"/>
              </w:trPr>
              <w:tc>
                <w:tcPr>
                  <w:tcW w:w="670" w:type="dxa"/>
                  <w:tcBorders>
                    <w:tl2br w:val="nil"/>
                    <w:tr2bl w:val="nil"/>
                  </w:tcBorders>
                  <w:shd w:val="clear" w:color="auto" w:fill="auto"/>
                  <w:vAlign w:val="center"/>
                </w:tcPr>
                <w:p>
                  <w:pPr>
                    <w:adjustRightInd w:val="0"/>
                    <w:snapToGrid w:val="0"/>
                    <w:jc w:val="center"/>
                    <w:rPr>
                      <w:color w:val="auto"/>
                      <w:szCs w:val="21"/>
                    </w:rPr>
                  </w:pPr>
                  <w:r>
                    <w:rPr>
                      <w:color w:val="auto"/>
                      <w:szCs w:val="21"/>
                    </w:rPr>
                    <w:t>环境</w:t>
                  </w:r>
                </w:p>
                <w:p>
                  <w:pPr>
                    <w:adjustRightInd w:val="0"/>
                    <w:snapToGrid w:val="0"/>
                    <w:jc w:val="center"/>
                    <w:rPr>
                      <w:color w:val="auto"/>
                      <w:szCs w:val="21"/>
                    </w:rPr>
                  </w:pPr>
                  <w:r>
                    <w:rPr>
                      <w:color w:val="auto"/>
                      <w:szCs w:val="21"/>
                    </w:rPr>
                    <w:t>要素</w:t>
                  </w:r>
                </w:p>
              </w:tc>
              <w:tc>
                <w:tcPr>
                  <w:tcW w:w="2698" w:type="dxa"/>
                  <w:tcBorders>
                    <w:tl2br w:val="nil"/>
                    <w:tr2bl w:val="nil"/>
                  </w:tcBorders>
                  <w:shd w:val="clear" w:color="auto" w:fill="auto"/>
                  <w:vAlign w:val="center"/>
                </w:tcPr>
                <w:p>
                  <w:pPr>
                    <w:adjustRightInd w:val="0"/>
                    <w:snapToGrid w:val="0"/>
                    <w:jc w:val="center"/>
                    <w:rPr>
                      <w:color w:val="auto"/>
                      <w:szCs w:val="21"/>
                    </w:rPr>
                  </w:pPr>
                  <w:r>
                    <w:rPr>
                      <w:color w:val="auto"/>
                      <w:szCs w:val="21"/>
                    </w:rPr>
                    <w:t>名称</w:t>
                  </w:r>
                </w:p>
              </w:tc>
              <w:tc>
                <w:tcPr>
                  <w:tcW w:w="996" w:type="dxa"/>
                  <w:tcBorders>
                    <w:tl2br w:val="nil"/>
                    <w:tr2bl w:val="nil"/>
                  </w:tcBorders>
                  <w:shd w:val="clear" w:color="auto" w:fill="auto"/>
                  <w:vAlign w:val="center"/>
                </w:tcPr>
                <w:p>
                  <w:pPr>
                    <w:adjustRightInd w:val="0"/>
                    <w:snapToGrid w:val="0"/>
                    <w:jc w:val="center"/>
                    <w:rPr>
                      <w:color w:val="auto"/>
                      <w:szCs w:val="21"/>
                    </w:rPr>
                  </w:pPr>
                  <w:r>
                    <w:rPr>
                      <w:color w:val="auto"/>
                      <w:szCs w:val="21"/>
                    </w:rPr>
                    <w:t>保护</w:t>
                  </w:r>
                </w:p>
                <w:p>
                  <w:pPr>
                    <w:adjustRightInd w:val="0"/>
                    <w:snapToGrid w:val="0"/>
                    <w:jc w:val="center"/>
                    <w:rPr>
                      <w:color w:val="auto"/>
                      <w:szCs w:val="21"/>
                    </w:rPr>
                  </w:pPr>
                  <w:r>
                    <w:rPr>
                      <w:color w:val="auto"/>
                      <w:szCs w:val="21"/>
                    </w:rPr>
                    <w:t>对象</w:t>
                  </w:r>
                </w:p>
              </w:tc>
              <w:tc>
                <w:tcPr>
                  <w:tcW w:w="706" w:type="dxa"/>
                  <w:tcBorders>
                    <w:tl2br w:val="nil"/>
                    <w:tr2bl w:val="nil"/>
                  </w:tcBorders>
                  <w:shd w:val="clear" w:color="auto" w:fill="auto"/>
                  <w:vAlign w:val="center"/>
                </w:tcPr>
                <w:p>
                  <w:pPr>
                    <w:adjustRightInd w:val="0"/>
                    <w:snapToGrid w:val="0"/>
                    <w:jc w:val="center"/>
                    <w:rPr>
                      <w:color w:val="auto"/>
                      <w:szCs w:val="21"/>
                    </w:rPr>
                  </w:pPr>
                  <w:r>
                    <w:rPr>
                      <w:color w:val="auto"/>
                      <w:szCs w:val="21"/>
                    </w:rPr>
                    <w:t>保护</w:t>
                  </w:r>
                </w:p>
                <w:p>
                  <w:pPr>
                    <w:adjustRightInd w:val="0"/>
                    <w:snapToGrid w:val="0"/>
                    <w:jc w:val="center"/>
                    <w:rPr>
                      <w:color w:val="auto"/>
                      <w:szCs w:val="21"/>
                    </w:rPr>
                  </w:pPr>
                  <w:r>
                    <w:rPr>
                      <w:color w:val="auto"/>
                      <w:szCs w:val="21"/>
                    </w:rPr>
                    <w:t>内容</w:t>
                  </w:r>
                </w:p>
              </w:tc>
              <w:tc>
                <w:tcPr>
                  <w:tcW w:w="993" w:type="dxa"/>
                  <w:tcBorders>
                    <w:tl2br w:val="nil"/>
                    <w:tr2bl w:val="nil"/>
                  </w:tcBorders>
                  <w:shd w:val="clear" w:color="auto" w:fill="auto"/>
                  <w:vAlign w:val="center"/>
                </w:tcPr>
                <w:p>
                  <w:pPr>
                    <w:adjustRightInd w:val="0"/>
                    <w:snapToGrid w:val="0"/>
                    <w:jc w:val="center"/>
                    <w:rPr>
                      <w:color w:val="auto"/>
                      <w:szCs w:val="21"/>
                    </w:rPr>
                  </w:pPr>
                  <w:r>
                    <w:rPr>
                      <w:color w:val="auto"/>
                      <w:szCs w:val="21"/>
                    </w:rPr>
                    <w:t>环境功能区</w:t>
                  </w:r>
                </w:p>
              </w:tc>
              <w:tc>
                <w:tcPr>
                  <w:tcW w:w="850" w:type="dxa"/>
                  <w:tcBorders>
                    <w:tl2br w:val="nil"/>
                    <w:tr2bl w:val="nil"/>
                  </w:tcBorders>
                  <w:shd w:val="clear" w:color="auto" w:fill="auto"/>
                  <w:vAlign w:val="center"/>
                </w:tcPr>
                <w:p>
                  <w:pPr>
                    <w:adjustRightInd w:val="0"/>
                    <w:snapToGrid w:val="0"/>
                    <w:jc w:val="center"/>
                    <w:rPr>
                      <w:color w:val="auto"/>
                      <w:szCs w:val="21"/>
                    </w:rPr>
                  </w:pPr>
                  <w:r>
                    <w:rPr>
                      <w:color w:val="auto"/>
                      <w:szCs w:val="21"/>
                    </w:rPr>
                    <w:t>相对厂址方位</w:t>
                  </w:r>
                </w:p>
              </w:tc>
              <w:tc>
                <w:tcPr>
                  <w:tcW w:w="1094" w:type="dxa"/>
                  <w:tcBorders>
                    <w:tl2br w:val="nil"/>
                    <w:tr2bl w:val="nil"/>
                  </w:tcBorders>
                  <w:shd w:val="clear" w:color="auto" w:fill="auto"/>
                  <w:vAlign w:val="center"/>
                </w:tcPr>
                <w:p>
                  <w:pPr>
                    <w:adjustRightInd w:val="0"/>
                    <w:snapToGrid w:val="0"/>
                    <w:jc w:val="center"/>
                    <w:rPr>
                      <w:color w:val="auto"/>
                      <w:szCs w:val="21"/>
                    </w:rPr>
                  </w:pPr>
                  <w:r>
                    <w:rPr>
                      <w:color w:val="auto"/>
                      <w:szCs w:val="21"/>
                    </w:rPr>
                    <w:t>相对厂界距离/m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670" w:type="dxa"/>
                  <w:vMerge w:val="restart"/>
                  <w:tcBorders>
                    <w:tl2br w:val="nil"/>
                    <w:tr2bl w:val="nil"/>
                  </w:tcBorders>
                  <w:shd w:val="clear" w:color="auto" w:fill="auto"/>
                  <w:vAlign w:val="center"/>
                </w:tcPr>
                <w:p>
                  <w:pPr>
                    <w:jc w:val="center"/>
                    <w:rPr>
                      <w:color w:val="auto"/>
                      <w:szCs w:val="21"/>
                    </w:rPr>
                  </w:pPr>
                  <w:r>
                    <w:rPr>
                      <w:rFonts w:hint="eastAsia"/>
                      <w:color w:val="auto"/>
                      <w:szCs w:val="21"/>
                    </w:rPr>
                    <w:t>环境空气</w:t>
                  </w:r>
                </w:p>
              </w:tc>
              <w:tc>
                <w:tcPr>
                  <w:tcW w:w="2698" w:type="dxa"/>
                  <w:tcBorders>
                    <w:tl2br w:val="nil"/>
                    <w:tr2bl w:val="nil"/>
                  </w:tcBorders>
                  <w:shd w:val="clear" w:color="auto" w:fill="auto"/>
                  <w:textDirection w:val="lrTb"/>
                  <w:vAlign w:val="center"/>
                </w:tcPr>
                <w:p>
                  <w:pPr>
                    <w:adjustRightInd w:val="0"/>
                    <w:snapToGrid w:val="0"/>
                    <w:jc w:val="center"/>
                    <w:rPr>
                      <w:color w:val="auto"/>
                      <w:szCs w:val="21"/>
                    </w:rPr>
                  </w:pPr>
                  <w:r>
                    <w:rPr>
                      <w:rFonts w:hint="eastAsia"/>
                      <w:color w:val="auto"/>
                      <w:szCs w:val="21"/>
                      <w:lang w:val="en-US" w:eastAsia="zh-CN"/>
                    </w:rPr>
                    <w:t>二杨庄</w:t>
                  </w:r>
                </w:p>
              </w:tc>
              <w:tc>
                <w:tcPr>
                  <w:tcW w:w="996" w:type="dxa"/>
                  <w:vMerge w:val="restart"/>
                  <w:tcBorders>
                    <w:tl2br w:val="nil"/>
                    <w:tr2bl w:val="nil"/>
                  </w:tcBorders>
                  <w:shd w:val="clear" w:color="auto" w:fill="auto"/>
                  <w:vAlign w:val="center"/>
                </w:tcPr>
                <w:p>
                  <w:pPr>
                    <w:jc w:val="center"/>
                    <w:rPr>
                      <w:color w:val="auto"/>
                      <w:szCs w:val="21"/>
                    </w:rPr>
                  </w:pPr>
                  <w:r>
                    <w:rPr>
                      <w:rFonts w:hint="eastAsia"/>
                      <w:color w:val="auto"/>
                      <w:szCs w:val="21"/>
                    </w:rPr>
                    <w:t>居住区</w:t>
                  </w:r>
                </w:p>
              </w:tc>
              <w:tc>
                <w:tcPr>
                  <w:tcW w:w="706" w:type="dxa"/>
                  <w:vMerge w:val="restart"/>
                  <w:tcBorders>
                    <w:tl2br w:val="nil"/>
                    <w:tr2bl w:val="nil"/>
                  </w:tcBorders>
                  <w:shd w:val="clear" w:color="auto" w:fill="auto"/>
                  <w:vAlign w:val="center"/>
                </w:tcPr>
                <w:p>
                  <w:pPr>
                    <w:jc w:val="center"/>
                    <w:rPr>
                      <w:color w:val="auto"/>
                      <w:szCs w:val="21"/>
                    </w:rPr>
                  </w:pPr>
                  <w:r>
                    <w:rPr>
                      <w:rFonts w:hint="eastAsia"/>
                      <w:color w:val="auto"/>
                      <w:szCs w:val="21"/>
                    </w:rPr>
                    <w:t>人群</w:t>
                  </w:r>
                </w:p>
              </w:tc>
              <w:tc>
                <w:tcPr>
                  <w:tcW w:w="993" w:type="dxa"/>
                  <w:vMerge w:val="restart"/>
                  <w:tcBorders>
                    <w:tl2br w:val="nil"/>
                    <w:tr2bl w:val="nil"/>
                  </w:tcBorders>
                  <w:shd w:val="clear" w:color="auto" w:fill="auto"/>
                  <w:vAlign w:val="center"/>
                </w:tcPr>
                <w:p>
                  <w:pPr>
                    <w:jc w:val="center"/>
                    <w:rPr>
                      <w:color w:val="auto"/>
                      <w:szCs w:val="21"/>
                    </w:rPr>
                  </w:pPr>
                  <w:r>
                    <w:rPr>
                      <w:rFonts w:hint="eastAsia"/>
                      <w:color w:val="auto"/>
                      <w:szCs w:val="21"/>
                    </w:rPr>
                    <w:t>二类区</w:t>
                  </w:r>
                </w:p>
              </w:tc>
              <w:tc>
                <w:tcPr>
                  <w:tcW w:w="850" w:type="dxa"/>
                  <w:tcBorders>
                    <w:tl2br w:val="nil"/>
                    <w:tr2bl w:val="nil"/>
                  </w:tcBorders>
                  <w:shd w:val="clear" w:color="auto" w:fill="auto"/>
                  <w:textDirection w:val="lrTb"/>
                  <w:vAlign w:val="center"/>
                </w:tcPr>
                <w:p>
                  <w:pPr>
                    <w:adjustRightInd w:val="0"/>
                    <w:snapToGrid w:val="0"/>
                    <w:jc w:val="center"/>
                    <w:rPr>
                      <w:color w:val="auto"/>
                      <w:szCs w:val="21"/>
                    </w:rPr>
                  </w:pPr>
                  <w:r>
                    <w:rPr>
                      <w:rFonts w:hint="eastAsia"/>
                      <w:color w:val="auto"/>
                      <w:szCs w:val="21"/>
                      <w:lang w:val="en-US" w:eastAsia="zh-CN"/>
                    </w:rPr>
                    <w:t>NE</w:t>
                  </w:r>
                </w:p>
              </w:tc>
              <w:tc>
                <w:tcPr>
                  <w:tcW w:w="1094" w:type="dxa"/>
                  <w:tcBorders>
                    <w:tl2br w:val="nil"/>
                    <w:tr2bl w:val="nil"/>
                  </w:tcBorders>
                  <w:shd w:val="clear" w:color="auto" w:fill="auto"/>
                  <w:textDirection w:val="lrTb"/>
                  <w:vAlign w:val="center"/>
                </w:tcPr>
                <w:p>
                  <w:pPr>
                    <w:adjustRightInd w:val="0"/>
                    <w:snapToGrid w:val="0"/>
                    <w:jc w:val="center"/>
                    <w:rPr>
                      <w:color w:val="auto"/>
                      <w:szCs w:val="21"/>
                    </w:rPr>
                  </w:pPr>
                  <w:r>
                    <w:rPr>
                      <w:rFonts w:hint="eastAsia"/>
                      <w:color w:val="auto"/>
                      <w:szCs w:val="21"/>
                      <w:lang w:val="en-US" w:eastAsia="zh-CN"/>
                    </w:rPr>
                    <w:t>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670" w:type="dxa"/>
                  <w:vMerge w:val="continue"/>
                  <w:tcBorders>
                    <w:tl2br w:val="nil"/>
                    <w:tr2bl w:val="nil"/>
                  </w:tcBorders>
                  <w:shd w:val="clear" w:color="auto" w:fill="auto"/>
                  <w:vAlign w:val="center"/>
                </w:tcPr>
                <w:p>
                  <w:pPr>
                    <w:jc w:val="center"/>
                    <w:rPr>
                      <w:color w:val="auto"/>
                      <w:szCs w:val="21"/>
                    </w:rPr>
                  </w:pPr>
                </w:p>
              </w:tc>
              <w:tc>
                <w:tcPr>
                  <w:tcW w:w="2698" w:type="dxa"/>
                  <w:tcBorders>
                    <w:tl2br w:val="nil"/>
                    <w:tr2bl w:val="nil"/>
                  </w:tcBorders>
                  <w:shd w:val="clear" w:color="auto" w:fill="auto"/>
                  <w:textDirection w:val="lrTb"/>
                  <w:vAlign w:val="center"/>
                </w:tcPr>
                <w:p>
                  <w:pPr>
                    <w:adjustRightInd w:val="0"/>
                    <w:snapToGrid w:val="0"/>
                    <w:jc w:val="center"/>
                    <w:rPr>
                      <w:color w:val="auto"/>
                      <w:szCs w:val="21"/>
                    </w:rPr>
                  </w:pPr>
                  <w:r>
                    <w:rPr>
                      <w:rFonts w:hint="eastAsia"/>
                      <w:color w:val="auto"/>
                      <w:szCs w:val="21"/>
                      <w:lang w:val="en-US" w:eastAsia="zh-CN"/>
                    </w:rPr>
                    <w:t>余家堡</w:t>
                  </w:r>
                </w:p>
              </w:tc>
              <w:tc>
                <w:tcPr>
                  <w:tcW w:w="996" w:type="dxa"/>
                  <w:vMerge w:val="continue"/>
                  <w:tcBorders>
                    <w:tl2br w:val="nil"/>
                    <w:tr2bl w:val="nil"/>
                  </w:tcBorders>
                  <w:shd w:val="clear" w:color="auto" w:fill="auto"/>
                  <w:vAlign w:val="center"/>
                </w:tcPr>
                <w:p>
                  <w:pPr>
                    <w:jc w:val="center"/>
                    <w:rPr>
                      <w:color w:val="auto"/>
                      <w:szCs w:val="21"/>
                    </w:rPr>
                  </w:pPr>
                </w:p>
              </w:tc>
              <w:tc>
                <w:tcPr>
                  <w:tcW w:w="706" w:type="dxa"/>
                  <w:vMerge w:val="continue"/>
                  <w:tcBorders>
                    <w:tl2br w:val="nil"/>
                    <w:tr2bl w:val="nil"/>
                  </w:tcBorders>
                  <w:shd w:val="clear" w:color="auto" w:fill="auto"/>
                  <w:vAlign w:val="center"/>
                </w:tcPr>
                <w:p>
                  <w:pPr>
                    <w:jc w:val="center"/>
                    <w:rPr>
                      <w:color w:val="auto"/>
                      <w:szCs w:val="21"/>
                    </w:rPr>
                  </w:pPr>
                </w:p>
              </w:tc>
              <w:tc>
                <w:tcPr>
                  <w:tcW w:w="993" w:type="dxa"/>
                  <w:vMerge w:val="continue"/>
                  <w:tcBorders>
                    <w:tl2br w:val="nil"/>
                    <w:tr2bl w:val="nil"/>
                  </w:tcBorders>
                  <w:shd w:val="clear" w:color="auto" w:fill="auto"/>
                  <w:vAlign w:val="center"/>
                </w:tcPr>
                <w:p>
                  <w:pPr>
                    <w:jc w:val="center"/>
                    <w:rPr>
                      <w:color w:val="auto"/>
                      <w:szCs w:val="21"/>
                    </w:rPr>
                  </w:pPr>
                </w:p>
              </w:tc>
              <w:tc>
                <w:tcPr>
                  <w:tcW w:w="850" w:type="dxa"/>
                  <w:tcBorders>
                    <w:tl2br w:val="nil"/>
                    <w:tr2bl w:val="nil"/>
                  </w:tcBorders>
                  <w:shd w:val="clear" w:color="auto" w:fill="auto"/>
                  <w:textDirection w:val="lrTb"/>
                  <w:vAlign w:val="center"/>
                </w:tcPr>
                <w:p>
                  <w:pPr>
                    <w:adjustRightInd w:val="0"/>
                    <w:snapToGrid w:val="0"/>
                    <w:jc w:val="center"/>
                    <w:rPr>
                      <w:color w:val="auto"/>
                      <w:szCs w:val="21"/>
                    </w:rPr>
                  </w:pPr>
                  <w:r>
                    <w:rPr>
                      <w:rFonts w:hint="eastAsia"/>
                      <w:color w:val="auto"/>
                      <w:szCs w:val="21"/>
                      <w:lang w:val="en-US" w:eastAsia="zh-CN"/>
                    </w:rPr>
                    <w:t>NE</w:t>
                  </w:r>
                </w:p>
              </w:tc>
              <w:tc>
                <w:tcPr>
                  <w:tcW w:w="1094" w:type="dxa"/>
                  <w:tcBorders>
                    <w:tl2br w:val="nil"/>
                    <w:tr2bl w:val="nil"/>
                  </w:tcBorders>
                  <w:shd w:val="clear" w:color="auto" w:fill="auto"/>
                  <w:textDirection w:val="lrTb"/>
                  <w:vAlign w:val="center"/>
                </w:tcPr>
                <w:p>
                  <w:pPr>
                    <w:adjustRightInd w:val="0"/>
                    <w:snapToGrid w:val="0"/>
                    <w:jc w:val="center"/>
                    <w:rPr>
                      <w:color w:val="auto"/>
                      <w:szCs w:val="21"/>
                    </w:rPr>
                  </w:pPr>
                  <w:r>
                    <w:rPr>
                      <w:rFonts w:hint="eastAsia"/>
                      <w:color w:val="auto"/>
                      <w:szCs w:val="21"/>
                      <w:lang w:val="en-US" w:eastAsia="zh-CN"/>
                    </w:rPr>
                    <w:t>260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670" w:type="dxa"/>
                  <w:vMerge w:val="continue"/>
                  <w:tcBorders>
                    <w:tl2br w:val="nil"/>
                    <w:tr2bl w:val="nil"/>
                  </w:tcBorders>
                  <w:shd w:val="clear" w:color="auto" w:fill="auto"/>
                  <w:vAlign w:val="center"/>
                </w:tcPr>
                <w:p>
                  <w:pPr>
                    <w:jc w:val="center"/>
                    <w:rPr>
                      <w:color w:val="auto"/>
                      <w:szCs w:val="21"/>
                    </w:rPr>
                  </w:pPr>
                </w:p>
              </w:tc>
              <w:tc>
                <w:tcPr>
                  <w:tcW w:w="2698" w:type="dxa"/>
                  <w:tcBorders>
                    <w:tl2br w:val="nil"/>
                    <w:tr2bl w:val="nil"/>
                  </w:tcBorders>
                  <w:shd w:val="clear" w:color="auto" w:fill="auto"/>
                  <w:textDirection w:val="lrTb"/>
                  <w:vAlign w:val="center"/>
                </w:tcPr>
                <w:p>
                  <w:pPr>
                    <w:adjustRightInd w:val="0"/>
                    <w:snapToGrid w:val="0"/>
                    <w:jc w:val="center"/>
                    <w:rPr>
                      <w:color w:val="auto"/>
                      <w:szCs w:val="21"/>
                    </w:rPr>
                  </w:pPr>
                  <w:r>
                    <w:rPr>
                      <w:rFonts w:hint="eastAsia"/>
                      <w:color w:val="auto"/>
                      <w:szCs w:val="21"/>
                      <w:lang w:val="en-US" w:eastAsia="zh-CN"/>
                    </w:rPr>
                    <w:t>蒋刘中学</w:t>
                  </w:r>
                </w:p>
              </w:tc>
              <w:tc>
                <w:tcPr>
                  <w:tcW w:w="996" w:type="dxa"/>
                  <w:vMerge w:val="continue"/>
                  <w:tcBorders>
                    <w:tl2br w:val="nil"/>
                    <w:tr2bl w:val="nil"/>
                  </w:tcBorders>
                  <w:shd w:val="clear" w:color="auto" w:fill="auto"/>
                  <w:vAlign w:val="center"/>
                </w:tcPr>
                <w:p>
                  <w:pPr>
                    <w:jc w:val="center"/>
                    <w:rPr>
                      <w:color w:val="auto"/>
                      <w:szCs w:val="21"/>
                    </w:rPr>
                  </w:pPr>
                </w:p>
              </w:tc>
              <w:tc>
                <w:tcPr>
                  <w:tcW w:w="706" w:type="dxa"/>
                  <w:vMerge w:val="continue"/>
                  <w:tcBorders>
                    <w:tl2br w:val="nil"/>
                    <w:tr2bl w:val="nil"/>
                  </w:tcBorders>
                  <w:shd w:val="clear" w:color="auto" w:fill="auto"/>
                  <w:vAlign w:val="center"/>
                </w:tcPr>
                <w:p>
                  <w:pPr>
                    <w:jc w:val="center"/>
                    <w:rPr>
                      <w:color w:val="auto"/>
                      <w:szCs w:val="21"/>
                    </w:rPr>
                  </w:pPr>
                </w:p>
              </w:tc>
              <w:tc>
                <w:tcPr>
                  <w:tcW w:w="993" w:type="dxa"/>
                  <w:vMerge w:val="continue"/>
                  <w:tcBorders>
                    <w:tl2br w:val="nil"/>
                    <w:tr2bl w:val="nil"/>
                  </w:tcBorders>
                  <w:shd w:val="clear" w:color="auto" w:fill="auto"/>
                  <w:vAlign w:val="center"/>
                </w:tcPr>
                <w:p>
                  <w:pPr>
                    <w:jc w:val="center"/>
                    <w:rPr>
                      <w:color w:val="auto"/>
                      <w:szCs w:val="21"/>
                    </w:rPr>
                  </w:pPr>
                </w:p>
              </w:tc>
              <w:tc>
                <w:tcPr>
                  <w:tcW w:w="850" w:type="dxa"/>
                  <w:tcBorders>
                    <w:tl2br w:val="nil"/>
                    <w:tr2bl w:val="nil"/>
                  </w:tcBorders>
                  <w:shd w:val="clear" w:color="auto" w:fill="auto"/>
                  <w:textDirection w:val="lrTb"/>
                  <w:vAlign w:val="center"/>
                </w:tcPr>
                <w:p>
                  <w:pPr>
                    <w:adjustRightInd w:val="0"/>
                    <w:snapToGrid w:val="0"/>
                    <w:jc w:val="center"/>
                    <w:rPr>
                      <w:color w:val="auto"/>
                      <w:szCs w:val="21"/>
                    </w:rPr>
                  </w:pPr>
                  <w:r>
                    <w:rPr>
                      <w:rFonts w:hint="eastAsia"/>
                      <w:color w:val="auto"/>
                      <w:szCs w:val="21"/>
                      <w:lang w:val="en-US" w:eastAsia="zh-CN"/>
                    </w:rPr>
                    <w:t>E</w:t>
                  </w:r>
                </w:p>
              </w:tc>
              <w:tc>
                <w:tcPr>
                  <w:tcW w:w="1094" w:type="dxa"/>
                  <w:tcBorders>
                    <w:tl2br w:val="nil"/>
                    <w:tr2bl w:val="nil"/>
                  </w:tcBorders>
                  <w:shd w:val="clear" w:color="auto" w:fill="auto"/>
                  <w:textDirection w:val="lrTb"/>
                  <w:vAlign w:val="center"/>
                </w:tcPr>
                <w:p>
                  <w:pPr>
                    <w:adjustRightInd w:val="0"/>
                    <w:snapToGrid w:val="0"/>
                    <w:jc w:val="center"/>
                    <w:rPr>
                      <w:color w:val="auto"/>
                      <w:szCs w:val="21"/>
                    </w:rPr>
                  </w:pPr>
                  <w:r>
                    <w:rPr>
                      <w:rFonts w:hint="eastAsia"/>
                      <w:color w:val="auto"/>
                      <w:szCs w:val="21"/>
                      <w:lang w:val="en-US" w:eastAsia="zh-CN"/>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670" w:type="dxa"/>
                  <w:vMerge w:val="continue"/>
                  <w:tcBorders>
                    <w:tl2br w:val="nil"/>
                    <w:tr2bl w:val="nil"/>
                  </w:tcBorders>
                  <w:shd w:val="clear" w:color="auto" w:fill="auto"/>
                  <w:vAlign w:val="center"/>
                </w:tcPr>
                <w:p>
                  <w:pPr>
                    <w:jc w:val="center"/>
                    <w:rPr>
                      <w:color w:val="auto"/>
                      <w:szCs w:val="21"/>
                    </w:rPr>
                  </w:pPr>
                </w:p>
              </w:tc>
              <w:tc>
                <w:tcPr>
                  <w:tcW w:w="2698" w:type="dxa"/>
                  <w:tcBorders>
                    <w:tl2br w:val="nil"/>
                    <w:tr2bl w:val="nil"/>
                  </w:tcBorders>
                  <w:shd w:val="clear" w:color="auto" w:fill="auto"/>
                  <w:textDirection w:val="lrTb"/>
                  <w:vAlign w:val="center"/>
                </w:tcPr>
                <w:p>
                  <w:pPr>
                    <w:adjustRightInd w:val="0"/>
                    <w:snapToGrid w:val="0"/>
                    <w:jc w:val="center"/>
                    <w:rPr>
                      <w:color w:val="auto"/>
                      <w:szCs w:val="21"/>
                    </w:rPr>
                  </w:pPr>
                  <w:r>
                    <w:rPr>
                      <w:rFonts w:hint="eastAsia"/>
                      <w:color w:val="auto"/>
                      <w:szCs w:val="21"/>
                      <w:lang w:val="en-US" w:eastAsia="zh-CN"/>
                    </w:rPr>
                    <w:t>郭家庄</w:t>
                  </w:r>
                </w:p>
              </w:tc>
              <w:tc>
                <w:tcPr>
                  <w:tcW w:w="996" w:type="dxa"/>
                  <w:vMerge w:val="continue"/>
                  <w:tcBorders>
                    <w:tl2br w:val="nil"/>
                    <w:tr2bl w:val="nil"/>
                  </w:tcBorders>
                  <w:shd w:val="clear" w:color="auto" w:fill="auto"/>
                  <w:vAlign w:val="center"/>
                </w:tcPr>
                <w:p>
                  <w:pPr>
                    <w:jc w:val="center"/>
                    <w:rPr>
                      <w:color w:val="auto"/>
                      <w:szCs w:val="21"/>
                    </w:rPr>
                  </w:pPr>
                </w:p>
              </w:tc>
              <w:tc>
                <w:tcPr>
                  <w:tcW w:w="706" w:type="dxa"/>
                  <w:vMerge w:val="continue"/>
                  <w:tcBorders>
                    <w:tl2br w:val="nil"/>
                    <w:tr2bl w:val="nil"/>
                  </w:tcBorders>
                  <w:shd w:val="clear" w:color="auto" w:fill="auto"/>
                  <w:vAlign w:val="center"/>
                </w:tcPr>
                <w:p>
                  <w:pPr>
                    <w:jc w:val="center"/>
                    <w:rPr>
                      <w:color w:val="auto"/>
                      <w:szCs w:val="21"/>
                    </w:rPr>
                  </w:pPr>
                </w:p>
              </w:tc>
              <w:tc>
                <w:tcPr>
                  <w:tcW w:w="993" w:type="dxa"/>
                  <w:vMerge w:val="continue"/>
                  <w:tcBorders>
                    <w:tl2br w:val="nil"/>
                    <w:tr2bl w:val="nil"/>
                  </w:tcBorders>
                  <w:shd w:val="clear" w:color="auto" w:fill="auto"/>
                  <w:vAlign w:val="center"/>
                </w:tcPr>
                <w:p>
                  <w:pPr>
                    <w:jc w:val="center"/>
                    <w:rPr>
                      <w:color w:val="auto"/>
                      <w:szCs w:val="21"/>
                    </w:rPr>
                  </w:pPr>
                </w:p>
              </w:tc>
              <w:tc>
                <w:tcPr>
                  <w:tcW w:w="850" w:type="dxa"/>
                  <w:tcBorders>
                    <w:tl2br w:val="nil"/>
                    <w:tr2bl w:val="nil"/>
                  </w:tcBorders>
                  <w:shd w:val="clear" w:color="auto" w:fill="auto"/>
                  <w:textDirection w:val="lrTb"/>
                  <w:vAlign w:val="center"/>
                </w:tcPr>
                <w:p>
                  <w:pPr>
                    <w:adjustRightInd w:val="0"/>
                    <w:snapToGrid w:val="0"/>
                    <w:jc w:val="center"/>
                    <w:rPr>
                      <w:color w:val="auto"/>
                      <w:szCs w:val="21"/>
                    </w:rPr>
                  </w:pPr>
                  <w:r>
                    <w:rPr>
                      <w:rFonts w:hint="eastAsia"/>
                      <w:color w:val="auto"/>
                      <w:szCs w:val="21"/>
                      <w:lang w:val="en-US" w:eastAsia="zh-CN"/>
                    </w:rPr>
                    <w:t>N</w:t>
                  </w:r>
                </w:p>
              </w:tc>
              <w:tc>
                <w:tcPr>
                  <w:tcW w:w="1094" w:type="dxa"/>
                  <w:tcBorders>
                    <w:tl2br w:val="nil"/>
                    <w:tr2bl w:val="nil"/>
                  </w:tcBorders>
                  <w:shd w:val="clear" w:color="auto" w:fill="auto"/>
                  <w:textDirection w:val="lrTb"/>
                  <w:vAlign w:val="center"/>
                </w:tcPr>
                <w:p>
                  <w:pPr>
                    <w:adjustRightInd w:val="0"/>
                    <w:snapToGrid w:val="0"/>
                    <w:jc w:val="center"/>
                    <w:rPr>
                      <w:color w:val="auto"/>
                      <w:szCs w:val="21"/>
                    </w:rPr>
                  </w:pPr>
                  <w:r>
                    <w:rPr>
                      <w:rFonts w:hint="eastAsia"/>
                      <w:color w:val="auto"/>
                      <w:szCs w:val="21"/>
                      <w:lang w:val="en-US" w:eastAsia="zh-CN"/>
                    </w:rPr>
                    <w:t>160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0" w:type="dxa"/>
                  <w:tcBorders>
                    <w:tl2br w:val="nil"/>
                    <w:tr2bl w:val="nil"/>
                  </w:tcBorders>
                  <w:shd w:val="clear" w:color="auto" w:fill="auto"/>
                </w:tcPr>
                <w:p>
                  <w:pPr>
                    <w:rPr>
                      <w:color w:val="auto"/>
                      <w:szCs w:val="21"/>
                    </w:rPr>
                  </w:pPr>
                  <w:r>
                    <w:rPr>
                      <w:color w:val="auto"/>
                      <w:szCs w:val="21"/>
                    </w:rPr>
                    <w:t>地表水</w:t>
                  </w:r>
                </w:p>
              </w:tc>
              <w:tc>
                <w:tcPr>
                  <w:tcW w:w="2698" w:type="dxa"/>
                  <w:tcBorders>
                    <w:tl2br w:val="nil"/>
                    <w:tr2bl w:val="nil"/>
                  </w:tcBorders>
                  <w:shd w:val="clear" w:color="auto" w:fill="auto"/>
                  <w:vAlign w:val="center"/>
                </w:tcPr>
                <w:p>
                  <w:pPr>
                    <w:jc w:val="center"/>
                    <w:rPr>
                      <w:color w:val="auto"/>
                      <w:szCs w:val="21"/>
                    </w:rPr>
                  </w:pPr>
                  <w:r>
                    <w:rPr>
                      <w:rFonts w:hint="eastAsia"/>
                      <w:color w:val="auto"/>
                      <w:szCs w:val="21"/>
                      <w:lang w:val="en-US" w:eastAsia="zh-CN"/>
                    </w:rPr>
                    <w:t>泾</w:t>
                  </w:r>
                  <w:r>
                    <w:rPr>
                      <w:color w:val="auto"/>
                      <w:szCs w:val="21"/>
                    </w:rPr>
                    <w:t>河</w:t>
                  </w:r>
                </w:p>
              </w:tc>
              <w:tc>
                <w:tcPr>
                  <w:tcW w:w="996" w:type="dxa"/>
                  <w:tcBorders>
                    <w:tl2br w:val="nil"/>
                    <w:tr2bl w:val="nil"/>
                  </w:tcBorders>
                  <w:shd w:val="clear" w:color="auto" w:fill="auto"/>
                  <w:vAlign w:val="center"/>
                </w:tcPr>
                <w:p>
                  <w:pPr>
                    <w:jc w:val="center"/>
                    <w:rPr>
                      <w:color w:val="auto"/>
                      <w:szCs w:val="21"/>
                    </w:rPr>
                  </w:pPr>
                  <w:r>
                    <w:rPr>
                      <w:color w:val="auto"/>
                      <w:szCs w:val="21"/>
                    </w:rPr>
                    <w:t>水体</w:t>
                  </w:r>
                </w:p>
              </w:tc>
              <w:tc>
                <w:tcPr>
                  <w:tcW w:w="706" w:type="dxa"/>
                  <w:tcBorders>
                    <w:tl2br w:val="nil"/>
                    <w:tr2bl w:val="nil"/>
                  </w:tcBorders>
                  <w:shd w:val="clear" w:color="auto" w:fill="auto"/>
                  <w:vAlign w:val="center"/>
                </w:tcPr>
                <w:p>
                  <w:pPr>
                    <w:jc w:val="center"/>
                    <w:rPr>
                      <w:color w:val="auto"/>
                      <w:szCs w:val="21"/>
                    </w:rPr>
                  </w:pPr>
                  <w:r>
                    <w:rPr>
                      <w:color w:val="auto"/>
                      <w:szCs w:val="21"/>
                    </w:rPr>
                    <w:t>水质</w:t>
                  </w:r>
                </w:p>
              </w:tc>
              <w:tc>
                <w:tcPr>
                  <w:tcW w:w="993" w:type="dxa"/>
                  <w:tcBorders>
                    <w:tl2br w:val="nil"/>
                    <w:tr2bl w:val="nil"/>
                  </w:tcBorders>
                  <w:shd w:val="clear" w:color="auto" w:fill="auto"/>
                  <w:vAlign w:val="center"/>
                </w:tcPr>
                <w:p>
                  <w:pPr>
                    <w:jc w:val="center"/>
                    <w:rPr>
                      <w:color w:val="auto"/>
                      <w:szCs w:val="21"/>
                    </w:rPr>
                  </w:pPr>
                  <w:r>
                    <w:rPr>
                      <w:rFonts w:hint="eastAsia" w:ascii="宋体" w:hAnsi="宋体"/>
                      <w:color w:val="auto"/>
                      <w:szCs w:val="21"/>
                    </w:rPr>
                    <w:t>Ⅲ</w:t>
                  </w:r>
                  <w:r>
                    <w:rPr>
                      <w:color w:val="auto"/>
                      <w:szCs w:val="21"/>
                    </w:rPr>
                    <w:t>类</w:t>
                  </w:r>
                </w:p>
              </w:tc>
              <w:tc>
                <w:tcPr>
                  <w:tcW w:w="850" w:type="dxa"/>
                  <w:tcBorders>
                    <w:tl2br w:val="nil"/>
                    <w:tr2bl w:val="nil"/>
                  </w:tcBorders>
                  <w:shd w:val="clear" w:color="auto" w:fill="auto"/>
                  <w:vAlign w:val="center"/>
                </w:tcPr>
                <w:p>
                  <w:pPr>
                    <w:jc w:val="center"/>
                    <w:rPr>
                      <w:rFonts w:hint="eastAsia" w:eastAsia="宋体"/>
                      <w:color w:val="auto"/>
                      <w:szCs w:val="21"/>
                      <w:lang w:eastAsia="zh-CN"/>
                    </w:rPr>
                  </w:pPr>
                  <w:r>
                    <w:rPr>
                      <w:rFonts w:hint="eastAsia"/>
                      <w:color w:val="auto"/>
                      <w:szCs w:val="21"/>
                      <w:lang w:val="en-US" w:eastAsia="zh-CN"/>
                    </w:rPr>
                    <w:t>北</w:t>
                  </w:r>
                </w:p>
              </w:tc>
              <w:tc>
                <w:tcPr>
                  <w:tcW w:w="1094" w:type="dxa"/>
                  <w:tcBorders>
                    <w:tl2br w:val="nil"/>
                    <w:tr2bl w:val="nil"/>
                  </w:tcBorders>
                  <w:shd w:val="clear" w:color="auto" w:fill="auto"/>
                  <w:vAlign w:val="center"/>
                </w:tcPr>
                <w:p>
                  <w:pPr>
                    <w:jc w:val="center"/>
                    <w:rPr>
                      <w:rFonts w:hint="eastAsia" w:eastAsia="宋体"/>
                      <w:color w:val="auto"/>
                      <w:szCs w:val="21"/>
                      <w:lang w:eastAsia="zh-CN"/>
                    </w:rPr>
                  </w:pPr>
                  <w:r>
                    <w:rPr>
                      <w:rFonts w:hint="eastAsia"/>
                      <w:color w:val="auto"/>
                      <w:szCs w:val="21"/>
                      <w:lang w:val="en-US" w:eastAsia="zh-CN"/>
                    </w:rPr>
                    <w:t>1050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jc w:val="center"/>
              </w:trPr>
              <w:tc>
                <w:tcPr>
                  <w:tcW w:w="670" w:type="dxa"/>
                  <w:vMerge w:val="restart"/>
                  <w:tcBorders>
                    <w:tl2br w:val="nil"/>
                    <w:tr2bl w:val="nil"/>
                  </w:tcBorders>
                  <w:shd w:val="clear" w:color="auto" w:fill="auto"/>
                  <w:vAlign w:val="center"/>
                </w:tcPr>
                <w:p>
                  <w:pPr>
                    <w:jc w:val="center"/>
                    <w:rPr>
                      <w:color w:val="auto"/>
                      <w:szCs w:val="21"/>
                    </w:rPr>
                  </w:pPr>
                  <w:r>
                    <w:rPr>
                      <w:color w:val="auto"/>
                      <w:szCs w:val="21"/>
                    </w:rPr>
                    <w:t>噪声</w:t>
                  </w:r>
                </w:p>
              </w:tc>
              <w:tc>
                <w:tcPr>
                  <w:tcW w:w="2698" w:type="dxa"/>
                  <w:tcBorders>
                    <w:tl2br w:val="nil"/>
                    <w:tr2bl w:val="nil"/>
                  </w:tcBorders>
                  <w:shd w:val="clear" w:color="auto" w:fill="auto"/>
                  <w:textDirection w:val="lrTb"/>
                  <w:vAlign w:val="center"/>
                </w:tcPr>
                <w:p>
                  <w:pPr>
                    <w:adjustRightInd w:val="0"/>
                    <w:snapToGrid w:val="0"/>
                    <w:jc w:val="center"/>
                    <w:rPr>
                      <w:color w:val="auto"/>
                      <w:szCs w:val="21"/>
                    </w:rPr>
                  </w:pPr>
                  <w:r>
                    <w:rPr>
                      <w:rFonts w:hint="eastAsia"/>
                      <w:color w:val="auto"/>
                      <w:szCs w:val="21"/>
                      <w:lang w:val="en-US" w:eastAsia="zh-CN"/>
                    </w:rPr>
                    <w:t>二杨庄村</w:t>
                  </w:r>
                </w:p>
              </w:tc>
              <w:tc>
                <w:tcPr>
                  <w:tcW w:w="996" w:type="dxa"/>
                  <w:vMerge w:val="restart"/>
                  <w:tcBorders>
                    <w:tl2br w:val="nil"/>
                    <w:tr2bl w:val="nil"/>
                  </w:tcBorders>
                  <w:shd w:val="clear" w:color="auto" w:fill="auto"/>
                  <w:vAlign w:val="center"/>
                </w:tcPr>
                <w:p>
                  <w:pPr>
                    <w:jc w:val="center"/>
                    <w:rPr>
                      <w:rFonts w:hint="eastAsia" w:eastAsia="宋体"/>
                      <w:color w:val="auto"/>
                      <w:szCs w:val="21"/>
                      <w:lang w:val="en-US" w:eastAsia="zh-CN"/>
                    </w:rPr>
                  </w:pPr>
                  <w:r>
                    <w:rPr>
                      <w:rFonts w:hint="eastAsia"/>
                      <w:color w:val="auto"/>
                      <w:szCs w:val="21"/>
                      <w:lang w:val="en-US" w:eastAsia="zh-CN"/>
                    </w:rPr>
                    <w:t>居民区</w:t>
                  </w:r>
                </w:p>
              </w:tc>
              <w:tc>
                <w:tcPr>
                  <w:tcW w:w="706" w:type="dxa"/>
                  <w:vMerge w:val="restart"/>
                  <w:tcBorders>
                    <w:tl2br w:val="nil"/>
                    <w:tr2bl w:val="nil"/>
                  </w:tcBorders>
                  <w:shd w:val="clear" w:color="auto" w:fill="auto"/>
                  <w:vAlign w:val="center"/>
                </w:tcPr>
                <w:p>
                  <w:pPr>
                    <w:jc w:val="center"/>
                    <w:rPr>
                      <w:color w:val="auto"/>
                      <w:szCs w:val="21"/>
                    </w:rPr>
                  </w:pPr>
                  <w:r>
                    <w:rPr>
                      <w:color w:val="auto"/>
                      <w:szCs w:val="21"/>
                    </w:rPr>
                    <w:t>声环境</w:t>
                  </w:r>
                </w:p>
              </w:tc>
              <w:tc>
                <w:tcPr>
                  <w:tcW w:w="993" w:type="dxa"/>
                  <w:vMerge w:val="restart"/>
                  <w:tcBorders>
                    <w:tl2br w:val="nil"/>
                    <w:tr2bl w:val="nil"/>
                  </w:tcBorders>
                  <w:shd w:val="clear" w:color="auto" w:fill="auto"/>
                  <w:vAlign w:val="center"/>
                </w:tcPr>
                <w:p>
                  <w:pPr>
                    <w:jc w:val="center"/>
                    <w:rPr>
                      <w:color w:val="auto"/>
                      <w:szCs w:val="21"/>
                    </w:rPr>
                  </w:pPr>
                  <w:r>
                    <w:rPr>
                      <w:color w:val="auto"/>
                      <w:szCs w:val="21"/>
                    </w:rPr>
                    <w:t>2类</w:t>
                  </w:r>
                </w:p>
              </w:tc>
              <w:tc>
                <w:tcPr>
                  <w:tcW w:w="850" w:type="dxa"/>
                  <w:tcBorders>
                    <w:tl2br w:val="nil"/>
                    <w:tr2bl w:val="nil"/>
                  </w:tcBorders>
                  <w:shd w:val="clear" w:color="auto" w:fill="auto"/>
                  <w:textDirection w:val="lrTb"/>
                  <w:vAlign w:val="center"/>
                </w:tcPr>
                <w:p>
                  <w:pPr>
                    <w:adjustRightInd w:val="0"/>
                    <w:snapToGrid w:val="0"/>
                    <w:jc w:val="center"/>
                    <w:rPr>
                      <w:color w:val="auto"/>
                      <w:szCs w:val="21"/>
                    </w:rPr>
                  </w:pPr>
                  <w:r>
                    <w:rPr>
                      <w:rFonts w:hint="eastAsia"/>
                      <w:color w:val="auto"/>
                      <w:szCs w:val="21"/>
                      <w:lang w:val="en-US" w:eastAsia="zh-CN"/>
                    </w:rPr>
                    <w:t>NE</w:t>
                  </w:r>
                </w:p>
              </w:tc>
              <w:tc>
                <w:tcPr>
                  <w:tcW w:w="1094" w:type="dxa"/>
                  <w:tcBorders>
                    <w:tl2br w:val="nil"/>
                    <w:tr2bl w:val="nil"/>
                  </w:tcBorders>
                  <w:shd w:val="clear" w:color="auto" w:fill="auto"/>
                  <w:textDirection w:val="lrTb"/>
                  <w:vAlign w:val="center"/>
                </w:tcPr>
                <w:p>
                  <w:pPr>
                    <w:adjustRightInd w:val="0"/>
                    <w:snapToGrid w:val="0"/>
                    <w:jc w:val="center"/>
                    <w:rPr>
                      <w:color w:val="auto"/>
                      <w:szCs w:val="21"/>
                    </w:rPr>
                  </w:pPr>
                  <w:r>
                    <w:rPr>
                      <w:rFonts w:hint="eastAsia"/>
                      <w:color w:val="auto"/>
                      <w:szCs w:val="21"/>
                      <w:lang w:val="en-US" w:eastAsia="zh-CN"/>
                    </w:rPr>
                    <w:t>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jc w:val="center"/>
              </w:trPr>
              <w:tc>
                <w:tcPr>
                  <w:tcW w:w="670" w:type="dxa"/>
                  <w:vMerge w:val="continue"/>
                  <w:tcBorders>
                    <w:tl2br w:val="nil"/>
                    <w:tr2bl w:val="nil"/>
                  </w:tcBorders>
                  <w:shd w:val="clear" w:color="auto" w:fill="auto"/>
                  <w:vAlign w:val="center"/>
                </w:tcPr>
                <w:p>
                  <w:pPr>
                    <w:jc w:val="center"/>
                    <w:rPr>
                      <w:color w:val="auto"/>
                      <w:szCs w:val="21"/>
                    </w:rPr>
                  </w:pPr>
                </w:p>
              </w:tc>
              <w:tc>
                <w:tcPr>
                  <w:tcW w:w="2698" w:type="dxa"/>
                  <w:tcBorders>
                    <w:tl2br w:val="nil"/>
                    <w:tr2bl w:val="nil"/>
                  </w:tcBorders>
                  <w:shd w:val="clear" w:color="auto" w:fill="auto"/>
                  <w:textDirection w:val="lrTb"/>
                  <w:vAlign w:val="center"/>
                </w:tcPr>
                <w:p>
                  <w:pPr>
                    <w:adjustRightInd w:val="0"/>
                    <w:snapToGrid w:val="0"/>
                    <w:jc w:val="center"/>
                    <w:rPr>
                      <w:color w:val="auto"/>
                      <w:szCs w:val="21"/>
                    </w:rPr>
                  </w:pPr>
                  <w:r>
                    <w:rPr>
                      <w:rFonts w:hint="eastAsia"/>
                      <w:color w:val="auto"/>
                      <w:szCs w:val="21"/>
                      <w:lang w:val="en-US" w:eastAsia="zh-CN"/>
                    </w:rPr>
                    <w:t>蒋刘中学</w:t>
                  </w:r>
                </w:p>
              </w:tc>
              <w:tc>
                <w:tcPr>
                  <w:tcW w:w="996" w:type="dxa"/>
                  <w:vMerge w:val="continue"/>
                  <w:tcBorders>
                    <w:tl2br w:val="nil"/>
                    <w:tr2bl w:val="nil"/>
                  </w:tcBorders>
                  <w:shd w:val="clear" w:color="auto" w:fill="auto"/>
                  <w:vAlign w:val="center"/>
                </w:tcPr>
                <w:p>
                  <w:pPr>
                    <w:jc w:val="center"/>
                    <w:rPr>
                      <w:rFonts w:hint="eastAsia"/>
                      <w:color w:val="auto"/>
                      <w:szCs w:val="21"/>
                      <w:lang w:val="en-US" w:eastAsia="zh-CN"/>
                    </w:rPr>
                  </w:pPr>
                </w:p>
              </w:tc>
              <w:tc>
                <w:tcPr>
                  <w:tcW w:w="706" w:type="dxa"/>
                  <w:vMerge w:val="continue"/>
                  <w:tcBorders>
                    <w:tl2br w:val="nil"/>
                    <w:tr2bl w:val="nil"/>
                  </w:tcBorders>
                  <w:shd w:val="clear" w:color="auto" w:fill="auto"/>
                  <w:vAlign w:val="center"/>
                </w:tcPr>
                <w:p>
                  <w:pPr>
                    <w:jc w:val="center"/>
                    <w:rPr>
                      <w:color w:val="auto"/>
                      <w:szCs w:val="21"/>
                    </w:rPr>
                  </w:pPr>
                </w:p>
              </w:tc>
              <w:tc>
                <w:tcPr>
                  <w:tcW w:w="993" w:type="dxa"/>
                  <w:vMerge w:val="continue"/>
                  <w:tcBorders>
                    <w:tl2br w:val="nil"/>
                    <w:tr2bl w:val="nil"/>
                  </w:tcBorders>
                  <w:shd w:val="clear" w:color="auto" w:fill="auto"/>
                  <w:vAlign w:val="center"/>
                </w:tcPr>
                <w:p>
                  <w:pPr>
                    <w:jc w:val="center"/>
                    <w:rPr>
                      <w:color w:val="auto"/>
                      <w:szCs w:val="21"/>
                    </w:rPr>
                  </w:pPr>
                </w:p>
              </w:tc>
              <w:tc>
                <w:tcPr>
                  <w:tcW w:w="850" w:type="dxa"/>
                  <w:tcBorders>
                    <w:tl2br w:val="nil"/>
                    <w:tr2bl w:val="nil"/>
                  </w:tcBorders>
                  <w:shd w:val="clear" w:color="auto" w:fill="auto"/>
                  <w:textDirection w:val="lrTb"/>
                  <w:vAlign w:val="center"/>
                </w:tcPr>
                <w:p>
                  <w:pPr>
                    <w:adjustRightInd w:val="0"/>
                    <w:snapToGrid w:val="0"/>
                    <w:jc w:val="center"/>
                    <w:rPr>
                      <w:color w:val="auto"/>
                      <w:szCs w:val="21"/>
                    </w:rPr>
                  </w:pPr>
                  <w:r>
                    <w:rPr>
                      <w:rFonts w:hint="eastAsia"/>
                      <w:color w:val="auto"/>
                      <w:szCs w:val="21"/>
                      <w:lang w:val="en-US" w:eastAsia="zh-CN"/>
                    </w:rPr>
                    <w:t>E</w:t>
                  </w:r>
                </w:p>
              </w:tc>
              <w:tc>
                <w:tcPr>
                  <w:tcW w:w="1094" w:type="dxa"/>
                  <w:tcBorders>
                    <w:tl2br w:val="nil"/>
                    <w:tr2bl w:val="nil"/>
                  </w:tcBorders>
                  <w:shd w:val="clear" w:color="auto" w:fill="auto"/>
                  <w:textDirection w:val="lrTb"/>
                  <w:vAlign w:val="center"/>
                </w:tcPr>
                <w:p>
                  <w:pPr>
                    <w:adjustRightInd w:val="0"/>
                    <w:snapToGrid w:val="0"/>
                    <w:jc w:val="center"/>
                    <w:rPr>
                      <w:color w:val="auto"/>
                      <w:szCs w:val="21"/>
                    </w:rPr>
                  </w:pPr>
                  <w:r>
                    <w:rPr>
                      <w:rFonts w:hint="eastAsia"/>
                      <w:color w:val="auto"/>
                      <w:szCs w:val="21"/>
                      <w:lang w:val="en-US" w:eastAsia="zh-CN"/>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jc w:val="center"/>
              </w:trPr>
              <w:tc>
                <w:tcPr>
                  <w:tcW w:w="670" w:type="dxa"/>
                  <w:tcBorders>
                    <w:tl2br w:val="nil"/>
                    <w:tr2bl w:val="nil"/>
                  </w:tcBorders>
                  <w:shd w:val="clear" w:color="auto" w:fill="auto"/>
                  <w:vAlign w:val="center"/>
                </w:tcPr>
                <w:p>
                  <w:pPr>
                    <w:jc w:val="center"/>
                    <w:rPr>
                      <w:color w:val="auto"/>
                      <w:szCs w:val="21"/>
                    </w:rPr>
                  </w:pPr>
                  <w:r>
                    <w:rPr>
                      <w:color w:val="auto"/>
                      <w:szCs w:val="21"/>
                    </w:rPr>
                    <w:t>生态环境</w:t>
                  </w:r>
                </w:p>
              </w:tc>
              <w:tc>
                <w:tcPr>
                  <w:tcW w:w="3694" w:type="dxa"/>
                  <w:gridSpan w:val="2"/>
                  <w:tcBorders>
                    <w:tl2br w:val="nil"/>
                    <w:tr2bl w:val="nil"/>
                  </w:tcBorders>
                  <w:shd w:val="clear" w:color="auto" w:fill="auto"/>
                  <w:vAlign w:val="center"/>
                </w:tcPr>
                <w:p>
                  <w:pPr>
                    <w:jc w:val="center"/>
                    <w:rPr>
                      <w:color w:val="auto"/>
                      <w:szCs w:val="21"/>
                    </w:rPr>
                  </w:pPr>
                  <w:r>
                    <w:rPr>
                      <w:color w:val="auto"/>
                      <w:szCs w:val="21"/>
                    </w:rPr>
                    <w:t>厂区占地及周围200m范围内</w:t>
                  </w:r>
                </w:p>
              </w:tc>
              <w:tc>
                <w:tcPr>
                  <w:tcW w:w="706" w:type="dxa"/>
                  <w:tcBorders>
                    <w:tl2br w:val="nil"/>
                    <w:tr2bl w:val="nil"/>
                  </w:tcBorders>
                  <w:shd w:val="clear" w:color="auto" w:fill="auto"/>
                </w:tcPr>
                <w:p>
                  <w:pPr>
                    <w:jc w:val="center"/>
                    <w:rPr>
                      <w:color w:val="auto"/>
                      <w:szCs w:val="21"/>
                    </w:rPr>
                  </w:pPr>
                  <w:r>
                    <w:rPr>
                      <w:color w:val="auto"/>
                      <w:szCs w:val="21"/>
                    </w:rPr>
                    <w:t>地表植被</w:t>
                  </w:r>
                </w:p>
              </w:tc>
              <w:tc>
                <w:tcPr>
                  <w:tcW w:w="993" w:type="dxa"/>
                  <w:tcBorders>
                    <w:tl2br w:val="nil"/>
                    <w:tr2bl w:val="nil"/>
                  </w:tcBorders>
                  <w:shd w:val="clear" w:color="auto" w:fill="auto"/>
                  <w:vAlign w:val="center"/>
                </w:tcPr>
                <w:p>
                  <w:pPr>
                    <w:jc w:val="center"/>
                    <w:rPr>
                      <w:color w:val="auto"/>
                      <w:szCs w:val="21"/>
                    </w:rPr>
                  </w:pPr>
                  <w:r>
                    <w:rPr>
                      <w:rFonts w:hint="eastAsia"/>
                      <w:color w:val="auto"/>
                      <w:szCs w:val="21"/>
                    </w:rPr>
                    <w:t>/</w:t>
                  </w:r>
                </w:p>
              </w:tc>
              <w:tc>
                <w:tcPr>
                  <w:tcW w:w="850" w:type="dxa"/>
                  <w:tcBorders>
                    <w:tl2br w:val="nil"/>
                    <w:tr2bl w:val="nil"/>
                  </w:tcBorders>
                  <w:shd w:val="clear" w:color="auto" w:fill="auto"/>
                  <w:vAlign w:val="center"/>
                </w:tcPr>
                <w:p>
                  <w:pPr>
                    <w:jc w:val="center"/>
                    <w:rPr>
                      <w:color w:val="auto"/>
                      <w:szCs w:val="21"/>
                    </w:rPr>
                  </w:pPr>
                  <w:r>
                    <w:rPr>
                      <w:rFonts w:hint="eastAsia"/>
                      <w:color w:val="auto"/>
                      <w:szCs w:val="21"/>
                    </w:rPr>
                    <w:t>/</w:t>
                  </w:r>
                </w:p>
              </w:tc>
              <w:tc>
                <w:tcPr>
                  <w:tcW w:w="1094" w:type="dxa"/>
                  <w:tcBorders>
                    <w:tl2br w:val="nil"/>
                    <w:tr2bl w:val="nil"/>
                  </w:tcBorders>
                  <w:shd w:val="clear" w:color="auto" w:fill="auto"/>
                  <w:vAlign w:val="center"/>
                </w:tcPr>
                <w:p>
                  <w:pPr>
                    <w:jc w:val="center"/>
                    <w:rPr>
                      <w:color w:val="auto"/>
                      <w:szCs w:val="21"/>
                    </w:rPr>
                  </w:pPr>
                  <w:r>
                    <w:rPr>
                      <w:rFonts w:hint="eastAsia"/>
                      <w:color w:val="auto"/>
                      <w:szCs w:val="21"/>
                    </w:rPr>
                    <w:t>/</w:t>
                  </w:r>
                </w:p>
              </w:tc>
            </w:tr>
          </w:tbl>
          <w:p>
            <w:pPr>
              <w:adjustRightInd w:val="0"/>
              <w:snapToGrid w:val="0"/>
              <w:rPr>
                <w:rFonts w:hint="eastAsia" w:ascii="宋体" w:hAnsi="宋体" w:eastAsia="宋体" w:cs="宋体"/>
                <w:color w:val="auto"/>
                <w:kern w:val="0"/>
                <w:sz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211" w:hRule="atLeast"/>
          <w:jc w:val="center"/>
        </w:trPr>
        <w:tc>
          <w:tcPr>
            <w:tcW w:w="904" w:type="dxa"/>
            <w:vAlign w:val="center"/>
          </w:tcPr>
          <w:p>
            <w:pPr>
              <w:adjustRightInd w:val="0"/>
              <w:snapToGrid w:val="0"/>
              <w:jc w:val="center"/>
              <w:rPr>
                <w:rFonts w:ascii="宋体" w:hAnsi="宋体" w:cs="宋体"/>
                <w:color w:val="auto"/>
                <w:kern w:val="0"/>
                <w:sz w:val="24"/>
              </w:rPr>
            </w:pPr>
            <w:r>
              <w:rPr>
                <w:rFonts w:hint="eastAsia" w:ascii="宋体" w:hAnsi="宋体" w:cs="宋体"/>
                <w:color w:val="auto"/>
                <w:kern w:val="0"/>
                <w:sz w:val="24"/>
              </w:rPr>
              <w:t>评价</w:t>
            </w:r>
          </w:p>
          <w:p>
            <w:pPr>
              <w:adjustRightInd w:val="0"/>
              <w:snapToGrid w:val="0"/>
              <w:jc w:val="center"/>
              <w:rPr>
                <w:rFonts w:ascii="宋体" w:hAnsi="宋体" w:cs="宋体"/>
                <w:color w:val="auto"/>
                <w:kern w:val="0"/>
                <w:sz w:val="24"/>
              </w:rPr>
            </w:pPr>
            <w:r>
              <w:rPr>
                <w:rFonts w:hint="eastAsia" w:ascii="宋体" w:hAnsi="宋体" w:cs="宋体"/>
                <w:color w:val="auto"/>
                <w:kern w:val="0"/>
                <w:sz w:val="24"/>
              </w:rPr>
              <w:t>标准</w:t>
            </w:r>
          </w:p>
        </w:tc>
        <w:tc>
          <w:tcPr>
            <w:tcW w:w="8253" w:type="dxa"/>
            <w:vAlign w:val="center"/>
          </w:tcPr>
          <w:p>
            <w:pPr>
              <w:spacing w:line="360" w:lineRule="auto"/>
              <w:ind w:firstLine="480" w:firstLineChars="200"/>
              <w:rPr>
                <w:rFonts w:ascii="Times New Roman" w:hAnsi="Times New Roman" w:eastAsia="宋体" w:cs="Times New Roman"/>
                <w:color w:val="auto"/>
                <w:sz w:val="24"/>
                <w:szCs w:val="20"/>
              </w:rPr>
            </w:pPr>
            <w:r>
              <w:rPr>
                <w:color w:val="auto"/>
                <w:sz w:val="24"/>
              </w:rPr>
              <w:t>（1）废气：</w:t>
            </w:r>
            <w:r>
              <w:rPr>
                <w:rFonts w:ascii="Times New Roman" w:hAnsi="Times New Roman" w:eastAsia="宋体" w:cs="Times New Roman"/>
                <w:color w:val="auto"/>
                <w:sz w:val="24"/>
                <w:szCs w:val="20"/>
              </w:rPr>
              <w:t>施工期废气排放执行《施工场界扬尘排放限值》（DB61/1078-2017）中相关标准要求；</w:t>
            </w:r>
            <w:r>
              <w:rPr>
                <w:rFonts w:hint="eastAsia" w:ascii="Times New Roman" w:hAnsi="Times New Roman" w:eastAsia="宋体" w:cs="Times New Roman"/>
                <w:color w:val="auto"/>
                <w:sz w:val="24"/>
                <w:szCs w:val="20"/>
              </w:rPr>
              <w:t>由于我国还没有为地下停车场制定相应的废气排放标准，本次环评对项目地下停车场废气中的N</w:t>
            </w:r>
            <w:r>
              <w:rPr>
                <w:rFonts w:ascii="Times New Roman" w:hAnsi="Times New Roman" w:eastAsia="宋体" w:cs="Times New Roman"/>
                <w:color w:val="auto"/>
                <w:sz w:val="24"/>
                <w:szCs w:val="20"/>
              </w:rPr>
              <w:t>O</w:t>
            </w:r>
            <w:r>
              <w:rPr>
                <w:rFonts w:ascii="Times New Roman" w:hAnsi="Times New Roman" w:eastAsia="宋体" w:cs="Times New Roman"/>
                <w:color w:val="auto"/>
                <w:sz w:val="24"/>
                <w:szCs w:val="20"/>
                <w:vertAlign w:val="subscript"/>
              </w:rPr>
              <w:t>X</w:t>
            </w:r>
            <w:r>
              <w:rPr>
                <w:rFonts w:hint="eastAsia" w:ascii="Times New Roman" w:hAnsi="Times New Roman" w:eastAsia="宋体" w:cs="Times New Roman"/>
                <w:color w:val="auto"/>
                <w:sz w:val="24"/>
                <w:szCs w:val="20"/>
              </w:rPr>
              <w:t>和碳氢化合物排放标准参照执行</w:t>
            </w:r>
            <w:r>
              <w:rPr>
                <w:rFonts w:ascii="Times New Roman" w:hAnsi="Times New Roman" w:eastAsia="宋体" w:cs="Times New Roman"/>
                <w:color w:val="auto"/>
                <w:sz w:val="24"/>
                <w:szCs w:val="20"/>
              </w:rPr>
              <w:t>《大气污染物综合排放标准》</w:t>
            </w:r>
            <w:r>
              <w:rPr>
                <w:rFonts w:hint="eastAsia" w:ascii="Times New Roman" w:hAnsi="Times New Roman" w:eastAsia="宋体" w:cs="Times New Roman"/>
                <w:color w:val="auto"/>
                <w:sz w:val="24"/>
                <w:szCs w:val="20"/>
              </w:rPr>
              <w:t>（</w:t>
            </w:r>
            <w:r>
              <w:rPr>
                <w:rFonts w:ascii="Times New Roman" w:hAnsi="Times New Roman" w:eastAsia="宋体" w:cs="Times New Roman"/>
                <w:color w:val="auto"/>
                <w:sz w:val="24"/>
                <w:szCs w:val="20"/>
              </w:rPr>
              <w:t>GB16297-1996</w:t>
            </w:r>
            <w:r>
              <w:rPr>
                <w:rFonts w:hint="eastAsia" w:ascii="Times New Roman" w:hAnsi="Times New Roman" w:eastAsia="宋体" w:cs="Times New Roman"/>
                <w:color w:val="auto"/>
                <w:sz w:val="24"/>
                <w:szCs w:val="20"/>
              </w:rPr>
              <w:t>）中N</w:t>
            </w:r>
            <w:r>
              <w:rPr>
                <w:rFonts w:ascii="Times New Roman" w:hAnsi="Times New Roman" w:eastAsia="宋体" w:cs="Times New Roman"/>
                <w:color w:val="auto"/>
                <w:sz w:val="24"/>
                <w:szCs w:val="20"/>
              </w:rPr>
              <w:t>O</w:t>
            </w:r>
            <w:r>
              <w:rPr>
                <w:rFonts w:ascii="Times New Roman" w:hAnsi="Times New Roman" w:eastAsia="宋体" w:cs="Times New Roman"/>
                <w:color w:val="auto"/>
                <w:sz w:val="24"/>
                <w:szCs w:val="20"/>
                <w:vertAlign w:val="subscript"/>
              </w:rPr>
              <w:t>X</w:t>
            </w:r>
            <w:r>
              <w:rPr>
                <w:rFonts w:hint="eastAsia" w:ascii="Times New Roman" w:hAnsi="Times New Roman" w:eastAsia="宋体" w:cs="Times New Roman"/>
                <w:color w:val="auto"/>
                <w:sz w:val="24"/>
                <w:szCs w:val="20"/>
              </w:rPr>
              <w:t>和非甲烷总烃排放浓度限值</w:t>
            </w:r>
            <w:r>
              <w:rPr>
                <w:rFonts w:hint="eastAsia" w:cs="Times New Roman"/>
                <w:color w:val="auto"/>
                <w:sz w:val="24"/>
                <w:szCs w:val="20"/>
                <w:lang w:eastAsia="zh-CN"/>
              </w:rPr>
              <w:t>；</w:t>
            </w:r>
            <w:r>
              <w:rPr>
                <w:rFonts w:hint="eastAsia"/>
                <w:color w:val="auto"/>
                <w:sz w:val="24"/>
                <w:szCs w:val="24"/>
                <w:lang w:val="en-US" w:eastAsia="zh-CN"/>
              </w:rPr>
              <w:t>柴油发电机执行GB20891-2014</w:t>
            </w:r>
            <w:r>
              <w:rPr>
                <w:rFonts w:hint="eastAsia" w:ascii="Times New Roman" w:hAnsi="Times New Roman" w:eastAsia="宋体" w:cs="Times New Roman"/>
                <w:color w:val="auto"/>
                <w:sz w:val="24"/>
                <w:szCs w:val="24"/>
                <w:lang w:val="en-US" w:eastAsia="zh-CN" w:bidi="en-US"/>
              </w:rPr>
              <w:t>《非道路移动机械用柴油机排气污染物排放限值及测量方法</w:t>
            </w:r>
            <w:r>
              <w:rPr>
                <w:rFonts w:hint="default" w:ascii="Times New Roman" w:hAnsi="Times New Roman" w:eastAsia="宋体" w:cs="Times New Roman"/>
                <w:color w:val="auto"/>
                <w:sz w:val="24"/>
                <w:szCs w:val="24"/>
                <w:lang w:val="en-US" w:eastAsia="zh-CN" w:bidi="en-US"/>
              </w:rPr>
              <w:t>(</w:t>
            </w:r>
            <w:r>
              <w:rPr>
                <w:rFonts w:hint="eastAsia" w:ascii="Times New Roman" w:hAnsi="Times New Roman" w:eastAsia="宋体" w:cs="Times New Roman"/>
                <w:color w:val="auto"/>
                <w:sz w:val="24"/>
                <w:szCs w:val="24"/>
                <w:lang w:val="en-US" w:eastAsia="zh-CN" w:bidi="en-US"/>
              </w:rPr>
              <w:t>中国第三、四阶段）》及其修改单中的要求</w:t>
            </w:r>
            <w:r>
              <w:rPr>
                <w:rFonts w:hint="eastAsia" w:cs="Times New Roman"/>
                <w:color w:val="auto"/>
                <w:sz w:val="24"/>
                <w:szCs w:val="24"/>
                <w:lang w:val="en-US" w:eastAsia="zh-CN" w:bidi="en-US"/>
              </w:rPr>
              <w:t>；</w:t>
            </w:r>
            <w:r>
              <w:rPr>
                <w:rFonts w:ascii="Times New Roman" w:hAnsi="Times New Roman" w:eastAsia="宋体" w:cs="Times New Roman"/>
                <w:color w:val="auto"/>
                <w:sz w:val="24"/>
                <w:szCs w:val="20"/>
              </w:rPr>
              <w:t>食堂油烟废气排放执行《饮食业油烟排放标准》（试行）（GB18483-2001）限值要求</w:t>
            </w:r>
            <w:r>
              <w:rPr>
                <w:rFonts w:hint="eastAsia" w:ascii="Times New Roman" w:hAnsi="Times New Roman" w:eastAsia="宋体" w:cs="Times New Roman"/>
                <w:color w:val="auto"/>
                <w:sz w:val="24"/>
                <w:szCs w:val="20"/>
              </w:rPr>
              <w:t>。</w:t>
            </w:r>
            <w:r>
              <w:rPr>
                <w:rFonts w:hint="eastAsia" w:ascii="Times New Roman" w:hAnsi="Times New Roman" w:eastAsia="宋体" w:cs="Times New Roman"/>
                <w:color w:val="auto"/>
                <w:sz w:val="24"/>
                <w:szCs w:val="20"/>
                <w:lang w:val="en-US" w:eastAsia="zh-CN"/>
              </w:rPr>
              <w:t>具体情况见表1</w:t>
            </w:r>
            <w:r>
              <w:rPr>
                <w:rFonts w:hint="eastAsia" w:cs="Times New Roman"/>
                <w:color w:val="auto"/>
                <w:sz w:val="24"/>
                <w:szCs w:val="20"/>
                <w:lang w:val="en-US" w:eastAsia="zh-CN"/>
              </w:rPr>
              <w:t>5</w:t>
            </w:r>
            <w:r>
              <w:rPr>
                <w:rFonts w:hint="eastAsia" w:ascii="Times New Roman" w:hAnsi="Times New Roman" w:eastAsia="宋体" w:cs="Times New Roman"/>
                <w:color w:val="auto"/>
                <w:sz w:val="24"/>
                <w:szCs w:val="20"/>
                <w:lang w:val="en-US" w:eastAsia="zh-CN"/>
              </w:rPr>
              <w:t>。</w:t>
            </w:r>
          </w:p>
          <w:p>
            <w:pPr>
              <w:pStyle w:val="2"/>
              <w:spacing w:after="0"/>
              <w:ind w:left="0" w:leftChars="0" w:firstLine="0" w:firstLineChars="0"/>
              <w:jc w:val="center"/>
              <w:rPr>
                <w:rFonts w:hint="eastAsia" w:ascii="Times New Roman" w:hAnsi="Times New Roman" w:eastAsia="黑体" w:cs="Times New Roman"/>
                <w:color w:val="auto"/>
                <w:kern w:val="2"/>
                <w:sz w:val="24"/>
                <w:szCs w:val="24"/>
                <w:lang w:val="en-US" w:eastAsia="zh-CN" w:bidi="ar-SA"/>
              </w:rPr>
            </w:pPr>
            <w:r>
              <w:rPr>
                <w:rFonts w:hint="eastAsia" w:ascii="Times New Roman" w:hAnsi="Times New Roman" w:eastAsia="黑体" w:cs="Times New Roman"/>
                <w:color w:val="auto"/>
                <w:kern w:val="2"/>
                <w:sz w:val="24"/>
                <w:szCs w:val="24"/>
                <w:lang w:val="en-US" w:eastAsia="zh-CN" w:bidi="ar-SA"/>
              </w:rPr>
              <w:t>表15      大气污染物排放标准</w:t>
            </w:r>
          </w:p>
          <w:tbl>
            <w:tblPr>
              <w:tblStyle w:val="24"/>
              <w:tblW w:w="7944"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497"/>
              <w:gridCol w:w="2111"/>
              <w:gridCol w:w="619"/>
              <w:gridCol w:w="1481"/>
              <w:gridCol w:w="1080"/>
              <w:gridCol w:w="1079"/>
              <w:gridCol w:w="107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c>
                <w:tcPr>
                  <w:tcW w:w="497" w:type="dxa"/>
                  <w:vMerge w:val="restart"/>
                  <w:tcBorders>
                    <w:tl2br w:val="nil"/>
                    <w:tr2bl w:val="nil"/>
                  </w:tcBorders>
                  <w:vAlign w:val="center"/>
                </w:tcPr>
                <w:p>
                  <w:pPr>
                    <w:jc w:val="center"/>
                    <w:rPr>
                      <w:color w:val="auto"/>
                      <w:kern w:val="0"/>
                      <w:sz w:val="21"/>
                      <w:szCs w:val="21"/>
                    </w:rPr>
                  </w:pPr>
                  <w:r>
                    <w:rPr>
                      <w:color w:val="auto"/>
                      <w:kern w:val="0"/>
                      <w:sz w:val="21"/>
                      <w:szCs w:val="21"/>
                    </w:rPr>
                    <w:t>类别</w:t>
                  </w:r>
                </w:p>
              </w:tc>
              <w:tc>
                <w:tcPr>
                  <w:tcW w:w="2111" w:type="dxa"/>
                  <w:vMerge w:val="restart"/>
                  <w:tcBorders>
                    <w:tl2br w:val="nil"/>
                    <w:tr2bl w:val="nil"/>
                  </w:tcBorders>
                  <w:vAlign w:val="center"/>
                </w:tcPr>
                <w:p>
                  <w:pPr>
                    <w:jc w:val="center"/>
                    <w:rPr>
                      <w:color w:val="auto"/>
                      <w:kern w:val="0"/>
                      <w:sz w:val="21"/>
                      <w:szCs w:val="21"/>
                    </w:rPr>
                  </w:pPr>
                  <w:r>
                    <w:rPr>
                      <w:color w:val="auto"/>
                      <w:kern w:val="0"/>
                      <w:sz w:val="21"/>
                      <w:szCs w:val="21"/>
                    </w:rPr>
                    <w:t>标准名称及级(类)别</w:t>
                  </w:r>
                </w:p>
              </w:tc>
              <w:tc>
                <w:tcPr>
                  <w:tcW w:w="2100" w:type="dxa"/>
                  <w:gridSpan w:val="2"/>
                  <w:vMerge w:val="restart"/>
                  <w:tcBorders>
                    <w:tl2br w:val="nil"/>
                    <w:tr2bl w:val="nil"/>
                  </w:tcBorders>
                  <w:vAlign w:val="center"/>
                </w:tcPr>
                <w:p>
                  <w:pPr>
                    <w:jc w:val="center"/>
                    <w:rPr>
                      <w:color w:val="auto"/>
                      <w:kern w:val="0"/>
                      <w:sz w:val="21"/>
                      <w:szCs w:val="21"/>
                    </w:rPr>
                  </w:pPr>
                  <w:r>
                    <w:rPr>
                      <w:color w:val="auto"/>
                      <w:kern w:val="0"/>
                      <w:sz w:val="21"/>
                      <w:szCs w:val="21"/>
                    </w:rPr>
                    <w:t>污染物</w:t>
                  </w:r>
                </w:p>
              </w:tc>
              <w:tc>
                <w:tcPr>
                  <w:tcW w:w="3236" w:type="dxa"/>
                  <w:gridSpan w:val="3"/>
                  <w:tcBorders>
                    <w:tl2br w:val="nil"/>
                    <w:tr2bl w:val="nil"/>
                  </w:tcBorders>
                  <w:vAlign w:val="center"/>
                </w:tcPr>
                <w:p>
                  <w:pPr>
                    <w:jc w:val="center"/>
                    <w:rPr>
                      <w:color w:val="auto"/>
                      <w:kern w:val="0"/>
                      <w:sz w:val="21"/>
                      <w:szCs w:val="21"/>
                    </w:rPr>
                  </w:pPr>
                  <w:r>
                    <w:rPr>
                      <w:color w:val="auto"/>
                      <w:kern w:val="0"/>
                      <w:sz w:val="21"/>
                      <w:szCs w:val="21"/>
                    </w:rPr>
                    <w:t>标准值</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c>
                <w:tcPr>
                  <w:tcW w:w="497" w:type="dxa"/>
                  <w:vMerge w:val="continue"/>
                  <w:tcBorders>
                    <w:tl2br w:val="nil"/>
                    <w:tr2bl w:val="nil"/>
                  </w:tcBorders>
                  <w:vAlign w:val="center"/>
                </w:tcPr>
                <w:p>
                  <w:pPr>
                    <w:widowControl/>
                    <w:jc w:val="left"/>
                    <w:rPr>
                      <w:color w:val="auto"/>
                      <w:kern w:val="0"/>
                      <w:sz w:val="21"/>
                      <w:szCs w:val="21"/>
                    </w:rPr>
                  </w:pPr>
                </w:p>
              </w:tc>
              <w:tc>
                <w:tcPr>
                  <w:tcW w:w="2111" w:type="dxa"/>
                  <w:vMerge w:val="continue"/>
                  <w:tcBorders>
                    <w:tl2br w:val="nil"/>
                    <w:tr2bl w:val="nil"/>
                  </w:tcBorders>
                  <w:vAlign w:val="center"/>
                </w:tcPr>
                <w:p>
                  <w:pPr>
                    <w:widowControl/>
                    <w:jc w:val="left"/>
                    <w:rPr>
                      <w:color w:val="auto"/>
                      <w:kern w:val="0"/>
                      <w:sz w:val="21"/>
                      <w:szCs w:val="21"/>
                    </w:rPr>
                  </w:pPr>
                </w:p>
              </w:tc>
              <w:tc>
                <w:tcPr>
                  <w:tcW w:w="2100" w:type="dxa"/>
                  <w:gridSpan w:val="2"/>
                  <w:vMerge w:val="continue"/>
                  <w:tcBorders>
                    <w:tl2br w:val="nil"/>
                    <w:tr2bl w:val="nil"/>
                  </w:tcBorders>
                  <w:vAlign w:val="center"/>
                </w:tcPr>
                <w:p>
                  <w:pPr>
                    <w:widowControl/>
                    <w:jc w:val="left"/>
                    <w:rPr>
                      <w:color w:val="auto"/>
                      <w:kern w:val="0"/>
                      <w:sz w:val="21"/>
                      <w:szCs w:val="21"/>
                    </w:rPr>
                  </w:pPr>
                </w:p>
              </w:tc>
              <w:tc>
                <w:tcPr>
                  <w:tcW w:w="1080" w:type="dxa"/>
                  <w:tcBorders>
                    <w:tl2br w:val="nil"/>
                    <w:tr2bl w:val="nil"/>
                  </w:tcBorders>
                  <w:vAlign w:val="center"/>
                </w:tcPr>
                <w:p>
                  <w:pPr>
                    <w:jc w:val="center"/>
                    <w:rPr>
                      <w:color w:val="auto"/>
                      <w:kern w:val="0"/>
                      <w:sz w:val="21"/>
                      <w:szCs w:val="21"/>
                    </w:rPr>
                  </w:pPr>
                  <w:r>
                    <w:rPr>
                      <w:rFonts w:hint="eastAsia"/>
                      <w:color w:val="auto"/>
                      <w:kern w:val="0"/>
                      <w:sz w:val="21"/>
                      <w:szCs w:val="21"/>
                    </w:rPr>
                    <w:t>有组织</w:t>
                  </w:r>
                  <w:r>
                    <w:rPr>
                      <w:color w:val="auto"/>
                      <w:kern w:val="0"/>
                      <w:sz w:val="21"/>
                      <w:szCs w:val="21"/>
                    </w:rPr>
                    <w:t>排放浓度mg/m</w:t>
                  </w:r>
                  <w:r>
                    <w:rPr>
                      <w:color w:val="auto"/>
                      <w:kern w:val="0"/>
                      <w:sz w:val="21"/>
                      <w:szCs w:val="21"/>
                      <w:vertAlign w:val="superscript"/>
                    </w:rPr>
                    <w:t>3</w:t>
                  </w:r>
                </w:p>
              </w:tc>
              <w:tc>
                <w:tcPr>
                  <w:tcW w:w="1079" w:type="dxa"/>
                  <w:tcBorders>
                    <w:tl2br w:val="nil"/>
                    <w:tr2bl w:val="nil"/>
                  </w:tcBorders>
                  <w:vAlign w:val="center"/>
                </w:tcPr>
                <w:p>
                  <w:pPr>
                    <w:jc w:val="center"/>
                    <w:rPr>
                      <w:color w:val="auto"/>
                      <w:kern w:val="0"/>
                      <w:sz w:val="21"/>
                      <w:szCs w:val="21"/>
                    </w:rPr>
                  </w:pPr>
                  <w:r>
                    <w:rPr>
                      <w:color w:val="auto"/>
                      <w:kern w:val="0"/>
                      <w:sz w:val="21"/>
                      <w:szCs w:val="21"/>
                    </w:rPr>
                    <w:t>周界外浓度最高点mg/m</w:t>
                  </w:r>
                  <w:r>
                    <w:rPr>
                      <w:color w:val="auto"/>
                      <w:kern w:val="0"/>
                      <w:sz w:val="21"/>
                      <w:szCs w:val="21"/>
                      <w:vertAlign w:val="superscript"/>
                    </w:rPr>
                    <w:t>3</w:t>
                  </w:r>
                </w:p>
              </w:tc>
              <w:tc>
                <w:tcPr>
                  <w:tcW w:w="1077" w:type="dxa"/>
                  <w:tcBorders>
                    <w:tl2br w:val="nil"/>
                    <w:tr2bl w:val="nil"/>
                  </w:tcBorders>
                  <w:vAlign w:val="center"/>
                </w:tcPr>
                <w:p>
                  <w:pPr>
                    <w:jc w:val="center"/>
                    <w:rPr>
                      <w:rFonts w:hint="eastAsia" w:eastAsia="宋体"/>
                      <w:color w:val="auto"/>
                      <w:kern w:val="0"/>
                      <w:sz w:val="21"/>
                      <w:szCs w:val="21"/>
                      <w:lang w:val="en-US" w:eastAsia="zh-CN"/>
                    </w:rPr>
                  </w:pPr>
                  <w:r>
                    <w:rPr>
                      <w:rFonts w:ascii="Times New Roman" w:hAnsi="Times New Roman" w:eastAsia="宋体" w:cs="Times New Roman"/>
                      <w:color w:val="auto"/>
                      <w:sz w:val="21"/>
                      <w:szCs w:val="21"/>
                    </w:rPr>
                    <w:t>净化设施最低去除效率（%）</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c>
                <w:tcPr>
                  <w:tcW w:w="497" w:type="dxa"/>
                  <w:vMerge w:val="restart"/>
                  <w:tcBorders>
                    <w:tl2br w:val="nil"/>
                    <w:tr2bl w:val="nil"/>
                  </w:tcBorders>
                  <w:vAlign w:val="center"/>
                </w:tcPr>
                <w:p>
                  <w:pPr>
                    <w:jc w:val="center"/>
                    <w:rPr>
                      <w:color w:val="auto"/>
                      <w:kern w:val="0"/>
                      <w:sz w:val="21"/>
                      <w:szCs w:val="21"/>
                    </w:rPr>
                  </w:pPr>
                  <w:r>
                    <w:rPr>
                      <w:color w:val="auto"/>
                      <w:kern w:val="0"/>
                      <w:sz w:val="21"/>
                      <w:szCs w:val="21"/>
                    </w:rPr>
                    <w:t>废气</w:t>
                  </w:r>
                </w:p>
              </w:tc>
              <w:tc>
                <w:tcPr>
                  <w:tcW w:w="2111" w:type="dxa"/>
                  <w:vMerge w:val="restart"/>
                  <w:tcBorders>
                    <w:tl2br w:val="nil"/>
                    <w:tr2bl w:val="nil"/>
                  </w:tcBorders>
                  <w:vAlign w:val="center"/>
                </w:tcPr>
                <w:p>
                  <w:pPr>
                    <w:jc w:val="center"/>
                    <w:rPr>
                      <w:color w:val="auto"/>
                      <w:kern w:val="0"/>
                      <w:sz w:val="21"/>
                      <w:szCs w:val="21"/>
                    </w:rPr>
                  </w:pPr>
                  <w:r>
                    <w:rPr>
                      <w:color w:val="auto"/>
                      <w:kern w:val="0"/>
                      <w:sz w:val="21"/>
                      <w:szCs w:val="21"/>
                    </w:rPr>
                    <w:t>《施工厂界扬尘排放限值》（DB61/1078-2017）</w:t>
                  </w:r>
                </w:p>
              </w:tc>
              <w:tc>
                <w:tcPr>
                  <w:tcW w:w="2100" w:type="dxa"/>
                  <w:gridSpan w:val="2"/>
                  <w:tcBorders>
                    <w:tl2br w:val="nil"/>
                    <w:tr2bl w:val="nil"/>
                  </w:tcBorders>
                  <w:vAlign w:val="center"/>
                </w:tcPr>
                <w:p>
                  <w:pPr>
                    <w:autoSpaceDE w:val="0"/>
                    <w:autoSpaceDN w:val="0"/>
                    <w:jc w:val="center"/>
                    <w:rPr>
                      <w:color w:val="auto"/>
                      <w:kern w:val="0"/>
                      <w:sz w:val="21"/>
                      <w:szCs w:val="21"/>
                    </w:rPr>
                  </w:pPr>
                  <w:r>
                    <w:rPr>
                      <w:color w:val="auto"/>
                      <w:kern w:val="0"/>
                      <w:sz w:val="21"/>
                      <w:szCs w:val="21"/>
                    </w:rPr>
                    <w:t>颗粒物（拆除、土方及基地处理工程）</w:t>
                  </w:r>
                </w:p>
              </w:tc>
              <w:tc>
                <w:tcPr>
                  <w:tcW w:w="1080" w:type="dxa"/>
                  <w:tcBorders>
                    <w:tl2br w:val="nil"/>
                    <w:tr2bl w:val="nil"/>
                  </w:tcBorders>
                  <w:vAlign w:val="center"/>
                </w:tcPr>
                <w:p>
                  <w:pPr>
                    <w:jc w:val="center"/>
                    <w:rPr>
                      <w:color w:val="auto"/>
                      <w:kern w:val="0"/>
                      <w:sz w:val="21"/>
                      <w:szCs w:val="21"/>
                    </w:rPr>
                  </w:pPr>
                  <w:r>
                    <w:rPr>
                      <w:color w:val="auto"/>
                      <w:kern w:val="0"/>
                      <w:sz w:val="21"/>
                      <w:szCs w:val="21"/>
                    </w:rPr>
                    <w:t>/</w:t>
                  </w:r>
                </w:p>
              </w:tc>
              <w:tc>
                <w:tcPr>
                  <w:tcW w:w="1079" w:type="dxa"/>
                  <w:tcBorders>
                    <w:tl2br w:val="nil"/>
                    <w:tr2bl w:val="nil"/>
                  </w:tcBorders>
                  <w:vAlign w:val="center"/>
                </w:tcPr>
                <w:p>
                  <w:pPr>
                    <w:jc w:val="center"/>
                    <w:rPr>
                      <w:color w:val="auto"/>
                      <w:kern w:val="0"/>
                      <w:sz w:val="21"/>
                      <w:szCs w:val="21"/>
                    </w:rPr>
                  </w:pPr>
                  <w:r>
                    <w:rPr>
                      <w:color w:val="auto"/>
                      <w:kern w:val="0"/>
                      <w:sz w:val="21"/>
                      <w:szCs w:val="21"/>
                    </w:rPr>
                    <w:t>0.8</w:t>
                  </w:r>
                </w:p>
              </w:tc>
              <w:tc>
                <w:tcPr>
                  <w:tcW w:w="1077" w:type="dxa"/>
                  <w:tcBorders>
                    <w:tl2br w:val="nil"/>
                    <w:tr2bl w:val="nil"/>
                  </w:tcBorders>
                  <w:vAlign w:val="center"/>
                </w:tcPr>
                <w:p>
                  <w:pPr>
                    <w:jc w:val="center"/>
                    <w:rPr>
                      <w:rFonts w:hint="eastAsia" w:eastAsia="宋体"/>
                      <w:color w:val="auto"/>
                      <w:kern w:val="0"/>
                      <w:sz w:val="21"/>
                      <w:szCs w:val="21"/>
                      <w:lang w:val="en-US" w:eastAsia="zh-CN"/>
                    </w:rPr>
                  </w:pPr>
                  <w:r>
                    <w:rPr>
                      <w:rFonts w:hint="eastAsia"/>
                      <w:color w:val="auto"/>
                      <w:kern w:val="0"/>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c>
                <w:tcPr>
                  <w:tcW w:w="497" w:type="dxa"/>
                  <w:vMerge w:val="continue"/>
                  <w:tcBorders>
                    <w:tl2br w:val="nil"/>
                    <w:tr2bl w:val="nil"/>
                  </w:tcBorders>
                  <w:vAlign w:val="center"/>
                </w:tcPr>
                <w:p>
                  <w:pPr>
                    <w:widowControl/>
                    <w:jc w:val="left"/>
                    <w:rPr>
                      <w:color w:val="auto"/>
                      <w:kern w:val="0"/>
                      <w:sz w:val="21"/>
                      <w:szCs w:val="21"/>
                    </w:rPr>
                  </w:pPr>
                </w:p>
              </w:tc>
              <w:tc>
                <w:tcPr>
                  <w:tcW w:w="2111" w:type="dxa"/>
                  <w:vMerge w:val="continue"/>
                  <w:tcBorders>
                    <w:tl2br w:val="nil"/>
                    <w:tr2bl w:val="nil"/>
                  </w:tcBorders>
                  <w:vAlign w:val="center"/>
                </w:tcPr>
                <w:p>
                  <w:pPr>
                    <w:widowControl/>
                    <w:jc w:val="left"/>
                    <w:rPr>
                      <w:color w:val="auto"/>
                      <w:kern w:val="0"/>
                      <w:sz w:val="21"/>
                      <w:szCs w:val="21"/>
                    </w:rPr>
                  </w:pPr>
                </w:p>
              </w:tc>
              <w:tc>
                <w:tcPr>
                  <w:tcW w:w="2100" w:type="dxa"/>
                  <w:gridSpan w:val="2"/>
                  <w:tcBorders>
                    <w:tl2br w:val="nil"/>
                    <w:tr2bl w:val="nil"/>
                  </w:tcBorders>
                  <w:vAlign w:val="center"/>
                </w:tcPr>
                <w:p>
                  <w:pPr>
                    <w:autoSpaceDE w:val="0"/>
                    <w:autoSpaceDN w:val="0"/>
                    <w:jc w:val="center"/>
                    <w:rPr>
                      <w:color w:val="auto"/>
                      <w:kern w:val="0"/>
                      <w:sz w:val="21"/>
                      <w:szCs w:val="21"/>
                    </w:rPr>
                  </w:pPr>
                  <w:r>
                    <w:rPr>
                      <w:color w:val="auto"/>
                      <w:kern w:val="0"/>
                      <w:sz w:val="21"/>
                      <w:szCs w:val="21"/>
                    </w:rPr>
                    <w:t>颗粒物（基础、主体结构及装饰工程）</w:t>
                  </w:r>
                </w:p>
              </w:tc>
              <w:tc>
                <w:tcPr>
                  <w:tcW w:w="1080" w:type="dxa"/>
                  <w:tcBorders>
                    <w:tl2br w:val="nil"/>
                    <w:tr2bl w:val="nil"/>
                  </w:tcBorders>
                  <w:vAlign w:val="center"/>
                </w:tcPr>
                <w:p>
                  <w:pPr>
                    <w:jc w:val="center"/>
                    <w:rPr>
                      <w:color w:val="auto"/>
                      <w:kern w:val="0"/>
                      <w:sz w:val="21"/>
                      <w:szCs w:val="21"/>
                    </w:rPr>
                  </w:pPr>
                  <w:r>
                    <w:rPr>
                      <w:color w:val="auto"/>
                      <w:kern w:val="0"/>
                      <w:sz w:val="21"/>
                      <w:szCs w:val="21"/>
                    </w:rPr>
                    <w:t>/</w:t>
                  </w:r>
                </w:p>
              </w:tc>
              <w:tc>
                <w:tcPr>
                  <w:tcW w:w="1079" w:type="dxa"/>
                  <w:tcBorders>
                    <w:tl2br w:val="nil"/>
                    <w:tr2bl w:val="nil"/>
                  </w:tcBorders>
                  <w:vAlign w:val="center"/>
                </w:tcPr>
                <w:p>
                  <w:pPr>
                    <w:jc w:val="center"/>
                    <w:rPr>
                      <w:color w:val="auto"/>
                      <w:kern w:val="0"/>
                      <w:sz w:val="21"/>
                      <w:szCs w:val="21"/>
                    </w:rPr>
                  </w:pPr>
                  <w:r>
                    <w:rPr>
                      <w:color w:val="auto"/>
                      <w:kern w:val="0"/>
                      <w:sz w:val="21"/>
                      <w:szCs w:val="21"/>
                    </w:rPr>
                    <w:t>0.7</w:t>
                  </w:r>
                </w:p>
              </w:tc>
              <w:tc>
                <w:tcPr>
                  <w:tcW w:w="1077" w:type="dxa"/>
                  <w:tcBorders>
                    <w:tl2br w:val="nil"/>
                    <w:tr2bl w:val="nil"/>
                  </w:tcBorders>
                  <w:vAlign w:val="center"/>
                </w:tcPr>
                <w:p>
                  <w:pPr>
                    <w:jc w:val="center"/>
                    <w:rPr>
                      <w:rFonts w:hint="eastAsia" w:eastAsia="宋体"/>
                      <w:color w:val="auto"/>
                      <w:kern w:val="0"/>
                      <w:sz w:val="21"/>
                      <w:szCs w:val="21"/>
                      <w:lang w:val="en-US" w:eastAsia="zh-CN"/>
                    </w:rPr>
                  </w:pPr>
                  <w:r>
                    <w:rPr>
                      <w:rFonts w:hint="eastAsia"/>
                      <w:color w:val="auto"/>
                      <w:kern w:val="0"/>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trPr>
              <w:tc>
                <w:tcPr>
                  <w:tcW w:w="497" w:type="dxa"/>
                  <w:vMerge w:val="continue"/>
                  <w:tcBorders>
                    <w:tl2br w:val="nil"/>
                    <w:tr2bl w:val="nil"/>
                  </w:tcBorders>
                  <w:vAlign w:val="center"/>
                </w:tcPr>
                <w:p>
                  <w:pPr>
                    <w:widowControl/>
                    <w:jc w:val="left"/>
                    <w:rPr>
                      <w:color w:val="auto"/>
                      <w:kern w:val="0"/>
                      <w:sz w:val="21"/>
                      <w:szCs w:val="21"/>
                    </w:rPr>
                  </w:pPr>
                </w:p>
              </w:tc>
              <w:tc>
                <w:tcPr>
                  <w:tcW w:w="2111" w:type="dxa"/>
                  <w:vMerge w:val="restart"/>
                  <w:tcBorders>
                    <w:tl2br w:val="nil"/>
                    <w:tr2bl w:val="nil"/>
                  </w:tcBorders>
                  <w:vAlign w:val="center"/>
                </w:tcPr>
                <w:p>
                  <w:pPr>
                    <w:rPr>
                      <w:color w:val="auto"/>
                      <w:kern w:val="0"/>
                      <w:sz w:val="21"/>
                      <w:szCs w:val="21"/>
                    </w:rPr>
                  </w:pPr>
                  <w:r>
                    <w:rPr>
                      <w:color w:val="auto"/>
                      <w:kern w:val="0"/>
                      <w:sz w:val="21"/>
                      <w:szCs w:val="21"/>
                    </w:rPr>
                    <w:t>《大气污染物综合排放标准》</w:t>
                  </w:r>
                  <w:r>
                    <w:rPr>
                      <w:rFonts w:hint="eastAsia"/>
                      <w:color w:val="auto"/>
                      <w:kern w:val="0"/>
                      <w:sz w:val="21"/>
                      <w:szCs w:val="21"/>
                    </w:rPr>
                    <w:t>（</w:t>
                  </w:r>
                  <w:r>
                    <w:rPr>
                      <w:color w:val="auto"/>
                      <w:kern w:val="0"/>
                      <w:sz w:val="21"/>
                      <w:szCs w:val="21"/>
                    </w:rPr>
                    <w:t>GB16297-1996</w:t>
                  </w:r>
                  <w:r>
                    <w:rPr>
                      <w:rFonts w:hint="eastAsia"/>
                      <w:color w:val="auto"/>
                      <w:kern w:val="0"/>
                      <w:sz w:val="21"/>
                      <w:szCs w:val="21"/>
                    </w:rPr>
                    <w:t>）</w:t>
                  </w:r>
                </w:p>
              </w:tc>
              <w:tc>
                <w:tcPr>
                  <w:tcW w:w="2100" w:type="dxa"/>
                  <w:gridSpan w:val="2"/>
                  <w:tcBorders>
                    <w:tl2br w:val="nil"/>
                    <w:tr2bl w:val="nil"/>
                  </w:tcBorders>
                  <w:vAlign w:val="center"/>
                </w:tcPr>
                <w:p>
                  <w:pPr>
                    <w:jc w:val="center"/>
                    <w:rPr>
                      <w:color w:val="auto"/>
                      <w:kern w:val="0"/>
                      <w:sz w:val="21"/>
                      <w:szCs w:val="21"/>
                    </w:rPr>
                  </w:pPr>
                  <w:r>
                    <w:rPr>
                      <w:rFonts w:hint="eastAsia" w:ascii="Times New Roman" w:hAnsi="Times New Roman" w:eastAsia="宋体" w:cs="Times New Roman"/>
                      <w:color w:val="auto"/>
                      <w:sz w:val="21"/>
                      <w:szCs w:val="21"/>
                    </w:rPr>
                    <w:t>N</w:t>
                  </w:r>
                  <w:r>
                    <w:rPr>
                      <w:rFonts w:ascii="Times New Roman" w:hAnsi="Times New Roman" w:eastAsia="宋体" w:cs="Times New Roman"/>
                      <w:color w:val="auto"/>
                      <w:sz w:val="21"/>
                      <w:szCs w:val="21"/>
                    </w:rPr>
                    <w:t>O</w:t>
                  </w:r>
                  <w:r>
                    <w:rPr>
                      <w:rFonts w:ascii="Times New Roman" w:hAnsi="Times New Roman" w:eastAsia="宋体" w:cs="Times New Roman"/>
                      <w:color w:val="auto"/>
                      <w:sz w:val="21"/>
                      <w:szCs w:val="21"/>
                      <w:vertAlign w:val="subscript"/>
                    </w:rPr>
                    <w:t>X</w:t>
                  </w:r>
                </w:p>
              </w:tc>
              <w:tc>
                <w:tcPr>
                  <w:tcW w:w="1080" w:type="dxa"/>
                  <w:tcBorders>
                    <w:tl2br w:val="nil"/>
                    <w:tr2bl w:val="nil"/>
                  </w:tcBorders>
                  <w:vAlign w:val="center"/>
                </w:tcPr>
                <w:p>
                  <w:pPr>
                    <w:jc w:val="center"/>
                    <w:rPr>
                      <w:rFonts w:hint="eastAsia" w:eastAsia="宋体"/>
                      <w:color w:val="auto"/>
                      <w:kern w:val="0"/>
                      <w:sz w:val="21"/>
                      <w:szCs w:val="21"/>
                      <w:lang w:eastAsia="zh-CN"/>
                    </w:rPr>
                  </w:pPr>
                  <w:r>
                    <w:rPr>
                      <w:rFonts w:hint="eastAsia" w:cs="Times New Roman"/>
                      <w:color w:val="auto"/>
                      <w:sz w:val="21"/>
                      <w:szCs w:val="21"/>
                      <w:lang w:val="en-US" w:eastAsia="zh-CN"/>
                    </w:rPr>
                    <w:t>/</w:t>
                  </w:r>
                </w:p>
              </w:tc>
              <w:tc>
                <w:tcPr>
                  <w:tcW w:w="1079" w:type="dxa"/>
                  <w:tcBorders>
                    <w:tl2br w:val="nil"/>
                    <w:tr2bl w:val="nil"/>
                  </w:tcBorders>
                  <w:vAlign w:val="center"/>
                </w:tcPr>
                <w:p>
                  <w:pPr>
                    <w:jc w:val="center"/>
                    <w:rPr>
                      <w:color w:val="auto"/>
                      <w:kern w:val="0"/>
                      <w:sz w:val="21"/>
                      <w:szCs w:val="21"/>
                    </w:rPr>
                  </w:pPr>
                  <w:r>
                    <w:rPr>
                      <w:rFonts w:hint="eastAsia" w:ascii="Times New Roman" w:hAnsi="Times New Roman" w:eastAsia="宋体" w:cs="Times New Roman"/>
                      <w:color w:val="auto"/>
                      <w:sz w:val="21"/>
                      <w:szCs w:val="21"/>
                    </w:rPr>
                    <w:t>0</w:t>
                  </w:r>
                  <w:r>
                    <w:rPr>
                      <w:rFonts w:ascii="Times New Roman" w:hAnsi="Times New Roman" w:eastAsia="宋体" w:cs="Times New Roman"/>
                      <w:color w:val="auto"/>
                      <w:sz w:val="21"/>
                      <w:szCs w:val="21"/>
                    </w:rPr>
                    <w:t>.12</w:t>
                  </w:r>
                </w:p>
              </w:tc>
              <w:tc>
                <w:tcPr>
                  <w:tcW w:w="1077" w:type="dxa"/>
                  <w:tcBorders>
                    <w:tl2br w:val="nil"/>
                    <w:tr2bl w:val="nil"/>
                  </w:tcBorders>
                  <w:vAlign w:val="center"/>
                </w:tcPr>
                <w:p>
                  <w:pPr>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517" w:hRule="atLeast"/>
              </w:trPr>
              <w:tc>
                <w:tcPr>
                  <w:tcW w:w="497" w:type="dxa"/>
                  <w:vMerge w:val="continue"/>
                  <w:tcBorders>
                    <w:tl2br w:val="nil"/>
                    <w:tr2bl w:val="nil"/>
                  </w:tcBorders>
                  <w:vAlign w:val="center"/>
                </w:tcPr>
                <w:p>
                  <w:pPr>
                    <w:widowControl/>
                    <w:jc w:val="left"/>
                    <w:rPr>
                      <w:color w:val="auto"/>
                      <w:kern w:val="0"/>
                      <w:sz w:val="21"/>
                      <w:szCs w:val="21"/>
                    </w:rPr>
                  </w:pPr>
                </w:p>
              </w:tc>
              <w:tc>
                <w:tcPr>
                  <w:tcW w:w="2111" w:type="dxa"/>
                  <w:vMerge w:val="continue"/>
                  <w:tcBorders>
                    <w:tl2br w:val="nil"/>
                    <w:tr2bl w:val="nil"/>
                  </w:tcBorders>
                  <w:vAlign w:val="center"/>
                </w:tcPr>
                <w:p>
                  <w:pPr>
                    <w:jc w:val="center"/>
                    <w:rPr>
                      <w:color w:val="auto"/>
                      <w:kern w:val="0"/>
                      <w:sz w:val="21"/>
                      <w:szCs w:val="21"/>
                    </w:rPr>
                  </w:pPr>
                </w:p>
              </w:tc>
              <w:tc>
                <w:tcPr>
                  <w:tcW w:w="2100" w:type="dxa"/>
                  <w:gridSpan w:val="2"/>
                  <w:tcBorders>
                    <w:tl2br w:val="nil"/>
                    <w:tr2bl w:val="nil"/>
                  </w:tcBorders>
                  <w:vAlign w:val="center"/>
                </w:tcPr>
                <w:p>
                  <w:pPr>
                    <w:jc w:val="center"/>
                    <w:rPr>
                      <w:color w:val="auto"/>
                      <w:kern w:val="0"/>
                      <w:sz w:val="21"/>
                      <w:szCs w:val="21"/>
                    </w:rPr>
                  </w:pPr>
                  <w:r>
                    <w:rPr>
                      <w:rFonts w:hint="eastAsia" w:ascii="Times New Roman" w:hAnsi="Times New Roman" w:eastAsia="宋体" w:cs="Times New Roman"/>
                      <w:color w:val="auto"/>
                      <w:sz w:val="21"/>
                      <w:szCs w:val="21"/>
                    </w:rPr>
                    <w:t>非甲烷总烃</w:t>
                  </w:r>
                </w:p>
              </w:tc>
              <w:tc>
                <w:tcPr>
                  <w:tcW w:w="1080" w:type="dxa"/>
                  <w:tcBorders>
                    <w:tl2br w:val="nil"/>
                    <w:tr2bl w:val="nil"/>
                  </w:tcBorders>
                  <w:vAlign w:val="center"/>
                </w:tcPr>
                <w:p>
                  <w:pPr>
                    <w:jc w:val="center"/>
                    <w:rPr>
                      <w:rFonts w:hint="eastAsia" w:ascii="Times New Roman" w:hAnsi="Times New Roman" w:eastAsia="宋体"/>
                      <w:color w:val="auto"/>
                      <w:kern w:val="0"/>
                      <w:sz w:val="21"/>
                      <w:szCs w:val="21"/>
                      <w:lang w:eastAsia="zh-CN"/>
                    </w:rPr>
                  </w:pPr>
                  <w:r>
                    <w:rPr>
                      <w:rFonts w:hint="eastAsia" w:cs="Times New Roman"/>
                      <w:color w:val="auto"/>
                      <w:sz w:val="21"/>
                      <w:szCs w:val="21"/>
                      <w:lang w:val="en-US" w:eastAsia="zh-CN"/>
                    </w:rPr>
                    <w:t>/</w:t>
                  </w:r>
                </w:p>
              </w:tc>
              <w:tc>
                <w:tcPr>
                  <w:tcW w:w="1079" w:type="dxa"/>
                  <w:tcBorders>
                    <w:tl2br w:val="nil"/>
                    <w:tr2bl w:val="nil"/>
                  </w:tcBorders>
                  <w:vAlign w:val="center"/>
                </w:tcPr>
                <w:p>
                  <w:pPr>
                    <w:jc w:val="center"/>
                    <w:rPr>
                      <w:rFonts w:ascii="Times New Roman" w:hAnsi="Times New Roman"/>
                      <w:color w:val="auto"/>
                      <w:kern w:val="0"/>
                      <w:sz w:val="21"/>
                      <w:szCs w:val="21"/>
                    </w:rPr>
                  </w:pPr>
                  <w:r>
                    <w:rPr>
                      <w:rFonts w:hint="eastAsia" w:ascii="Times New Roman" w:hAnsi="Times New Roman" w:eastAsia="宋体" w:cs="Times New Roman"/>
                      <w:color w:val="auto"/>
                      <w:sz w:val="21"/>
                      <w:szCs w:val="21"/>
                    </w:rPr>
                    <w:t>4</w:t>
                  </w:r>
                  <w:r>
                    <w:rPr>
                      <w:rFonts w:ascii="Times New Roman" w:hAnsi="Times New Roman" w:eastAsia="宋体" w:cs="Times New Roman"/>
                      <w:color w:val="auto"/>
                      <w:sz w:val="21"/>
                      <w:szCs w:val="21"/>
                    </w:rPr>
                    <w:t>.0</w:t>
                  </w:r>
                </w:p>
              </w:tc>
              <w:tc>
                <w:tcPr>
                  <w:tcW w:w="1077" w:type="dxa"/>
                  <w:tcBorders>
                    <w:tl2br w:val="nil"/>
                    <w:tr2bl w:val="nil"/>
                  </w:tcBorders>
                  <w:vAlign w:val="center"/>
                </w:tcPr>
                <w:p>
                  <w:pPr>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c>
                <w:tcPr>
                  <w:tcW w:w="497" w:type="dxa"/>
                  <w:vMerge w:val="continue"/>
                  <w:tcBorders>
                    <w:tl2br w:val="nil"/>
                    <w:tr2bl w:val="nil"/>
                  </w:tcBorders>
                  <w:vAlign w:val="center"/>
                </w:tcPr>
                <w:p>
                  <w:pPr>
                    <w:widowControl/>
                    <w:jc w:val="left"/>
                    <w:rPr>
                      <w:color w:val="auto"/>
                      <w:kern w:val="0"/>
                      <w:sz w:val="21"/>
                      <w:szCs w:val="21"/>
                    </w:rPr>
                  </w:pPr>
                </w:p>
              </w:tc>
              <w:tc>
                <w:tcPr>
                  <w:tcW w:w="2111" w:type="dxa"/>
                  <w:vMerge w:val="restart"/>
                  <w:tcBorders>
                    <w:tl2br w:val="nil"/>
                    <w:tr2bl w:val="nil"/>
                  </w:tcBorders>
                  <w:vAlign w:val="center"/>
                </w:tcPr>
                <w:p>
                  <w:pPr>
                    <w:jc w:val="center"/>
                    <w:rPr>
                      <w:color w:val="auto"/>
                      <w:kern w:val="0"/>
                      <w:sz w:val="21"/>
                      <w:szCs w:val="21"/>
                    </w:rPr>
                  </w:pPr>
                  <w:r>
                    <w:rPr>
                      <w:rFonts w:ascii="Times New Roman" w:hAnsi="Times New Roman" w:eastAsia="宋体" w:cs="Times New Roman"/>
                      <w:color w:val="auto"/>
                      <w:sz w:val="21"/>
                      <w:szCs w:val="21"/>
                    </w:rPr>
                    <w:t>饮食业油烟排放标准》（试行）（GB18483-2001）</w:t>
                  </w:r>
                </w:p>
              </w:tc>
              <w:tc>
                <w:tcPr>
                  <w:tcW w:w="619" w:type="dxa"/>
                  <w:vMerge w:val="restart"/>
                  <w:tcBorders>
                    <w:tl2br w:val="nil"/>
                    <w:tr2bl w:val="nil"/>
                  </w:tcBorders>
                  <w:vAlign w:val="center"/>
                </w:tcPr>
                <w:p>
                  <w:pPr>
                    <w:autoSpaceDE w:val="0"/>
                    <w:autoSpaceDN w:val="0"/>
                    <w:jc w:val="center"/>
                    <w:rPr>
                      <w:rFonts w:hint="eastAsia" w:eastAsia="宋体"/>
                      <w:color w:val="auto"/>
                      <w:kern w:val="0"/>
                      <w:sz w:val="21"/>
                      <w:szCs w:val="21"/>
                      <w:lang w:val="en-US" w:eastAsia="zh-CN"/>
                    </w:rPr>
                  </w:pPr>
                  <w:r>
                    <w:rPr>
                      <w:rFonts w:hint="eastAsia"/>
                      <w:color w:val="auto"/>
                      <w:kern w:val="0"/>
                      <w:sz w:val="21"/>
                      <w:szCs w:val="21"/>
                      <w:lang w:val="en-US" w:eastAsia="zh-CN"/>
                    </w:rPr>
                    <w:t>油烟</w:t>
                  </w:r>
                </w:p>
              </w:tc>
              <w:tc>
                <w:tcPr>
                  <w:tcW w:w="1481" w:type="dxa"/>
                  <w:tcBorders>
                    <w:tl2br w:val="nil"/>
                    <w:tr2bl w:val="nil"/>
                  </w:tcBorders>
                  <w:vAlign w:val="center"/>
                </w:tcPr>
                <w:p>
                  <w:pPr>
                    <w:jc w:val="center"/>
                    <w:rPr>
                      <w:rFonts w:hint="eastAsia"/>
                      <w:color w:val="auto"/>
                      <w:kern w:val="0"/>
                      <w:sz w:val="21"/>
                      <w:szCs w:val="21"/>
                      <w:lang w:val="en-US" w:eastAsia="zh-CN"/>
                    </w:rPr>
                  </w:pPr>
                  <w:r>
                    <w:rPr>
                      <w:rFonts w:ascii="Times New Roman" w:hAnsi="Times New Roman" w:eastAsia="宋体" w:cs="Times New Roman"/>
                      <w:color w:val="auto"/>
                      <w:sz w:val="21"/>
                      <w:szCs w:val="21"/>
                    </w:rPr>
                    <w:t>小型</w:t>
                  </w:r>
                  <w:r>
                    <w:rPr>
                      <w:rFonts w:hint="eastAsia" w:cs="Times New Roman"/>
                      <w:color w:val="auto"/>
                      <w:sz w:val="21"/>
                      <w:szCs w:val="21"/>
                      <w:lang w:eastAsia="zh-CN"/>
                    </w:rPr>
                    <w:t>：</w:t>
                  </w:r>
                  <w:r>
                    <w:rPr>
                      <w:rFonts w:hint="eastAsia" w:ascii="Times New Roman" w:hAnsi="Times New Roman" w:eastAsia="宋体" w:cs="Times New Roman"/>
                      <w:color w:val="auto"/>
                      <w:sz w:val="21"/>
                      <w:szCs w:val="21"/>
                    </w:rPr>
                    <w:t>≥1，＜3</w:t>
                  </w:r>
                </w:p>
              </w:tc>
              <w:tc>
                <w:tcPr>
                  <w:tcW w:w="1080" w:type="dxa"/>
                  <w:tcBorders>
                    <w:tl2br w:val="nil"/>
                    <w:tr2bl w:val="nil"/>
                  </w:tcBorders>
                  <w:vAlign w:val="center"/>
                </w:tcPr>
                <w:p>
                  <w:pPr>
                    <w:pStyle w:val="47"/>
                    <w:ind w:left="-113" w:right="-113"/>
                    <w:rPr>
                      <w:rFonts w:hint="eastAsia" w:ascii="Times New Roman" w:hAnsi="Times New Roman" w:eastAsia="宋体"/>
                      <w:color w:val="auto"/>
                      <w:kern w:val="0"/>
                      <w:sz w:val="21"/>
                      <w:szCs w:val="21"/>
                      <w:lang w:val="en-US" w:eastAsia="zh-CN"/>
                    </w:rPr>
                  </w:pPr>
                  <w:r>
                    <w:rPr>
                      <w:rFonts w:hint="eastAsia" w:ascii="Times New Roman" w:hAnsi="Times New Roman"/>
                      <w:color w:val="auto"/>
                      <w:kern w:val="0"/>
                      <w:sz w:val="21"/>
                      <w:szCs w:val="21"/>
                      <w:lang w:val="en-US" w:eastAsia="zh-CN"/>
                    </w:rPr>
                    <w:t>2.0</w:t>
                  </w:r>
                </w:p>
              </w:tc>
              <w:tc>
                <w:tcPr>
                  <w:tcW w:w="1079" w:type="dxa"/>
                  <w:tcBorders>
                    <w:tl2br w:val="nil"/>
                    <w:tr2bl w:val="nil"/>
                  </w:tcBorders>
                  <w:vAlign w:val="center"/>
                </w:tcPr>
                <w:p>
                  <w:pPr>
                    <w:pStyle w:val="47"/>
                    <w:rPr>
                      <w:rFonts w:ascii="Times New Roman" w:hAnsi="Times New Roman"/>
                      <w:color w:val="auto"/>
                      <w:kern w:val="0"/>
                      <w:sz w:val="21"/>
                      <w:szCs w:val="21"/>
                    </w:rPr>
                  </w:pPr>
                  <w:r>
                    <w:rPr>
                      <w:rFonts w:ascii="Times New Roman" w:hAnsi="Times New Roman"/>
                      <w:color w:val="auto"/>
                      <w:kern w:val="0"/>
                      <w:sz w:val="21"/>
                      <w:szCs w:val="21"/>
                    </w:rPr>
                    <w:t>1.5</w:t>
                  </w:r>
                </w:p>
              </w:tc>
              <w:tc>
                <w:tcPr>
                  <w:tcW w:w="1077" w:type="dxa"/>
                  <w:tcBorders>
                    <w:tl2br w:val="nil"/>
                    <w:tr2bl w:val="nil"/>
                  </w:tcBorders>
                  <w:vAlign w:val="center"/>
                </w:tcPr>
                <w:p>
                  <w:pPr>
                    <w:jc w:val="center"/>
                    <w:rPr>
                      <w:rFonts w:ascii="Times New Roman" w:hAnsi="Times New Roman"/>
                      <w:color w:val="auto"/>
                      <w:kern w:val="0"/>
                      <w:sz w:val="21"/>
                      <w:szCs w:val="21"/>
                    </w:rPr>
                  </w:pPr>
                  <w:r>
                    <w:rPr>
                      <w:rFonts w:ascii="Times New Roman" w:hAnsi="Times New Roman" w:eastAsia="宋体" w:cs="Times New Roman"/>
                      <w:color w:val="auto"/>
                      <w:sz w:val="21"/>
                      <w:szCs w:val="21"/>
                    </w:rPr>
                    <w:t>60</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c>
                <w:tcPr>
                  <w:tcW w:w="497" w:type="dxa"/>
                  <w:vMerge w:val="continue"/>
                  <w:tcBorders>
                    <w:tl2br w:val="nil"/>
                    <w:tr2bl w:val="nil"/>
                  </w:tcBorders>
                  <w:vAlign w:val="center"/>
                </w:tcPr>
                <w:p>
                  <w:pPr>
                    <w:widowControl/>
                    <w:jc w:val="left"/>
                    <w:rPr>
                      <w:color w:val="auto"/>
                      <w:kern w:val="0"/>
                      <w:sz w:val="21"/>
                      <w:szCs w:val="21"/>
                    </w:rPr>
                  </w:pPr>
                </w:p>
              </w:tc>
              <w:tc>
                <w:tcPr>
                  <w:tcW w:w="2111" w:type="dxa"/>
                  <w:vMerge w:val="continue"/>
                  <w:tcBorders>
                    <w:tl2br w:val="nil"/>
                    <w:tr2bl w:val="nil"/>
                  </w:tcBorders>
                  <w:vAlign w:val="center"/>
                </w:tcPr>
                <w:p>
                  <w:pPr>
                    <w:jc w:val="center"/>
                    <w:rPr>
                      <w:color w:val="auto"/>
                      <w:kern w:val="0"/>
                      <w:sz w:val="21"/>
                      <w:szCs w:val="21"/>
                    </w:rPr>
                  </w:pPr>
                </w:p>
              </w:tc>
              <w:tc>
                <w:tcPr>
                  <w:tcW w:w="619" w:type="dxa"/>
                  <w:vMerge w:val="continue"/>
                  <w:tcBorders>
                    <w:tl2br w:val="nil"/>
                    <w:tr2bl w:val="nil"/>
                  </w:tcBorders>
                  <w:vAlign w:val="center"/>
                </w:tcPr>
                <w:p>
                  <w:pPr>
                    <w:widowControl/>
                    <w:jc w:val="left"/>
                    <w:rPr>
                      <w:color w:val="auto"/>
                      <w:kern w:val="0"/>
                      <w:sz w:val="21"/>
                      <w:szCs w:val="21"/>
                    </w:rPr>
                  </w:pPr>
                </w:p>
              </w:tc>
              <w:tc>
                <w:tcPr>
                  <w:tcW w:w="1481" w:type="dxa"/>
                  <w:tcBorders>
                    <w:tl2br w:val="nil"/>
                    <w:tr2bl w:val="nil"/>
                  </w:tcBorders>
                  <w:vAlign w:val="center"/>
                </w:tcPr>
                <w:p>
                  <w:pPr>
                    <w:jc w:val="center"/>
                    <w:rPr>
                      <w:color w:val="auto"/>
                      <w:kern w:val="0"/>
                      <w:sz w:val="21"/>
                      <w:szCs w:val="21"/>
                    </w:rPr>
                  </w:pPr>
                  <w:r>
                    <w:rPr>
                      <w:rFonts w:hint="eastAsia" w:ascii="Times New Roman" w:hAnsi="Times New Roman" w:eastAsia="宋体" w:cs="Times New Roman"/>
                      <w:color w:val="auto"/>
                      <w:sz w:val="21"/>
                      <w:szCs w:val="21"/>
                    </w:rPr>
                    <w:t>中型</w:t>
                  </w:r>
                  <w:r>
                    <w:rPr>
                      <w:rFonts w:hint="eastAsia" w:cs="Times New Roman"/>
                      <w:color w:val="auto"/>
                      <w:sz w:val="21"/>
                      <w:szCs w:val="21"/>
                      <w:lang w:eastAsia="zh-CN"/>
                    </w:rPr>
                    <w:t>：</w:t>
                  </w:r>
                  <w:r>
                    <w:rPr>
                      <w:rFonts w:hint="eastAsia" w:ascii="Times New Roman" w:hAnsi="Times New Roman" w:eastAsia="宋体" w:cs="Times New Roman"/>
                      <w:color w:val="auto"/>
                      <w:sz w:val="21"/>
                      <w:szCs w:val="21"/>
                    </w:rPr>
                    <w:t>≥</w:t>
                  </w:r>
                  <w:r>
                    <w:rPr>
                      <w:rFonts w:ascii="Times New Roman" w:hAnsi="Times New Roman" w:eastAsia="宋体" w:cs="Times New Roman"/>
                      <w:color w:val="auto"/>
                      <w:sz w:val="21"/>
                      <w:szCs w:val="21"/>
                    </w:rPr>
                    <w:t>3</w:t>
                  </w:r>
                  <w:r>
                    <w:rPr>
                      <w:rFonts w:hint="eastAsia" w:ascii="Times New Roman" w:hAnsi="Times New Roman" w:eastAsia="宋体" w:cs="Times New Roman"/>
                      <w:color w:val="auto"/>
                      <w:sz w:val="21"/>
                      <w:szCs w:val="21"/>
                    </w:rPr>
                    <w:t>，＜</w:t>
                  </w:r>
                  <w:r>
                    <w:rPr>
                      <w:rFonts w:ascii="Times New Roman" w:hAnsi="Times New Roman" w:eastAsia="宋体" w:cs="Times New Roman"/>
                      <w:color w:val="auto"/>
                      <w:sz w:val="21"/>
                      <w:szCs w:val="21"/>
                    </w:rPr>
                    <w:t>6</w:t>
                  </w:r>
                </w:p>
              </w:tc>
              <w:tc>
                <w:tcPr>
                  <w:tcW w:w="1080" w:type="dxa"/>
                  <w:tcBorders>
                    <w:tl2br w:val="nil"/>
                    <w:tr2bl w:val="nil"/>
                  </w:tcBorders>
                  <w:vAlign w:val="center"/>
                </w:tcPr>
                <w:p>
                  <w:pPr>
                    <w:pStyle w:val="47"/>
                    <w:ind w:left="-113" w:right="-113"/>
                    <w:rPr>
                      <w:rFonts w:hint="eastAsia" w:ascii="Times New Roman" w:hAnsi="Times New Roman" w:eastAsia="宋体"/>
                      <w:color w:val="auto"/>
                      <w:kern w:val="0"/>
                      <w:sz w:val="21"/>
                      <w:szCs w:val="21"/>
                      <w:lang w:val="en-US" w:eastAsia="zh-CN"/>
                    </w:rPr>
                  </w:pPr>
                  <w:r>
                    <w:rPr>
                      <w:rFonts w:hint="eastAsia" w:ascii="Times New Roman" w:hAnsi="Times New Roman"/>
                      <w:color w:val="auto"/>
                      <w:kern w:val="0"/>
                      <w:sz w:val="21"/>
                      <w:szCs w:val="21"/>
                      <w:lang w:val="en-US" w:eastAsia="zh-CN"/>
                    </w:rPr>
                    <w:t>2.0</w:t>
                  </w:r>
                </w:p>
              </w:tc>
              <w:tc>
                <w:tcPr>
                  <w:tcW w:w="1079" w:type="dxa"/>
                  <w:tcBorders>
                    <w:tl2br w:val="nil"/>
                    <w:tr2bl w:val="nil"/>
                  </w:tcBorders>
                  <w:vAlign w:val="center"/>
                </w:tcPr>
                <w:p>
                  <w:pPr>
                    <w:pStyle w:val="47"/>
                    <w:rPr>
                      <w:rFonts w:ascii="Times New Roman" w:hAnsi="Times New Roman"/>
                      <w:color w:val="auto"/>
                      <w:kern w:val="0"/>
                      <w:sz w:val="21"/>
                      <w:szCs w:val="21"/>
                    </w:rPr>
                  </w:pPr>
                  <w:r>
                    <w:rPr>
                      <w:rFonts w:ascii="Times New Roman" w:hAnsi="Times New Roman"/>
                      <w:color w:val="auto"/>
                      <w:kern w:val="0"/>
                      <w:sz w:val="21"/>
                      <w:szCs w:val="21"/>
                    </w:rPr>
                    <w:t>0.06</w:t>
                  </w:r>
                </w:p>
              </w:tc>
              <w:tc>
                <w:tcPr>
                  <w:tcW w:w="1077" w:type="dxa"/>
                  <w:tcBorders>
                    <w:tl2br w:val="nil"/>
                    <w:tr2bl w:val="nil"/>
                  </w:tcBorders>
                  <w:vAlign w:val="center"/>
                </w:tcPr>
                <w:p>
                  <w:pPr>
                    <w:jc w:val="center"/>
                    <w:rPr>
                      <w:rFonts w:ascii="Times New Roman" w:hAnsi="Times New Roman"/>
                      <w:color w:val="auto"/>
                      <w:kern w:val="0"/>
                      <w:sz w:val="21"/>
                      <w:szCs w:val="21"/>
                    </w:rPr>
                  </w:pPr>
                  <w:r>
                    <w:rPr>
                      <w:rFonts w:hint="eastAsia" w:ascii="Times New Roman" w:hAnsi="Times New Roman" w:eastAsia="宋体" w:cs="Times New Roman"/>
                      <w:color w:val="auto"/>
                      <w:sz w:val="21"/>
                      <w:szCs w:val="21"/>
                    </w:rPr>
                    <w:t>7</w:t>
                  </w:r>
                  <w:r>
                    <w:rPr>
                      <w:rFonts w:ascii="Times New Roman" w:hAnsi="Times New Roman" w:eastAsia="宋体" w:cs="Times New Roman"/>
                      <w:color w:val="auto"/>
                      <w:sz w:val="21"/>
                      <w:szCs w:val="21"/>
                    </w:rPr>
                    <w:t>5</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c>
                <w:tcPr>
                  <w:tcW w:w="497" w:type="dxa"/>
                  <w:vMerge w:val="continue"/>
                  <w:tcBorders>
                    <w:tl2br w:val="nil"/>
                    <w:tr2bl w:val="nil"/>
                  </w:tcBorders>
                  <w:vAlign w:val="center"/>
                </w:tcPr>
                <w:p>
                  <w:pPr>
                    <w:widowControl/>
                    <w:jc w:val="left"/>
                    <w:rPr>
                      <w:color w:val="auto"/>
                      <w:kern w:val="0"/>
                      <w:sz w:val="21"/>
                      <w:szCs w:val="21"/>
                    </w:rPr>
                  </w:pPr>
                </w:p>
              </w:tc>
              <w:tc>
                <w:tcPr>
                  <w:tcW w:w="2111" w:type="dxa"/>
                  <w:vMerge w:val="continue"/>
                  <w:tcBorders>
                    <w:tl2br w:val="nil"/>
                    <w:tr2bl w:val="nil"/>
                  </w:tcBorders>
                  <w:vAlign w:val="center"/>
                </w:tcPr>
                <w:p>
                  <w:pPr>
                    <w:jc w:val="center"/>
                    <w:rPr>
                      <w:color w:val="auto"/>
                      <w:kern w:val="0"/>
                      <w:sz w:val="21"/>
                      <w:szCs w:val="21"/>
                    </w:rPr>
                  </w:pPr>
                </w:p>
              </w:tc>
              <w:tc>
                <w:tcPr>
                  <w:tcW w:w="619" w:type="dxa"/>
                  <w:vMerge w:val="continue"/>
                  <w:tcBorders>
                    <w:tl2br w:val="nil"/>
                    <w:tr2bl w:val="nil"/>
                  </w:tcBorders>
                  <w:vAlign w:val="center"/>
                </w:tcPr>
                <w:p>
                  <w:pPr>
                    <w:widowControl/>
                    <w:jc w:val="left"/>
                    <w:rPr>
                      <w:color w:val="auto"/>
                      <w:kern w:val="0"/>
                      <w:sz w:val="21"/>
                      <w:szCs w:val="21"/>
                    </w:rPr>
                  </w:pPr>
                </w:p>
              </w:tc>
              <w:tc>
                <w:tcPr>
                  <w:tcW w:w="1481" w:type="dxa"/>
                  <w:tcBorders>
                    <w:tl2br w:val="nil"/>
                    <w:tr2bl w:val="nil"/>
                  </w:tcBorders>
                  <w:vAlign w:val="center"/>
                </w:tcPr>
                <w:p>
                  <w:pPr>
                    <w:jc w:val="center"/>
                    <w:rPr>
                      <w:color w:val="auto"/>
                      <w:kern w:val="0"/>
                      <w:sz w:val="21"/>
                      <w:szCs w:val="21"/>
                    </w:rPr>
                  </w:pPr>
                  <w:r>
                    <w:rPr>
                      <w:rFonts w:hint="eastAsia" w:ascii="Times New Roman" w:hAnsi="Times New Roman" w:eastAsia="宋体" w:cs="Times New Roman"/>
                      <w:color w:val="auto"/>
                      <w:sz w:val="21"/>
                      <w:szCs w:val="21"/>
                    </w:rPr>
                    <w:t>大型</w:t>
                  </w:r>
                  <w:r>
                    <w:rPr>
                      <w:rFonts w:hint="eastAsia" w:cs="Times New Roman"/>
                      <w:color w:val="auto"/>
                      <w:sz w:val="21"/>
                      <w:szCs w:val="21"/>
                      <w:lang w:eastAsia="zh-CN"/>
                    </w:rPr>
                    <w:t>：</w:t>
                  </w:r>
                  <w:r>
                    <w:rPr>
                      <w:rFonts w:hint="eastAsia" w:ascii="Times New Roman" w:hAnsi="Times New Roman" w:eastAsia="宋体" w:cs="Times New Roman"/>
                      <w:color w:val="auto"/>
                      <w:sz w:val="21"/>
                      <w:szCs w:val="21"/>
                    </w:rPr>
                    <w:t>≥6</w:t>
                  </w:r>
                </w:p>
              </w:tc>
              <w:tc>
                <w:tcPr>
                  <w:tcW w:w="1080" w:type="dxa"/>
                  <w:tcBorders>
                    <w:tl2br w:val="nil"/>
                    <w:tr2bl w:val="nil"/>
                  </w:tcBorders>
                  <w:vAlign w:val="center"/>
                </w:tcPr>
                <w:p>
                  <w:pPr>
                    <w:pStyle w:val="47"/>
                    <w:ind w:left="-113" w:right="-113"/>
                    <w:rPr>
                      <w:rFonts w:hint="eastAsia" w:ascii="Times New Roman" w:hAnsi="Times New Roman" w:eastAsia="宋体"/>
                      <w:color w:val="auto"/>
                      <w:kern w:val="0"/>
                      <w:sz w:val="21"/>
                      <w:szCs w:val="21"/>
                      <w:lang w:val="en-US" w:eastAsia="zh-CN"/>
                    </w:rPr>
                  </w:pPr>
                  <w:r>
                    <w:rPr>
                      <w:rFonts w:hint="eastAsia" w:ascii="Times New Roman" w:hAnsi="Times New Roman"/>
                      <w:color w:val="auto"/>
                      <w:kern w:val="0"/>
                      <w:sz w:val="21"/>
                      <w:szCs w:val="21"/>
                      <w:lang w:val="en-US" w:eastAsia="zh-CN"/>
                    </w:rPr>
                    <w:t>2.0</w:t>
                  </w:r>
                </w:p>
              </w:tc>
              <w:tc>
                <w:tcPr>
                  <w:tcW w:w="1079" w:type="dxa"/>
                  <w:tcBorders>
                    <w:tl2br w:val="nil"/>
                    <w:tr2bl w:val="nil"/>
                  </w:tcBorders>
                  <w:vAlign w:val="center"/>
                </w:tcPr>
                <w:p>
                  <w:pPr>
                    <w:pStyle w:val="47"/>
                    <w:rPr>
                      <w:rFonts w:ascii="Times New Roman" w:hAnsi="Times New Roman"/>
                      <w:color w:val="auto"/>
                      <w:kern w:val="0"/>
                      <w:sz w:val="21"/>
                      <w:szCs w:val="21"/>
                    </w:rPr>
                  </w:pPr>
                </w:p>
              </w:tc>
              <w:tc>
                <w:tcPr>
                  <w:tcW w:w="1077" w:type="dxa"/>
                  <w:tcBorders>
                    <w:tl2br w:val="nil"/>
                    <w:tr2bl w:val="nil"/>
                  </w:tcBorders>
                  <w:vAlign w:val="center"/>
                </w:tcPr>
                <w:p>
                  <w:pPr>
                    <w:jc w:val="center"/>
                    <w:rPr>
                      <w:rFonts w:ascii="Times New Roman" w:hAnsi="Times New Roman"/>
                      <w:color w:val="auto"/>
                      <w:kern w:val="0"/>
                      <w:sz w:val="21"/>
                      <w:szCs w:val="21"/>
                    </w:rPr>
                  </w:pPr>
                  <w:r>
                    <w:rPr>
                      <w:rFonts w:hint="eastAsia" w:ascii="Times New Roman" w:hAnsi="Times New Roman" w:eastAsia="宋体" w:cs="Times New Roman"/>
                      <w:color w:val="auto"/>
                      <w:sz w:val="21"/>
                      <w:szCs w:val="21"/>
                    </w:rPr>
                    <w:t>8</w:t>
                  </w:r>
                  <w:r>
                    <w:rPr>
                      <w:rFonts w:ascii="Times New Roman" w:hAnsi="Times New Roman" w:eastAsia="宋体" w:cs="Times New Roman"/>
                      <w:color w:val="auto"/>
                      <w:sz w:val="21"/>
                      <w:szCs w:val="21"/>
                    </w:rPr>
                    <w:t>5</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c>
                <w:tcPr>
                  <w:tcW w:w="497" w:type="dxa"/>
                  <w:vMerge w:val="continue"/>
                  <w:tcBorders>
                    <w:tl2br w:val="nil"/>
                    <w:tr2bl w:val="nil"/>
                  </w:tcBorders>
                  <w:vAlign w:val="center"/>
                </w:tcPr>
                <w:p>
                  <w:pPr>
                    <w:widowControl/>
                    <w:jc w:val="left"/>
                    <w:rPr>
                      <w:color w:val="auto"/>
                      <w:kern w:val="0"/>
                      <w:sz w:val="21"/>
                      <w:szCs w:val="21"/>
                    </w:rPr>
                  </w:pPr>
                </w:p>
              </w:tc>
              <w:tc>
                <w:tcPr>
                  <w:tcW w:w="2111" w:type="dxa"/>
                  <w:tcBorders>
                    <w:tl2br w:val="nil"/>
                    <w:tr2bl w:val="nil"/>
                  </w:tcBorders>
                  <w:vAlign w:val="center"/>
                </w:tcPr>
                <w:p>
                  <w:pPr>
                    <w:jc w:val="center"/>
                    <w:rPr>
                      <w:rFonts w:hint="eastAsia" w:eastAsia="宋体"/>
                      <w:color w:val="auto"/>
                      <w:kern w:val="0"/>
                      <w:sz w:val="21"/>
                      <w:szCs w:val="21"/>
                      <w:lang w:val="en-US" w:eastAsia="zh-CN"/>
                    </w:rPr>
                  </w:pPr>
                  <w:r>
                    <w:rPr>
                      <w:color w:val="auto"/>
                      <w:kern w:val="0"/>
                      <w:sz w:val="21"/>
                      <w:szCs w:val="21"/>
                    </w:rPr>
                    <w:t>标准名称及级(类)别</w:t>
                  </w:r>
                </w:p>
              </w:tc>
              <w:tc>
                <w:tcPr>
                  <w:tcW w:w="619" w:type="dxa"/>
                  <w:tcBorders>
                    <w:tl2br w:val="nil"/>
                    <w:tr2bl w:val="nil"/>
                  </w:tcBorders>
                  <w:vAlign w:val="center"/>
                </w:tcPr>
                <w:p>
                  <w:pPr>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污染物</w:t>
                  </w:r>
                </w:p>
              </w:tc>
              <w:tc>
                <w:tcPr>
                  <w:tcW w:w="1481" w:type="dxa"/>
                  <w:tcBorders>
                    <w:tl2br w:val="nil"/>
                    <w:tr2bl w:val="nil"/>
                  </w:tcBorders>
                  <w:vAlign w:val="center"/>
                </w:tcPr>
                <w:p>
                  <w:pPr>
                    <w:pStyle w:val="55"/>
                    <w:spacing w:line="260" w:lineRule="exact"/>
                    <w:ind w:left="130" w:right="127"/>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额定净</w:t>
                  </w:r>
                </w:p>
                <w:p>
                  <w:pPr>
                    <w:jc w:val="center"/>
                    <w:rPr>
                      <w:rFonts w:hint="eastAsia" w:cs="Times New Roman"/>
                      <w:color w:val="auto"/>
                      <w:sz w:val="21"/>
                      <w:szCs w:val="21"/>
                      <w:lang w:val="en-US" w:eastAsia="zh-CN"/>
                    </w:rPr>
                  </w:pPr>
                  <w:r>
                    <w:rPr>
                      <w:rFonts w:hint="eastAsia" w:ascii="Times New Roman" w:hAnsi="Times New Roman" w:eastAsia="宋体" w:cs="Times New Roman"/>
                      <w:color w:val="auto"/>
                      <w:kern w:val="2"/>
                      <w:sz w:val="21"/>
                      <w:szCs w:val="21"/>
                      <w:lang w:val="en-US" w:eastAsia="zh-CN" w:bidi="ar-SA"/>
                    </w:rPr>
                    <w:t>功率</w:t>
                  </w:r>
                </w:p>
              </w:tc>
              <w:tc>
                <w:tcPr>
                  <w:tcW w:w="3236" w:type="dxa"/>
                  <w:gridSpan w:val="3"/>
                  <w:tcBorders>
                    <w:tl2br w:val="nil"/>
                    <w:tr2bl w:val="nil"/>
                  </w:tcBorders>
                  <w:vAlign w:val="center"/>
                </w:tcPr>
                <w:p>
                  <w:pPr>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标准数值</w:t>
                  </w:r>
                  <w:r>
                    <w:rPr>
                      <w:rFonts w:hint="eastAsia" w:ascii="Microsoft JhengHei" w:eastAsia="Microsoft JhengHei"/>
                      <w:b/>
                      <w:color w:val="auto"/>
                      <w:sz w:val="18"/>
                      <w:szCs w:val="18"/>
                    </w:rPr>
                    <w:t>（</w:t>
                  </w:r>
                  <w:r>
                    <w:rPr>
                      <w:rFonts w:ascii="Times New Roman" w:eastAsia="Times New Roman"/>
                      <w:b/>
                      <w:color w:val="auto"/>
                      <w:sz w:val="18"/>
                      <w:szCs w:val="18"/>
                    </w:rPr>
                    <w:t>g/kWh</w:t>
                  </w:r>
                  <w:r>
                    <w:rPr>
                      <w:rFonts w:hint="eastAsia" w:ascii="Microsoft JhengHei" w:eastAsia="Microsoft JhengHei"/>
                      <w:b/>
                      <w:color w:val="auto"/>
                      <w:sz w:val="18"/>
                      <w:szCs w:val="18"/>
                    </w:rPr>
                    <w:t>）</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c>
                <w:tcPr>
                  <w:tcW w:w="497" w:type="dxa"/>
                  <w:vMerge w:val="continue"/>
                  <w:tcBorders>
                    <w:tl2br w:val="nil"/>
                    <w:tr2bl w:val="nil"/>
                  </w:tcBorders>
                  <w:vAlign w:val="center"/>
                </w:tcPr>
                <w:p>
                  <w:pPr>
                    <w:widowControl/>
                    <w:jc w:val="left"/>
                    <w:rPr>
                      <w:color w:val="auto"/>
                      <w:kern w:val="0"/>
                      <w:sz w:val="21"/>
                      <w:szCs w:val="21"/>
                    </w:rPr>
                  </w:pPr>
                </w:p>
              </w:tc>
              <w:tc>
                <w:tcPr>
                  <w:tcW w:w="2111" w:type="dxa"/>
                  <w:vMerge w:val="restart"/>
                  <w:tcBorders>
                    <w:tl2br w:val="nil"/>
                    <w:tr2bl w:val="nil"/>
                  </w:tcBorders>
                  <w:vAlign w:val="center"/>
                </w:tcPr>
                <w:p>
                  <w:pPr>
                    <w:jc w:val="center"/>
                    <w:rPr>
                      <w:color w:val="auto"/>
                      <w:kern w:val="0"/>
                      <w:sz w:val="21"/>
                      <w:szCs w:val="21"/>
                    </w:rPr>
                  </w:pPr>
                  <w:r>
                    <w:rPr>
                      <w:rFonts w:hint="eastAsia" w:ascii="Times New Roman" w:hAnsi="Times New Roman" w:eastAsia="宋体" w:cs="Times New Roman"/>
                      <w:color w:val="auto"/>
                      <w:sz w:val="21"/>
                      <w:szCs w:val="21"/>
                      <w:lang w:val="en-US" w:eastAsia="zh-CN" w:bidi="en-US"/>
                    </w:rPr>
                    <w:t>《非道路移动机械用柴油机排气污染物排放限值及测量方法</w:t>
                  </w:r>
                  <w:r>
                    <w:rPr>
                      <w:rFonts w:hint="eastAsia"/>
                      <w:color w:val="auto"/>
                      <w:sz w:val="21"/>
                      <w:szCs w:val="21"/>
                      <w:lang w:val="en-US" w:eastAsia="zh-CN"/>
                    </w:rPr>
                    <w:t>GB20891-2014</w:t>
                  </w:r>
                  <w:r>
                    <w:rPr>
                      <w:rFonts w:hint="default" w:ascii="Times New Roman" w:hAnsi="Times New Roman" w:eastAsia="宋体" w:cs="Times New Roman"/>
                      <w:color w:val="auto"/>
                      <w:sz w:val="21"/>
                      <w:szCs w:val="21"/>
                      <w:lang w:val="en-US" w:eastAsia="zh-CN" w:bidi="en-US"/>
                    </w:rPr>
                    <w:t>(</w:t>
                  </w:r>
                  <w:r>
                    <w:rPr>
                      <w:rFonts w:hint="eastAsia" w:ascii="Times New Roman" w:hAnsi="Times New Roman" w:eastAsia="宋体" w:cs="Times New Roman"/>
                      <w:color w:val="auto"/>
                      <w:sz w:val="21"/>
                      <w:szCs w:val="21"/>
                      <w:lang w:val="en-US" w:eastAsia="zh-CN" w:bidi="en-US"/>
                    </w:rPr>
                    <w:t>中国第三、四阶段）》及其修改单</w:t>
                  </w:r>
                </w:p>
              </w:tc>
              <w:tc>
                <w:tcPr>
                  <w:tcW w:w="619" w:type="dxa"/>
                  <w:tcBorders>
                    <w:tl2br w:val="nil"/>
                    <w:tr2bl w:val="nil"/>
                  </w:tcBorders>
                  <w:vAlign w:val="center"/>
                </w:tcPr>
                <w:p>
                  <w:pPr>
                    <w:widowControl/>
                    <w:jc w:val="left"/>
                    <w:rPr>
                      <w:rFonts w:hint="eastAsia" w:eastAsia="宋体"/>
                      <w:color w:val="auto"/>
                      <w:kern w:val="0"/>
                      <w:sz w:val="21"/>
                      <w:szCs w:val="21"/>
                      <w:lang w:val="en-US" w:eastAsia="zh-CN"/>
                    </w:rPr>
                  </w:pPr>
                  <w:r>
                    <w:rPr>
                      <w:rFonts w:hint="eastAsia"/>
                      <w:color w:val="auto"/>
                      <w:kern w:val="0"/>
                      <w:sz w:val="21"/>
                      <w:szCs w:val="21"/>
                      <w:lang w:val="en-US" w:eastAsia="zh-CN"/>
                    </w:rPr>
                    <w:t>CO</w:t>
                  </w:r>
                </w:p>
              </w:tc>
              <w:tc>
                <w:tcPr>
                  <w:tcW w:w="1481" w:type="dxa"/>
                  <w:vMerge w:val="restart"/>
                  <w:tcBorders>
                    <w:tl2br w:val="nil"/>
                    <w:tr2bl w:val="nil"/>
                  </w:tcBorders>
                  <w:vAlign w:val="center"/>
                </w:tcPr>
                <w:p>
                  <w:pPr>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第三阶段</w:t>
                  </w:r>
                </w:p>
              </w:tc>
              <w:tc>
                <w:tcPr>
                  <w:tcW w:w="3236" w:type="dxa"/>
                  <w:gridSpan w:val="3"/>
                  <w:tcBorders>
                    <w:tl2br w:val="nil"/>
                    <w:tr2bl w:val="nil"/>
                  </w:tcBorders>
                  <w:vAlign w:val="center"/>
                </w:tcPr>
                <w:p>
                  <w:pPr>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3.5</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c>
                <w:tcPr>
                  <w:tcW w:w="497" w:type="dxa"/>
                  <w:vMerge w:val="continue"/>
                  <w:tcBorders>
                    <w:tl2br w:val="nil"/>
                    <w:tr2bl w:val="nil"/>
                  </w:tcBorders>
                  <w:vAlign w:val="center"/>
                </w:tcPr>
                <w:p>
                  <w:pPr>
                    <w:widowControl/>
                    <w:jc w:val="left"/>
                    <w:rPr>
                      <w:color w:val="auto"/>
                      <w:kern w:val="0"/>
                      <w:sz w:val="21"/>
                      <w:szCs w:val="21"/>
                    </w:rPr>
                  </w:pPr>
                </w:p>
              </w:tc>
              <w:tc>
                <w:tcPr>
                  <w:tcW w:w="2111" w:type="dxa"/>
                  <w:vMerge w:val="continue"/>
                  <w:tcBorders>
                    <w:tl2br w:val="nil"/>
                    <w:tr2bl w:val="nil"/>
                  </w:tcBorders>
                  <w:vAlign w:val="center"/>
                </w:tcPr>
                <w:p>
                  <w:pPr>
                    <w:jc w:val="center"/>
                    <w:rPr>
                      <w:color w:val="auto"/>
                      <w:kern w:val="0"/>
                      <w:sz w:val="21"/>
                      <w:szCs w:val="21"/>
                    </w:rPr>
                  </w:pPr>
                </w:p>
              </w:tc>
              <w:tc>
                <w:tcPr>
                  <w:tcW w:w="619" w:type="dxa"/>
                  <w:tcBorders>
                    <w:tl2br w:val="nil"/>
                    <w:tr2bl w:val="nil"/>
                  </w:tcBorders>
                  <w:vAlign w:val="center"/>
                </w:tcPr>
                <w:p>
                  <w:pPr>
                    <w:widowControl/>
                    <w:jc w:val="left"/>
                    <w:rPr>
                      <w:rFonts w:hint="eastAsia" w:eastAsia="宋体"/>
                      <w:color w:val="auto"/>
                      <w:kern w:val="0"/>
                      <w:sz w:val="21"/>
                      <w:szCs w:val="21"/>
                      <w:lang w:val="en-US" w:eastAsia="zh-CN"/>
                    </w:rPr>
                  </w:pPr>
                  <w:r>
                    <w:rPr>
                      <w:rFonts w:hint="eastAsia"/>
                      <w:color w:val="auto"/>
                      <w:kern w:val="0"/>
                      <w:sz w:val="21"/>
                      <w:szCs w:val="21"/>
                      <w:lang w:val="en-US" w:eastAsia="zh-CN"/>
                    </w:rPr>
                    <w:t>HC</w:t>
                  </w:r>
                </w:p>
              </w:tc>
              <w:tc>
                <w:tcPr>
                  <w:tcW w:w="1481" w:type="dxa"/>
                  <w:vMerge w:val="continue"/>
                  <w:tcBorders>
                    <w:tl2br w:val="nil"/>
                    <w:tr2bl w:val="nil"/>
                  </w:tcBorders>
                  <w:vAlign w:val="center"/>
                </w:tcPr>
                <w:p>
                  <w:pPr>
                    <w:jc w:val="center"/>
                    <w:rPr>
                      <w:rFonts w:hint="eastAsia" w:ascii="Times New Roman" w:hAnsi="Times New Roman" w:eastAsia="宋体" w:cs="Times New Roman"/>
                      <w:color w:val="auto"/>
                      <w:sz w:val="21"/>
                      <w:szCs w:val="21"/>
                    </w:rPr>
                  </w:pPr>
                </w:p>
              </w:tc>
              <w:tc>
                <w:tcPr>
                  <w:tcW w:w="3236" w:type="dxa"/>
                  <w:gridSpan w:val="3"/>
                  <w:tcBorders>
                    <w:tl2br w:val="nil"/>
                    <w:tr2bl w:val="nil"/>
                  </w:tcBorders>
                  <w:vAlign w:val="center"/>
                </w:tcPr>
                <w:p>
                  <w:pPr>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c>
                <w:tcPr>
                  <w:tcW w:w="497" w:type="dxa"/>
                  <w:vMerge w:val="continue"/>
                  <w:tcBorders>
                    <w:tl2br w:val="nil"/>
                    <w:tr2bl w:val="nil"/>
                  </w:tcBorders>
                  <w:vAlign w:val="center"/>
                </w:tcPr>
                <w:p>
                  <w:pPr>
                    <w:widowControl/>
                    <w:jc w:val="left"/>
                    <w:rPr>
                      <w:color w:val="auto"/>
                      <w:kern w:val="0"/>
                      <w:sz w:val="21"/>
                      <w:szCs w:val="21"/>
                    </w:rPr>
                  </w:pPr>
                </w:p>
              </w:tc>
              <w:tc>
                <w:tcPr>
                  <w:tcW w:w="2111" w:type="dxa"/>
                  <w:vMerge w:val="continue"/>
                  <w:tcBorders>
                    <w:tl2br w:val="nil"/>
                    <w:tr2bl w:val="nil"/>
                  </w:tcBorders>
                  <w:vAlign w:val="center"/>
                </w:tcPr>
                <w:p>
                  <w:pPr>
                    <w:jc w:val="center"/>
                    <w:rPr>
                      <w:color w:val="auto"/>
                      <w:kern w:val="0"/>
                      <w:sz w:val="21"/>
                      <w:szCs w:val="21"/>
                    </w:rPr>
                  </w:pPr>
                </w:p>
              </w:tc>
              <w:tc>
                <w:tcPr>
                  <w:tcW w:w="619" w:type="dxa"/>
                  <w:tcBorders>
                    <w:tl2br w:val="nil"/>
                    <w:tr2bl w:val="nil"/>
                  </w:tcBorders>
                  <w:vAlign w:val="center"/>
                </w:tcPr>
                <w:p>
                  <w:pPr>
                    <w:widowControl/>
                    <w:jc w:val="left"/>
                    <w:rPr>
                      <w:rFonts w:hint="eastAsia" w:eastAsia="宋体"/>
                      <w:color w:val="auto"/>
                      <w:kern w:val="0"/>
                      <w:sz w:val="21"/>
                      <w:szCs w:val="21"/>
                      <w:lang w:val="en-US" w:eastAsia="zh-CN"/>
                    </w:rPr>
                  </w:pPr>
                  <w:r>
                    <w:rPr>
                      <w:rFonts w:hint="eastAsia"/>
                      <w:color w:val="auto"/>
                      <w:kern w:val="0"/>
                      <w:sz w:val="21"/>
                      <w:szCs w:val="21"/>
                      <w:lang w:val="en-US" w:eastAsia="zh-CN"/>
                    </w:rPr>
                    <w:t>NO</w:t>
                  </w:r>
                  <w:r>
                    <w:rPr>
                      <w:rFonts w:hint="eastAsia"/>
                      <w:color w:val="auto"/>
                      <w:kern w:val="0"/>
                      <w:sz w:val="21"/>
                      <w:szCs w:val="21"/>
                      <w:vertAlign w:val="subscript"/>
                      <w:lang w:val="en-US" w:eastAsia="zh-CN"/>
                    </w:rPr>
                    <w:t>X</w:t>
                  </w:r>
                </w:p>
              </w:tc>
              <w:tc>
                <w:tcPr>
                  <w:tcW w:w="1481" w:type="dxa"/>
                  <w:vMerge w:val="continue"/>
                  <w:tcBorders>
                    <w:tl2br w:val="nil"/>
                    <w:tr2bl w:val="nil"/>
                  </w:tcBorders>
                  <w:vAlign w:val="center"/>
                </w:tcPr>
                <w:p>
                  <w:pPr>
                    <w:jc w:val="center"/>
                    <w:rPr>
                      <w:rFonts w:hint="eastAsia" w:ascii="Times New Roman" w:hAnsi="Times New Roman" w:eastAsia="宋体" w:cs="Times New Roman"/>
                      <w:color w:val="auto"/>
                      <w:sz w:val="21"/>
                      <w:szCs w:val="21"/>
                    </w:rPr>
                  </w:pPr>
                </w:p>
              </w:tc>
              <w:tc>
                <w:tcPr>
                  <w:tcW w:w="3236" w:type="dxa"/>
                  <w:gridSpan w:val="3"/>
                  <w:tcBorders>
                    <w:tl2br w:val="nil"/>
                    <w:tr2bl w:val="nil"/>
                  </w:tcBorders>
                  <w:vAlign w:val="center"/>
                </w:tcPr>
                <w:p>
                  <w:pPr>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c>
                <w:tcPr>
                  <w:tcW w:w="497" w:type="dxa"/>
                  <w:vMerge w:val="continue"/>
                  <w:tcBorders>
                    <w:tl2br w:val="nil"/>
                    <w:tr2bl w:val="nil"/>
                  </w:tcBorders>
                  <w:vAlign w:val="center"/>
                </w:tcPr>
                <w:p>
                  <w:pPr>
                    <w:widowControl/>
                    <w:jc w:val="left"/>
                    <w:rPr>
                      <w:color w:val="auto"/>
                      <w:kern w:val="0"/>
                      <w:sz w:val="21"/>
                      <w:szCs w:val="21"/>
                    </w:rPr>
                  </w:pPr>
                </w:p>
              </w:tc>
              <w:tc>
                <w:tcPr>
                  <w:tcW w:w="2111" w:type="dxa"/>
                  <w:vMerge w:val="continue"/>
                  <w:tcBorders>
                    <w:tl2br w:val="nil"/>
                    <w:tr2bl w:val="nil"/>
                  </w:tcBorders>
                  <w:vAlign w:val="center"/>
                </w:tcPr>
                <w:p>
                  <w:pPr>
                    <w:jc w:val="center"/>
                    <w:rPr>
                      <w:color w:val="auto"/>
                      <w:kern w:val="0"/>
                      <w:sz w:val="21"/>
                      <w:szCs w:val="21"/>
                    </w:rPr>
                  </w:pPr>
                </w:p>
              </w:tc>
              <w:tc>
                <w:tcPr>
                  <w:tcW w:w="619" w:type="dxa"/>
                  <w:tcBorders>
                    <w:tl2br w:val="nil"/>
                    <w:tr2bl w:val="nil"/>
                  </w:tcBorders>
                  <w:vAlign w:val="center"/>
                </w:tcPr>
                <w:p>
                  <w:pPr>
                    <w:widowControl/>
                    <w:jc w:val="left"/>
                    <w:rPr>
                      <w:rFonts w:hint="eastAsia"/>
                      <w:color w:val="auto"/>
                      <w:kern w:val="0"/>
                      <w:sz w:val="21"/>
                      <w:szCs w:val="21"/>
                      <w:lang w:val="en-US" w:eastAsia="zh-CN"/>
                    </w:rPr>
                  </w:pPr>
                  <w:r>
                    <w:rPr>
                      <w:rFonts w:ascii="Times New Roman"/>
                      <w:b/>
                      <w:color w:val="auto"/>
                      <w:spacing w:val="2"/>
                      <w:position w:val="2"/>
                      <w:sz w:val="18"/>
                      <w:szCs w:val="18"/>
                    </w:rPr>
                    <w:t>HC+</w:t>
                  </w:r>
                  <w:r>
                    <w:rPr>
                      <w:rFonts w:ascii="Times New Roman"/>
                      <w:b/>
                      <w:color w:val="auto"/>
                      <w:spacing w:val="14"/>
                      <w:position w:val="2"/>
                      <w:sz w:val="18"/>
                      <w:szCs w:val="18"/>
                    </w:rPr>
                    <w:t xml:space="preserve"> </w:t>
                  </w:r>
                  <w:r>
                    <w:rPr>
                      <w:rFonts w:ascii="Times New Roman"/>
                      <w:b/>
                      <w:color w:val="auto"/>
                      <w:spacing w:val="3"/>
                      <w:position w:val="2"/>
                      <w:sz w:val="18"/>
                      <w:szCs w:val="18"/>
                    </w:rPr>
                    <w:t>NO</w:t>
                  </w:r>
                  <w:r>
                    <w:rPr>
                      <w:rFonts w:ascii="Times New Roman"/>
                      <w:b/>
                      <w:color w:val="auto"/>
                      <w:spacing w:val="3"/>
                      <w:sz w:val="18"/>
                      <w:szCs w:val="18"/>
                      <w:vertAlign w:val="subscript"/>
                    </w:rPr>
                    <w:t>X</w:t>
                  </w:r>
                </w:p>
              </w:tc>
              <w:tc>
                <w:tcPr>
                  <w:tcW w:w="1481" w:type="dxa"/>
                  <w:vMerge w:val="continue"/>
                  <w:tcBorders>
                    <w:tl2br w:val="nil"/>
                    <w:tr2bl w:val="nil"/>
                  </w:tcBorders>
                  <w:vAlign w:val="center"/>
                </w:tcPr>
                <w:p>
                  <w:pPr>
                    <w:jc w:val="center"/>
                    <w:rPr>
                      <w:rFonts w:hint="eastAsia" w:ascii="Times New Roman" w:hAnsi="Times New Roman" w:eastAsia="宋体" w:cs="Times New Roman"/>
                      <w:color w:val="auto"/>
                      <w:sz w:val="21"/>
                      <w:szCs w:val="21"/>
                    </w:rPr>
                  </w:pPr>
                </w:p>
              </w:tc>
              <w:tc>
                <w:tcPr>
                  <w:tcW w:w="3236" w:type="dxa"/>
                  <w:gridSpan w:val="3"/>
                  <w:tcBorders>
                    <w:tl2br w:val="nil"/>
                    <w:tr2bl w:val="nil"/>
                  </w:tcBorders>
                  <w:vAlign w:val="center"/>
                </w:tcPr>
                <w:p>
                  <w:pPr>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6.4</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c>
                <w:tcPr>
                  <w:tcW w:w="497" w:type="dxa"/>
                  <w:vMerge w:val="continue"/>
                  <w:tcBorders>
                    <w:tl2br w:val="nil"/>
                    <w:tr2bl w:val="nil"/>
                  </w:tcBorders>
                  <w:vAlign w:val="center"/>
                </w:tcPr>
                <w:p>
                  <w:pPr>
                    <w:widowControl/>
                    <w:jc w:val="left"/>
                    <w:rPr>
                      <w:color w:val="auto"/>
                      <w:kern w:val="0"/>
                      <w:sz w:val="21"/>
                      <w:szCs w:val="21"/>
                    </w:rPr>
                  </w:pPr>
                </w:p>
              </w:tc>
              <w:tc>
                <w:tcPr>
                  <w:tcW w:w="2111" w:type="dxa"/>
                  <w:vMerge w:val="continue"/>
                  <w:tcBorders>
                    <w:tl2br w:val="nil"/>
                    <w:tr2bl w:val="nil"/>
                  </w:tcBorders>
                  <w:vAlign w:val="center"/>
                </w:tcPr>
                <w:p>
                  <w:pPr>
                    <w:jc w:val="center"/>
                    <w:rPr>
                      <w:color w:val="auto"/>
                      <w:kern w:val="0"/>
                      <w:sz w:val="21"/>
                      <w:szCs w:val="21"/>
                    </w:rPr>
                  </w:pPr>
                </w:p>
              </w:tc>
              <w:tc>
                <w:tcPr>
                  <w:tcW w:w="619" w:type="dxa"/>
                  <w:tcBorders>
                    <w:tl2br w:val="nil"/>
                    <w:tr2bl w:val="nil"/>
                  </w:tcBorders>
                  <w:vAlign w:val="center"/>
                </w:tcPr>
                <w:p>
                  <w:pPr>
                    <w:widowControl/>
                    <w:jc w:val="left"/>
                    <w:rPr>
                      <w:rFonts w:hint="eastAsia"/>
                      <w:color w:val="auto"/>
                      <w:kern w:val="0"/>
                      <w:sz w:val="21"/>
                      <w:szCs w:val="21"/>
                      <w:lang w:val="en-US" w:eastAsia="zh-CN"/>
                    </w:rPr>
                  </w:pPr>
                  <w:r>
                    <w:rPr>
                      <w:rFonts w:hint="eastAsia"/>
                      <w:color w:val="auto"/>
                      <w:kern w:val="0"/>
                      <w:sz w:val="21"/>
                      <w:szCs w:val="21"/>
                      <w:lang w:val="en-US" w:eastAsia="zh-CN"/>
                    </w:rPr>
                    <w:t>PM</w:t>
                  </w:r>
                </w:p>
              </w:tc>
              <w:tc>
                <w:tcPr>
                  <w:tcW w:w="1481" w:type="dxa"/>
                  <w:vMerge w:val="continue"/>
                  <w:tcBorders>
                    <w:tl2br w:val="nil"/>
                    <w:tr2bl w:val="nil"/>
                  </w:tcBorders>
                  <w:vAlign w:val="center"/>
                </w:tcPr>
                <w:p>
                  <w:pPr>
                    <w:jc w:val="center"/>
                    <w:rPr>
                      <w:rFonts w:hint="eastAsia" w:ascii="Times New Roman" w:hAnsi="Times New Roman" w:eastAsia="宋体" w:cs="Times New Roman"/>
                      <w:color w:val="auto"/>
                      <w:sz w:val="21"/>
                      <w:szCs w:val="21"/>
                    </w:rPr>
                  </w:pPr>
                </w:p>
              </w:tc>
              <w:tc>
                <w:tcPr>
                  <w:tcW w:w="3236" w:type="dxa"/>
                  <w:gridSpan w:val="3"/>
                  <w:tcBorders>
                    <w:tl2br w:val="nil"/>
                    <w:tr2bl w:val="nil"/>
                  </w:tcBorders>
                  <w:vAlign w:val="center"/>
                </w:tcPr>
                <w:p>
                  <w:pPr>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0.20</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c>
                <w:tcPr>
                  <w:tcW w:w="497" w:type="dxa"/>
                  <w:vMerge w:val="continue"/>
                  <w:tcBorders>
                    <w:tl2br w:val="nil"/>
                    <w:tr2bl w:val="nil"/>
                  </w:tcBorders>
                  <w:vAlign w:val="center"/>
                </w:tcPr>
                <w:p>
                  <w:pPr>
                    <w:widowControl/>
                    <w:jc w:val="left"/>
                    <w:rPr>
                      <w:color w:val="auto"/>
                      <w:kern w:val="0"/>
                      <w:sz w:val="21"/>
                      <w:szCs w:val="21"/>
                    </w:rPr>
                  </w:pPr>
                </w:p>
              </w:tc>
              <w:tc>
                <w:tcPr>
                  <w:tcW w:w="2111" w:type="dxa"/>
                  <w:vMerge w:val="continue"/>
                  <w:tcBorders>
                    <w:tl2br w:val="nil"/>
                    <w:tr2bl w:val="nil"/>
                  </w:tcBorders>
                  <w:vAlign w:val="center"/>
                </w:tcPr>
                <w:p>
                  <w:pPr>
                    <w:jc w:val="center"/>
                    <w:rPr>
                      <w:color w:val="auto"/>
                      <w:kern w:val="0"/>
                      <w:sz w:val="21"/>
                      <w:szCs w:val="21"/>
                    </w:rPr>
                  </w:pPr>
                </w:p>
              </w:tc>
              <w:tc>
                <w:tcPr>
                  <w:tcW w:w="619" w:type="dxa"/>
                  <w:tcBorders>
                    <w:tl2br w:val="nil"/>
                    <w:tr2bl w:val="nil"/>
                  </w:tcBorders>
                  <w:textDirection w:val="lrTb"/>
                  <w:vAlign w:val="center"/>
                </w:tcPr>
                <w:p>
                  <w:pPr>
                    <w:widowControl/>
                    <w:jc w:val="left"/>
                    <w:rPr>
                      <w:rFonts w:hint="eastAsia"/>
                      <w:color w:val="auto"/>
                      <w:kern w:val="0"/>
                      <w:sz w:val="21"/>
                      <w:szCs w:val="21"/>
                      <w:lang w:val="en-US" w:eastAsia="zh-CN"/>
                    </w:rPr>
                  </w:pPr>
                  <w:r>
                    <w:rPr>
                      <w:rFonts w:hint="eastAsia"/>
                      <w:color w:val="auto"/>
                      <w:kern w:val="0"/>
                      <w:sz w:val="21"/>
                      <w:szCs w:val="21"/>
                      <w:lang w:val="en-US" w:eastAsia="zh-CN"/>
                    </w:rPr>
                    <w:t>CO</w:t>
                  </w:r>
                </w:p>
              </w:tc>
              <w:tc>
                <w:tcPr>
                  <w:tcW w:w="1481" w:type="dxa"/>
                  <w:vMerge w:val="restart"/>
                  <w:tcBorders>
                    <w:tl2br w:val="nil"/>
                    <w:tr2bl w:val="nil"/>
                  </w:tcBorders>
                  <w:vAlign w:val="center"/>
                </w:tcPr>
                <w:p>
                  <w:pPr>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第四阶段</w:t>
                  </w:r>
                </w:p>
              </w:tc>
              <w:tc>
                <w:tcPr>
                  <w:tcW w:w="3236" w:type="dxa"/>
                  <w:gridSpan w:val="3"/>
                  <w:tcBorders>
                    <w:tl2br w:val="nil"/>
                    <w:tr2bl w:val="nil"/>
                  </w:tcBorders>
                  <w:vAlign w:val="center"/>
                </w:tcPr>
                <w:p>
                  <w:pPr>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3.5</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c>
                <w:tcPr>
                  <w:tcW w:w="497" w:type="dxa"/>
                  <w:vMerge w:val="continue"/>
                  <w:tcBorders>
                    <w:tl2br w:val="nil"/>
                    <w:tr2bl w:val="nil"/>
                  </w:tcBorders>
                  <w:vAlign w:val="center"/>
                </w:tcPr>
                <w:p>
                  <w:pPr>
                    <w:widowControl/>
                    <w:jc w:val="left"/>
                    <w:rPr>
                      <w:color w:val="auto"/>
                      <w:kern w:val="0"/>
                      <w:sz w:val="21"/>
                      <w:szCs w:val="21"/>
                    </w:rPr>
                  </w:pPr>
                </w:p>
              </w:tc>
              <w:tc>
                <w:tcPr>
                  <w:tcW w:w="2111" w:type="dxa"/>
                  <w:vMerge w:val="continue"/>
                  <w:tcBorders>
                    <w:tl2br w:val="nil"/>
                    <w:tr2bl w:val="nil"/>
                  </w:tcBorders>
                  <w:vAlign w:val="center"/>
                </w:tcPr>
                <w:p>
                  <w:pPr>
                    <w:jc w:val="center"/>
                    <w:rPr>
                      <w:color w:val="auto"/>
                      <w:kern w:val="0"/>
                      <w:sz w:val="21"/>
                      <w:szCs w:val="21"/>
                    </w:rPr>
                  </w:pPr>
                </w:p>
              </w:tc>
              <w:tc>
                <w:tcPr>
                  <w:tcW w:w="619" w:type="dxa"/>
                  <w:tcBorders>
                    <w:tl2br w:val="nil"/>
                    <w:tr2bl w:val="nil"/>
                  </w:tcBorders>
                  <w:textDirection w:val="lrTb"/>
                  <w:vAlign w:val="center"/>
                </w:tcPr>
                <w:p>
                  <w:pPr>
                    <w:widowControl/>
                    <w:jc w:val="left"/>
                    <w:rPr>
                      <w:rFonts w:hint="eastAsia"/>
                      <w:color w:val="auto"/>
                      <w:kern w:val="0"/>
                      <w:sz w:val="21"/>
                      <w:szCs w:val="21"/>
                      <w:lang w:val="en-US" w:eastAsia="zh-CN"/>
                    </w:rPr>
                  </w:pPr>
                  <w:r>
                    <w:rPr>
                      <w:rFonts w:hint="eastAsia"/>
                      <w:color w:val="auto"/>
                      <w:kern w:val="0"/>
                      <w:sz w:val="21"/>
                      <w:szCs w:val="21"/>
                      <w:lang w:val="en-US" w:eastAsia="zh-CN"/>
                    </w:rPr>
                    <w:t>HC</w:t>
                  </w:r>
                </w:p>
              </w:tc>
              <w:tc>
                <w:tcPr>
                  <w:tcW w:w="1481" w:type="dxa"/>
                  <w:vMerge w:val="continue"/>
                  <w:tcBorders>
                    <w:tl2br w:val="nil"/>
                    <w:tr2bl w:val="nil"/>
                  </w:tcBorders>
                  <w:vAlign w:val="center"/>
                </w:tcPr>
                <w:p>
                  <w:pPr>
                    <w:jc w:val="center"/>
                    <w:rPr>
                      <w:rFonts w:hint="eastAsia" w:ascii="Times New Roman" w:hAnsi="Times New Roman" w:eastAsia="宋体" w:cs="Times New Roman"/>
                      <w:color w:val="auto"/>
                      <w:sz w:val="21"/>
                      <w:szCs w:val="21"/>
                    </w:rPr>
                  </w:pPr>
                </w:p>
              </w:tc>
              <w:tc>
                <w:tcPr>
                  <w:tcW w:w="3236" w:type="dxa"/>
                  <w:gridSpan w:val="3"/>
                  <w:tcBorders>
                    <w:tl2br w:val="nil"/>
                    <w:tr2bl w:val="nil"/>
                  </w:tcBorders>
                  <w:vAlign w:val="center"/>
                </w:tcPr>
                <w:p>
                  <w:pPr>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0.4</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c>
                <w:tcPr>
                  <w:tcW w:w="497" w:type="dxa"/>
                  <w:vMerge w:val="continue"/>
                  <w:tcBorders>
                    <w:tl2br w:val="nil"/>
                    <w:tr2bl w:val="nil"/>
                  </w:tcBorders>
                  <w:vAlign w:val="center"/>
                </w:tcPr>
                <w:p>
                  <w:pPr>
                    <w:widowControl/>
                    <w:jc w:val="left"/>
                    <w:rPr>
                      <w:color w:val="auto"/>
                      <w:kern w:val="0"/>
                      <w:sz w:val="21"/>
                      <w:szCs w:val="21"/>
                    </w:rPr>
                  </w:pPr>
                </w:p>
              </w:tc>
              <w:tc>
                <w:tcPr>
                  <w:tcW w:w="2111" w:type="dxa"/>
                  <w:vMerge w:val="continue"/>
                  <w:tcBorders>
                    <w:tl2br w:val="nil"/>
                    <w:tr2bl w:val="nil"/>
                  </w:tcBorders>
                  <w:vAlign w:val="center"/>
                </w:tcPr>
                <w:p>
                  <w:pPr>
                    <w:jc w:val="center"/>
                    <w:rPr>
                      <w:color w:val="auto"/>
                      <w:kern w:val="0"/>
                      <w:sz w:val="21"/>
                      <w:szCs w:val="21"/>
                    </w:rPr>
                  </w:pPr>
                </w:p>
              </w:tc>
              <w:tc>
                <w:tcPr>
                  <w:tcW w:w="619" w:type="dxa"/>
                  <w:tcBorders>
                    <w:tl2br w:val="nil"/>
                    <w:tr2bl w:val="nil"/>
                  </w:tcBorders>
                  <w:textDirection w:val="lrTb"/>
                  <w:vAlign w:val="center"/>
                </w:tcPr>
                <w:p>
                  <w:pPr>
                    <w:widowControl/>
                    <w:jc w:val="left"/>
                    <w:rPr>
                      <w:rFonts w:hint="eastAsia"/>
                      <w:color w:val="auto"/>
                      <w:kern w:val="0"/>
                      <w:sz w:val="21"/>
                      <w:szCs w:val="21"/>
                      <w:lang w:val="en-US" w:eastAsia="zh-CN"/>
                    </w:rPr>
                  </w:pPr>
                  <w:r>
                    <w:rPr>
                      <w:rFonts w:hint="eastAsia"/>
                      <w:color w:val="auto"/>
                      <w:kern w:val="0"/>
                      <w:sz w:val="21"/>
                      <w:szCs w:val="21"/>
                      <w:lang w:val="en-US" w:eastAsia="zh-CN"/>
                    </w:rPr>
                    <w:t>NO</w:t>
                  </w:r>
                  <w:r>
                    <w:rPr>
                      <w:rFonts w:hint="eastAsia"/>
                      <w:color w:val="auto"/>
                      <w:kern w:val="0"/>
                      <w:sz w:val="21"/>
                      <w:szCs w:val="21"/>
                      <w:vertAlign w:val="subscript"/>
                      <w:lang w:val="en-US" w:eastAsia="zh-CN"/>
                    </w:rPr>
                    <w:t>X</w:t>
                  </w:r>
                </w:p>
              </w:tc>
              <w:tc>
                <w:tcPr>
                  <w:tcW w:w="1481" w:type="dxa"/>
                  <w:vMerge w:val="continue"/>
                  <w:tcBorders>
                    <w:tl2br w:val="nil"/>
                    <w:tr2bl w:val="nil"/>
                  </w:tcBorders>
                  <w:vAlign w:val="center"/>
                </w:tcPr>
                <w:p>
                  <w:pPr>
                    <w:jc w:val="center"/>
                    <w:rPr>
                      <w:rFonts w:hint="eastAsia" w:ascii="Times New Roman" w:hAnsi="Times New Roman" w:eastAsia="宋体" w:cs="Times New Roman"/>
                      <w:color w:val="auto"/>
                      <w:sz w:val="21"/>
                      <w:szCs w:val="21"/>
                    </w:rPr>
                  </w:pPr>
                </w:p>
              </w:tc>
              <w:tc>
                <w:tcPr>
                  <w:tcW w:w="3236" w:type="dxa"/>
                  <w:gridSpan w:val="3"/>
                  <w:tcBorders>
                    <w:tl2br w:val="nil"/>
                    <w:tr2bl w:val="nil"/>
                  </w:tcBorders>
                  <w:vAlign w:val="center"/>
                </w:tcPr>
                <w:p>
                  <w:pPr>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3.5</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c>
                <w:tcPr>
                  <w:tcW w:w="497" w:type="dxa"/>
                  <w:vMerge w:val="continue"/>
                  <w:tcBorders>
                    <w:tl2br w:val="nil"/>
                    <w:tr2bl w:val="nil"/>
                  </w:tcBorders>
                  <w:vAlign w:val="center"/>
                </w:tcPr>
                <w:p>
                  <w:pPr>
                    <w:widowControl/>
                    <w:jc w:val="left"/>
                    <w:rPr>
                      <w:color w:val="auto"/>
                      <w:kern w:val="0"/>
                      <w:sz w:val="21"/>
                      <w:szCs w:val="21"/>
                    </w:rPr>
                  </w:pPr>
                </w:p>
              </w:tc>
              <w:tc>
                <w:tcPr>
                  <w:tcW w:w="2111" w:type="dxa"/>
                  <w:vMerge w:val="continue"/>
                  <w:tcBorders>
                    <w:tl2br w:val="nil"/>
                    <w:tr2bl w:val="nil"/>
                  </w:tcBorders>
                  <w:vAlign w:val="center"/>
                </w:tcPr>
                <w:p>
                  <w:pPr>
                    <w:jc w:val="center"/>
                    <w:rPr>
                      <w:color w:val="auto"/>
                      <w:kern w:val="0"/>
                      <w:sz w:val="21"/>
                      <w:szCs w:val="21"/>
                    </w:rPr>
                  </w:pPr>
                </w:p>
              </w:tc>
              <w:tc>
                <w:tcPr>
                  <w:tcW w:w="619" w:type="dxa"/>
                  <w:tcBorders>
                    <w:tl2br w:val="nil"/>
                    <w:tr2bl w:val="nil"/>
                  </w:tcBorders>
                  <w:textDirection w:val="lrTb"/>
                  <w:vAlign w:val="center"/>
                </w:tcPr>
                <w:p>
                  <w:pPr>
                    <w:widowControl/>
                    <w:jc w:val="left"/>
                    <w:rPr>
                      <w:rFonts w:hint="eastAsia"/>
                      <w:color w:val="auto"/>
                      <w:kern w:val="0"/>
                      <w:sz w:val="21"/>
                      <w:szCs w:val="21"/>
                      <w:lang w:val="en-US" w:eastAsia="zh-CN"/>
                    </w:rPr>
                  </w:pPr>
                  <w:r>
                    <w:rPr>
                      <w:rFonts w:ascii="Times New Roman"/>
                      <w:b/>
                      <w:color w:val="auto"/>
                      <w:spacing w:val="2"/>
                      <w:position w:val="2"/>
                      <w:sz w:val="18"/>
                      <w:szCs w:val="18"/>
                    </w:rPr>
                    <w:t>HC+</w:t>
                  </w:r>
                  <w:r>
                    <w:rPr>
                      <w:rFonts w:ascii="Times New Roman"/>
                      <w:b/>
                      <w:color w:val="auto"/>
                      <w:spacing w:val="14"/>
                      <w:position w:val="2"/>
                      <w:sz w:val="18"/>
                      <w:szCs w:val="18"/>
                    </w:rPr>
                    <w:t xml:space="preserve"> </w:t>
                  </w:r>
                  <w:r>
                    <w:rPr>
                      <w:rFonts w:ascii="Times New Roman"/>
                      <w:b/>
                      <w:color w:val="auto"/>
                      <w:spacing w:val="3"/>
                      <w:position w:val="2"/>
                      <w:sz w:val="18"/>
                      <w:szCs w:val="18"/>
                    </w:rPr>
                    <w:t>NO</w:t>
                  </w:r>
                  <w:r>
                    <w:rPr>
                      <w:rFonts w:ascii="Times New Roman"/>
                      <w:b/>
                      <w:color w:val="auto"/>
                      <w:spacing w:val="3"/>
                      <w:sz w:val="18"/>
                      <w:szCs w:val="18"/>
                      <w:vertAlign w:val="subscript"/>
                    </w:rPr>
                    <w:t>X</w:t>
                  </w:r>
                </w:p>
              </w:tc>
              <w:tc>
                <w:tcPr>
                  <w:tcW w:w="1481" w:type="dxa"/>
                  <w:vMerge w:val="continue"/>
                  <w:tcBorders>
                    <w:tl2br w:val="nil"/>
                    <w:tr2bl w:val="nil"/>
                  </w:tcBorders>
                  <w:vAlign w:val="center"/>
                </w:tcPr>
                <w:p>
                  <w:pPr>
                    <w:jc w:val="center"/>
                    <w:rPr>
                      <w:rFonts w:hint="eastAsia" w:ascii="Times New Roman" w:hAnsi="Times New Roman" w:eastAsia="宋体" w:cs="Times New Roman"/>
                      <w:color w:val="auto"/>
                      <w:sz w:val="21"/>
                      <w:szCs w:val="21"/>
                    </w:rPr>
                  </w:pPr>
                </w:p>
              </w:tc>
              <w:tc>
                <w:tcPr>
                  <w:tcW w:w="3236" w:type="dxa"/>
                  <w:gridSpan w:val="3"/>
                  <w:tcBorders>
                    <w:tl2br w:val="nil"/>
                    <w:tr2bl w:val="nil"/>
                  </w:tcBorders>
                  <w:vAlign w:val="center"/>
                </w:tcPr>
                <w:p>
                  <w:pPr>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c>
                <w:tcPr>
                  <w:tcW w:w="497" w:type="dxa"/>
                  <w:vMerge w:val="continue"/>
                  <w:tcBorders>
                    <w:tl2br w:val="nil"/>
                    <w:tr2bl w:val="nil"/>
                  </w:tcBorders>
                  <w:vAlign w:val="center"/>
                </w:tcPr>
                <w:p>
                  <w:pPr>
                    <w:widowControl/>
                    <w:jc w:val="left"/>
                    <w:rPr>
                      <w:color w:val="auto"/>
                      <w:kern w:val="0"/>
                      <w:sz w:val="21"/>
                      <w:szCs w:val="21"/>
                    </w:rPr>
                  </w:pPr>
                </w:p>
              </w:tc>
              <w:tc>
                <w:tcPr>
                  <w:tcW w:w="2111" w:type="dxa"/>
                  <w:vMerge w:val="continue"/>
                  <w:tcBorders>
                    <w:tl2br w:val="nil"/>
                    <w:tr2bl w:val="nil"/>
                  </w:tcBorders>
                  <w:vAlign w:val="center"/>
                </w:tcPr>
                <w:p>
                  <w:pPr>
                    <w:jc w:val="center"/>
                    <w:rPr>
                      <w:color w:val="auto"/>
                      <w:kern w:val="0"/>
                      <w:sz w:val="21"/>
                      <w:szCs w:val="21"/>
                    </w:rPr>
                  </w:pPr>
                </w:p>
              </w:tc>
              <w:tc>
                <w:tcPr>
                  <w:tcW w:w="619" w:type="dxa"/>
                  <w:tcBorders>
                    <w:tl2br w:val="nil"/>
                    <w:tr2bl w:val="nil"/>
                  </w:tcBorders>
                  <w:textDirection w:val="lrTb"/>
                  <w:vAlign w:val="center"/>
                </w:tcPr>
                <w:p>
                  <w:pPr>
                    <w:widowControl/>
                    <w:jc w:val="left"/>
                    <w:rPr>
                      <w:rFonts w:hint="eastAsia"/>
                      <w:color w:val="auto"/>
                      <w:kern w:val="0"/>
                      <w:sz w:val="21"/>
                      <w:szCs w:val="21"/>
                      <w:lang w:val="en-US" w:eastAsia="zh-CN"/>
                    </w:rPr>
                  </w:pPr>
                  <w:r>
                    <w:rPr>
                      <w:rFonts w:hint="eastAsia"/>
                      <w:color w:val="auto"/>
                      <w:kern w:val="0"/>
                      <w:sz w:val="21"/>
                      <w:szCs w:val="21"/>
                      <w:lang w:val="en-US" w:eastAsia="zh-CN"/>
                    </w:rPr>
                    <w:t>PM</w:t>
                  </w:r>
                </w:p>
              </w:tc>
              <w:tc>
                <w:tcPr>
                  <w:tcW w:w="1481" w:type="dxa"/>
                  <w:vMerge w:val="continue"/>
                  <w:tcBorders>
                    <w:tl2br w:val="nil"/>
                    <w:tr2bl w:val="nil"/>
                  </w:tcBorders>
                  <w:vAlign w:val="center"/>
                </w:tcPr>
                <w:p>
                  <w:pPr>
                    <w:jc w:val="center"/>
                    <w:rPr>
                      <w:rFonts w:hint="eastAsia" w:ascii="Times New Roman" w:hAnsi="Times New Roman" w:eastAsia="宋体" w:cs="Times New Roman"/>
                      <w:color w:val="auto"/>
                      <w:sz w:val="21"/>
                      <w:szCs w:val="21"/>
                    </w:rPr>
                  </w:pPr>
                </w:p>
              </w:tc>
              <w:tc>
                <w:tcPr>
                  <w:tcW w:w="3236" w:type="dxa"/>
                  <w:gridSpan w:val="3"/>
                  <w:tcBorders>
                    <w:tl2br w:val="nil"/>
                    <w:tr2bl w:val="nil"/>
                  </w:tcBorders>
                  <w:vAlign w:val="center"/>
                </w:tcPr>
                <w:p>
                  <w:pPr>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1.10</w:t>
                  </w:r>
                </w:p>
              </w:tc>
            </w:tr>
          </w:tbl>
          <w:p>
            <w:pPr>
              <w:adjustRightInd w:val="0"/>
              <w:snapToGrid w:val="0"/>
              <w:spacing w:line="360" w:lineRule="auto"/>
              <w:ind w:firstLine="480" w:firstLineChars="200"/>
              <w:rPr>
                <w:color w:val="auto"/>
                <w:kern w:val="24"/>
                <w:sz w:val="24"/>
              </w:rPr>
            </w:pPr>
            <w:r>
              <w:rPr>
                <w:color w:val="auto"/>
                <w:sz w:val="24"/>
              </w:rPr>
              <w:t>（2）废水：废水排放执行《污水综合排放标准》（GB8978-1996）三级标准和《污水排入城镇下水道水质标准》B级（GB/T31962-2015）</w:t>
            </w:r>
            <w:r>
              <w:rPr>
                <w:rFonts w:hint="eastAsia"/>
                <w:color w:val="auto"/>
                <w:sz w:val="24"/>
                <w:lang w:eastAsia="zh-CN"/>
              </w:rPr>
              <w:t>，</w:t>
            </w:r>
            <w:r>
              <w:rPr>
                <w:rFonts w:hint="eastAsia"/>
                <w:color w:val="auto"/>
                <w:sz w:val="24"/>
                <w:lang w:val="en-US" w:eastAsia="zh-CN"/>
              </w:rPr>
              <w:t>具体情况见表16。</w:t>
            </w:r>
          </w:p>
          <w:p>
            <w:pPr>
              <w:pStyle w:val="2"/>
              <w:spacing w:after="0"/>
              <w:ind w:left="0" w:leftChars="0" w:firstLine="0" w:firstLineChars="0"/>
              <w:jc w:val="center"/>
              <w:rPr>
                <w:rFonts w:hint="eastAsia" w:ascii="Times New Roman" w:hAnsi="Times New Roman" w:eastAsia="黑体" w:cs="Times New Roman"/>
                <w:color w:val="auto"/>
                <w:kern w:val="2"/>
                <w:sz w:val="24"/>
                <w:szCs w:val="24"/>
                <w:lang w:val="en-US" w:eastAsia="zh-CN" w:bidi="ar-SA"/>
              </w:rPr>
            </w:pPr>
            <w:r>
              <w:rPr>
                <w:rFonts w:hint="eastAsia" w:ascii="Times New Roman" w:hAnsi="Times New Roman" w:eastAsia="黑体" w:cs="Times New Roman"/>
                <w:color w:val="auto"/>
                <w:kern w:val="2"/>
                <w:sz w:val="24"/>
                <w:szCs w:val="24"/>
                <w:lang w:val="en-US" w:eastAsia="zh-CN" w:bidi="ar-SA"/>
              </w:rPr>
              <w:t>表16   项目生活废水的主要污染物排放情况</w:t>
            </w:r>
          </w:p>
          <w:tbl>
            <w:tblPr>
              <w:tblStyle w:val="24"/>
              <w:tblW w:w="7944"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757"/>
              <w:gridCol w:w="1090"/>
              <w:gridCol w:w="1100"/>
              <w:gridCol w:w="1020"/>
              <w:gridCol w:w="810"/>
              <w:gridCol w:w="11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57" w:type="dxa"/>
                  <w:vAlign w:val="center"/>
                </w:tcPr>
                <w:p>
                  <w:pPr>
                    <w:jc w:val="center"/>
                    <w:rPr>
                      <w:color w:val="auto"/>
                      <w:szCs w:val="21"/>
                    </w:rPr>
                  </w:pPr>
                  <w:r>
                    <w:rPr>
                      <w:color w:val="auto"/>
                      <w:szCs w:val="21"/>
                    </w:rPr>
                    <w:t>污染物名称</w:t>
                  </w:r>
                </w:p>
              </w:tc>
              <w:tc>
                <w:tcPr>
                  <w:tcW w:w="1090" w:type="dxa"/>
                  <w:vAlign w:val="center"/>
                </w:tcPr>
                <w:p>
                  <w:pPr>
                    <w:jc w:val="center"/>
                    <w:rPr>
                      <w:color w:val="auto"/>
                      <w:szCs w:val="21"/>
                    </w:rPr>
                  </w:pPr>
                  <w:r>
                    <w:rPr>
                      <w:color w:val="auto"/>
                      <w:szCs w:val="21"/>
                    </w:rPr>
                    <w:t>COD</w:t>
                  </w:r>
                </w:p>
              </w:tc>
              <w:tc>
                <w:tcPr>
                  <w:tcW w:w="1100" w:type="dxa"/>
                  <w:vAlign w:val="center"/>
                </w:tcPr>
                <w:p>
                  <w:pPr>
                    <w:jc w:val="center"/>
                    <w:rPr>
                      <w:color w:val="auto"/>
                      <w:szCs w:val="21"/>
                    </w:rPr>
                  </w:pPr>
                  <w:r>
                    <w:rPr>
                      <w:color w:val="auto"/>
                      <w:szCs w:val="21"/>
                    </w:rPr>
                    <w:t>BOD</w:t>
                  </w:r>
                  <w:r>
                    <w:rPr>
                      <w:color w:val="auto"/>
                      <w:szCs w:val="21"/>
                      <w:vertAlign w:val="subscript"/>
                    </w:rPr>
                    <w:t>5</w:t>
                  </w:r>
                </w:p>
              </w:tc>
              <w:tc>
                <w:tcPr>
                  <w:tcW w:w="1020" w:type="dxa"/>
                  <w:vAlign w:val="center"/>
                </w:tcPr>
                <w:p>
                  <w:pPr>
                    <w:jc w:val="center"/>
                    <w:rPr>
                      <w:color w:val="auto"/>
                      <w:szCs w:val="21"/>
                    </w:rPr>
                  </w:pPr>
                  <w:r>
                    <w:rPr>
                      <w:color w:val="auto"/>
                      <w:szCs w:val="21"/>
                    </w:rPr>
                    <w:t>SS</w:t>
                  </w:r>
                </w:p>
              </w:tc>
              <w:tc>
                <w:tcPr>
                  <w:tcW w:w="810" w:type="dxa"/>
                  <w:vAlign w:val="center"/>
                </w:tcPr>
                <w:p>
                  <w:pPr>
                    <w:jc w:val="center"/>
                    <w:rPr>
                      <w:color w:val="auto"/>
                      <w:szCs w:val="21"/>
                    </w:rPr>
                  </w:pPr>
                  <w:r>
                    <w:rPr>
                      <w:color w:val="auto"/>
                      <w:szCs w:val="21"/>
                    </w:rPr>
                    <w:t>氨氮</w:t>
                  </w:r>
                </w:p>
              </w:tc>
              <w:tc>
                <w:tcPr>
                  <w:tcW w:w="1167" w:type="dxa"/>
                  <w:vAlign w:val="center"/>
                </w:tcPr>
                <w:p>
                  <w:pPr>
                    <w:jc w:val="center"/>
                    <w:rPr>
                      <w:rFonts w:hint="eastAsia" w:eastAsia="宋体"/>
                      <w:color w:val="auto"/>
                      <w:szCs w:val="21"/>
                      <w:lang w:val="en-US" w:eastAsia="zh-CN"/>
                    </w:rPr>
                  </w:pPr>
                  <w:r>
                    <w:rPr>
                      <w:rFonts w:hint="eastAsia"/>
                      <w:color w:val="auto"/>
                      <w:szCs w:val="21"/>
                      <w:lang w:val="en-US" w:eastAsia="zh-CN"/>
                    </w:rPr>
                    <w:t>动植物油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57" w:type="dxa"/>
                  <w:vAlign w:val="center"/>
                </w:tcPr>
                <w:p>
                  <w:pPr>
                    <w:jc w:val="center"/>
                    <w:rPr>
                      <w:color w:val="auto"/>
                      <w:szCs w:val="21"/>
                    </w:rPr>
                  </w:pPr>
                  <w:r>
                    <w:rPr>
                      <w:color w:val="auto"/>
                      <w:szCs w:val="21"/>
                    </w:rPr>
                    <w:t>GB8978-1996三级标准</w:t>
                  </w:r>
                </w:p>
              </w:tc>
              <w:tc>
                <w:tcPr>
                  <w:tcW w:w="1090" w:type="dxa"/>
                  <w:vAlign w:val="center"/>
                </w:tcPr>
                <w:p>
                  <w:pPr>
                    <w:jc w:val="center"/>
                    <w:rPr>
                      <w:color w:val="auto"/>
                      <w:szCs w:val="21"/>
                    </w:rPr>
                  </w:pPr>
                  <w:r>
                    <w:rPr>
                      <w:color w:val="auto"/>
                      <w:szCs w:val="21"/>
                    </w:rPr>
                    <w:t>500</w:t>
                  </w:r>
                </w:p>
              </w:tc>
              <w:tc>
                <w:tcPr>
                  <w:tcW w:w="1100" w:type="dxa"/>
                  <w:vAlign w:val="center"/>
                </w:tcPr>
                <w:p>
                  <w:pPr>
                    <w:jc w:val="center"/>
                    <w:rPr>
                      <w:color w:val="auto"/>
                      <w:szCs w:val="21"/>
                    </w:rPr>
                  </w:pPr>
                  <w:r>
                    <w:rPr>
                      <w:color w:val="auto"/>
                      <w:szCs w:val="21"/>
                    </w:rPr>
                    <w:t>300</w:t>
                  </w:r>
                </w:p>
              </w:tc>
              <w:tc>
                <w:tcPr>
                  <w:tcW w:w="1020" w:type="dxa"/>
                  <w:vAlign w:val="center"/>
                </w:tcPr>
                <w:p>
                  <w:pPr>
                    <w:jc w:val="center"/>
                    <w:rPr>
                      <w:color w:val="auto"/>
                      <w:szCs w:val="21"/>
                    </w:rPr>
                  </w:pPr>
                  <w:r>
                    <w:rPr>
                      <w:color w:val="auto"/>
                      <w:szCs w:val="21"/>
                    </w:rPr>
                    <w:t>400</w:t>
                  </w:r>
                </w:p>
              </w:tc>
              <w:tc>
                <w:tcPr>
                  <w:tcW w:w="810" w:type="dxa"/>
                  <w:vAlign w:val="center"/>
                </w:tcPr>
                <w:p>
                  <w:pPr>
                    <w:jc w:val="center"/>
                    <w:rPr>
                      <w:color w:val="auto"/>
                      <w:szCs w:val="21"/>
                    </w:rPr>
                  </w:pPr>
                  <w:r>
                    <w:rPr>
                      <w:color w:val="auto"/>
                      <w:szCs w:val="21"/>
                    </w:rPr>
                    <w:t>/</w:t>
                  </w:r>
                </w:p>
              </w:tc>
              <w:tc>
                <w:tcPr>
                  <w:tcW w:w="1167" w:type="dxa"/>
                  <w:vAlign w:val="center"/>
                </w:tcPr>
                <w:p>
                  <w:pPr>
                    <w:jc w:val="center"/>
                    <w:rPr>
                      <w:rFonts w:hint="eastAsia" w:eastAsia="宋体"/>
                      <w:color w:val="auto"/>
                      <w:szCs w:val="21"/>
                      <w:lang w:val="en-US" w:eastAsia="zh-CN"/>
                    </w:rPr>
                  </w:pPr>
                  <w:r>
                    <w:rPr>
                      <w:rFonts w:hint="eastAsia"/>
                      <w:color w:val="auto"/>
                      <w:szCs w:val="21"/>
                      <w:lang w:val="en-US" w:eastAsia="zh-CN"/>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57" w:type="dxa"/>
                  <w:vAlign w:val="center"/>
                </w:tcPr>
                <w:p>
                  <w:pPr>
                    <w:jc w:val="center"/>
                    <w:rPr>
                      <w:color w:val="auto"/>
                      <w:szCs w:val="21"/>
                    </w:rPr>
                  </w:pPr>
                  <w:r>
                    <w:rPr>
                      <w:color w:val="auto"/>
                      <w:szCs w:val="21"/>
                    </w:rPr>
                    <w:t>GB/T31962-2015 B级标准</w:t>
                  </w:r>
                </w:p>
              </w:tc>
              <w:tc>
                <w:tcPr>
                  <w:tcW w:w="1090" w:type="dxa"/>
                  <w:vAlign w:val="center"/>
                </w:tcPr>
                <w:p>
                  <w:pPr>
                    <w:jc w:val="center"/>
                    <w:rPr>
                      <w:color w:val="auto"/>
                      <w:szCs w:val="21"/>
                    </w:rPr>
                  </w:pPr>
                  <w:r>
                    <w:rPr>
                      <w:color w:val="auto"/>
                      <w:szCs w:val="21"/>
                    </w:rPr>
                    <w:t>500</w:t>
                  </w:r>
                </w:p>
              </w:tc>
              <w:tc>
                <w:tcPr>
                  <w:tcW w:w="1100" w:type="dxa"/>
                  <w:vAlign w:val="center"/>
                </w:tcPr>
                <w:p>
                  <w:pPr>
                    <w:jc w:val="center"/>
                    <w:rPr>
                      <w:color w:val="auto"/>
                      <w:szCs w:val="21"/>
                    </w:rPr>
                  </w:pPr>
                  <w:r>
                    <w:rPr>
                      <w:color w:val="auto"/>
                      <w:szCs w:val="21"/>
                    </w:rPr>
                    <w:t>350</w:t>
                  </w:r>
                </w:p>
              </w:tc>
              <w:tc>
                <w:tcPr>
                  <w:tcW w:w="1020" w:type="dxa"/>
                  <w:vAlign w:val="center"/>
                </w:tcPr>
                <w:p>
                  <w:pPr>
                    <w:jc w:val="center"/>
                    <w:rPr>
                      <w:color w:val="auto"/>
                      <w:szCs w:val="21"/>
                    </w:rPr>
                  </w:pPr>
                  <w:r>
                    <w:rPr>
                      <w:color w:val="auto"/>
                      <w:szCs w:val="21"/>
                    </w:rPr>
                    <w:t>400</w:t>
                  </w:r>
                </w:p>
              </w:tc>
              <w:tc>
                <w:tcPr>
                  <w:tcW w:w="810" w:type="dxa"/>
                  <w:vAlign w:val="center"/>
                </w:tcPr>
                <w:p>
                  <w:pPr>
                    <w:jc w:val="center"/>
                    <w:rPr>
                      <w:color w:val="auto"/>
                      <w:szCs w:val="21"/>
                    </w:rPr>
                  </w:pPr>
                  <w:r>
                    <w:rPr>
                      <w:color w:val="auto"/>
                      <w:szCs w:val="21"/>
                    </w:rPr>
                    <w:t>45</w:t>
                  </w:r>
                </w:p>
              </w:tc>
              <w:tc>
                <w:tcPr>
                  <w:tcW w:w="1167" w:type="dxa"/>
                  <w:vAlign w:val="center"/>
                </w:tcPr>
                <w:p>
                  <w:pPr>
                    <w:jc w:val="center"/>
                    <w:rPr>
                      <w:rFonts w:hint="eastAsia" w:eastAsia="宋体"/>
                      <w:color w:val="auto"/>
                      <w:szCs w:val="21"/>
                      <w:lang w:val="en-US" w:eastAsia="zh-CN"/>
                    </w:rPr>
                  </w:pPr>
                  <w:r>
                    <w:rPr>
                      <w:rFonts w:hint="eastAsia"/>
                      <w:color w:val="auto"/>
                      <w:szCs w:val="21"/>
                      <w:lang w:val="en-US" w:eastAsia="zh-CN"/>
                    </w:rPr>
                    <w:t>100</w:t>
                  </w:r>
                </w:p>
              </w:tc>
            </w:tr>
          </w:tbl>
          <w:p>
            <w:pPr>
              <w:autoSpaceDE w:val="0"/>
              <w:autoSpaceDN w:val="0"/>
              <w:spacing w:line="360" w:lineRule="auto"/>
              <w:ind w:firstLine="480" w:firstLineChars="200"/>
              <w:rPr>
                <w:color w:val="auto"/>
                <w:sz w:val="24"/>
              </w:rPr>
            </w:pPr>
            <w:r>
              <w:rPr>
                <w:color w:val="auto"/>
                <w:sz w:val="24"/>
              </w:rPr>
              <w:t>（3）噪声：施工期建筑噪声执行《建筑施工场界环境噪声排放》（GB12523-2011）中相关规定；运营期厂界噪声执行</w:t>
            </w:r>
            <w:r>
              <w:rPr>
                <w:rFonts w:hint="eastAsia"/>
                <w:color w:val="auto"/>
                <w:sz w:val="24"/>
              </w:rPr>
              <w:t>《社会生活环境噪声排放标准》（GB 22337</w:t>
            </w:r>
            <w:r>
              <w:rPr>
                <w:rFonts w:hint="eastAsia"/>
                <w:color w:val="auto"/>
                <w:sz w:val="24"/>
                <w:lang w:val="en-US" w:eastAsia="zh-CN"/>
              </w:rPr>
              <w:t>-</w:t>
            </w:r>
            <w:r>
              <w:rPr>
                <w:rFonts w:hint="eastAsia"/>
                <w:color w:val="auto"/>
                <w:sz w:val="24"/>
              </w:rPr>
              <w:t>2008）</w:t>
            </w:r>
            <w:r>
              <w:rPr>
                <w:color w:val="auto"/>
                <w:sz w:val="24"/>
              </w:rPr>
              <w:t>中2</w:t>
            </w:r>
            <w:r>
              <w:rPr>
                <w:rFonts w:hint="eastAsia"/>
                <w:color w:val="auto"/>
                <w:sz w:val="24"/>
                <w:lang w:eastAsia="zh-CN"/>
              </w:rPr>
              <w:t>、</w:t>
            </w:r>
            <w:r>
              <w:rPr>
                <w:rFonts w:hint="eastAsia"/>
                <w:color w:val="auto"/>
                <w:sz w:val="24"/>
                <w:lang w:val="en-US" w:eastAsia="zh-CN"/>
              </w:rPr>
              <w:t>4</w:t>
            </w:r>
            <w:r>
              <w:rPr>
                <w:color w:val="auto"/>
                <w:sz w:val="24"/>
              </w:rPr>
              <w:t>类标准要求</w:t>
            </w:r>
            <w:r>
              <w:rPr>
                <w:rFonts w:hint="eastAsia"/>
                <w:color w:val="auto"/>
                <w:sz w:val="24"/>
                <w:lang w:eastAsia="zh-CN"/>
              </w:rPr>
              <w:t>，</w:t>
            </w:r>
            <w:r>
              <w:rPr>
                <w:rFonts w:hint="eastAsia"/>
                <w:color w:val="auto"/>
                <w:sz w:val="24"/>
                <w:lang w:val="en-US" w:eastAsia="zh-CN"/>
              </w:rPr>
              <w:t>具体情况见表17。</w:t>
            </w:r>
          </w:p>
          <w:p>
            <w:pPr>
              <w:pStyle w:val="2"/>
              <w:spacing w:after="0"/>
              <w:ind w:left="0" w:leftChars="0" w:firstLine="0" w:firstLineChars="0"/>
              <w:jc w:val="center"/>
              <w:rPr>
                <w:rFonts w:hint="eastAsia" w:ascii="Times New Roman" w:hAnsi="Times New Roman" w:eastAsia="黑体" w:cs="Times New Roman"/>
                <w:color w:val="auto"/>
                <w:kern w:val="2"/>
                <w:sz w:val="24"/>
                <w:szCs w:val="24"/>
                <w:lang w:val="en-US" w:eastAsia="zh-CN" w:bidi="ar-SA"/>
              </w:rPr>
            </w:pPr>
            <w:r>
              <w:rPr>
                <w:rFonts w:hint="eastAsia" w:ascii="Times New Roman" w:hAnsi="Times New Roman" w:eastAsia="黑体" w:cs="Times New Roman"/>
                <w:color w:val="auto"/>
                <w:kern w:val="2"/>
                <w:sz w:val="24"/>
                <w:szCs w:val="24"/>
                <w:lang w:val="en-US" w:eastAsia="zh-CN" w:bidi="ar-SA"/>
              </w:rPr>
              <w:t>表17   噪声污染排放标准限值一览表</w:t>
            </w:r>
          </w:p>
          <w:tbl>
            <w:tblPr>
              <w:tblStyle w:val="24"/>
              <w:tblW w:w="7944"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2015"/>
              <w:gridCol w:w="821"/>
              <w:gridCol w:w="952"/>
              <w:gridCol w:w="415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246" w:hRule="atLeast"/>
              </w:trPr>
              <w:tc>
                <w:tcPr>
                  <w:tcW w:w="2015"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00" w:lineRule="atLeast"/>
                    <w:ind w:left="0" w:leftChars="0" w:right="0" w:rightChars="0" w:firstLine="0" w:firstLineChars="0"/>
                    <w:jc w:val="center"/>
                    <w:textAlignment w:val="auto"/>
                    <w:outlineLvl w:val="9"/>
                    <w:rPr>
                      <w:color w:val="auto"/>
                      <w:kern w:val="0"/>
                    </w:rPr>
                  </w:pPr>
                  <w:r>
                    <w:rPr>
                      <w:color w:val="auto"/>
                      <w:kern w:val="0"/>
                    </w:rPr>
                    <w:t>类别</w:t>
                  </w:r>
                </w:p>
              </w:tc>
              <w:tc>
                <w:tcPr>
                  <w:tcW w:w="1773"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200" w:lineRule="atLeast"/>
                    <w:ind w:left="0" w:leftChars="0" w:right="0" w:rightChars="0" w:firstLine="0" w:firstLineChars="0"/>
                    <w:jc w:val="center"/>
                    <w:textAlignment w:val="auto"/>
                    <w:outlineLvl w:val="9"/>
                    <w:rPr>
                      <w:color w:val="auto"/>
                      <w:kern w:val="0"/>
                    </w:rPr>
                  </w:pPr>
                  <w:r>
                    <w:rPr>
                      <w:color w:val="auto"/>
                      <w:kern w:val="0"/>
                    </w:rPr>
                    <w:t>标准值</w:t>
                  </w:r>
                </w:p>
              </w:tc>
              <w:tc>
                <w:tcPr>
                  <w:tcW w:w="4156"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00" w:lineRule="atLeast"/>
                    <w:ind w:left="0" w:leftChars="0" w:right="0" w:rightChars="0" w:firstLine="0" w:firstLineChars="0"/>
                    <w:jc w:val="center"/>
                    <w:textAlignment w:val="auto"/>
                    <w:outlineLvl w:val="9"/>
                    <w:rPr>
                      <w:color w:val="auto"/>
                      <w:kern w:val="0"/>
                    </w:rPr>
                  </w:pPr>
                  <w:r>
                    <w:rPr>
                      <w:color w:val="auto"/>
                      <w:kern w:val="0"/>
                    </w:rPr>
                    <w:t>标准来源</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236" w:hRule="atLeast"/>
              </w:trPr>
              <w:tc>
                <w:tcPr>
                  <w:tcW w:w="201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00" w:lineRule="atLeast"/>
                    <w:ind w:left="0" w:leftChars="0" w:right="0" w:rightChars="0" w:firstLine="0" w:firstLineChars="0"/>
                    <w:jc w:val="left"/>
                    <w:textAlignment w:val="auto"/>
                    <w:outlineLvl w:val="9"/>
                    <w:rPr>
                      <w:color w:val="auto"/>
                      <w:kern w:val="0"/>
                      <w:szCs w:val="21"/>
                    </w:rPr>
                  </w:pPr>
                </w:p>
              </w:tc>
              <w:tc>
                <w:tcPr>
                  <w:tcW w:w="82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00" w:lineRule="atLeast"/>
                    <w:ind w:left="0" w:leftChars="0" w:right="0" w:rightChars="0" w:firstLine="0" w:firstLineChars="0"/>
                    <w:jc w:val="center"/>
                    <w:textAlignment w:val="auto"/>
                    <w:outlineLvl w:val="9"/>
                    <w:rPr>
                      <w:color w:val="auto"/>
                      <w:kern w:val="0"/>
                    </w:rPr>
                  </w:pPr>
                  <w:r>
                    <w:rPr>
                      <w:color w:val="auto"/>
                      <w:kern w:val="0"/>
                    </w:rPr>
                    <w:t>昼间</w:t>
                  </w:r>
                </w:p>
              </w:tc>
              <w:tc>
                <w:tcPr>
                  <w:tcW w:w="95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00" w:lineRule="atLeast"/>
                    <w:ind w:left="0" w:leftChars="0" w:right="0" w:rightChars="0" w:firstLine="0" w:firstLineChars="0"/>
                    <w:jc w:val="center"/>
                    <w:textAlignment w:val="auto"/>
                    <w:outlineLvl w:val="9"/>
                    <w:rPr>
                      <w:color w:val="auto"/>
                      <w:kern w:val="0"/>
                    </w:rPr>
                  </w:pPr>
                  <w:r>
                    <w:rPr>
                      <w:color w:val="auto"/>
                      <w:kern w:val="0"/>
                    </w:rPr>
                    <w:t>夜间</w:t>
                  </w:r>
                </w:p>
              </w:tc>
              <w:tc>
                <w:tcPr>
                  <w:tcW w:w="4156"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00" w:lineRule="atLeast"/>
                    <w:ind w:left="0" w:leftChars="0" w:right="0" w:rightChars="0" w:firstLine="0" w:firstLineChars="0"/>
                    <w:jc w:val="left"/>
                    <w:textAlignment w:val="auto"/>
                    <w:outlineLvl w:val="9"/>
                    <w:rPr>
                      <w:color w:val="auto"/>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53" w:hRule="atLeast"/>
              </w:trPr>
              <w:tc>
                <w:tcPr>
                  <w:tcW w:w="201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00" w:lineRule="atLeast"/>
                    <w:ind w:left="0" w:leftChars="0" w:right="0" w:rightChars="0" w:firstLine="0" w:firstLineChars="0"/>
                    <w:jc w:val="center"/>
                    <w:textAlignment w:val="auto"/>
                    <w:outlineLvl w:val="9"/>
                    <w:rPr>
                      <w:color w:val="auto"/>
                      <w:kern w:val="0"/>
                    </w:rPr>
                  </w:pPr>
                  <w:r>
                    <w:rPr>
                      <w:color w:val="auto"/>
                      <w:kern w:val="0"/>
                    </w:rPr>
                    <w:t>施工期厂界噪声</w:t>
                  </w:r>
                </w:p>
              </w:tc>
              <w:tc>
                <w:tcPr>
                  <w:tcW w:w="82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00" w:lineRule="atLeast"/>
                    <w:ind w:left="0" w:leftChars="0" w:right="0" w:rightChars="0" w:firstLine="0" w:firstLineChars="0"/>
                    <w:jc w:val="center"/>
                    <w:textAlignment w:val="auto"/>
                    <w:outlineLvl w:val="9"/>
                    <w:rPr>
                      <w:color w:val="auto"/>
                      <w:kern w:val="0"/>
                    </w:rPr>
                  </w:pPr>
                  <w:r>
                    <w:rPr>
                      <w:color w:val="auto"/>
                      <w:kern w:val="0"/>
                    </w:rPr>
                    <w:t>70</w:t>
                  </w:r>
                </w:p>
              </w:tc>
              <w:tc>
                <w:tcPr>
                  <w:tcW w:w="95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00" w:lineRule="atLeast"/>
                    <w:ind w:left="0" w:leftChars="0" w:right="0" w:rightChars="0" w:firstLine="0" w:firstLineChars="0"/>
                    <w:jc w:val="center"/>
                    <w:textAlignment w:val="auto"/>
                    <w:outlineLvl w:val="9"/>
                    <w:rPr>
                      <w:color w:val="auto"/>
                      <w:kern w:val="0"/>
                    </w:rPr>
                  </w:pPr>
                  <w:r>
                    <w:rPr>
                      <w:color w:val="auto"/>
                      <w:kern w:val="0"/>
                    </w:rPr>
                    <w:t>55</w:t>
                  </w:r>
                </w:p>
              </w:tc>
              <w:tc>
                <w:tcPr>
                  <w:tcW w:w="415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00" w:lineRule="atLeast"/>
                    <w:ind w:left="0" w:leftChars="0" w:right="0" w:rightChars="0" w:firstLine="0" w:firstLineChars="0"/>
                    <w:jc w:val="center"/>
                    <w:textAlignment w:val="auto"/>
                    <w:outlineLvl w:val="9"/>
                    <w:rPr>
                      <w:color w:val="auto"/>
                      <w:kern w:val="0"/>
                    </w:rPr>
                  </w:pPr>
                  <w:r>
                    <w:rPr>
                      <w:color w:val="auto"/>
                      <w:kern w:val="0"/>
                    </w:rPr>
                    <w:t>《建筑施工场界环境噪声排放标准》(GB12523-2011)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2015"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00" w:lineRule="atLeast"/>
                    <w:ind w:left="0" w:leftChars="0" w:right="0" w:rightChars="0" w:firstLine="0" w:firstLineChars="0"/>
                    <w:jc w:val="center"/>
                    <w:textAlignment w:val="auto"/>
                    <w:outlineLvl w:val="9"/>
                    <w:rPr>
                      <w:color w:val="auto"/>
                      <w:kern w:val="0"/>
                    </w:rPr>
                  </w:pPr>
                  <w:r>
                    <w:rPr>
                      <w:color w:val="auto"/>
                      <w:kern w:val="0"/>
                    </w:rPr>
                    <w:t>运行期噪声</w:t>
                  </w:r>
                </w:p>
              </w:tc>
              <w:tc>
                <w:tcPr>
                  <w:tcW w:w="82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00" w:lineRule="atLeast"/>
                    <w:ind w:left="0" w:leftChars="0" w:right="0" w:rightChars="0" w:firstLine="0" w:firstLineChars="0"/>
                    <w:jc w:val="center"/>
                    <w:textAlignment w:val="auto"/>
                    <w:outlineLvl w:val="9"/>
                    <w:rPr>
                      <w:color w:val="auto"/>
                      <w:kern w:val="0"/>
                    </w:rPr>
                  </w:pPr>
                  <w:r>
                    <w:rPr>
                      <w:color w:val="auto"/>
                      <w:kern w:val="0"/>
                    </w:rPr>
                    <w:t>60</w:t>
                  </w:r>
                </w:p>
              </w:tc>
              <w:tc>
                <w:tcPr>
                  <w:tcW w:w="95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00" w:lineRule="atLeast"/>
                    <w:ind w:left="0" w:leftChars="0" w:right="0" w:rightChars="0" w:firstLine="0" w:firstLineChars="0"/>
                    <w:jc w:val="center"/>
                    <w:textAlignment w:val="auto"/>
                    <w:outlineLvl w:val="9"/>
                    <w:rPr>
                      <w:color w:val="auto"/>
                      <w:kern w:val="0"/>
                    </w:rPr>
                  </w:pPr>
                  <w:r>
                    <w:rPr>
                      <w:color w:val="auto"/>
                      <w:kern w:val="0"/>
                    </w:rPr>
                    <w:t>50</w:t>
                  </w:r>
                </w:p>
              </w:tc>
              <w:tc>
                <w:tcPr>
                  <w:tcW w:w="415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00" w:lineRule="atLeast"/>
                    <w:ind w:left="0" w:leftChars="0" w:right="0" w:rightChars="0" w:firstLine="0" w:firstLineChars="0"/>
                    <w:jc w:val="center"/>
                    <w:textAlignment w:val="auto"/>
                    <w:outlineLvl w:val="9"/>
                    <w:rPr>
                      <w:color w:val="auto"/>
                      <w:kern w:val="0"/>
                    </w:rPr>
                  </w:pPr>
                  <w:r>
                    <w:rPr>
                      <w:rFonts w:hint="eastAsia"/>
                      <w:color w:val="auto"/>
                      <w:kern w:val="0"/>
                    </w:rPr>
                    <w:t>《社会生活环境噪声排放标准》（GB 22337</w:t>
                  </w:r>
                  <w:r>
                    <w:rPr>
                      <w:rFonts w:hint="eastAsia"/>
                      <w:color w:val="auto"/>
                      <w:kern w:val="0"/>
                      <w:lang w:val="en-US" w:eastAsia="zh-CN"/>
                    </w:rPr>
                    <w:t>-</w:t>
                  </w:r>
                  <w:r>
                    <w:rPr>
                      <w:rFonts w:hint="eastAsia"/>
                      <w:color w:val="auto"/>
                      <w:kern w:val="0"/>
                    </w:rPr>
                    <w:t>2008）2类</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2015"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00" w:lineRule="atLeast"/>
                    <w:ind w:left="0" w:leftChars="0" w:right="0" w:rightChars="0" w:firstLine="0" w:firstLineChars="0"/>
                    <w:jc w:val="center"/>
                    <w:textAlignment w:val="auto"/>
                    <w:outlineLvl w:val="9"/>
                    <w:rPr>
                      <w:color w:val="auto"/>
                      <w:kern w:val="0"/>
                    </w:rPr>
                  </w:pPr>
                </w:p>
              </w:tc>
              <w:tc>
                <w:tcPr>
                  <w:tcW w:w="82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00" w:lineRule="atLeast"/>
                    <w:ind w:left="0" w:leftChars="0" w:right="0" w:rightChars="0" w:firstLine="0" w:firstLineChars="0"/>
                    <w:jc w:val="center"/>
                    <w:textAlignment w:val="auto"/>
                    <w:outlineLvl w:val="9"/>
                    <w:rPr>
                      <w:rFonts w:hint="eastAsia" w:eastAsia="宋体"/>
                      <w:color w:val="auto"/>
                      <w:kern w:val="0"/>
                      <w:lang w:val="en-US" w:eastAsia="zh-CN"/>
                    </w:rPr>
                  </w:pPr>
                  <w:r>
                    <w:rPr>
                      <w:rFonts w:hint="eastAsia"/>
                      <w:color w:val="auto"/>
                      <w:kern w:val="0"/>
                      <w:lang w:val="en-US" w:eastAsia="zh-CN"/>
                    </w:rPr>
                    <w:t>70</w:t>
                  </w:r>
                </w:p>
              </w:tc>
              <w:tc>
                <w:tcPr>
                  <w:tcW w:w="95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00" w:lineRule="atLeast"/>
                    <w:ind w:left="0" w:leftChars="0" w:right="0" w:rightChars="0" w:firstLine="0" w:firstLineChars="0"/>
                    <w:jc w:val="center"/>
                    <w:textAlignment w:val="auto"/>
                    <w:outlineLvl w:val="9"/>
                    <w:rPr>
                      <w:rFonts w:hint="eastAsia" w:eastAsia="宋体"/>
                      <w:color w:val="auto"/>
                      <w:kern w:val="0"/>
                      <w:lang w:val="en-US" w:eastAsia="zh-CN"/>
                    </w:rPr>
                  </w:pPr>
                  <w:r>
                    <w:rPr>
                      <w:rFonts w:hint="eastAsia"/>
                      <w:color w:val="auto"/>
                      <w:kern w:val="0"/>
                      <w:lang w:val="en-US" w:eastAsia="zh-CN"/>
                    </w:rPr>
                    <w:t>55</w:t>
                  </w:r>
                </w:p>
              </w:tc>
              <w:tc>
                <w:tcPr>
                  <w:tcW w:w="415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00" w:lineRule="atLeast"/>
                    <w:ind w:left="0" w:leftChars="0" w:right="0" w:rightChars="0" w:firstLine="0" w:firstLineChars="0"/>
                    <w:jc w:val="center"/>
                    <w:textAlignment w:val="auto"/>
                    <w:outlineLvl w:val="9"/>
                    <w:rPr>
                      <w:rFonts w:hint="eastAsia"/>
                      <w:color w:val="auto"/>
                      <w:kern w:val="0"/>
                    </w:rPr>
                  </w:pPr>
                  <w:r>
                    <w:rPr>
                      <w:rFonts w:hint="eastAsia"/>
                      <w:color w:val="auto"/>
                      <w:kern w:val="0"/>
                    </w:rPr>
                    <w:t>《社会生活环境噪声排放标准》（GB 22337</w:t>
                  </w:r>
                  <w:r>
                    <w:rPr>
                      <w:rFonts w:hint="eastAsia"/>
                      <w:color w:val="auto"/>
                      <w:kern w:val="0"/>
                      <w:lang w:val="en-US" w:eastAsia="zh-CN"/>
                    </w:rPr>
                    <w:t>-</w:t>
                  </w:r>
                  <w:r>
                    <w:rPr>
                      <w:rFonts w:hint="eastAsia"/>
                      <w:color w:val="auto"/>
                      <w:kern w:val="0"/>
                    </w:rPr>
                    <w:t>2008）</w:t>
                  </w:r>
                  <w:r>
                    <w:rPr>
                      <w:rFonts w:hint="eastAsia"/>
                      <w:color w:val="auto"/>
                      <w:kern w:val="0"/>
                      <w:lang w:val="en-US" w:eastAsia="zh-CN"/>
                    </w:rPr>
                    <w:t>4</w:t>
                  </w:r>
                  <w:r>
                    <w:rPr>
                      <w:rFonts w:hint="eastAsia"/>
                      <w:color w:val="auto"/>
                      <w:kern w:val="0"/>
                    </w:rPr>
                    <w:t>类</w:t>
                  </w:r>
                </w:p>
              </w:tc>
            </w:tr>
          </w:tbl>
          <w:p>
            <w:pPr>
              <w:adjustRightInd w:val="0"/>
              <w:snapToGrid w:val="0"/>
              <w:spacing w:line="360" w:lineRule="auto"/>
              <w:ind w:firstLine="480" w:firstLineChars="200"/>
              <w:rPr>
                <w:rFonts w:ascii="宋体" w:hAnsi="宋体" w:cs="宋体"/>
                <w:color w:val="auto"/>
                <w:kern w:val="0"/>
                <w:sz w:val="24"/>
              </w:rPr>
            </w:pPr>
            <w:r>
              <w:rPr>
                <w:color w:val="auto"/>
                <w:sz w:val="24"/>
              </w:rPr>
              <w:t>（4）固废：</w:t>
            </w:r>
            <w:r>
              <w:rPr>
                <w:rFonts w:hint="eastAsia"/>
                <w:color w:val="auto"/>
                <w:sz w:val="24"/>
                <w:szCs w:val="24"/>
                <w:lang w:val="en-US" w:eastAsia="zh-CN"/>
              </w:rPr>
              <w:t>2021年7月1日之前，</w:t>
            </w:r>
            <w:r>
              <w:rPr>
                <w:rFonts w:hint="eastAsia"/>
                <w:color w:val="auto"/>
                <w:sz w:val="24"/>
                <w:szCs w:val="24"/>
              </w:rPr>
              <w:t>一般工业固体废物执行《一般工业固体废物贮存处置场污染物控制标准》（GB18599-2001）及修改单（2013）中有关规定，</w:t>
            </w:r>
            <w:r>
              <w:rPr>
                <w:rFonts w:hint="eastAsia"/>
                <w:color w:val="auto"/>
                <w:sz w:val="24"/>
                <w:szCs w:val="24"/>
                <w:lang w:val="en-US" w:eastAsia="zh-CN"/>
              </w:rPr>
              <w:t>2021年7月1日后，一般固废由于都采用包装工具进行贮存，且贮存过程应满足相应的防渗漏，防雨淋，防扬尘的环保要求，因此，可不执行</w:t>
            </w:r>
            <w:r>
              <w:rPr>
                <w:rFonts w:hint="eastAsia"/>
                <w:color w:val="auto"/>
                <w:sz w:val="24"/>
                <w:szCs w:val="24"/>
              </w:rPr>
              <w:t>《一般工业固体废物贮存处置场污染物控制标准》（GB18599-20</w:t>
            </w:r>
            <w:r>
              <w:rPr>
                <w:rFonts w:hint="eastAsia"/>
                <w:color w:val="auto"/>
                <w:sz w:val="24"/>
                <w:szCs w:val="24"/>
                <w:lang w:val="en-US" w:eastAsia="zh-CN"/>
              </w:rPr>
              <w:t>20</w:t>
            </w:r>
            <w:r>
              <w:rPr>
                <w:rFonts w:hint="eastAsia"/>
                <w:color w:val="auto"/>
                <w:sz w:val="24"/>
                <w:szCs w:val="24"/>
              </w:rPr>
              <w:t>）；</w:t>
            </w:r>
            <w:r>
              <w:rPr>
                <w:color w:val="auto"/>
                <w:sz w:val="24"/>
                <w:szCs w:val="24"/>
              </w:rPr>
              <w:t>危险固体废物执行《危险废物贮存污染控制标准》（GB18597-2001）</w:t>
            </w:r>
            <w:r>
              <w:rPr>
                <w:rFonts w:hint="eastAsia"/>
                <w:color w:val="auto"/>
                <w:sz w:val="24"/>
                <w:szCs w:val="24"/>
              </w:rPr>
              <w:t>。</w:t>
            </w:r>
            <w:r>
              <w:rPr>
                <w:color w:val="auto"/>
                <w:sz w:val="24"/>
                <w:szCs w:val="24"/>
              </w:rPr>
              <w:t>危险废物执行《危险废物贮存污染控制标准》（GB 18597-2001）及其修改单（环境保护部公告2013年第36号）有关规定。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773" w:hRule="atLeast"/>
          <w:jc w:val="center"/>
        </w:trPr>
        <w:tc>
          <w:tcPr>
            <w:tcW w:w="904" w:type="dxa"/>
            <w:vAlign w:val="center"/>
          </w:tcPr>
          <w:p>
            <w:pPr>
              <w:adjustRightInd w:val="0"/>
              <w:snapToGrid w:val="0"/>
              <w:jc w:val="center"/>
              <w:rPr>
                <w:rFonts w:ascii="宋体" w:hAnsi="宋体" w:cs="宋体"/>
                <w:color w:val="auto"/>
                <w:kern w:val="0"/>
                <w:sz w:val="24"/>
              </w:rPr>
            </w:pPr>
            <w:r>
              <w:rPr>
                <w:rFonts w:hint="eastAsia" w:ascii="宋体" w:hAnsi="宋体" w:cs="宋体"/>
                <w:color w:val="auto"/>
                <w:kern w:val="0"/>
                <w:sz w:val="24"/>
              </w:rPr>
              <w:t>其他</w:t>
            </w:r>
          </w:p>
        </w:tc>
        <w:tc>
          <w:tcPr>
            <w:tcW w:w="8253" w:type="dxa"/>
            <w:vAlign w:val="center"/>
          </w:tcPr>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Times New Roman" w:hAnsi="Times New Roman" w:cs="Times New Roman"/>
                <w:color w:val="auto"/>
                <w:sz w:val="24"/>
                <w:szCs w:val="24"/>
                <w:lang w:val="en-US" w:eastAsia="zh-CN"/>
              </w:rPr>
            </w:pPr>
            <w:r>
              <w:rPr>
                <w:rFonts w:hint="eastAsia" w:cs="Times New Roman"/>
                <w:color w:val="auto"/>
                <w:sz w:val="24"/>
                <w:szCs w:val="24"/>
                <w:lang w:val="en-US" w:eastAsia="zh-CN"/>
              </w:rPr>
              <w:t>根据</w:t>
            </w:r>
            <w:r>
              <w:rPr>
                <w:rFonts w:hint="eastAsia"/>
                <w:color w:val="auto"/>
                <w:sz w:val="24"/>
                <w:szCs w:val="24"/>
              </w:rPr>
              <w:t>《</w:t>
            </w:r>
            <w:r>
              <w:rPr>
                <w:rFonts w:hint="eastAsia" w:cs="Times New Roman"/>
                <w:color w:val="auto"/>
                <w:sz w:val="24"/>
                <w:szCs w:val="24"/>
                <w:lang w:val="en-US" w:eastAsia="zh-CN"/>
              </w:rPr>
              <w:t>固定污染源排污许可分类管理名录</w:t>
            </w:r>
            <w:r>
              <w:rPr>
                <w:rFonts w:hint="eastAsia"/>
                <w:color w:val="auto"/>
                <w:sz w:val="24"/>
                <w:szCs w:val="24"/>
              </w:rPr>
              <w:t>》</w:t>
            </w:r>
            <w:r>
              <w:rPr>
                <w:rFonts w:hint="eastAsia"/>
                <w:color w:val="auto"/>
                <w:sz w:val="24"/>
                <w:szCs w:val="24"/>
                <w:lang w:val="en-US" w:eastAsia="zh-CN"/>
              </w:rPr>
              <w:t>可知</w:t>
            </w:r>
            <w:r>
              <w:rPr>
                <w:rFonts w:hint="eastAsia"/>
                <w:color w:val="auto"/>
                <w:sz w:val="24"/>
                <w:szCs w:val="24"/>
                <w:lang w:eastAsia="zh-CN"/>
              </w:rPr>
              <w:t>，</w:t>
            </w:r>
            <w:r>
              <w:rPr>
                <w:rFonts w:hint="eastAsia"/>
                <w:color w:val="auto"/>
                <w:sz w:val="24"/>
                <w:szCs w:val="24"/>
                <w:lang w:val="en-US" w:eastAsia="zh-CN"/>
              </w:rPr>
              <w:t>本项目无需申报排污许可证。</w:t>
            </w:r>
          </w:p>
          <w:p>
            <w:pPr>
              <w:adjustRightInd w:val="0"/>
              <w:snapToGrid w:val="0"/>
              <w:jc w:val="center"/>
              <w:rPr>
                <w:rFonts w:ascii="宋体" w:hAnsi="宋体" w:cs="宋体"/>
                <w:color w:val="auto"/>
                <w:kern w:val="0"/>
                <w:sz w:val="24"/>
              </w:rPr>
            </w:pPr>
            <w:r>
              <w:rPr>
                <w:rFonts w:hint="eastAsia" w:eastAsia="黑体"/>
                <w:color w:val="auto"/>
                <w:sz w:val="24"/>
                <w:lang w:val="en-US" w:eastAsia="zh-CN"/>
              </w:rPr>
              <w:t xml:space="preserve">       </w:t>
            </w:r>
          </w:p>
        </w:tc>
      </w:tr>
    </w:tbl>
    <w:p>
      <w:pPr>
        <w:pStyle w:val="14"/>
        <w:ind w:left="5250"/>
        <w:rPr>
          <w:snapToGrid w:val="0"/>
          <w:color w:val="auto"/>
        </w:rPr>
      </w:pPr>
    </w:p>
    <w:p>
      <w:pPr>
        <w:pStyle w:val="19"/>
        <w:jc w:val="center"/>
        <w:outlineLvl w:val="0"/>
        <w:rPr>
          <w:rFonts w:ascii="黑体" w:hAnsi="黑体" w:eastAsia="黑体"/>
          <w:snapToGrid w:val="0"/>
          <w:color w:val="auto"/>
          <w:sz w:val="30"/>
          <w:szCs w:val="30"/>
        </w:rPr>
      </w:pPr>
      <w:r>
        <w:rPr>
          <w:rFonts w:ascii="黑体" w:hAnsi="黑体" w:eastAsia="黑体"/>
          <w:snapToGrid w:val="0"/>
          <w:color w:val="auto"/>
          <w:kern w:val="2"/>
          <w:sz w:val="36"/>
          <w:szCs w:val="36"/>
        </w:rPr>
        <w:br w:type="page"/>
      </w:r>
      <w:r>
        <w:rPr>
          <w:rFonts w:hint="eastAsia" w:ascii="黑体" w:hAnsi="黑体" w:eastAsia="黑体"/>
          <w:snapToGrid w:val="0"/>
          <w:color w:val="auto"/>
          <w:sz w:val="30"/>
          <w:szCs w:val="30"/>
        </w:rPr>
        <w:t>四、生态环境影响分析</w:t>
      </w:r>
      <w:bookmarkStart w:id="12" w:name="_GoBack"/>
      <w:bookmarkEnd w:id="12"/>
    </w:p>
    <w:tbl>
      <w:tblPr>
        <w:tblStyle w:val="24"/>
        <w:tblW w:w="10018"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4"/>
        <w:gridCol w:w="95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825" w:hRule="atLeast"/>
          <w:jc w:val="center"/>
        </w:trPr>
        <w:tc>
          <w:tcPr>
            <w:tcW w:w="454" w:type="dxa"/>
            <w:tcMar>
              <w:left w:w="28" w:type="dxa"/>
              <w:right w:w="28" w:type="dxa"/>
            </w:tcMar>
            <w:vAlign w:val="center"/>
          </w:tcPr>
          <w:p>
            <w:pPr>
              <w:pStyle w:val="19"/>
              <w:adjustRightInd w:val="0"/>
              <w:snapToGrid w:val="0"/>
              <w:spacing w:before="0" w:beforeAutospacing="0" w:after="0" w:afterAutospacing="0"/>
              <w:jc w:val="center"/>
              <w:rPr>
                <w:rFonts w:cs="宋体"/>
                <w:bCs/>
                <w:color w:val="auto"/>
                <w:kern w:val="2"/>
                <w:sz w:val="21"/>
                <w:szCs w:val="21"/>
              </w:rPr>
            </w:pPr>
            <w:bookmarkStart w:id="5" w:name="_Hlk49796138"/>
            <w:r>
              <w:rPr>
                <w:rFonts w:hint="eastAsia" w:cs="宋体"/>
                <w:bCs/>
                <w:color w:val="auto"/>
                <w:spacing w:val="10"/>
                <w:kern w:val="2"/>
                <w:sz w:val="21"/>
                <w:szCs w:val="21"/>
              </w:rPr>
              <w:t>施工期生态环境影响分析</w:t>
            </w:r>
            <w:bookmarkEnd w:id="5"/>
          </w:p>
        </w:tc>
        <w:tc>
          <w:tcPr>
            <w:tcW w:w="9564" w:type="dxa"/>
          </w:tcPr>
          <w:p>
            <w:pPr>
              <w:autoSpaceDE w:val="0"/>
              <w:autoSpaceDN w:val="0"/>
              <w:adjustRightInd w:val="0"/>
              <w:spacing w:line="360" w:lineRule="auto"/>
              <w:ind w:firstLine="482" w:firstLineChars="200"/>
              <w:rPr>
                <w:rFonts w:eastAsia="黑体"/>
                <w:b/>
                <w:color w:val="auto"/>
                <w:sz w:val="24"/>
              </w:rPr>
            </w:pPr>
            <w:r>
              <w:rPr>
                <w:b/>
                <w:color w:val="auto"/>
                <w:sz w:val="24"/>
              </w:rPr>
              <w:t>1、大气污染物</w:t>
            </w:r>
          </w:p>
          <w:p>
            <w:pPr>
              <w:autoSpaceDE w:val="0"/>
              <w:autoSpaceDN w:val="0"/>
              <w:adjustRightInd w:val="0"/>
              <w:spacing w:line="360" w:lineRule="auto"/>
              <w:ind w:firstLine="480" w:firstLineChars="200"/>
              <w:rPr>
                <w:bCs/>
                <w:color w:val="auto"/>
                <w:sz w:val="24"/>
              </w:rPr>
            </w:pPr>
            <w:r>
              <w:rPr>
                <w:bCs/>
                <w:color w:val="auto"/>
                <w:sz w:val="24"/>
              </w:rPr>
              <w:t>施工期废气主要包括施工</w:t>
            </w:r>
            <w:r>
              <w:rPr>
                <w:rFonts w:hint="eastAsia"/>
                <w:bCs/>
                <w:color w:val="auto"/>
                <w:sz w:val="24"/>
                <w:lang w:val="en-US" w:eastAsia="zh-CN"/>
              </w:rPr>
              <w:t>开挖</w:t>
            </w:r>
            <w:r>
              <w:rPr>
                <w:bCs/>
                <w:color w:val="auto"/>
                <w:sz w:val="24"/>
              </w:rPr>
              <w:t>扬尘、</w:t>
            </w:r>
            <w:r>
              <w:rPr>
                <w:rFonts w:hint="eastAsia"/>
                <w:bCs/>
                <w:color w:val="auto"/>
                <w:sz w:val="24"/>
                <w:lang w:val="en-US" w:eastAsia="zh-CN"/>
              </w:rPr>
              <w:t>建筑材料堆放扬尘</w:t>
            </w:r>
            <w:r>
              <w:rPr>
                <w:rFonts w:hint="eastAsia"/>
                <w:bCs/>
                <w:color w:val="auto"/>
                <w:sz w:val="24"/>
              </w:rPr>
              <w:t>以</w:t>
            </w:r>
            <w:r>
              <w:rPr>
                <w:bCs/>
                <w:color w:val="auto"/>
                <w:sz w:val="24"/>
              </w:rPr>
              <w:t>及</w:t>
            </w:r>
            <w:r>
              <w:rPr>
                <w:rFonts w:hint="eastAsia"/>
                <w:bCs/>
                <w:color w:val="auto"/>
                <w:sz w:val="24"/>
                <w:lang w:val="en-US" w:eastAsia="zh-CN"/>
              </w:rPr>
              <w:t>运输车辆</w:t>
            </w:r>
            <w:r>
              <w:rPr>
                <w:bCs/>
                <w:color w:val="auto"/>
                <w:sz w:val="24"/>
              </w:rPr>
              <w:t>废气。</w:t>
            </w:r>
          </w:p>
          <w:p>
            <w:pPr>
              <w:autoSpaceDE w:val="0"/>
              <w:autoSpaceDN w:val="0"/>
              <w:adjustRightInd w:val="0"/>
              <w:spacing w:line="360" w:lineRule="auto"/>
              <w:ind w:firstLine="480" w:firstLineChars="200"/>
              <w:rPr>
                <w:bCs/>
                <w:color w:val="auto"/>
                <w:sz w:val="24"/>
              </w:rPr>
            </w:pPr>
            <w:r>
              <w:rPr>
                <w:bCs/>
                <w:color w:val="auto"/>
                <w:sz w:val="24"/>
              </w:rPr>
              <w:t>（1）施工扬尘</w:t>
            </w:r>
          </w:p>
          <w:p>
            <w:pPr>
              <w:autoSpaceDE w:val="0"/>
              <w:autoSpaceDN w:val="0"/>
              <w:adjustRightInd w:val="0"/>
              <w:spacing w:line="360" w:lineRule="auto"/>
              <w:ind w:firstLine="480" w:firstLineChars="200"/>
              <w:rPr>
                <w:bCs/>
                <w:color w:val="auto"/>
                <w:sz w:val="24"/>
              </w:rPr>
            </w:pPr>
            <w:r>
              <w:rPr>
                <w:bCs/>
                <w:color w:val="auto"/>
                <w:sz w:val="24"/>
              </w:rPr>
              <w:t>由于土石方工程的开挖和弃土破坏了地表结构，会造成地面扬尘污染。扬尘量的大小与施工现场条件、管理水平、机械化程度、施工季节、土质、天气等诸多因素有关。项目施工扬尘的主要来源如下：</w:t>
            </w:r>
          </w:p>
          <w:p>
            <w:pPr>
              <w:autoSpaceDE w:val="0"/>
              <w:autoSpaceDN w:val="0"/>
              <w:adjustRightInd w:val="0"/>
              <w:spacing w:line="360" w:lineRule="auto"/>
              <w:ind w:firstLine="480" w:firstLineChars="200"/>
              <w:rPr>
                <w:bCs/>
                <w:color w:val="auto"/>
                <w:sz w:val="24"/>
              </w:rPr>
            </w:pPr>
            <w:r>
              <w:rPr>
                <w:rFonts w:hint="eastAsia"/>
                <w:bCs/>
                <w:color w:val="auto"/>
                <w:sz w:val="24"/>
              </w:rPr>
              <w:t>①场地开挖过程中</w:t>
            </w:r>
            <w:r>
              <w:rPr>
                <w:bCs/>
                <w:color w:val="auto"/>
                <w:sz w:val="24"/>
              </w:rPr>
              <w:t>土方的挖掘</w:t>
            </w:r>
            <w:r>
              <w:rPr>
                <w:rFonts w:hint="eastAsia"/>
                <w:bCs/>
                <w:color w:val="auto"/>
                <w:sz w:val="24"/>
              </w:rPr>
              <w:t>、回填</w:t>
            </w:r>
            <w:r>
              <w:rPr>
                <w:bCs/>
                <w:color w:val="auto"/>
                <w:sz w:val="24"/>
              </w:rPr>
              <w:t>及现场堆放扬尘；</w:t>
            </w:r>
          </w:p>
          <w:p>
            <w:pPr>
              <w:autoSpaceDE w:val="0"/>
              <w:autoSpaceDN w:val="0"/>
              <w:adjustRightInd w:val="0"/>
              <w:spacing w:line="360" w:lineRule="auto"/>
              <w:ind w:firstLine="480" w:firstLineChars="200"/>
              <w:rPr>
                <w:bCs/>
                <w:color w:val="auto"/>
                <w:sz w:val="24"/>
              </w:rPr>
            </w:pPr>
            <w:r>
              <w:rPr>
                <w:rFonts w:hint="eastAsia"/>
                <w:bCs/>
                <w:color w:val="auto"/>
                <w:sz w:val="24"/>
              </w:rPr>
              <w:t>②</w:t>
            </w:r>
            <w:r>
              <w:rPr>
                <w:bCs/>
                <w:color w:val="auto"/>
                <w:sz w:val="24"/>
              </w:rPr>
              <w:t>建筑材料（白灰、水泥、砂子、石子、砖等）的现场搬运及堆放扬尘；</w:t>
            </w:r>
          </w:p>
          <w:p>
            <w:pPr>
              <w:autoSpaceDE w:val="0"/>
              <w:autoSpaceDN w:val="0"/>
              <w:adjustRightInd w:val="0"/>
              <w:spacing w:line="360" w:lineRule="auto"/>
              <w:ind w:firstLine="480" w:firstLineChars="200"/>
              <w:rPr>
                <w:bCs/>
                <w:color w:val="auto"/>
                <w:sz w:val="24"/>
              </w:rPr>
            </w:pPr>
            <w:r>
              <w:rPr>
                <w:rFonts w:hint="eastAsia"/>
                <w:bCs/>
                <w:color w:val="auto"/>
                <w:sz w:val="24"/>
              </w:rPr>
              <w:t>③</w:t>
            </w:r>
            <w:r>
              <w:rPr>
                <w:bCs/>
                <w:color w:val="auto"/>
                <w:sz w:val="24"/>
              </w:rPr>
              <w:t>运输车辆所造成的现场道路扬尘。</w:t>
            </w:r>
          </w:p>
          <w:p>
            <w:pPr>
              <w:autoSpaceDE w:val="0"/>
              <w:autoSpaceDN w:val="0"/>
              <w:adjustRightInd w:val="0"/>
              <w:spacing w:line="360" w:lineRule="auto"/>
              <w:ind w:firstLine="480" w:firstLineChars="200"/>
              <w:rPr>
                <w:rFonts w:hint="eastAsia"/>
                <w:bCs/>
                <w:color w:val="auto"/>
                <w:sz w:val="24"/>
              </w:rPr>
            </w:pPr>
            <w:r>
              <w:rPr>
                <w:bCs/>
                <w:color w:val="auto"/>
                <w:sz w:val="24"/>
              </w:rPr>
              <w:t>施工扬尘量和影响范围是一个复杂、较难定量的问题，一般根据现有的施工场地实测资料进行类比分析。施工扬尘一般粒径较大、沉降快，影响范围较小。类比西安地质矿产研究所对东盛医药科技产业园施工扬尘监测资料，其结果见表</w:t>
            </w:r>
            <w:r>
              <w:rPr>
                <w:rFonts w:hint="eastAsia"/>
                <w:bCs/>
                <w:color w:val="auto"/>
                <w:sz w:val="24"/>
                <w:lang w:val="en-US" w:eastAsia="zh-CN"/>
              </w:rPr>
              <w:t>18</w:t>
            </w:r>
            <w:r>
              <w:rPr>
                <w:bCs/>
                <w:color w:val="auto"/>
                <w:sz w:val="24"/>
              </w:rPr>
              <w:t>。通常施工扬尘影响主要集中在200m范围内，下风向200m外扬尘的浓度较低。</w:t>
            </w:r>
            <w:r>
              <w:rPr>
                <w:rFonts w:hint="eastAsia"/>
                <w:bCs/>
                <w:color w:val="auto"/>
                <w:sz w:val="24"/>
              </w:rPr>
              <w:t>加之场地空气流动性好，不会对区域环境空气质量产生明显不良影响。</w:t>
            </w:r>
          </w:p>
          <w:p>
            <w:pPr>
              <w:autoSpaceDE w:val="0"/>
              <w:autoSpaceDN w:val="0"/>
              <w:adjustRightInd w:val="0"/>
              <w:spacing w:line="360" w:lineRule="auto"/>
              <w:jc w:val="center"/>
              <w:rPr>
                <w:b/>
                <w:color w:val="auto"/>
                <w:sz w:val="24"/>
              </w:rPr>
            </w:pPr>
            <w:r>
              <w:rPr>
                <w:b/>
                <w:color w:val="auto"/>
                <w:sz w:val="24"/>
              </w:rPr>
              <w:t>表</w:t>
            </w:r>
            <w:r>
              <w:rPr>
                <w:rFonts w:hint="eastAsia"/>
                <w:b/>
                <w:color w:val="auto"/>
                <w:sz w:val="24"/>
                <w:lang w:val="en-US" w:eastAsia="zh-CN"/>
              </w:rPr>
              <w:t>18</w:t>
            </w:r>
            <w:r>
              <w:rPr>
                <w:b/>
                <w:color w:val="auto"/>
                <w:sz w:val="24"/>
              </w:rPr>
              <w:t xml:space="preserve">   施工期环境空气中TSP监测结果  单位：mg/m</w:t>
            </w:r>
            <w:r>
              <w:rPr>
                <w:b/>
                <w:color w:val="auto"/>
                <w:sz w:val="24"/>
                <w:vertAlign w:val="superscript"/>
              </w:rPr>
              <w:t>3</w:t>
            </w:r>
          </w:p>
          <w:tbl>
            <w:tblPr>
              <w:tblStyle w:val="24"/>
              <w:tblW w:w="9346"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1622"/>
              <w:gridCol w:w="1507"/>
              <w:gridCol w:w="1507"/>
              <w:gridCol w:w="1507"/>
              <w:gridCol w:w="1695"/>
              <w:gridCol w:w="1508"/>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trHeight w:val="340" w:hRule="atLeast"/>
              </w:trPr>
              <w:tc>
                <w:tcPr>
                  <w:tcW w:w="1622" w:type="dxa"/>
                  <w:tcBorders>
                    <w:left w:val="single" w:color="auto" w:sz="12" w:space="0"/>
                  </w:tcBorders>
                  <w:vAlign w:val="center"/>
                </w:tcPr>
                <w:p>
                  <w:pPr>
                    <w:jc w:val="center"/>
                    <w:rPr>
                      <w:color w:val="auto"/>
                      <w:szCs w:val="21"/>
                    </w:rPr>
                  </w:pPr>
                  <w:r>
                    <w:rPr>
                      <w:color w:val="auto"/>
                    </w:rPr>
                    <w:t>监测点位</w:t>
                  </w:r>
                </w:p>
              </w:tc>
              <w:tc>
                <w:tcPr>
                  <w:tcW w:w="1507" w:type="dxa"/>
                  <w:vAlign w:val="center"/>
                </w:tcPr>
                <w:p>
                  <w:pPr>
                    <w:jc w:val="center"/>
                    <w:rPr>
                      <w:color w:val="auto"/>
                      <w:szCs w:val="21"/>
                    </w:rPr>
                  </w:pPr>
                  <w:r>
                    <w:rPr>
                      <w:color w:val="auto"/>
                    </w:rPr>
                    <w:t>工地上风向</w:t>
                  </w:r>
                </w:p>
              </w:tc>
              <w:tc>
                <w:tcPr>
                  <w:tcW w:w="1507" w:type="dxa"/>
                  <w:vAlign w:val="center"/>
                </w:tcPr>
                <w:p>
                  <w:pPr>
                    <w:jc w:val="center"/>
                    <w:rPr>
                      <w:color w:val="auto"/>
                      <w:szCs w:val="21"/>
                    </w:rPr>
                  </w:pPr>
                  <w:r>
                    <w:rPr>
                      <w:color w:val="auto"/>
                    </w:rPr>
                    <w:t>施工场地</w:t>
                  </w:r>
                </w:p>
              </w:tc>
              <w:tc>
                <w:tcPr>
                  <w:tcW w:w="4710" w:type="dxa"/>
                  <w:gridSpan w:val="3"/>
                  <w:tcBorders>
                    <w:right w:val="single" w:color="auto" w:sz="12" w:space="0"/>
                  </w:tcBorders>
                  <w:vAlign w:val="center"/>
                </w:tcPr>
                <w:p>
                  <w:pPr>
                    <w:jc w:val="center"/>
                    <w:rPr>
                      <w:color w:val="auto"/>
                      <w:szCs w:val="21"/>
                    </w:rPr>
                  </w:pPr>
                  <w:r>
                    <w:rPr>
                      <w:color w:val="auto"/>
                    </w:rPr>
                    <w:t>工地下风向</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trHeight w:val="340" w:hRule="atLeast"/>
              </w:trPr>
              <w:tc>
                <w:tcPr>
                  <w:tcW w:w="1622" w:type="dxa"/>
                  <w:tcBorders>
                    <w:left w:val="single" w:color="auto" w:sz="12" w:space="0"/>
                  </w:tcBorders>
                  <w:vAlign w:val="center"/>
                </w:tcPr>
                <w:p>
                  <w:pPr>
                    <w:jc w:val="center"/>
                    <w:rPr>
                      <w:color w:val="auto"/>
                      <w:szCs w:val="21"/>
                    </w:rPr>
                  </w:pPr>
                  <w:r>
                    <w:rPr>
                      <w:color w:val="auto"/>
                    </w:rPr>
                    <w:t>距中心点距离</w:t>
                  </w:r>
                </w:p>
              </w:tc>
              <w:tc>
                <w:tcPr>
                  <w:tcW w:w="1507" w:type="dxa"/>
                  <w:vAlign w:val="center"/>
                </w:tcPr>
                <w:p>
                  <w:pPr>
                    <w:jc w:val="center"/>
                    <w:rPr>
                      <w:color w:val="auto"/>
                      <w:szCs w:val="21"/>
                    </w:rPr>
                  </w:pPr>
                  <w:r>
                    <w:rPr>
                      <w:color w:val="auto"/>
                    </w:rPr>
                    <w:t>20m</w:t>
                  </w:r>
                </w:p>
              </w:tc>
              <w:tc>
                <w:tcPr>
                  <w:tcW w:w="1507" w:type="dxa"/>
                  <w:vAlign w:val="center"/>
                </w:tcPr>
                <w:p>
                  <w:pPr>
                    <w:jc w:val="center"/>
                    <w:rPr>
                      <w:color w:val="auto"/>
                      <w:szCs w:val="21"/>
                    </w:rPr>
                  </w:pPr>
                  <w:r>
                    <w:rPr>
                      <w:color w:val="auto"/>
                    </w:rPr>
                    <w:t>0m</w:t>
                  </w:r>
                </w:p>
              </w:tc>
              <w:tc>
                <w:tcPr>
                  <w:tcW w:w="1507" w:type="dxa"/>
                  <w:vAlign w:val="center"/>
                </w:tcPr>
                <w:p>
                  <w:pPr>
                    <w:jc w:val="center"/>
                    <w:rPr>
                      <w:color w:val="auto"/>
                      <w:szCs w:val="21"/>
                    </w:rPr>
                  </w:pPr>
                  <w:r>
                    <w:rPr>
                      <w:color w:val="auto"/>
                    </w:rPr>
                    <w:t>50m</w:t>
                  </w:r>
                </w:p>
              </w:tc>
              <w:tc>
                <w:tcPr>
                  <w:tcW w:w="1695" w:type="dxa"/>
                  <w:vAlign w:val="center"/>
                </w:tcPr>
                <w:p>
                  <w:pPr>
                    <w:jc w:val="center"/>
                    <w:rPr>
                      <w:color w:val="auto"/>
                      <w:szCs w:val="21"/>
                    </w:rPr>
                  </w:pPr>
                  <w:r>
                    <w:rPr>
                      <w:color w:val="auto"/>
                    </w:rPr>
                    <w:t>100m</w:t>
                  </w:r>
                </w:p>
              </w:tc>
              <w:tc>
                <w:tcPr>
                  <w:tcW w:w="1508" w:type="dxa"/>
                  <w:tcBorders>
                    <w:right w:val="single" w:color="auto" w:sz="12" w:space="0"/>
                  </w:tcBorders>
                  <w:vAlign w:val="center"/>
                </w:tcPr>
                <w:p>
                  <w:pPr>
                    <w:jc w:val="center"/>
                    <w:rPr>
                      <w:color w:val="auto"/>
                      <w:szCs w:val="21"/>
                    </w:rPr>
                  </w:pPr>
                  <w:r>
                    <w:rPr>
                      <w:color w:val="auto"/>
                    </w:rPr>
                    <w:t>200m</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trHeight w:val="340" w:hRule="atLeast"/>
              </w:trPr>
              <w:tc>
                <w:tcPr>
                  <w:tcW w:w="1622" w:type="dxa"/>
                  <w:tcBorders>
                    <w:left w:val="single" w:color="auto" w:sz="12" w:space="0"/>
                  </w:tcBorders>
                  <w:vAlign w:val="center"/>
                </w:tcPr>
                <w:p>
                  <w:pPr>
                    <w:jc w:val="center"/>
                    <w:rPr>
                      <w:color w:val="auto"/>
                      <w:szCs w:val="21"/>
                    </w:rPr>
                  </w:pPr>
                  <w:r>
                    <w:rPr>
                      <w:color w:val="auto"/>
                    </w:rPr>
                    <w:t>浓度值</w:t>
                  </w:r>
                </w:p>
              </w:tc>
              <w:tc>
                <w:tcPr>
                  <w:tcW w:w="1507" w:type="dxa"/>
                  <w:vAlign w:val="center"/>
                </w:tcPr>
                <w:p>
                  <w:pPr>
                    <w:jc w:val="center"/>
                    <w:rPr>
                      <w:color w:val="auto"/>
                      <w:szCs w:val="21"/>
                    </w:rPr>
                  </w:pPr>
                  <w:r>
                    <w:rPr>
                      <w:color w:val="auto"/>
                    </w:rPr>
                    <w:t>0.244～0.269</w:t>
                  </w:r>
                </w:p>
              </w:tc>
              <w:tc>
                <w:tcPr>
                  <w:tcW w:w="1507" w:type="dxa"/>
                  <w:vAlign w:val="center"/>
                </w:tcPr>
                <w:p>
                  <w:pPr>
                    <w:jc w:val="center"/>
                    <w:rPr>
                      <w:color w:val="auto"/>
                      <w:szCs w:val="21"/>
                    </w:rPr>
                  </w:pPr>
                  <w:r>
                    <w:rPr>
                      <w:color w:val="auto"/>
                    </w:rPr>
                    <w:t>2.176～3.435</w:t>
                  </w:r>
                </w:p>
              </w:tc>
              <w:tc>
                <w:tcPr>
                  <w:tcW w:w="1507" w:type="dxa"/>
                  <w:vAlign w:val="center"/>
                </w:tcPr>
                <w:p>
                  <w:pPr>
                    <w:jc w:val="center"/>
                    <w:rPr>
                      <w:color w:val="auto"/>
                      <w:szCs w:val="21"/>
                    </w:rPr>
                  </w:pPr>
                  <w:r>
                    <w:rPr>
                      <w:color w:val="auto"/>
                    </w:rPr>
                    <w:t>0.856～1.491</w:t>
                  </w:r>
                </w:p>
              </w:tc>
              <w:tc>
                <w:tcPr>
                  <w:tcW w:w="1695" w:type="dxa"/>
                  <w:vAlign w:val="center"/>
                </w:tcPr>
                <w:p>
                  <w:pPr>
                    <w:jc w:val="center"/>
                    <w:rPr>
                      <w:color w:val="auto"/>
                      <w:szCs w:val="21"/>
                    </w:rPr>
                  </w:pPr>
                  <w:r>
                    <w:rPr>
                      <w:color w:val="auto"/>
                    </w:rPr>
                    <w:t>0.416～0.513</w:t>
                  </w:r>
                </w:p>
              </w:tc>
              <w:tc>
                <w:tcPr>
                  <w:tcW w:w="1508" w:type="dxa"/>
                  <w:tcBorders>
                    <w:right w:val="single" w:color="auto" w:sz="12" w:space="0"/>
                  </w:tcBorders>
                  <w:vAlign w:val="center"/>
                </w:tcPr>
                <w:p>
                  <w:pPr>
                    <w:jc w:val="center"/>
                    <w:rPr>
                      <w:color w:val="auto"/>
                      <w:szCs w:val="21"/>
                    </w:rPr>
                  </w:pPr>
                  <w:r>
                    <w:rPr>
                      <w:color w:val="auto"/>
                    </w:rPr>
                    <w:t>0.250～0.258</w:t>
                  </w:r>
                </w:p>
              </w:tc>
            </w:tr>
          </w:tbl>
          <w:p>
            <w:pPr>
              <w:spacing w:line="360" w:lineRule="auto"/>
              <w:ind w:firstLine="480" w:firstLineChars="200"/>
              <w:rPr>
                <w:color w:val="auto"/>
                <w:sz w:val="24"/>
              </w:rPr>
            </w:pPr>
            <w:r>
              <w:rPr>
                <w:color w:val="auto"/>
                <w:sz w:val="24"/>
              </w:rPr>
              <w:t>（2）施工车辆尾气及机械废气</w:t>
            </w:r>
          </w:p>
          <w:p>
            <w:pPr>
              <w:spacing w:line="360" w:lineRule="auto"/>
              <w:ind w:firstLine="480"/>
              <w:rPr>
                <w:color w:val="auto"/>
                <w:sz w:val="24"/>
              </w:rPr>
            </w:pPr>
            <w:r>
              <w:rPr>
                <w:color w:val="auto"/>
                <w:sz w:val="24"/>
              </w:rPr>
              <w:t>项目施工过程用到的施工机械，主要有挖掘机、装载机、推土机、运输车等机械，这些施工机械在作业时需燃油而产生燃油废气，各种运输车辆排放的汽车尾气，主要污染物为CO、NO</w:t>
            </w:r>
            <w:r>
              <w:rPr>
                <w:color w:val="auto"/>
                <w:sz w:val="24"/>
                <w:vertAlign w:val="subscript"/>
              </w:rPr>
              <w:t>X</w:t>
            </w:r>
            <w:r>
              <w:rPr>
                <w:color w:val="auto"/>
                <w:sz w:val="24"/>
              </w:rPr>
              <w:t>、碳氢化合物等。污染物的排放局部范围的CO、NO</w:t>
            </w:r>
            <w:r>
              <w:rPr>
                <w:color w:val="auto"/>
                <w:sz w:val="24"/>
                <w:vertAlign w:val="subscript"/>
              </w:rPr>
              <w:t>X</w:t>
            </w:r>
            <w:r>
              <w:rPr>
                <w:color w:val="auto"/>
                <w:sz w:val="24"/>
              </w:rPr>
              <w:t>、碳氢化合物等浓度有所增加，为间歇性无组织排放。</w:t>
            </w:r>
            <w:r>
              <w:rPr>
                <w:rFonts w:hint="eastAsia"/>
                <w:color w:val="auto"/>
                <w:sz w:val="24"/>
              </w:rPr>
              <w:t>施工期对于车辆等施工机械采取了定期维修、保养等措施后，可减少尾气排放对环境的污染，对环境影响较小。</w:t>
            </w:r>
          </w:p>
          <w:p>
            <w:pPr>
              <w:spacing w:line="360" w:lineRule="auto"/>
              <w:ind w:firstLine="480"/>
              <w:rPr>
                <w:b/>
                <w:bCs/>
                <w:color w:val="auto"/>
                <w:sz w:val="24"/>
              </w:rPr>
            </w:pPr>
            <w:r>
              <w:rPr>
                <w:b/>
                <w:bCs/>
                <w:color w:val="auto"/>
                <w:sz w:val="24"/>
              </w:rPr>
              <w:t>2、施工废水</w:t>
            </w:r>
          </w:p>
          <w:p>
            <w:pPr>
              <w:spacing w:line="360" w:lineRule="auto"/>
              <w:ind w:firstLine="420" w:firstLineChars="175"/>
              <w:rPr>
                <w:rFonts w:hint="eastAsia"/>
                <w:color w:val="auto"/>
                <w:sz w:val="24"/>
              </w:rPr>
            </w:pPr>
            <w:r>
              <w:rPr>
                <w:rFonts w:hint="eastAsia"/>
                <w:color w:val="auto"/>
                <w:sz w:val="24"/>
              </w:rPr>
              <w:t>项目施工期产生的水污染物主要是施工废水和施工人员的生活污水。</w:t>
            </w:r>
          </w:p>
          <w:p>
            <w:pPr>
              <w:spacing w:line="360" w:lineRule="auto"/>
              <w:ind w:firstLine="420" w:firstLineChars="175"/>
              <w:rPr>
                <w:rFonts w:hint="eastAsia"/>
                <w:color w:val="auto"/>
                <w:sz w:val="24"/>
              </w:rPr>
            </w:pPr>
            <w:r>
              <w:rPr>
                <w:rFonts w:hint="eastAsia"/>
                <w:color w:val="auto"/>
                <w:sz w:val="24"/>
                <w:lang w:eastAsia="zh-CN"/>
              </w:rPr>
              <w:t>（</w:t>
            </w:r>
            <w:r>
              <w:rPr>
                <w:rFonts w:hint="eastAsia"/>
                <w:color w:val="auto"/>
                <w:sz w:val="24"/>
                <w:lang w:val="en-US" w:eastAsia="zh-CN"/>
              </w:rPr>
              <w:t>1）</w:t>
            </w:r>
            <w:r>
              <w:rPr>
                <w:rFonts w:hint="eastAsia"/>
                <w:color w:val="auto"/>
                <w:sz w:val="24"/>
              </w:rPr>
              <w:t>施工废水</w:t>
            </w:r>
          </w:p>
          <w:p>
            <w:pPr>
              <w:spacing w:line="360" w:lineRule="auto"/>
              <w:ind w:firstLine="420" w:firstLineChars="175"/>
              <w:rPr>
                <w:color w:val="auto"/>
                <w:sz w:val="24"/>
              </w:rPr>
            </w:pPr>
            <w:r>
              <w:rPr>
                <w:color w:val="auto"/>
                <w:sz w:val="24"/>
              </w:rPr>
              <w:t>施工期间进行砂、石</w:t>
            </w:r>
            <w:r>
              <w:rPr>
                <w:rFonts w:hint="eastAsia"/>
                <w:color w:val="auto"/>
                <w:sz w:val="24"/>
                <w:lang w:eastAsia="zh-CN"/>
              </w:rPr>
              <w:t>、</w:t>
            </w:r>
            <w:r>
              <w:rPr>
                <w:rFonts w:hint="eastAsia"/>
                <w:color w:val="auto"/>
                <w:sz w:val="24"/>
                <w:lang w:val="en-US" w:eastAsia="zh-CN"/>
              </w:rPr>
              <w:t>车辆</w:t>
            </w:r>
            <w:r>
              <w:rPr>
                <w:color w:val="auto"/>
                <w:sz w:val="24"/>
              </w:rPr>
              <w:t>冲洗等作业过程中将有施工废水产生，</w:t>
            </w:r>
            <w:r>
              <w:rPr>
                <w:rFonts w:hint="eastAsia"/>
                <w:color w:val="auto"/>
                <w:sz w:val="24"/>
                <w:lang w:val="en-US" w:eastAsia="zh-CN"/>
              </w:rPr>
              <w:t>环评要求</w:t>
            </w:r>
            <w:r>
              <w:rPr>
                <w:color w:val="auto"/>
                <w:sz w:val="24"/>
              </w:rPr>
              <w:t>施工现场修建废水沉淀池，施工废水经沉淀处理后，</w:t>
            </w:r>
            <w:r>
              <w:rPr>
                <w:rFonts w:hint="eastAsia"/>
                <w:color w:val="auto"/>
                <w:sz w:val="24"/>
                <w:lang w:val="en-US" w:eastAsia="zh-CN"/>
              </w:rPr>
              <w:t>回用于</w:t>
            </w:r>
            <w:r>
              <w:rPr>
                <w:color w:val="auto"/>
                <w:sz w:val="24"/>
              </w:rPr>
              <w:t>场地抑尘喷洒用水。</w:t>
            </w:r>
          </w:p>
          <w:p>
            <w:pPr>
              <w:spacing w:line="360" w:lineRule="auto"/>
              <w:ind w:firstLine="420" w:firstLineChars="175"/>
              <w:rPr>
                <w:rFonts w:hint="eastAsia"/>
                <w:color w:val="auto"/>
                <w:sz w:val="24"/>
              </w:rPr>
            </w:pPr>
            <w:r>
              <w:rPr>
                <w:rFonts w:hint="eastAsia"/>
                <w:color w:val="auto"/>
                <w:sz w:val="24"/>
                <w:lang w:eastAsia="zh-CN"/>
              </w:rPr>
              <w:t>（</w:t>
            </w:r>
            <w:r>
              <w:rPr>
                <w:rFonts w:hint="eastAsia"/>
                <w:color w:val="auto"/>
                <w:sz w:val="24"/>
                <w:lang w:val="en-US" w:eastAsia="zh-CN"/>
              </w:rPr>
              <w:t>2）</w:t>
            </w:r>
            <w:r>
              <w:rPr>
                <w:rFonts w:hint="eastAsia"/>
                <w:color w:val="auto"/>
                <w:sz w:val="24"/>
              </w:rPr>
              <w:t>施工人员生活污水</w:t>
            </w:r>
          </w:p>
          <w:p>
            <w:pPr>
              <w:spacing w:line="360" w:lineRule="auto"/>
              <w:ind w:firstLine="420" w:firstLineChars="175"/>
              <w:rPr>
                <w:rFonts w:hint="eastAsia"/>
                <w:color w:val="auto"/>
                <w:sz w:val="24"/>
              </w:rPr>
            </w:pPr>
            <w:r>
              <w:rPr>
                <w:rFonts w:hint="eastAsia"/>
                <w:color w:val="auto"/>
                <w:sz w:val="24"/>
              </w:rPr>
              <w:t>本项目施工期</w:t>
            </w:r>
            <w:r>
              <w:rPr>
                <w:rFonts w:hint="eastAsia"/>
                <w:color w:val="auto"/>
                <w:sz w:val="24"/>
                <w:lang w:val="en-US" w:eastAsia="zh-CN"/>
              </w:rPr>
              <w:t>46</w:t>
            </w:r>
            <w:r>
              <w:rPr>
                <w:rFonts w:hint="eastAsia"/>
                <w:color w:val="auto"/>
                <w:sz w:val="24"/>
              </w:rPr>
              <w:t>个月，高峰期施工人员约</w:t>
            </w:r>
            <w:r>
              <w:rPr>
                <w:rFonts w:hint="eastAsia"/>
                <w:color w:val="auto"/>
                <w:sz w:val="24"/>
                <w:lang w:val="en-US" w:eastAsia="zh-CN"/>
              </w:rPr>
              <w:t>1000</w:t>
            </w:r>
            <w:r>
              <w:rPr>
                <w:rFonts w:hint="eastAsia"/>
                <w:color w:val="auto"/>
                <w:sz w:val="24"/>
              </w:rPr>
              <w:t>人，施工期生活污水产生量为</w:t>
            </w:r>
            <w:r>
              <w:rPr>
                <w:rFonts w:hint="eastAsia"/>
                <w:color w:val="auto"/>
                <w:sz w:val="24"/>
                <w:lang w:val="en-US" w:eastAsia="zh-CN"/>
              </w:rPr>
              <w:t>80</w:t>
            </w:r>
            <w:r>
              <w:rPr>
                <w:rFonts w:hint="eastAsia"/>
                <w:color w:val="auto"/>
                <w:sz w:val="24"/>
              </w:rPr>
              <w:t>m</w:t>
            </w:r>
            <w:r>
              <w:rPr>
                <w:rFonts w:hint="eastAsia"/>
                <w:color w:val="auto"/>
                <w:sz w:val="24"/>
                <w:vertAlign w:val="superscript"/>
              </w:rPr>
              <w:t>3</w:t>
            </w:r>
            <w:r>
              <w:rPr>
                <w:rFonts w:hint="eastAsia"/>
                <w:color w:val="auto"/>
                <w:sz w:val="24"/>
              </w:rPr>
              <w:t>/d，主要污染物为COD、BOD</w:t>
            </w:r>
            <w:r>
              <w:rPr>
                <w:rFonts w:hint="eastAsia"/>
                <w:color w:val="auto"/>
                <w:sz w:val="24"/>
                <w:vertAlign w:val="subscript"/>
              </w:rPr>
              <w:t>5</w:t>
            </w:r>
            <w:r>
              <w:rPr>
                <w:rFonts w:hint="eastAsia"/>
                <w:color w:val="auto"/>
                <w:sz w:val="24"/>
              </w:rPr>
              <w:t>、SS、NH</w:t>
            </w:r>
            <w:r>
              <w:rPr>
                <w:rFonts w:hint="eastAsia"/>
                <w:color w:val="auto"/>
                <w:sz w:val="24"/>
                <w:vertAlign w:val="subscript"/>
              </w:rPr>
              <w:t>3</w:t>
            </w:r>
            <w:r>
              <w:rPr>
                <w:rFonts w:hint="eastAsia"/>
                <w:color w:val="auto"/>
                <w:sz w:val="24"/>
              </w:rPr>
              <w:t>-N。施工场地禁止使用旱厕，评价建议设置移动式环保厕所，新建</w:t>
            </w:r>
            <w:r>
              <w:rPr>
                <w:rFonts w:hint="eastAsia"/>
                <w:color w:val="auto"/>
                <w:sz w:val="24"/>
                <w:lang w:val="en-US" w:eastAsia="zh-CN"/>
              </w:rPr>
              <w:t>2</w:t>
            </w:r>
            <w:r>
              <w:rPr>
                <w:rFonts w:hint="eastAsia"/>
                <w:color w:val="auto"/>
                <w:sz w:val="24"/>
              </w:rPr>
              <w:t>处化粪池处理生活污水，</w:t>
            </w:r>
            <w:r>
              <w:rPr>
                <w:rFonts w:hint="eastAsia"/>
                <w:color w:val="auto"/>
                <w:sz w:val="24"/>
                <w:lang w:val="en-US" w:eastAsia="zh-CN"/>
              </w:rPr>
              <w:t>化粪池污泥</w:t>
            </w:r>
            <w:r>
              <w:rPr>
                <w:rFonts w:hint="eastAsia"/>
                <w:color w:val="auto"/>
                <w:sz w:val="24"/>
              </w:rPr>
              <w:t>由</w:t>
            </w:r>
            <w:r>
              <w:rPr>
                <w:rFonts w:hint="eastAsia"/>
                <w:color w:val="auto"/>
                <w:sz w:val="24"/>
                <w:lang w:val="en-US" w:eastAsia="zh-CN"/>
              </w:rPr>
              <w:t>清掏公司</w:t>
            </w:r>
            <w:r>
              <w:rPr>
                <w:rFonts w:hint="eastAsia"/>
                <w:color w:val="auto"/>
                <w:sz w:val="24"/>
              </w:rPr>
              <w:t>定期清理</w:t>
            </w:r>
            <w:r>
              <w:rPr>
                <w:rFonts w:hint="eastAsia"/>
                <w:color w:val="auto"/>
                <w:sz w:val="24"/>
                <w:lang w:val="en-US" w:eastAsia="zh-CN"/>
              </w:rPr>
              <w:t>。</w:t>
            </w:r>
          </w:p>
          <w:p>
            <w:pPr>
              <w:spacing w:line="360" w:lineRule="auto"/>
              <w:ind w:firstLine="420" w:firstLineChars="175"/>
              <w:rPr>
                <w:rFonts w:hint="eastAsia"/>
                <w:color w:val="auto"/>
                <w:sz w:val="24"/>
              </w:rPr>
            </w:pPr>
            <w:r>
              <w:rPr>
                <w:rFonts w:hint="eastAsia"/>
                <w:color w:val="auto"/>
                <w:sz w:val="24"/>
              </w:rPr>
              <w:t>采取以上措施后，本项目施工期废水对周围地表水环境影响很小。</w:t>
            </w:r>
          </w:p>
          <w:p>
            <w:pPr>
              <w:autoSpaceDE w:val="0"/>
              <w:autoSpaceDN w:val="0"/>
              <w:adjustRightInd w:val="0"/>
              <w:spacing w:line="360" w:lineRule="auto"/>
              <w:ind w:firstLine="482" w:firstLineChars="200"/>
              <w:rPr>
                <w:b/>
                <w:bCs/>
                <w:color w:val="auto"/>
                <w:sz w:val="24"/>
              </w:rPr>
            </w:pPr>
            <w:r>
              <w:rPr>
                <w:b/>
                <w:bCs/>
                <w:color w:val="auto"/>
                <w:sz w:val="24"/>
              </w:rPr>
              <w:t>3、施工噪声</w:t>
            </w:r>
          </w:p>
          <w:p>
            <w:pPr>
              <w:autoSpaceDE w:val="0"/>
              <w:autoSpaceDN w:val="0"/>
              <w:adjustRightInd w:val="0"/>
              <w:spacing w:line="360" w:lineRule="auto"/>
              <w:ind w:firstLine="480" w:firstLineChars="200"/>
              <w:rPr>
                <w:rFonts w:hint="eastAsia"/>
                <w:color w:val="auto"/>
                <w:sz w:val="24"/>
              </w:rPr>
            </w:pPr>
            <w:bookmarkStart w:id="6" w:name="_Hlk40710404"/>
            <w:r>
              <w:rPr>
                <w:rFonts w:hint="eastAsia"/>
                <w:color w:val="auto"/>
                <w:sz w:val="24"/>
              </w:rPr>
              <w:t>项目施工期主要噪声为：施工机械噪声、施工作业噪声和施工车辆噪声。</w:t>
            </w:r>
          </w:p>
          <w:p>
            <w:pPr>
              <w:autoSpaceDE w:val="0"/>
              <w:autoSpaceDN w:val="0"/>
              <w:adjustRightInd w:val="0"/>
              <w:spacing w:line="360" w:lineRule="auto"/>
              <w:ind w:firstLine="480" w:firstLineChars="200"/>
              <w:rPr>
                <w:rFonts w:hint="eastAsia"/>
                <w:color w:val="auto"/>
                <w:sz w:val="24"/>
              </w:rPr>
            </w:pPr>
            <w:r>
              <w:rPr>
                <w:rFonts w:hint="eastAsia"/>
                <w:color w:val="auto"/>
                <w:sz w:val="24"/>
              </w:rPr>
              <w:t>（1）施工噪声源强</w:t>
            </w:r>
          </w:p>
          <w:p>
            <w:pPr>
              <w:autoSpaceDE w:val="0"/>
              <w:autoSpaceDN w:val="0"/>
              <w:adjustRightInd w:val="0"/>
              <w:spacing w:line="360" w:lineRule="auto"/>
              <w:ind w:firstLine="480" w:firstLineChars="200"/>
              <w:rPr>
                <w:rFonts w:hint="eastAsia"/>
                <w:color w:val="auto"/>
                <w:sz w:val="24"/>
              </w:rPr>
            </w:pPr>
            <w:r>
              <w:rPr>
                <w:rFonts w:hint="eastAsia"/>
                <w:color w:val="auto"/>
                <w:sz w:val="24"/>
              </w:rPr>
              <w:t>施工期噪声源主要是施工机械设备噪声和运输车辆运行噪声。各个施工阶段使用的主要机械设备噪声源强见表</w:t>
            </w:r>
            <w:r>
              <w:rPr>
                <w:rFonts w:hint="eastAsia"/>
                <w:color w:val="auto"/>
                <w:sz w:val="24"/>
                <w:lang w:val="en-US" w:eastAsia="zh-CN"/>
              </w:rPr>
              <w:t>19</w:t>
            </w:r>
            <w:r>
              <w:rPr>
                <w:rFonts w:hint="eastAsia"/>
                <w:color w:val="auto"/>
                <w:sz w:val="24"/>
              </w:rPr>
              <w:t>。</w:t>
            </w:r>
          </w:p>
          <w:bookmarkEnd w:id="6"/>
          <w:p>
            <w:pPr>
              <w:autoSpaceDE w:val="0"/>
              <w:autoSpaceDN w:val="0"/>
              <w:adjustRightInd w:val="0"/>
              <w:jc w:val="center"/>
              <w:rPr>
                <w:b/>
                <w:color w:val="auto"/>
                <w:sz w:val="24"/>
              </w:rPr>
            </w:pPr>
            <w:r>
              <w:rPr>
                <w:b/>
                <w:color w:val="auto"/>
                <w:sz w:val="24"/>
              </w:rPr>
              <w:t>表</w:t>
            </w:r>
            <w:r>
              <w:rPr>
                <w:rFonts w:hint="eastAsia"/>
                <w:b/>
                <w:color w:val="auto"/>
                <w:sz w:val="24"/>
                <w:lang w:val="en-US" w:eastAsia="zh-CN"/>
              </w:rPr>
              <w:t>19</w:t>
            </w:r>
            <w:r>
              <w:rPr>
                <w:b/>
                <w:color w:val="auto"/>
                <w:sz w:val="24"/>
              </w:rPr>
              <w:t xml:space="preserve">  </w:t>
            </w:r>
            <w:r>
              <w:rPr>
                <w:rFonts w:hint="eastAsia"/>
                <w:b/>
                <w:color w:val="auto"/>
                <w:sz w:val="24"/>
                <w:lang w:val="en-US" w:eastAsia="zh-CN"/>
              </w:rPr>
              <w:t xml:space="preserve">  </w:t>
            </w:r>
            <w:r>
              <w:rPr>
                <w:b/>
                <w:color w:val="auto"/>
                <w:sz w:val="24"/>
              </w:rPr>
              <w:t>主要施工设备噪声表</w:t>
            </w:r>
          </w:p>
          <w:tbl>
            <w:tblPr>
              <w:tblStyle w:val="24"/>
              <w:tblW w:w="934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336"/>
              <w:gridCol w:w="2336"/>
              <w:gridCol w:w="2337"/>
              <w:gridCol w:w="23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336" w:type="dxa"/>
                  <w:shd w:val="clear" w:color="auto" w:fill="auto"/>
                  <w:vAlign w:val="center"/>
                </w:tcPr>
                <w:p>
                  <w:pPr>
                    <w:autoSpaceDE w:val="0"/>
                    <w:autoSpaceDN w:val="0"/>
                    <w:adjustRightInd w:val="0"/>
                    <w:snapToGrid w:val="0"/>
                    <w:jc w:val="center"/>
                    <w:rPr>
                      <w:color w:val="auto"/>
                      <w:kern w:val="0"/>
                      <w:szCs w:val="21"/>
                    </w:rPr>
                  </w:pPr>
                  <w:r>
                    <w:rPr>
                      <w:color w:val="auto"/>
                      <w:kern w:val="0"/>
                      <w:szCs w:val="21"/>
                    </w:rPr>
                    <w:t>施工阶段</w:t>
                  </w:r>
                </w:p>
              </w:tc>
              <w:tc>
                <w:tcPr>
                  <w:tcW w:w="2336" w:type="dxa"/>
                  <w:shd w:val="clear" w:color="auto" w:fill="auto"/>
                  <w:vAlign w:val="center"/>
                </w:tcPr>
                <w:p>
                  <w:pPr>
                    <w:autoSpaceDE w:val="0"/>
                    <w:autoSpaceDN w:val="0"/>
                    <w:adjustRightInd w:val="0"/>
                    <w:snapToGrid w:val="0"/>
                    <w:jc w:val="center"/>
                    <w:rPr>
                      <w:color w:val="auto"/>
                      <w:kern w:val="0"/>
                      <w:szCs w:val="21"/>
                    </w:rPr>
                  </w:pPr>
                  <w:r>
                    <w:rPr>
                      <w:color w:val="auto"/>
                      <w:kern w:val="0"/>
                      <w:szCs w:val="21"/>
                    </w:rPr>
                    <w:t>设备名称</w:t>
                  </w:r>
                </w:p>
              </w:tc>
              <w:tc>
                <w:tcPr>
                  <w:tcW w:w="2337" w:type="dxa"/>
                  <w:shd w:val="clear" w:color="auto" w:fill="auto"/>
                  <w:vAlign w:val="center"/>
                </w:tcPr>
                <w:p>
                  <w:pPr>
                    <w:autoSpaceDE w:val="0"/>
                    <w:autoSpaceDN w:val="0"/>
                    <w:adjustRightInd w:val="0"/>
                    <w:snapToGrid w:val="0"/>
                    <w:jc w:val="center"/>
                    <w:rPr>
                      <w:color w:val="auto"/>
                      <w:kern w:val="0"/>
                      <w:szCs w:val="21"/>
                    </w:rPr>
                  </w:pPr>
                  <w:r>
                    <w:rPr>
                      <w:color w:val="auto"/>
                      <w:kern w:val="0"/>
                      <w:szCs w:val="21"/>
                    </w:rPr>
                    <w:t>声级(</w:t>
                  </w:r>
                  <w:r>
                    <w:rPr>
                      <w:color w:val="auto"/>
                      <w:szCs w:val="21"/>
                      <w:lang w:val="en-GB"/>
                    </w:rPr>
                    <w:t>dB(A)</w:t>
                  </w:r>
                  <w:r>
                    <w:rPr>
                      <w:color w:val="auto"/>
                      <w:kern w:val="0"/>
                      <w:szCs w:val="21"/>
                    </w:rPr>
                    <w:t>)</w:t>
                  </w:r>
                </w:p>
              </w:tc>
              <w:tc>
                <w:tcPr>
                  <w:tcW w:w="2337" w:type="dxa"/>
                  <w:shd w:val="clear" w:color="auto" w:fill="auto"/>
                  <w:vAlign w:val="center"/>
                </w:tcPr>
                <w:p>
                  <w:pPr>
                    <w:autoSpaceDE w:val="0"/>
                    <w:autoSpaceDN w:val="0"/>
                    <w:adjustRightInd w:val="0"/>
                    <w:snapToGrid w:val="0"/>
                    <w:jc w:val="center"/>
                    <w:rPr>
                      <w:color w:val="auto"/>
                      <w:kern w:val="0"/>
                      <w:szCs w:val="21"/>
                    </w:rPr>
                  </w:pPr>
                  <w:r>
                    <w:rPr>
                      <w:color w:val="auto"/>
                      <w:kern w:val="0"/>
                      <w:szCs w:val="21"/>
                    </w:rPr>
                    <w:t>距声源距离(m)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336" w:type="dxa"/>
                  <w:vMerge w:val="restart"/>
                  <w:shd w:val="clear" w:color="auto" w:fill="auto"/>
                  <w:vAlign w:val="center"/>
                </w:tcPr>
                <w:p>
                  <w:pPr>
                    <w:autoSpaceDE w:val="0"/>
                    <w:autoSpaceDN w:val="0"/>
                    <w:adjustRightInd w:val="0"/>
                    <w:snapToGrid w:val="0"/>
                    <w:jc w:val="center"/>
                    <w:rPr>
                      <w:color w:val="auto"/>
                      <w:kern w:val="0"/>
                      <w:szCs w:val="21"/>
                    </w:rPr>
                  </w:pPr>
                  <w:r>
                    <w:rPr>
                      <w:color w:val="auto"/>
                      <w:kern w:val="0"/>
                      <w:szCs w:val="21"/>
                    </w:rPr>
                    <w:t>土方阶段</w:t>
                  </w:r>
                </w:p>
              </w:tc>
              <w:tc>
                <w:tcPr>
                  <w:tcW w:w="2336" w:type="dxa"/>
                  <w:shd w:val="clear" w:color="auto" w:fill="auto"/>
                  <w:vAlign w:val="center"/>
                </w:tcPr>
                <w:p>
                  <w:pPr>
                    <w:autoSpaceDE w:val="0"/>
                    <w:autoSpaceDN w:val="0"/>
                    <w:adjustRightInd w:val="0"/>
                    <w:snapToGrid w:val="0"/>
                    <w:jc w:val="center"/>
                    <w:rPr>
                      <w:color w:val="auto"/>
                      <w:kern w:val="0"/>
                      <w:szCs w:val="21"/>
                    </w:rPr>
                  </w:pPr>
                  <w:r>
                    <w:rPr>
                      <w:color w:val="auto"/>
                      <w:kern w:val="0"/>
                      <w:szCs w:val="21"/>
                    </w:rPr>
                    <w:t>翻斗机</w:t>
                  </w:r>
                </w:p>
              </w:tc>
              <w:tc>
                <w:tcPr>
                  <w:tcW w:w="2337" w:type="dxa"/>
                  <w:shd w:val="clear" w:color="auto" w:fill="auto"/>
                  <w:vAlign w:val="center"/>
                </w:tcPr>
                <w:p>
                  <w:pPr>
                    <w:autoSpaceDE w:val="0"/>
                    <w:autoSpaceDN w:val="0"/>
                    <w:adjustRightInd w:val="0"/>
                    <w:snapToGrid w:val="0"/>
                    <w:jc w:val="center"/>
                    <w:rPr>
                      <w:color w:val="auto"/>
                      <w:kern w:val="0"/>
                      <w:szCs w:val="21"/>
                    </w:rPr>
                  </w:pPr>
                  <w:r>
                    <w:rPr>
                      <w:color w:val="auto"/>
                      <w:kern w:val="0"/>
                      <w:szCs w:val="21"/>
                    </w:rPr>
                    <w:t>86</w:t>
                  </w:r>
                </w:p>
              </w:tc>
              <w:tc>
                <w:tcPr>
                  <w:tcW w:w="2337" w:type="dxa"/>
                  <w:shd w:val="clear" w:color="auto" w:fill="auto"/>
                  <w:vAlign w:val="center"/>
                </w:tcPr>
                <w:p>
                  <w:pPr>
                    <w:autoSpaceDE w:val="0"/>
                    <w:autoSpaceDN w:val="0"/>
                    <w:adjustRightInd w:val="0"/>
                    <w:snapToGrid w:val="0"/>
                    <w:jc w:val="center"/>
                    <w:rPr>
                      <w:color w:val="auto"/>
                      <w:kern w:val="0"/>
                      <w:szCs w:val="21"/>
                    </w:rPr>
                  </w:pPr>
                  <w:r>
                    <w:rPr>
                      <w:color w:val="auto"/>
                      <w:kern w:val="0"/>
                      <w:szCs w:val="21"/>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336" w:type="dxa"/>
                  <w:vMerge w:val="continue"/>
                  <w:shd w:val="clear" w:color="auto" w:fill="auto"/>
                  <w:vAlign w:val="center"/>
                </w:tcPr>
                <w:p>
                  <w:pPr>
                    <w:autoSpaceDE w:val="0"/>
                    <w:autoSpaceDN w:val="0"/>
                    <w:adjustRightInd w:val="0"/>
                    <w:snapToGrid w:val="0"/>
                    <w:jc w:val="center"/>
                    <w:rPr>
                      <w:color w:val="auto"/>
                      <w:kern w:val="0"/>
                      <w:szCs w:val="21"/>
                    </w:rPr>
                  </w:pPr>
                </w:p>
              </w:tc>
              <w:tc>
                <w:tcPr>
                  <w:tcW w:w="2336" w:type="dxa"/>
                  <w:shd w:val="clear" w:color="auto" w:fill="auto"/>
                  <w:vAlign w:val="center"/>
                </w:tcPr>
                <w:p>
                  <w:pPr>
                    <w:autoSpaceDE w:val="0"/>
                    <w:autoSpaceDN w:val="0"/>
                    <w:adjustRightInd w:val="0"/>
                    <w:snapToGrid w:val="0"/>
                    <w:jc w:val="center"/>
                    <w:rPr>
                      <w:color w:val="auto"/>
                      <w:kern w:val="0"/>
                      <w:szCs w:val="21"/>
                    </w:rPr>
                  </w:pPr>
                  <w:r>
                    <w:rPr>
                      <w:color w:val="auto"/>
                      <w:kern w:val="0"/>
                      <w:szCs w:val="21"/>
                    </w:rPr>
                    <w:t>装载机</w:t>
                  </w:r>
                </w:p>
              </w:tc>
              <w:tc>
                <w:tcPr>
                  <w:tcW w:w="2337" w:type="dxa"/>
                  <w:shd w:val="clear" w:color="auto" w:fill="auto"/>
                  <w:vAlign w:val="center"/>
                </w:tcPr>
                <w:p>
                  <w:pPr>
                    <w:autoSpaceDE w:val="0"/>
                    <w:autoSpaceDN w:val="0"/>
                    <w:adjustRightInd w:val="0"/>
                    <w:snapToGrid w:val="0"/>
                    <w:jc w:val="center"/>
                    <w:rPr>
                      <w:color w:val="auto"/>
                      <w:kern w:val="0"/>
                      <w:szCs w:val="21"/>
                    </w:rPr>
                  </w:pPr>
                  <w:r>
                    <w:rPr>
                      <w:color w:val="auto"/>
                      <w:kern w:val="0"/>
                      <w:szCs w:val="21"/>
                    </w:rPr>
                    <w:t>86</w:t>
                  </w:r>
                </w:p>
              </w:tc>
              <w:tc>
                <w:tcPr>
                  <w:tcW w:w="2337" w:type="dxa"/>
                  <w:shd w:val="clear" w:color="auto" w:fill="auto"/>
                  <w:vAlign w:val="center"/>
                </w:tcPr>
                <w:p>
                  <w:pPr>
                    <w:autoSpaceDE w:val="0"/>
                    <w:autoSpaceDN w:val="0"/>
                    <w:adjustRightInd w:val="0"/>
                    <w:snapToGrid w:val="0"/>
                    <w:jc w:val="center"/>
                    <w:rPr>
                      <w:color w:val="auto"/>
                      <w:kern w:val="0"/>
                      <w:szCs w:val="21"/>
                    </w:rPr>
                  </w:pPr>
                  <w:r>
                    <w:rPr>
                      <w:color w:val="auto"/>
                      <w:kern w:val="0"/>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336" w:type="dxa"/>
                  <w:vMerge w:val="continue"/>
                  <w:shd w:val="clear" w:color="auto" w:fill="auto"/>
                  <w:vAlign w:val="center"/>
                </w:tcPr>
                <w:p>
                  <w:pPr>
                    <w:autoSpaceDE w:val="0"/>
                    <w:autoSpaceDN w:val="0"/>
                    <w:adjustRightInd w:val="0"/>
                    <w:snapToGrid w:val="0"/>
                    <w:jc w:val="center"/>
                    <w:rPr>
                      <w:color w:val="auto"/>
                      <w:kern w:val="0"/>
                      <w:szCs w:val="21"/>
                    </w:rPr>
                  </w:pPr>
                </w:p>
              </w:tc>
              <w:tc>
                <w:tcPr>
                  <w:tcW w:w="2336" w:type="dxa"/>
                  <w:shd w:val="clear" w:color="auto" w:fill="auto"/>
                  <w:vAlign w:val="center"/>
                </w:tcPr>
                <w:p>
                  <w:pPr>
                    <w:autoSpaceDE w:val="0"/>
                    <w:autoSpaceDN w:val="0"/>
                    <w:adjustRightInd w:val="0"/>
                    <w:snapToGrid w:val="0"/>
                    <w:jc w:val="center"/>
                    <w:rPr>
                      <w:color w:val="auto"/>
                      <w:kern w:val="0"/>
                      <w:szCs w:val="21"/>
                    </w:rPr>
                  </w:pPr>
                  <w:r>
                    <w:rPr>
                      <w:color w:val="auto"/>
                      <w:kern w:val="0"/>
                      <w:szCs w:val="21"/>
                    </w:rPr>
                    <w:t>挖掘机</w:t>
                  </w:r>
                </w:p>
              </w:tc>
              <w:tc>
                <w:tcPr>
                  <w:tcW w:w="2337" w:type="dxa"/>
                  <w:shd w:val="clear" w:color="auto" w:fill="auto"/>
                  <w:vAlign w:val="center"/>
                </w:tcPr>
                <w:p>
                  <w:pPr>
                    <w:autoSpaceDE w:val="0"/>
                    <w:autoSpaceDN w:val="0"/>
                    <w:adjustRightInd w:val="0"/>
                    <w:snapToGrid w:val="0"/>
                    <w:jc w:val="center"/>
                    <w:rPr>
                      <w:color w:val="auto"/>
                      <w:kern w:val="0"/>
                      <w:szCs w:val="21"/>
                    </w:rPr>
                  </w:pPr>
                  <w:r>
                    <w:rPr>
                      <w:color w:val="auto"/>
                      <w:kern w:val="0"/>
                      <w:szCs w:val="21"/>
                    </w:rPr>
                    <w:t>85</w:t>
                  </w:r>
                </w:p>
              </w:tc>
              <w:tc>
                <w:tcPr>
                  <w:tcW w:w="2337" w:type="dxa"/>
                  <w:shd w:val="clear" w:color="auto" w:fill="auto"/>
                  <w:vAlign w:val="center"/>
                </w:tcPr>
                <w:p>
                  <w:pPr>
                    <w:autoSpaceDE w:val="0"/>
                    <w:autoSpaceDN w:val="0"/>
                    <w:adjustRightInd w:val="0"/>
                    <w:snapToGrid w:val="0"/>
                    <w:jc w:val="center"/>
                    <w:rPr>
                      <w:color w:val="auto"/>
                      <w:kern w:val="0"/>
                      <w:szCs w:val="21"/>
                    </w:rPr>
                  </w:pPr>
                  <w:r>
                    <w:rPr>
                      <w:color w:val="auto"/>
                      <w:kern w:val="0"/>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336" w:type="dxa"/>
                  <w:vMerge w:val="restart"/>
                  <w:shd w:val="clear" w:color="auto" w:fill="auto"/>
                  <w:vAlign w:val="center"/>
                </w:tcPr>
                <w:p>
                  <w:pPr>
                    <w:autoSpaceDE w:val="0"/>
                    <w:autoSpaceDN w:val="0"/>
                    <w:adjustRightInd w:val="0"/>
                    <w:snapToGrid w:val="0"/>
                    <w:jc w:val="center"/>
                    <w:rPr>
                      <w:color w:val="auto"/>
                      <w:kern w:val="0"/>
                      <w:szCs w:val="21"/>
                    </w:rPr>
                  </w:pPr>
                  <w:r>
                    <w:rPr>
                      <w:color w:val="auto"/>
                      <w:kern w:val="0"/>
                      <w:szCs w:val="21"/>
                    </w:rPr>
                    <w:t>基础阶段</w:t>
                  </w:r>
                </w:p>
              </w:tc>
              <w:tc>
                <w:tcPr>
                  <w:tcW w:w="2336" w:type="dxa"/>
                  <w:shd w:val="clear" w:color="auto" w:fill="auto"/>
                  <w:vAlign w:val="center"/>
                </w:tcPr>
                <w:p>
                  <w:pPr>
                    <w:autoSpaceDE w:val="0"/>
                    <w:autoSpaceDN w:val="0"/>
                    <w:adjustRightInd w:val="0"/>
                    <w:snapToGrid w:val="0"/>
                    <w:jc w:val="center"/>
                    <w:rPr>
                      <w:color w:val="auto"/>
                      <w:kern w:val="0"/>
                      <w:szCs w:val="21"/>
                    </w:rPr>
                  </w:pPr>
                  <w:r>
                    <w:rPr>
                      <w:color w:val="auto"/>
                      <w:kern w:val="0"/>
                      <w:szCs w:val="21"/>
                    </w:rPr>
                    <w:t>打桩机</w:t>
                  </w:r>
                </w:p>
              </w:tc>
              <w:tc>
                <w:tcPr>
                  <w:tcW w:w="2337" w:type="dxa"/>
                  <w:shd w:val="clear" w:color="auto" w:fill="auto"/>
                  <w:vAlign w:val="center"/>
                </w:tcPr>
                <w:p>
                  <w:pPr>
                    <w:autoSpaceDE w:val="0"/>
                    <w:autoSpaceDN w:val="0"/>
                    <w:adjustRightInd w:val="0"/>
                    <w:snapToGrid w:val="0"/>
                    <w:jc w:val="center"/>
                    <w:rPr>
                      <w:color w:val="auto"/>
                      <w:kern w:val="0"/>
                      <w:szCs w:val="21"/>
                    </w:rPr>
                  </w:pPr>
                  <w:r>
                    <w:rPr>
                      <w:color w:val="auto"/>
                      <w:kern w:val="0"/>
                      <w:szCs w:val="21"/>
                    </w:rPr>
                    <w:t>80</w:t>
                  </w:r>
                </w:p>
              </w:tc>
              <w:tc>
                <w:tcPr>
                  <w:tcW w:w="2337" w:type="dxa"/>
                  <w:shd w:val="clear" w:color="auto" w:fill="auto"/>
                  <w:vAlign w:val="center"/>
                </w:tcPr>
                <w:p>
                  <w:pPr>
                    <w:autoSpaceDE w:val="0"/>
                    <w:autoSpaceDN w:val="0"/>
                    <w:adjustRightInd w:val="0"/>
                    <w:snapToGrid w:val="0"/>
                    <w:jc w:val="center"/>
                    <w:rPr>
                      <w:color w:val="auto"/>
                      <w:kern w:val="0"/>
                      <w:szCs w:val="21"/>
                    </w:rPr>
                  </w:pPr>
                  <w:r>
                    <w:rPr>
                      <w:color w:val="auto"/>
                      <w:kern w:val="0"/>
                      <w:szCs w:val="21"/>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336" w:type="dxa"/>
                  <w:vMerge w:val="continue"/>
                  <w:shd w:val="clear" w:color="auto" w:fill="auto"/>
                  <w:vAlign w:val="center"/>
                </w:tcPr>
                <w:p>
                  <w:pPr>
                    <w:autoSpaceDE w:val="0"/>
                    <w:autoSpaceDN w:val="0"/>
                    <w:adjustRightInd w:val="0"/>
                    <w:snapToGrid w:val="0"/>
                    <w:jc w:val="center"/>
                    <w:rPr>
                      <w:color w:val="auto"/>
                      <w:kern w:val="0"/>
                      <w:szCs w:val="21"/>
                    </w:rPr>
                  </w:pPr>
                </w:p>
              </w:tc>
              <w:tc>
                <w:tcPr>
                  <w:tcW w:w="2336" w:type="dxa"/>
                  <w:shd w:val="clear" w:color="auto" w:fill="auto"/>
                  <w:vAlign w:val="center"/>
                </w:tcPr>
                <w:p>
                  <w:pPr>
                    <w:autoSpaceDE w:val="0"/>
                    <w:autoSpaceDN w:val="0"/>
                    <w:adjustRightInd w:val="0"/>
                    <w:snapToGrid w:val="0"/>
                    <w:jc w:val="center"/>
                    <w:rPr>
                      <w:color w:val="auto"/>
                      <w:kern w:val="0"/>
                      <w:szCs w:val="21"/>
                    </w:rPr>
                  </w:pPr>
                  <w:r>
                    <w:rPr>
                      <w:color w:val="auto"/>
                      <w:kern w:val="0"/>
                      <w:szCs w:val="21"/>
                    </w:rPr>
                    <w:t>吊车</w:t>
                  </w:r>
                </w:p>
              </w:tc>
              <w:tc>
                <w:tcPr>
                  <w:tcW w:w="2337" w:type="dxa"/>
                  <w:shd w:val="clear" w:color="auto" w:fill="auto"/>
                  <w:vAlign w:val="center"/>
                </w:tcPr>
                <w:p>
                  <w:pPr>
                    <w:autoSpaceDE w:val="0"/>
                    <w:autoSpaceDN w:val="0"/>
                    <w:adjustRightInd w:val="0"/>
                    <w:snapToGrid w:val="0"/>
                    <w:jc w:val="center"/>
                    <w:rPr>
                      <w:color w:val="auto"/>
                      <w:kern w:val="0"/>
                      <w:szCs w:val="21"/>
                    </w:rPr>
                  </w:pPr>
                  <w:r>
                    <w:rPr>
                      <w:color w:val="auto"/>
                      <w:kern w:val="0"/>
                      <w:szCs w:val="21"/>
                    </w:rPr>
                    <w:t>73</w:t>
                  </w:r>
                </w:p>
              </w:tc>
              <w:tc>
                <w:tcPr>
                  <w:tcW w:w="2337" w:type="dxa"/>
                  <w:shd w:val="clear" w:color="auto" w:fill="auto"/>
                  <w:vAlign w:val="center"/>
                </w:tcPr>
                <w:p>
                  <w:pPr>
                    <w:autoSpaceDE w:val="0"/>
                    <w:autoSpaceDN w:val="0"/>
                    <w:adjustRightInd w:val="0"/>
                    <w:snapToGrid w:val="0"/>
                    <w:jc w:val="center"/>
                    <w:rPr>
                      <w:color w:val="auto"/>
                      <w:kern w:val="0"/>
                      <w:szCs w:val="21"/>
                    </w:rPr>
                  </w:pPr>
                  <w:r>
                    <w:rPr>
                      <w:color w:val="auto"/>
                      <w:kern w:val="0"/>
                      <w:szCs w:val="21"/>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336" w:type="dxa"/>
                  <w:vMerge w:val="continue"/>
                  <w:shd w:val="clear" w:color="auto" w:fill="auto"/>
                  <w:vAlign w:val="center"/>
                </w:tcPr>
                <w:p>
                  <w:pPr>
                    <w:autoSpaceDE w:val="0"/>
                    <w:autoSpaceDN w:val="0"/>
                    <w:adjustRightInd w:val="0"/>
                    <w:snapToGrid w:val="0"/>
                    <w:jc w:val="center"/>
                    <w:rPr>
                      <w:color w:val="auto"/>
                      <w:kern w:val="0"/>
                      <w:szCs w:val="21"/>
                    </w:rPr>
                  </w:pPr>
                </w:p>
              </w:tc>
              <w:tc>
                <w:tcPr>
                  <w:tcW w:w="2336" w:type="dxa"/>
                  <w:shd w:val="clear" w:color="auto" w:fill="auto"/>
                  <w:vAlign w:val="center"/>
                </w:tcPr>
                <w:p>
                  <w:pPr>
                    <w:autoSpaceDE w:val="0"/>
                    <w:autoSpaceDN w:val="0"/>
                    <w:adjustRightInd w:val="0"/>
                    <w:snapToGrid w:val="0"/>
                    <w:jc w:val="center"/>
                    <w:rPr>
                      <w:color w:val="auto"/>
                      <w:kern w:val="0"/>
                      <w:szCs w:val="21"/>
                    </w:rPr>
                  </w:pPr>
                  <w:r>
                    <w:rPr>
                      <w:color w:val="auto"/>
                      <w:kern w:val="0"/>
                      <w:szCs w:val="21"/>
                    </w:rPr>
                    <w:t>空压机</w:t>
                  </w:r>
                </w:p>
              </w:tc>
              <w:tc>
                <w:tcPr>
                  <w:tcW w:w="2337" w:type="dxa"/>
                  <w:shd w:val="clear" w:color="auto" w:fill="auto"/>
                  <w:vAlign w:val="center"/>
                </w:tcPr>
                <w:p>
                  <w:pPr>
                    <w:autoSpaceDE w:val="0"/>
                    <w:autoSpaceDN w:val="0"/>
                    <w:adjustRightInd w:val="0"/>
                    <w:snapToGrid w:val="0"/>
                    <w:jc w:val="center"/>
                    <w:rPr>
                      <w:color w:val="auto"/>
                      <w:kern w:val="0"/>
                      <w:szCs w:val="21"/>
                    </w:rPr>
                  </w:pPr>
                  <w:r>
                    <w:rPr>
                      <w:color w:val="auto"/>
                      <w:kern w:val="0"/>
                      <w:szCs w:val="21"/>
                    </w:rPr>
                    <w:t>92</w:t>
                  </w:r>
                </w:p>
              </w:tc>
              <w:tc>
                <w:tcPr>
                  <w:tcW w:w="2337" w:type="dxa"/>
                  <w:shd w:val="clear" w:color="auto" w:fill="auto"/>
                  <w:vAlign w:val="center"/>
                </w:tcPr>
                <w:p>
                  <w:pPr>
                    <w:autoSpaceDE w:val="0"/>
                    <w:autoSpaceDN w:val="0"/>
                    <w:adjustRightInd w:val="0"/>
                    <w:snapToGrid w:val="0"/>
                    <w:jc w:val="center"/>
                    <w:rPr>
                      <w:color w:val="auto"/>
                      <w:kern w:val="0"/>
                      <w:szCs w:val="21"/>
                    </w:rPr>
                  </w:pPr>
                  <w:r>
                    <w:rPr>
                      <w:color w:val="auto"/>
                      <w:kern w:val="0"/>
                      <w:szCs w:val="21"/>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336" w:type="dxa"/>
                  <w:vMerge w:val="restart"/>
                  <w:shd w:val="clear" w:color="auto" w:fill="auto"/>
                  <w:vAlign w:val="center"/>
                </w:tcPr>
                <w:p>
                  <w:pPr>
                    <w:autoSpaceDE w:val="0"/>
                    <w:autoSpaceDN w:val="0"/>
                    <w:adjustRightInd w:val="0"/>
                    <w:snapToGrid w:val="0"/>
                    <w:jc w:val="center"/>
                    <w:rPr>
                      <w:color w:val="auto"/>
                      <w:kern w:val="0"/>
                      <w:szCs w:val="21"/>
                    </w:rPr>
                  </w:pPr>
                  <w:r>
                    <w:rPr>
                      <w:color w:val="auto"/>
                      <w:kern w:val="0"/>
                      <w:szCs w:val="21"/>
                    </w:rPr>
                    <w:t>结构阶段</w:t>
                  </w:r>
                </w:p>
              </w:tc>
              <w:tc>
                <w:tcPr>
                  <w:tcW w:w="2336" w:type="dxa"/>
                  <w:shd w:val="clear" w:color="auto" w:fill="auto"/>
                  <w:vAlign w:val="center"/>
                </w:tcPr>
                <w:p>
                  <w:pPr>
                    <w:autoSpaceDE w:val="0"/>
                    <w:autoSpaceDN w:val="0"/>
                    <w:adjustRightInd w:val="0"/>
                    <w:snapToGrid w:val="0"/>
                    <w:jc w:val="center"/>
                    <w:rPr>
                      <w:color w:val="auto"/>
                      <w:kern w:val="0"/>
                      <w:szCs w:val="21"/>
                    </w:rPr>
                  </w:pPr>
                  <w:r>
                    <w:rPr>
                      <w:color w:val="auto"/>
                      <w:kern w:val="0"/>
                      <w:szCs w:val="21"/>
                    </w:rPr>
                    <w:t>吊车</w:t>
                  </w:r>
                </w:p>
              </w:tc>
              <w:tc>
                <w:tcPr>
                  <w:tcW w:w="2337" w:type="dxa"/>
                  <w:shd w:val="clear" w:color="auto" w:fill="auto"/>
                  <w:vAlign w:val="center"/>
                </w:tcPr>
                <w:p>
                  <w:pPr>
                    <w:autoSpaceDE w:val="0"/>
                    <w:autoSpaceDN w:val="0"/>
                    <w:adjustRightInd w:val="0"/>
                    <w:snapToGrid w:val="0"/>
                    <w:jc w:val="center"/>
                    <w:rPr>
                      <w:color w:val="auto"/>
                      <w:kern w:val="0"/>
                      <w:szCs w:val="21"/>
                    </w:rPr>
                  </w:pPr>
                  <w:r>
                    <w:rPr>
                      <w:color w:val="auto"/>
                      <w:kern w:val="0"/>
                      <w:szCs w:val="21"/>
                    </w:rPr>
                    <w:t>73</w:t>
                  </w:r>
                </w:p>
              </w:tc>
              <w:tc>
                <w:tcPr>
                  <w:tcW w:w="2337" w:type="dxa"/>
                  <w:shd w:val="clear" w:color="auto" w:fill="auto"/>
                  <w:vAlign w:val="center"/>
                </w:tcPr>
                <w:p>
                  <w:pPr>
                    <w:autoSpaceDE w:val="0"/>
                    <w:autoSpaceDN w:val="0"/>
                    <w:adjustRightInd w:val="0"/>
                    <w:snapToGrid w:val="0"/>
                    <w:jc w:val="center"/>
                    <w:rPr>
                      <w:color w:val="auto"/>
                      <w:kern w:val="0"/>
                      <w:szCs w:val="21"/>
                    </w:rPr>
                  </w:pPr>
                  <w:r>
                    <w:rPr>
                      <w:color w:val="auto"/>
                      <w:kern w:val="0"/>
                      <w:szCs w:val="21"/>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336" w:type="dxa"/>
                  <w:vMerge w:val="continue"/>
                  <w:shd w:val="clear" w:color="auto" w:fill="auto"/>
                  <w:vAlign w:val="center"/>
                </w:tcPr>
                <w:p>
                  <w:pPr>
                    <w:autoSpaceDE w:val="0"/>
                    <w:autoSpaceDN w:val="0"/>
                    <w:adjustRightInd w:val="0"/>
                    <w:snapToGrid w:val="0"/>
                    <w:jc w:val="center"/>
                    <w:rPr>
                      <w:color w:val="auto"/>
                      <w:kern w:val="0"/>
                      <w:szCs w:val="21"/>
                    </w:rPr>
                  </w:pPr>
                </w:p>
              </w:tc>
              <w:tc>
                <w:tcPr>
                  <w:tcW w:w="2336" w:type="dxa"/>
                  <w:shd w:val="clear" w:color="auto" w:fill="auto"/>
                  <w:vAlign w:val="center"/>
                </w:tcPr>
                <w:p>
                  <w:pPr>
                    <w:autoSpaceDE w:val="0"/>
                    <w:autoSpaceDN w:val="0"/>
                    <w:adjustRightInd w:val="0"/>
                    <w:snapToGrid w:val="0"/>
                    <w:jc w:val="center"/>
                    <w:rPr>
                      <w:color w:val="auto"/>
                      <w:kern w:val="0"/>
                      <w:szCs w:val="21"/>
                    </w:rPr>
                  </w:pPr>
                  <w:r>
                    <w:rPr>
                      <w:color w:val="auto"/>
                      <w:kern w:val="0"/>
                      <w:szCs w:val="21"/>
                    </w:rPr>
                    <w:t>振捣棒</w:t>
                  </w:r>
                </w:p>
              </w:tc>
              <w:tc>
                <w:tcPr>
                  <w:tcW w:w="2337" w:type="dxa"/>
                  <w:shd w:val="clear" w:color="auto" w:fill="auto"/>
                  <w:vAlign w:val="center"/>
                </w:tcPr>
                <w:p>
                  <w:pPr>
                    <w:autoSpaceDE w:val="0"/>
                    <w:autoSpaceDN w:val="0"/>
                    <w:adjustRightInd w:val="0"/>
                    <w:snapToGrid w:val="0"/>
                    <w:jc w:val="center"/>
                    <w:rPr>
                      <w:color w:val="auto"/>
                      <w:kern w:val="0"/>
                      <w:szCs w:val="21"/>
                    </w:rPr>
                  </w:pPr>
                  <w:r>
                    <w:rPr>
                      <w:color w:val="auto"/>
                      <w:kern w:val="0"/>
                      <w:szCs w:val="21"/>
                    </w:rPr>
                    <w:t>98</w:t>
                  </w:r>
                </w:p>
              </w:tc>
              <w:tc>
                <w:tcPr>
                  <w:tcW w:w="2337" w:type="dxa"/>
                  <w:shd w:val="clear" w:color="auto" w:fill="auto"/>
                  <w:vAlign w:val="center"/>
                </w:tcPr>
                <w:p>
                  <w:pPr>
                    <w:autoSpaceDE w:val="0"/>
                    <w:autoSpaceDN w:val="0"/>
                    <w:adjustRightInd w:val="0"/>
                    <w:snapToGrid w:val="0"/>
                    <w:jc w:val="center"/>
                    <w:rPr>
                      <w:color w:val="auto"/>
                      <w:kern w:val="0"/>
                      <w:szCs w:val="21"/>
                    </w:rPr>
                  </w:pPr>
                  <w:r>
                    <w:rPr>
                      <w:color w:val="auto"/>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336" w:type="dxa"/>
                  <w:shd w:val="clear" w:color="auto" w:fill="auto"/>
                  <w:vAlign w:val="center"/>
                </w:tcPr>
                <w:p>
                  <w:pPr>
                    <w:autoSpaceDE w:val="0"/>
                    <w:autoSpaceDN w:val="0"/>
                    <w:adjustRightInd w:val="0"/>
                    <w:snapToGrid w:val="0"/>
                    <w:jc w:val="center"/>
                    <w:rPr>
                      <w:color w:val="auto"/>
                      <w:kern w:val="0"/>
                      <w:szCs w:val="21"/>
                    </w:rPr>
                  </w:pPr>
                  <w:r>
                    <w:rPr>
                      <w:color w:val="auto"/>
                      <w:kern w:val="0"/>
                      <w:szCs w:val="21"/>
                    </w:rPr>
                    <w:t>装修阶段</w:t>
                  </w:r>
                </w:p>
              </w:tc>
              <w:tc>
                <w:tcPr>
                  <w:tcW w:w="2336" w:type="dxa"/>
                  <w:shd w:val="clear" w:color="auto" w:fill="auto"/>
                  <w:vAlign w:val="center"/>
                </w:tcPr>
                <w:p>
                  <w:pPr>
                    <w:autoSpaceDE w:val="0"/>
                    <w:autoSpaceDN w:val="0"/>
                    <w:adjustRightInd w:val="0"/>
                    <w:snapToGrid w:val="0"/>
                    <w:jc w:val="center"/>
                    <w:rPr>
                      <w:color w:val="auto"/>
                      <w:kern w:val="0"/>
                      <w:szCs w:val="21"/>
                    </w:rPr>
                  </w:pPr>
                  <w:r>
                    <w:rPr>
                      <w:color w:val="auto"/>
                      <w:kern w:val="0"/>
                      <w:szCs w:val="21"/>
                    </w:rPr>
                    <w:t>吊车</w:t>
                  </w:r>
                </w:p>
              </w:tc>
              <w:tc>
                <w:tcPr>
                  <w:tcW w:w="2337" w:type="dxa"/>
                  <w:shd w:val="clear" w:color="auto" w:fill="auto"/>
                  <w:vAlign w:val="center"/>
                </w:tcPr>
                <w:p>
                  <w:pPr>
                    <w:autoSpaceDE w:val="0"/>
                    <w:autoSpaceDN w:val="0"/>
                    <w:adjustRightInd w:val="0"/>
                    <w:snapToGrid w:val="0"/>
                    <w:jc w:val="center"/>
                    <w:rPr>
                      <w:color w:val="auto"/>
                      <w:kern w:val="0"/>
                      <w:szCs w:val="21"/>
                    </w:rPr>
                  </w:pPr>
                  <w:r>
                    <w:rPr>
                      <w:color w:val="auto"/>
                      <w:kern w:val="0"/>
                      <w:szCs w:val="21"/>
                    </w:rPr>
                    <w:t>73</w:t>
                  </w:r>
                </w:p>
              </w:tc>
              <w:tc>
                <w:tcPr>
                  <w:tcW w:w="2337" w:type="dxa"/>
                  <w:shd w:val="clear" w:color="auto" w:fill="auto"/>
                  <w:vAlign w:val="center"/>
                </w:tcPr>
                <w:p>
                  <w:pPr>
                    <w:autoSpaceDE w:val="0"/>
                    <w:autoSpaceDN w:val="0"/>
                    <w:adjustRightInd w:val="0"/>
                    <w:snapToGrid w:val="0"/>
                    <w:jc w:val="center"/>
                    <w:rPr>
                      <w:color w:val="auto"/>
                      <w:kern w:val="0"/>
                      <w:szCs w:val="21"/>
                    </w:rPr>
                  </w:pPr>
                  <w:r>
                    <w:rPr>
                      <w:color w:val="auto"/>
                      <w:kern w:val="0"/>
                      <w:szCs w:val="21"/>
                    </w:rPr>
                    <w:t>15</w:t>
                  </w:r>
                </w:p>
              </w:tc>
            </w:tr>
          </w:tbl>
          <w:p>
            <w:pPr>
              <w:autoSpaceDE w:val="0"/>
              <w:autoSpaceDN w:val="0"/>
              <w:adjustRightInd w:val="0"/>
              <w:spacing w:line="360" w:lineRule="auto"/>
              <w:ind w:firstLine="480" w:firstLineChars="200"/>
              <w:rPr>
                <w:color w:val="auto"/>
                <w:sz w:val="24"/>
              </w:rPr>
            </w:pPr>
            <w:r>
              <w:rPr>
                <w:color w:val="auto"/>
                <w:sz w:val="24"/>
              </w:rPr>
              <w:t>（2）车辆交通噪声</w:t>
            </w:r>
          </w:p>
          <w:p>
            <w:pPr>
              <w:autoSpaceDE w:val="0"/>
              <w:autoSpaceDN w:val="0"/>
              <w:adjustRightInd w:val="0"/>
              <w:spacing w:line="360" w:lineRule="auto"/>
              <w:ind w:firstLine="480" w:firstLineChars="200"/>
              <w:rPr>
                <w:color w:val="auto"/>
                <w:sz w:val="24"/>
              </w:rPr>
            </w:pPr>
            <w:r>
              <w:rPr>
                <w:color w:val="auto"/>
                <w:sz w:val="24"/>
              </w:rPr>
              <w:t>运输车辆噪声类型及声级见表</w:t>
            </w:r>
            <w:r>
              <w:rPr>
                <w:rFonts w:hint="eastAsia"/>
                <w:color w:val="auto"/>
                <w:sz w:val="24"/>
                <w:lang w:val="en-US" w:eastAsia="zh-CN"/>
              </w:rPr>
              <w:t>20</w:t>
            </w:r>
            <w:r>
              <w:rPr>
                <w:color w:val="auto"/>
                <w:sz w:val="24"/>
              </w:rPr>
              <w:t>。</w:t>
            </w:r>
          </w:p>
          <w:p>
            <w:pPr>
              <w:autoSpaceDE w:val="0"/>
              <w:autoSpaceDN w:val="0"/>
              <w:adjustRightInd w:val="0"/>
              <w:jc w:val="center"/>
              <w:rPr>
                <w:b/>
                <w:color w:val="auto"/>
                <w:sz w:val="24"/>
              </w:rPr>
            </w:pPr>
            <w:r>
              <w:rPr>
                <w:b/>
                <w:color w:val="auto"/>
                <w:sz w:val="24"/>
              </w:rPr>
              <w:t>表</w:t>
            </w:r>
            <w:r>
              <w:rPr>
                <w:rFonts w:hint="eastAsia"/>
                <w:b/>
                <w:color w:val="auto"/>
                <w:sz w:val="24"/>
                <w:lang w:val="en-US" w:eastAsia="zh-CN"/>
              </w:rPr>
              <w:t>20</w:t>
            </w:r>
            <w:r>
              <w:rPr>
                <w:b/>
                <w:color w:val="auto"/>
                <w:sz w:val="24"/>
              </w:rPr>
              <w:t xml:space="preserve">   施工期运输车辆声级</w:t>
            </w:r>
          </w:p>
          <w:tbl>
            <w:tblPr>
              <w:tblStyle w:val="24"/>
              <w:tblW w:w="934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285"/>
              <w:gridCol w:w="3483"/>
              <w:gridCol w:w="25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3285" w:type="dxa"/>
                  <w:vAlign w:val="center"/>
                </w:tcPr>
                <w:p>
                  <w:pPr>
                    <w:jc w:val="center"/>
                    <w:rPr>
                      <w:color w:val="auto"/>
                    </w:rPr>
                  </w:pPr>
                  <w:r>
                    <w:rPr>
                      <w:color w:val="auto"/>
                    </w:rPr>
                    <w:t>车辆类型</w:t>
                  </w:r>
                </w:p>
              </w:tc>
              <w:tc>
                <w:tcPr>
                  <w:tcW w:w="3483" w:type="dxa"/>
                  <w:vAlign w:val="center"/>
                </w:tcPr>
                <w:p>
                  <w:pPr>
                    <w:jc w:val="center"/>
                    <w:rPr>
                      <w:color w:val="auto"/>
                    </w:rPr>
                  </w:pPr>
                  <w:r>
                    <w:rPr>
                      <w:color w:val="auto"/>
                    </w:rPr>
                    <w:t>运输内容</w:t>
                  </w:r>
                </w:p>
              </w:tc>
              <w:tc>
                <w:tcPr>
                  <w:tcW w:w="2578" w:type="dxa"/>
                  <w:vAlign w:val="center"/>
                </w:tcPr>
                <w:p>
                  <w:pPr>
                    <w:jc w:val="center"/>
                    <w:rPr>
                      <w:color w:val="auto"/>
                    </w:rPr>
                  </w:pPr>
                  <w:r>
                    <w:rPr>
                      <w:color w:val="auto"/>
                    </w:rPr>
                    <w:t>声级dB（A）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3285" w:type="dxa"/>
                  <w:vAlign w:val="center"/>
                </w:tcPr>
                <w:p>
                  <w:pPr>
                    <w:jc w:val="center"/>
                    <w:rPr>
                      <w:color w:val="auto"/>
                    </w:rPr>
                  </w:pPr>
                  <w:r>
                    <w:rPr>
                      <w:color w:val="auto"/>
                    </w:rPr>
                    <w:t>混凝土罐车、载重机</w:t>
                  </w:r>
                </w:p>
              </w:tc>
              <w:tc>
                <w:tcPr>
                  <w:tcW w:w="3483" w:type="dxa"/>
                  <w:vAlign w:val="center"/>
                </w:tcPr>
                <w:p>
                  <w:pPr>
                    <w:jc w:val="center"/>
                    <w:rPr>
                      <w:color w:val="auto"/>
                    </w:rPr>
                  </w:pPr>
                  <w:r>
                    <w:rPr>
                      <w:color w:val="auto"/>
                    </w:rPr>
                    <w:t>钢筋、商品混凝土</w:t>
                  </w:r>
                </w:p>
              </w:tc>
              <w:tc>
                <w:tcPr>
                  <w:tcW w:w="2578" w:type="dxa"/>
                  <w:vAlign w:val="center"/>
                </w:tcPr>
                <w:p>
                  <w:pPr>
                    <w:jc w:val="center"/>
                    <w:rPr>
                      <w:color w:val="auto"/>
                    </w:rPr>
                  </w:pPr>
                  <w:r>
                    <w:rPr>
                      <w:color w:val="auto"/>
                    </w:rPr>
                    <w:t>80~85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3285" w:type="dxa"/>
                  <w:vAlign w:val="center"/>
                </w:tcPr>
                <w:p>
                  <w:pPr>
                    <w:jc w:val="center"/>
                    <w:rPr>
                      <w:color w:val="auto"/>
                    </w:rPr>
                  </w:pPr>
                  <w:r>
                    <w:rPr>
                      <w:color w:val="auto"/>
                    </w:rPr>
                    <w:t>轻型载重卡车</w:t>
                  </w:r>
                </w:p>
              </w:tc>
              <w:tc>
                <w:tcPr>
                  <w:tcW w:w="3483" w:type="dxa"/>
                  <w:vAlign w:val="center"/>
                </w:tcPr>
                <w:p>
                  <w:pPr>
                    <w:jc w:val="center"/>
                    <w:rPr>
                      <w:color w:val="auto"/>
                    </w:rPr>
                  </w:pPr>
                  <w:r>
                    <w:rPr>
                      <w:color w:val="auto"/>
                    </w:rPr>
                    <w:t>各种装修材料及必要的设备</w:t>
                  </w:r>
                </w:p>
              </w:tc>
              <w:tc>
                <w:tcPr>
                  <w:tcW w:w="2578" w:type="dxa"/>
                  <w:vAlign w:val="center"/>
                </w:tcPr>
                <w:p>
                  <w:pPr>
                    <w:jc w:val="center"/>
                    <w:rPr>
                      <w:color w:val="auto"/>
                    </w:rPr>
                  </w:pPr>
                  <w:r>
                    <w:rPr>
                      <w:color w:val="auto"/>
                    </w:rPr>
                    <w:t>75</w:t>
                  </w:r>
                </w:p>
              </w:tc>
            </w:tr>
          </w:tbl>
          <w:p>
            <w:pPr>
              <w:spacing w:line="360" w:lineRule="auto"/>
              <w:ind w:firstLine="420" w:firstLineChars="175"/>
              <w:rPr>
                <w:rFonts w:hint="eastAsia" w:eastAsia="宋体"/>
                <w:color w:val="auto"/>
                <w:sz w:val="24"/>
                <w:lang w:eastAsia="zh-CN"/>
              </w:rPr>
            </w:pPr>
            <w:r>
              <w:rPr>
                <w:rFonts w:hint="eastAsia"/>
                <w:color w:val="auto"/>
                <w:sz w:val="24"/>
                <w:lang w:eastAsia="zh-CN"/>
              </w:rPr>
              <w:t>（</w:t>
            </w:r>
            <w:r>
              <w:rPr>
                <w:rFonts w:hint="eastAsia"/>
                <w:color w:val="auto"/>
                <w:sz w:val="24"/>
                <w:lang w:val="en-US" w:eastAsia="zh-CN"/>
              </w:rPr>
              <w:t>3）声环境影响分析</w:t>
            </w:r>
          </w:p>
          <w:p>
            <w:pPr>
              <w:spacing w:line="360" w:lineRule="auto"/>
              <w:ind w:firstLine="420" w:firstLineChars="175"/>
              <w:rPr>
                <w:rFonts w:hint="eastAsia"/>
                <w:color w:val="auto"/>
                <w:sz w:val="24"/>
                <w:lang w:val="en-US" w:eastAsia="zh-CN"/>
              </w:rPr>
            </w:pPr>
            <w:r>
              <w:rPr>
                <w:rFonts w:hint="eastAsia"/>
                <w:color w:val="auto"/>
                <w:sz w:val="24"/>
                <w:lang w:val="en-US" w:eastAsia="zh-CN"/>
              </w:rPr>
              <w:t>①声环境预测</w:t>
            </w:r>
          </w:p>
          <w:p>
            <w:pPr>
              <w:spacing w:line="360" w:lineRule="auto"/>
              <w:ind w:firstLine="420" w:firstLineChars="175"/>
              <w:rPr>
                <w:rFonts w:hint="eastAsia"/>
                <w:color w:val="auto"/>
                <w:sz w:val="24"/>
              </w:rPr>
            </w:pPr>
            <w:r>
              <w:rPr>
                <w:rFonts w:hint="eastAsia"/>
                <w:color w:val="auto"/>
                <w:sz w:val="24"/>
              </w:rPr>
              <w:t>施工噪声可按点源处理，土石方工程在室外地面进行，结构工程发生于室外地上，装修工程多发生于室内。产生在室外地面的噪声源，可看作位于半自由空间，产生在建筑高层部分的噪声源，可看作位于自由空间。几类工程噪声分别按室外、室内声源噪声衰减模式进行衰减预测，预测模式如下：</w:t>
            </w:r>
          </w:p>
          <w:p>
            <w:pPr>
              <w:spacing w:line="360" w:lineRule="auto"/>
              <w:ind w:firstLine="420" w:firstLineChars="175"/>
              <w:rPr>
                <w:rFonts w:hint="eastAsia"/>
                <w:color w:val="auto"/>
                <w:sz w:val="24"/>
              </w:rPr>
            </w:pPr>
            <w:r>
              <w:rPr>
                <w:rFonts w:hint="eastAsia"/>
                <w:color w:val="auto"/>
                <w:sz w:val="24"/>
              </w:rPr>
              <w:t>室外点源半自由空间噪声衰减模式</w:t>
            </w:r>
            <w:r>
              <w:rPr>
                <w:rFonts w:hint="eastAsia"/>
                <w:color w:val="auto"/>
                <w:sz w:val="24"/>
                <w:lang w:eastAsia="zh-CN"/>
              </w:rPr>
              <w:t>：</w:t>
            </w:r>
          </w:p>
          <w:p>
            <w:pPr>
              <w:spacing w:line="360" w:lineRule="auto"/>
              <w:ind w:firstLine="420" w:firstLineChars="175"/>
              <w:rPr>
                <w:rFonts w:hint="eastAsia"/>
                <w:color w:val="auto"/>
                <w:sz w:val="24"/>
              </w:rPr>
            </w:pPr>
            <w:r>
              <w:rPr>
                <w:rFonts w:hint="eastAsia"/>
                <w:color w:val="auto"/>
                <w:sz w:val="24"/>
              </w:rPr>
              <w:t>LA（r）= LwA-20lg（r）-8</w:t>
            </w:r>
          </w:p>
          <w:p>
            <w:pPr>
              <w:spacing w:line="360" w:lineRule="auto"/>
              <w:ind w:firstLine="420" w:firstLineChars="175"/>
              <w:rPr>
                <w:rFonts w:hint="eastAsia"/>
                <w:color w:val="auto"/>
                <w:sz w:val="24"/>
              </w:rPr>
            </w:pPr>
            <w:r>
              <w:rPr>
                <w:rFonts w:hint="eastAsia"/>
                <w:color w:val="auto"/>
                <w:sz w:val="24"/>
              </w:rPr>
              <w:t>室外点源自由空间噪声衰减模式</w:t>
            </w:r>
            <w:r>
              <w:rPr>
                <w:rFonts w:hint="eastAsia"/>
                <w:color w:val="auto"/>
                <w:sz w:val="24"/>
                <w:lang w:eastAsia="zh-CN"/>
              </w:rPr>
              <w:t>：</w:t>
            </w:r>
          </w:p>
          <w:p>
            <w:pPr>
              <w:spacing w:line="360" w:lineRule="auto"/>
              <w:ind w:firstLine="420" w:firstLineChars="175"/>
              <w:rPr>
                <w:rFonts w:hint="eastAsia"/>
                <w:color w:val="auto"/>
                <w:sz w:val="24"/>
              </w:rPr>
            </w:pPr>
            <w:r>
              <w:rPr>
                <w:rFonts w:hint="eastAsia"/>
                <w:color w:val="auto"/>
                <w:sz w:val="24"/>
              </w:rPr>
              <w:t>LA（r）=LwA-20lg（r）-11</w:t>
            </w:r>
          </w:p>
          <w:p>
            <w:pPr>
              <w:spacing w:line="360" w:lineRule="auto"/>
              <w:ind w:firstLine="420" w:firstLineChars="175"/>
              <w:rPr>
                <w:rFonts w:hint="eastAsia"/>
                <w:color w:val="auto"/>
                <w:sz w:val="24"/>
              </w:rPr>
            </w:pPr>
            <w:r>
              <w:rPr>
                <w:rFonts w:hint="eastAsia"/>
                <w:color w:val="auto"/>
                <w:sz w:val="24"/>
              </w:rPr>
              <w:t>式中：LA（r）—距声源r处的A声级，dB（A）；</w:t>
            </w:r>
          </w:p>
          <w:p>
            <w:pPr>
              <w:spacing w:line="360" w:lineRule="auto"/>
              <w:ind w:firstLine="420" w:firstLineChars="175"/>
              <w:rPr>
                <w:rFonts w:hint="eastAsia"/>
                <w:color w:val="auto"/>
                <w:sz w:val="24"/>
              </w:rPr>
            </w:pPr>
            <w:r>
              <w:rPr>
                <w:rFonts w:hint="eastAsia"/>
                <w:color w:val="auto"/>
                <w:sz w:val="24"/>
              </w:rPr>
              <w:t>LwA—声源源强A声级，dB（A）；</w:t>
            </w:r>
          </w:p>
          <w:p>
            <w:pPr>
              <w:spacing w:line="360" w:lineRule="auto"/>
              <w:ind w:firstLine="420" w:firstLineChars="175"/>
              <w:rPr>
                <w:rFonts w:hint="eastAsia"/>
                <w:color w:val="auto"/>
                <w:sz w:val="24"/>
              </w:rPr>
            </w:pPr>
            <w:r>
              <w:rPr>
                <w:rFonts w:hint="eastAsia"/>
                <w:color w:val="auto"/>
                <w:sz w:val="24"/>
              </w:rPr>
              <w:t>r—预测点到声源的距离，m。</w:t>
            </w:r>
          </w:p>
          <w:p>
            <w:pPr>
              <w:spacing w:line="360" w:lineRule="auto"/>
              <w:ind w:firstLine="420" w:firstLineChars="175"/>
              <w:rPr>
                <w:rFonts w:hint="eastAsia"/>
                <w:color w:val="auto"/>
                <w:sz w:val="24"/>
              </w:rPr>
            </w:pPr>
            <w:r>
              <w:rPr>
                <w:rFonts w:hint="eastAsia"/>
                <w:color w:val="auto"/>
                <w:sz w:val="24"/>
              </w:rPr>
              <w:t>室内点源噪声衰减模式：</w:t>
            </w:r>
          </w:p>
          <w:p>
            <w:pPr>
              <w:spacing w:line="360" w:lineRule="auto"/>
              <w:ind w:firstLine="420" w:firstLineChars="175"/>
              <w:rPr>
                <w:rFonts w:hint="eastAsia"/>
                <w:color w:val="auto"/>
                <w:sz w:val="24"/>
              </w:rPr>
            </w:pPr>
            <w:r>
              <w:rPr>
                <w:rFonts w:hint="eastAsia"/>
                <w:color w:val="auto"/>
                <w:sz w:val="24"/>
              </w:rPr>
              <w:t>L2=L1-（TL+6）</w:t>
            </w:r>
          </w:p>
          <w:p>
            <w:pPr>
              <w:spacing w:line="360" w:lineRule="auto"/>
              <w:ind w:firstLine="420" w:firstLineChars="175"/>
              <w:rPr>
                <w:rFonts w:hint="eastAsia"/>
                <w:color w:val="auto"/>
                <w:sz w:val="24"/>
              </w:rPr>
            </w:pPr>
            <w:r>
              <w:rPr>
                <w:rFonts w:hint="eastAsia"/>
                <w:color w:val="auto"/>
                <w:sz w:val="24"/>
              </w:rPr>
              <w:t>式中：L1—室内声源在靠近围护结构处的声压级，dB（A）；</w:t>
            </w:r>
          </w:p>
          <w:p>
            <w:pPr>
              <w:spacing w:line="360" w:lineRule="auto"/>
              <w:ind w:firstLine="420" w:firstLineChars="175"/>
              <w:rPr>
                <w:rFonts w:hint="eastAsia"/>
                <w:color w:val="auto"/>
                <w:sz w:val="24"/>
              </w:rPr>
            </w:pPr>
            <w:r>
              <w:rPr>
                <w:rFonts w:hint="eastAsia"/>
                <w:color w:val="auto"/>
                <w:sz w:val="24"/>
              </w:rPr>
              <w:t>L2—室外靠近围护结构处的声压级，dB（A）；</w:t>
            </w:r>
          </w:p>
          <w:p>
            <w:pPr>
              <w:spacing w:line="360" w:lineRule="auto"/>
              <w:ind w:firstLine="420" w:firstLineChars="175"/>
              <w:rPr>
                <w:rFonts w:hint="eastAsia"/>
                <w:color w:val="auto"/>
                <w:sz w:val="24"/>
              </w:rPr>
            </w:pPr>
            <w:r>
              <w:rPr>
                <w:rFonts w:hint="eastAsia"/>
                <w:color w:val="auto"/>
                <w:sz w:val="24"/>
              </w:rPr>
              <w:t>TL—隔墙（或窗户）的传输损失。</w:t>
            </w:r>
          </w:p>
          <w:p>
            <w:pPr>
              <w:spacing w:line="360" w:lineRule="auto"/>
              <w:ind w:firstLine="420" w:firstLineChars="175"/>
              <w:rPr>
                <w:rFonts w:hint="eastAsia"/>
                <w:color w:val="auto"/>
                <w:sz w:val="24"/>
              </w:rPr>
            </w:pPr>
            <w:r>
              <w:rPr>
                <w:rFonts w:hint="eastAsia"/>
                <w:color w:val="auto"/>
                <w:sz w:val="24"/>
              </w:rPr>
              <w:t>由于室内外噪声衰减值与房屋建筑材料、是否使用吸（隔）声材料、装修机械的位置、透声面积等诸多因素有关，评价假定在开窗这一不利条件下装修，根据国家住宅与居住环境工程中心《健康住宅建设技术要点2004》中“住宅通常在开窗的条件下，室内外噪声有 10dB的差值”，TL取值10dB。声源叠加模式为：</w:t>
            </w:r>
          </w:p>
          <w:p>
            <w:pPr>
              <w:spacing w:line="360" w:lineRule="auto"/>
              <w:ind w:firstLine="420" w:firstLineChars="175"/>
              <w:rPr>
                <w:rFonts w:hint="eastAsia"/>
                <w:color w:val="auto"/>
                <w:sz w:val="24"/>
              </w:rPr>
            </w:pPr>
            <w:r>
              <w:rPr>
                <w:rFonts w:hint="eastAsia"/>
                <w:color w:val="auto"/>
                <w:sz w:val="24"/>
              </w:rPr>
              <w:t>式中：Leq总—n个噪声源在同一受声点的合成A声级；</w:t>
            </w:r>
          </w:p>
          <w:p>
            <w:pPr>
              <w:spacing w:line="360" w:lineRule="auto"/>
              <w:ind w:firstLine="420" w:firstLineChars="175"/>
              <w:rPr>
                <w:rFonts w:hint="eastAsia"/>
                <w:color w:val="auto"/>
                <w:sz w:val="24"/>
              </w:rPr>
            </w:pPr>
            <w:r>
              <w:rPr>
                <w:rFonts w:hint="eastAsia"/>
                <w:color w:val="auto"/>
                <w:sz w:val="24"/>
                <w:lang w:val="en-US" w:eastAsia="zh-CN"/>
              </w:rPr>
              <w:t xml:space="preserve">      </w:t>
            </w:r>
            <w:r>
              <w:rPr>
                <w:rFonts w:hint="eastAsia"/>
                <w:color w:val="auto"/>
                <w:sz w:val="24"/>
              </w:rPr>
              <w:t>Li—第i个声源在受声点的A声级</w:t>
            </w:r>
          </w:p>
          <w:p>
            <w:pPr>
              <w:spacing w:line="360" w:lineRule="auto"/>
              <w:ind w:firstLine="420" w:firstLineChars="175"/>
              <w:rPr>
                <w:rFonts w:hint="eastAsia"/>
                <w:color w:val="auto"/>
                <w:sz w:val="24"/>
              </w:rPr>
            </w:pPr>
            <w:r>
              <w:rPr>
                <w:rFonts w:hint="eastAsia"/>
                <w:color w:val="auto"/>
                <w:sz w:val="24"/>
              </w:rPr>
              <w:t>环评计算出距声源不同距离处的噪声值，机械设备的噪声影响距离见表</w:t>
            </w:r>
            <w:r>
              <w:rPr>
                <w:rFonts w:hint="eastAsia"/>
                <w:color w:val="auto"/>
                <w:sz w:val="24"/>
                <w:lang w:val="en-US" w:eastAsia="zh-CN"/>
              </w:rPr>
              <w:t>21</w:t>
            </w:r>
            <w:r>
              <w:rPr>
                <w:rFonts w:hint="eastAsia"/>
                <w:color w:val="auto"/>
                <w:sz w:val="24"/>
              </w:rPr>
              <w:t>。</w:t>
            </w:r>
          </w:p>
          <w:p>
            <w:pPr>
              <w:autoSpaceDE w:val="0"/>
              <w:autoSpaceDN w:val="0"/>
              <w:adjustRightInd w:val="0"/>
              <w:spacing w:line="360" w:lineRule="auto"/>
              <w:ind w:firstLine="482" w:firstLineChars="200"/>
              <w:rPr>
                <w:rFonts w:hint="eastAsia"/>
                <w:b/>
                <w:color w:val="auto"/>
                <w:sz w:val="24"/>
              </w:rPr>
            </w:pPr>
            <w:r>
              <w:rPr>
                <w:rFonts w:hint="eastAsia"/>
                <w:b/>
                <w:color w:val="auto"/>
                <w:sz w:val="24"/>
                <w:lang w:val="en-US" w:eastAsia="zh-CN"/>
              </w:rPr>
              <w:t xml:space="preserve">                   表21     </w:t>
            </w:r>
            <w:r>
              <w:rPr>
                <w:rFonts w:hint="eastAsia"/>
                <w:b/>
                <w:color w:val="auto"/>
                <w:sz w:val="24"/>
              </w:rPr>
              <w:t>机械设备的噪声影响距离</w:t>
            </w:r>
          </w:p>
          <w:tbl>
            <w:tblPr>
              <w:tblStyle w:val="25"/>
              <w:tblW w:w="9376" w:type="dxa"/>
              <w:jc w:val="center"/>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7"/>
              <w:gridCol w:w="937"/>
              <w:gridCol w:w="937"/>
              <w:gridCol w:w="937"/>
              <w:gridCol w:w="938"/>
              <w:gridCol w:w="938"/>
              <w:gridCol w:w="938"/>
              <w:gridCol w:w="938"/>
              <w:gridCol w:w="938"/>
              <w:gridCol w:w="93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937" w:type="dxa"/>
                  <w:vMerge w:val="restart"/>
                  <w:tcBorders>
                    <w:tl2br w:val="nil"/>
                    <w:tr2bl w:val="nil"/>
                  </w:tcBorders>
                  <w:vAlign w:val="center"/>
                </w:tcPr>
                <w:p>
                  <w:pPr>
                    <w:jc w:val="center"/>
                    <w:rPr>
                      <w:rFonts w:hint="eastAsia"/>
                      <w:color w:val="auto"/>
                      <w:lang w:val="en-US" w:eastAsia="zh-CN"/>
                    </w:rPr>
                  </w:pPr>
                  <w:r>
                    <w:rPr>
                      <w:rFonts w:hint="eastAsia"/>
                      <w:color w:val="auto"/>
                      <w:lang w:val="en-US" w:eastAsia="zh-CN"/>
                    </w:rPr>
                    <w:t>机械</w:t>
                  </w:r>
                </w:p>
                <w:p>
                  <w:pPr>
                    <w:jc w:val="center"/>
                    <w:rPr>
                      <w:rFonts w:hint="eastAsia"/>
                      <w:color w:val="auto"/>
                      <w:lang w:val="en-US" w:eastAsia="zh-CN"/>
                    </w:rPr>
                  </w:pPr>
                  <w:r>
                    <w:rPr>
                      <w:rFonts w:hint="eastAsia"/>
                      <w:color w:val="auto"/>
                      <w:lang w:val="en-US" w:eastAsia="zh-CN"/>
                    </w:rPr>
                    <w:t>名称</w:t>
                  </w:r>
                </w:p>
              </w:tc>
              <w:tc>
                <w:tcPr>
                  <w:tcW w:w="937" w:type="dxa"/>
                  <w:vMerge w:val="restart"/>
                  <w:tcBorders>
                    <w:tl2br w:val="nil"/>
                    <w:tr2bl w:val="nil"/>
                  </w:tcBorders>
                  <w:vAlign w:val="center"/>
                </w:tcPr>
                <w:p>
                  <w:pPr>
                    <w:jc w:val="center"/>
                    <w:rPr>
                      <w:rFonts w:hint="eastAsia"/>
                      <w:color w:val="auto"/>
                      <w:lang w:val="en-US" w:eastAsia="zh-CN"/>
                    </w:rPr>
                  </w:pPr>
                  <w:r>
                    <w:rPr>
                      <w:rFonts w:hint="eastAsia"/>
                      <w:color w:val="auto"/>
                      <w:lang w:val="en-US" w:eastAsia="zh-CN"/>
                    </w:rPr>
                    <w:t>噪声</w:t>
                  </w:r>
                </w:p>
                <w:p>
                  <w:pPr>
                    <w:jc w:val="center"/>
                    <w:rPr>
                      <w:rFonts w:hint="eastAsia"/>
                      <w:color w:val="auto"/>
                      <w:lang w:val="en-US" w:eastAsia="zh-CN"/>
                    </w:rPr>
                  </w:pPr>
                  <w:r>
                    <w:rPr>
                      <w:rFonts w:hint="eastAsia"/>
                      <w:color w:val="auto"/>
                      <w:lang w:val="en-US" w:eastAsia="zh-CN"/>
                    </w:rPr>
                    <w:t>源强</w:t>
                  </w:r>
                </w:p>
              </w:tc>
              <w:tc>
                <w:tcPr>
                  <w:tcW w:w="7502" w:type="dxa"/>
                  <w:gridSpan w:val="8"/>
                  <w:tcBorders>
                    <w:tl2br w:val="nil"/>
                    <w:tr2bl w:val="nil"/>
                  </w:tcBorders>
                  <w:vAlign w:val="center"/>
                </w:tcPr>
                <w:p>
                  <w:pPr>
                    <w:jc w:val="center"/>
                    <w:rPr>
                      <w:rFonts w:hint="eastAsia"/>
                      <w:color w:val="auto"/>
                      <w:lang w:val="en-US" w:eastAsia="zh-CN"/>
                    </w:rPr>
                  </w:pPr>
                  <w:r>
                    <w:rPr>
                      <w:rFonts w:hint="eastAsia"/>
                      <w:color w:val="auto"/>
                      <w:lang w:val="en-US" w:eastAsia="zh-CN"/>
                    </w:rPr>
                    <w:t>施工机械距离厂界不同距离（m）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jc w:val="center"/>
              </w:trPr>
              <w:tc>
                <w:tcPr>
                  <w:tcW w:w="937" w:type="dxa"/>
                  <w:vMerge w:val="continue"/>
                  <w:tcBorders>
                    <w:tl2br w:val="nil"/>
                    <w:tr2bl w:val="nil"/>
                  </w:tcBorders>
                  <w:vAlign w:val="center"/>
                </w:tcPr>
                <w:p>
                  <w:pPr>
                    <w:jc w:val="center"/>
                    <w:rPr>
                      <w:rFonts w:hint="eastAsia"/>
                      <w:color w:val="auto"/>
                      <w:lang w:val="en-US" w:eastAsia="zh-CN"/>
                    </w:rPr>
                  </w:pPr>
                </w:p>
              </w:tc>
              <w:tc>
                <w:tcPr>
                  <w:tcW w:w="937" w:type="dxa"/>
                  <w:vMerge w:val="continue"/>
                  <w:tcBorders>
                    <w:tl2br w:val="nil"/>
                    <w:tr2bl w:val="nil"/>
                  </w:tcBorders>
                  <w:vAlign w:val="center"/>
                </w:tcPr>
                <w:p>
                  <w:pPr>
                    <w:jc w:val="center"/>
                    <w:rPr>
                      <w:rFonts w:hint="eastAsia"/>
                      <w:color w:val="auto"/>
                      <w:lang w:val="en-US" w:eastAsia="zh-CN"/>
                    </w:rPr>
                  </w:pPr>
                </w:p>
              </w:tc>
              <w:tc>
                <w:tcPr>
                  <w:tcW w:w="937" w:type="dxa"/>
                  <w:tcBorders>
                    <w:tl2br w:val="nil"/>
                    <w:tr2bl w:val="nil"/>
                  </w:tcBorders>
                  <w:vAlign w:val="center"/>
                </w:tcPr>
                <w:p>
                  <w:pPr>
                    <w:jc w:val="center"/>
                    <w:rPr>
                      <w:rFonts w:hint="eastAsia"/>
                      <w:color w:val="auto"/>
                      <w:lang w:val="en-US" w:eastAsia="zh-CN"/>
                    </w:rPr>
                  </w:pPr>
                  <w:r>
                    <w:rPr>
                      <w:rFonts w:hint="eastAsia"/>
                      <w:color w:val="auto"/>
                      <w:lang w:val="en-US" w:eastAsia="zh-CN"/>
                    </w:rPr>
                    <w:t>10</w:t>
                  </w:r>
                </w:p>
              </w:tc>
              <w:tc>
                <w:tcPr>
                  <w:tcW w:w="937" w:type="dxa"/>
                  <w:tcBorders>
                    <w:tl2br w:val="nil"/>
                    <w:tr2bl w:val="nil"/>
                  </w:tcBorders>
                  <w:vAlign w:val="center"/>
                </w:tcPr>
                <w:p>
                  <w:pPr>
                    <w:jc w:val="center"/>
                    <w:rPr>
                      <w:rFonts w:hint="eastAsia"/>
                      <w:color w:val="auto"/>
                      <w:lang w:val="en-US" w:eastAsia="zh-CN"/>
                    </w:rPr>
                  </w:pPr>
                  <w:r>
                    <w:rPr>
                      <w:rFonts w:hint="eastAsia"/>
                      <w:color w:val="auto"/>
                      <w:lang w:val="en-US" w:eastAsia="zh-CN"/>
                    </w:rPr>
                    <w:t>20</w:t>
                  </w:r>
                </w:p>
              </w:tc>
              <w:tc>
                <w:tcPr>
                  <w:tcW w:w="938" w:type="dxa"/>
                  <w:tcBorders>
                    <w:tl2br w:val="nil"/>
                    <w:tr2bl w:val="nil"/>
                  </w:tcBorders>
                  <w:vAlign w:val="center"/>
                </w:tcPr>
                <w:p>
                  <w:pPr>
                    <w:jc w:val="center"/>
                    <w:rPr>
                      <w:rFonts w:hint="eastAsia"/>
                      <w:color w:val="auto"/>
                      <w:lang w:val="en-US" w:eastAsia="zh-CN"/>
                    </w:rPr>
                  </w:pPr>
                  <w:r>
                    <w:rPr>
                      <w:rFonts w:hint="eastAsia"/>
                      <w:color w:val="auto"/>
                      <w:lang w:val="en-US" w:eastAsia="zh-CN"/>
                    </w:rPr>
                    <w:t>30</w:t>
                  </w:r>
                </w:p>
              </w:tc>
              <w:tc>
                <w:tcPr>
                  <w:tcW w:w="938" w:type="dxa"/>
                  <w:tcBorders>
                    <w:tl2br w:val="nil"/>
                    <w:tr2bl w:val="nil"/>
                  </w:tcBorders>
                  <w:vAlign w:val="center"/>
                </w:tcPr>
                <w:p>
                  <w:pPr>
                    <w:jc w:val="center"/>
                    <w:rPr>
                      <w:rFonts w:hint="eastAsia"/>
                      <w:color w:val="auto"/>
                      <w:lang w:val="en-US" w:eastAsia="zh-CN"/>
                    </w:rPr>
                  </w:pPr>
                  <w:r>
                    <w:rPr>
                      <w:rFonts w:hint="eastAsia"/>
                      <w:color w:val="auto"/>
                      <w:lang w:val="en-US" w:eastAsia="zh-CN"/>
                    </w:rPr>
                    <w:t>60</w:t>
                  </w:r>
                </w:p>
              </w:tc>
              <w:tc>
                <w:tcPr>
                  <w:tcW w:w="938" w:type="dxa"/>
                  <w:tcBorders>
                    <w:tl2br w:val="nil"/>
                    <w:tr2bl w:val="nil"/>
                  </w:tcBorders>
                  <w:vAlign w:val="center"/>
                </w:tcPr>
                <w:p>
                  <w:pPr>
                    <w:jc w:val="center"/>
                    <w:rPr>
                      <w:rFonts w:hint="eastAsia"/>
                      <w:color w:val="auto"/>
                      <w:lang w:val="en-US" w:eastAsia="zh-CN"/>
                    </w:rPr>
                  </w:pPr>
                  <w:r>
                    <w:rPr>
                      <w:rFonts w:hint="eastAsia"/>
                      <w:color w:val="auto"/>
                      <w:lang w:val="en-US" w:eastAsia="zh-CN"/>
                    </w:rPr>
                    <w:t>100</w:t>
                  </w:r>
                </w:p>
              </w:tc>
              <w:tc>
                <w:tcPr>
                  <w:tcW w:w="938" w:type="dxa"/>
                  <w:tcBorders>
                    <w:tl2br w:val="nil"/>
                    <w:tr2bl w:val="nil"/>
                  </w:tcBorders>
                  <w:vAlign w:val="center"/>
                </w:tcPr>
                <w:p>
                  <w:pPr>
                    <w:jc w:val="center"/>
                    <w:rPr>
                      <w:rFonts w:hint="eastAsia"/>
                      <w:color w:val="auto"/>
                      <w:lang w:val="en-US" w:eastAsia="zh-CN"/>
                    </w:rPr>
                  </w:pPr>
                  <w:r>
                    <w:rPr>
                      <w:rFonts w:hint="eastAsia"/>
                      <w:color w:val="auto"/>
                      <w:lang w:val="en-US" w:eastAsia="zh-CN"/>
                    </w:rPr>
                    <w:t>150</w:t>
                  </w:r>
                </w:p>
              </w:tc>
              <w:tc>
                <w:tcPr>
                  <w:tcW w:w="938" w:type="dxa"/>
                  <w:tcBorders>
                    <w:tl2br w:val="nil"/>
                    <w:tr2bl w:val="nil"/>
                  </w:tcBorders>
                  <w:vAlign w:val="center"/>
                </w:tcPr>
                <w:p>
                  <w:pPr>
                    <w:jc w:val="center"/>
                    <w:rPr>
                      <w:rFonts w:hint="eastAsia"/>
                      <w:color w:val="auto"/>
                      <w:lang w:val="en-US" w:eastAsia="zh-CN"/>
                    </w:rPr>
                  </w:pPr>
                  <w:r>
                    <w:rPr>
                      <w:rFonts w:hint="eastAsia"/>
                      <w:color w:val="auto"/>
                      <w:lang w:val="en-US" w:eastAsia="zh-CN"/>
                    </w:rPr>
                    <w:t>200</w:t>
                  </w:r>
                </w:p>
              </w:tc>
              <w:tc>
                <w:tcPr>
                  <w:tcW w:w="938" w:type="dxa"/>
                  <w:tcBorders>
                    <w:tl2br w:val="nil"/>
                    <w:tr2bl w:val="nil"/>
                  </w:tcBorders>
                  <w:vAlign w:val="center"/>
                </w:tcPr>
                <w:p>
                  <w:pPr>
                    <w:jc w:val="center"/>
                    <w:rPr>
                      <w:rFonts w:hint="eastAsia"/>
                      <w:color w:val="auto"/>
                      <w:lang w:val="en-US" w:eastAsia="zh-CN"/>
                    </w:rPr>
                  </w:pPr>
                  <w:r>
                    <w:rPr>
                      <w:rFonts w:hint="eastAsia"/>
                      <w:color w:val="auto"/>
                      <w:lang w:val="en-US" w:eastAsia="zh-CN"/>
                    </w:rPr>
                    <w:t>350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937" w:type="dxa"/>
                  <w:tcBorders>
                    <w:tl2br w:val="nil"/>
                    <w:tr2bl w:val="nil"/>
                  </w:tcBorders>
                  <w:vAlign w:val="center"/>
                </w:tcPr>
                <w:p>
                  <w:pPr>
                    <w:jc w:val="center"/>
                    <w:rPr>
                      <w:rFonts w:hint="eastAsia"/>
                      <w:color w:val="auto"/>
                      <w:lang w:val="en-US" w:eastAsia="zh-CN"/>
                    </w:rPr>
                  </w:pPr>
                  <w:r>
                    <w:rPr>
                      <w:rFonts w:hint="eastAsia"/>
                      <w:color w:val="auto"/>
                      <w:lang w:val="en-US" w:eastAsia="zh-CN"/>
                    </w:rPr>
                    <w:t xml:space="preserve">翻斗车 </w:t>
                  </w:r>
                </w:p>
              </w:tc>
              <w:tc>
                <w:tcPr>
                  <w:tcW w:w="937" w:type="dxa"/>
                  <w:tcBorders>
                    <w:tl2br w:val="nil"/>
                    <w:tr2bl w:val="nil"/>
                  </w:tcBorders>
                  <w:vAlign w:val="center"/>
                </w:tcPr>
                <w:p>
                  <w:pPr>
                    <w:jc w:val="center"/>
                    <w:rPr>
                      <w:rFonts w:hint="eastAsia"/>
                      <w:color w:val="auto"/>
                      <w:lang w:val="en-US" w:eastAsia="zh-CN"/>
                    </w:rPr>
                  </w:pPr>
                  <w:r>
                    <w:rPr>
                      <w:rFonts w:hint="eastAsia"/>
                      <w:color w:val="auto"/>
                      <w:lang w:val="en-US" w:eastAsia="zh-CN"/>
                    </w:rPr>
                    <w:t>96</w:t>
                  </w:r>
                </w:p>
              </w:tc>
              <w:tc>
                <w:tcPr>
                  <w:tcW w:w="937" w:type="dxa"/>
                  <w:tcBorders>
                    <w:tl2br w:val="nil"/>
                    <w:tr2bl w:val="nil"/>
                  </w:tcBorders>
                  <w:vAlign w:val="center"/>
                </w:tcPr>
                <w:p>
                  <w:pPr>
                    <w:jc w:val="center"/>
                    <w:rPr>
                      <w:rFonts w:hint="eastAsia"/>
                      <w:color w:val="auto"/>
                      <w:lang w:val="en-US" w:eastAsia="zh-CN"/>
                    </w:rPr>
                  </w:pPr>
                  <w:r>
                    <w:rPr>
                      <w:rFonts w:hint="eastAsia"/>
                      <w:color w:val="auto"/>
                      <w:lang w:val="en-US" w:eastAsia="zh-CN"/>
                    </w:rPr>
                    <w:t>76</w:t>
                  </w:r>
                </w:p>
              </w:tc>
              <w:tc>
                <w:tcPr>
                  <w:tcW w:w="937" w:type="dxa"/>
                  <w:tcBorders>
                    <w:tl2br w:val="nil"/>
                    <w:tr2bl w:val="nil"/>
                  </w:tcBorders>
                  <w:vAlign w:val="center"/>
                </w:tcPr>
                <w:p>
                  <w:pPr>
                    <w:jc w:val="center"/>
                    <w:rPr>
                      <w:rFonts w:hint="eastAsia"/>
                      <w:color w:val="auto"/>
                      <w:lang w:val="en-US" w:eastAsia="zh-CN"/>
                    </w:rPr>
                  </w:pPr>
                  <w:r>
                    <w:rPr>
                      <w:rFonts w:hint="eastAsia"/>
                      <w:color w:val="auto"/>
                      <w:lang w:val="en-US" w:eastAsia="zh-CN"/>
                    </w:rPr>
                    <w:t>69.98</w:t>
                  </w:r>
                </w:p>
              </w:tc>
              <w:tc>
                <w:tcPr>
                  <w:tcW w:w="938" w:type="dxa"/>
                  <w:tcBorders>
                    <w:tl2br w:val="nil"/>
                    <w:tr2bl w:val="nil"/>
                  </w:tcBorders>
                  <w:vAlign w:val="center"/>
                </w:tcPr>
                <w:p>
                  <w:pPr>
                    <w:jc w:val="center"/>
                    <w:rPr>
                      <w:rFonts w:hint="eastAsia"/>
                      <w:color w:val="auto"/>
                      <w:lang w:val="en-US" w:eastAsia="zh-CN"/>
                    </w:rPr>
                  </w:pPr>
                  <w:r>
                    <w:rPr>
                      <w:rFonts w:hint="eastAsia"/>
                      <w:color w:val="auto"/>
                      <w:lang w:val="en-US" w:eastAsia="zh-CN"/>
                    </w:rPr>
                    <w:t>66.46</w:t>
                  </w:r>
                </w:p>
              </w:tc>
              <w:tc>
                <w:tcPr>
                  <w:tcW w:w="938" w:type="dxa"/>
                  <w:tcBorders>
                    <w:tl2br w:val="nil"/>
                    <w:tr2bl w:val="nil"/>
                  </w:tcBorders>
                  <w:vAlign w:val="center"/>
                </w:tcPr>
                <w:p>
                  <w:pPr>
                    <w:jc w:val="center"/>
                    <w:rPr>
                      <w:rFonts w:hint="eastAsia"/>
                      <w:color w:val="auto"/>
                      <w:lang w:val="en-US" w:eastAsia="zh-CN"/>
                    </w:rPr>
                  </w:pPr>
                  <w:r>
                    <w:rPr>
                      <w:rFonts w:hint="eastAsia"/>
                      <w:color w:val="auto"/>
                      <w:lang w:val="en-US" w:eastAsia="zh-CN"/>
                    </w:rPr>
                    <w:t>60.44</w:t>
                  </w:r>
                </w:p>
              </w:tc>
              <w:tc>
                <w:tcPr>
                  <w:tcW w:w="938" w:type="dxa"/>
                  <w:tcBorders>
                    <w:tl2br w:val="nil"/>
                    <w:tr2bl w:val="nil"/>
                  </w:tcBorders>
                  <w:vAlign w:val="center"/>
                </w:tcPr>
                <w:p>
                  <w:pPr>
                    <w:jc w:val="center"/>
                    <w:rPr>
                      <w:rFonts w:hint="eastAsia"/>
                      <w:color w:val="auto"/>
                      <w:lang w:val="en-US" w:eastAsia="zh-CN"/>
                    </w:rPr>
                  </w:pPr>
                  <w:r>
                    <w:rPr>
                      <w:rFonts w:hint="eastAsia"/>
                      <w:color w:val="auto"/>
                      <w:lang w:val="en-US" w:eastAsia="zh-CN"/>
                    </w:rPr>
                    <w:t>56</w:t>
                  </w:r>
                </w:p>
              </w:tc>
              <w:tc>
                <w:tcPr>
                  <w:tcW w:w="938" w:type="dxa"/>
                  <w:tcBorders>
                    <w:tl2br w:val="nil"/>
                    <w:tr2bl w:val="nil"/>
                  </w:tcBorders>
                  <w:vAlign w:val="center"/>
                </w:tcPr>
                <w:p>
                  <w:pPr>
                    <w:jc w:val="center"/>
                    <w:rPr>
                      <w:rFonts w:hint="eastAsia"/>
                      <w:color w:val="auto"/>
                      <w:lang w:val="en-US" w:eastAsia="zh-CN"/>
                    </w:rPr>
                  </w:pPr>
                  <w:r>
                    <w:rPr>
                      <w:rFonts w:hint="eastAsia"/>
                      <w:color w:val="auto"/>
                      <w:lang w:val="en-US" w:eastAsia="zh-CN"/>
                    </w:rPr>
                    <w:t>52.48</w:t>
                  </w:r>
                </w:p>
              </w:tc>
              <w:tc>
                <w:tcPr>
                  <w:tcW w:w="938" w:type="dxa"/>
                  <w:tcBorders>
                    <w:tl2br w:val="nil"/>
                    <w:tr2bl w:val="nil"/>
                  </w:tcBorders>
                  <w:vAlign w:val="center"/>
                </w:tcPr>
                <w:p>
                  <w:pPr>
                    <w:jc w:val="center"/>
                    <w:rPr>
                      <w:rFonts w:hint="eastAsia"/>
                      <w:color w:val="auto"/>
                      <w:lang w:val="en-US" w:eastAsia="zh-CN"/>
                    </w:rPr>
                  </w:pPr>
                  <w:r>
                    <w:rPr>
                      <w:rFonts w:hint="eastAsia"/>
                      <w:color w:val="auto"/>
                      <w:lang w:val="en-US" w:eastAsia="zh-CN"/>
                    </w:rPr>
                    <w:t>49.98</w:t>
                  </w:r>
                </w:p>
              </w:tc>
              <w:tc>
                <w:tcPr>
                  <w:tcW w:w="938" w:type="dxa"/>
                  <w:tcBorders>
                    <w:tl2br w:val="nil"/>
                    <w:tr2bl w:val="nil"/>
                  </w:tcBorders>
                  <w:vAlign w:val="center"/>
                </w:tcPr>
                <w:p>
                  <w:pPr>
                    <w:jc w:val="center"/>
                    <w:rPr>
                      <w:rFonts w:hint="eastAsia"/>
                      <w:color w:val="auto"/>
                      <w:lang w:val="en-US" w:eastAsia="zh-CN"/>
                    </w:rPr>
                  </w:pPr>
                  <w:r>
                    <w:rPr>
                      <w:rFonts w:hint="eastAsia"/>
                      <w:color w:val="auto"/>
                      <w:lang w:val="en-US" w:eastAsia="zh-CN"/>
                    </w:rPr>
                    <w:t>45.12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jc w:val="center"/>
              </w:trPr>
              <w:tc>
                <w:tcPr>
                  <w:tcW w:w="937" w:type="dxa"/>
                  <w:tcBorders>
                    <w:tl2br w:val="nil"/>
                    <w:tr2bl w:val="nil"/>
                  </w:tcBorders>
                  <w:vAlign w:val="center"/>
                </w:tcPr>
                <w:p>
                  <w:pPr>
                    <w:jc w:val="center"/>
                    <w:rPr>
                      <w:rFonts w:hint="eastAsia"/>
                      <w:color w:val="auto"/>
                      <w:lang w:val="en-US" w:eastAsia="zh-CN"/>
                    </w:rPr>
                  </w:pPr>
                  <w:r>
                    <w:rPr>
                      <w:rFonts w:hint="eastAsia"/>
                      <w:color w:val="auto"/>
                      <w:lang w:val="en-US" w:eastAsia="zh-CN"/>
                    </w:rPr>
                    <w:t>装载机</w:t>
                  </w:r>
                </w:p>
              </w:tc>
              <w:tc>
                <w:tcPr>
                  <w:tcW w:w="937" w:type="dxa"/>
                  <w:tcBorders>
                    <w:tl2br w:val="nil"/>
                    <w:tr2bl w:val="nil"/>
                  </w:tcBorders>
                  <w:vAlign w:val="center"/>
                </w:tcPr>
                <w:p>
                  <w:pPr>
                    <w:jc w:val="center"/>
                    <w:rPr>
                      <w:rFonts w:hint="eastAsia"/>
                      <w:color w:val="auto"/>
                      <w:lang w:val="en-US" w:eastAsia="zh-CN"/>
                    </w:rPr>
                  </w:pPr>
                  <w:r>
                    <w:rPr>
                      <w:rFonts w:hint="eastAsia"/>
                      <w:color w:val="auto"/>
                      <w:lang w:val="en-US" w:eastAsia="zh-CN"/>
                    </w:rPr>
                    <w:t>96</w:t>
                  </w:r>
                </w:p>
              </w:tc>
              <w:tc>
                <w:tcPr>
                  <w:tcW w:w="937" w:type="dxa"/>
                  <w:tcBorders>
                    <w:tl2br w:val="nil"/>
                    <w:tr2bl w:val="nil"/>
                  </w:tcBorders>
                  <w:textDirection w:val="lrTb"/>
                  <w:vAlign w:val="center"/>
                </w:tcPr>
                <w:p>
                  <w:pPr>
                    <w:jc w:val="center"/>
                    <w:rPr>
                      <w:rFonts w:hint="eastAsia"/>
                      <w:color w:val="auto"/>
                      <w:lang w:val="en-US" w:eastAsia="zh-CN"/>
                    </w:rPr>
                  </w:pPr>
                  <w:r>
                    <w:rPr>
                      <w:rFonts w:hint="eastAsia"/>
                      <w:color w:val="auto"/>
                      <w:lang w:val="en-US" w:eastAsia="zh-CN"/>
                    </w:rPr>
                    <w:t>76</w:t>
                  </w:r>
                </w:p>
              </w:tc>
              <w:tc>
                <w:tcPr>
                  <w:tcW w:w="937" w:type="dxa"/>
                  <w:tcBorders>
                    <w:tl2br w:val="nil"/>
                    <w:tr2bl w:val="nil"/>
                  </w:tcBorders>
                  <w:textDirection w:val="lrTb"/>
                  <w:vAlign w:val="center"/>
                </w:tcPr>
                <w:p>
                  <w:pPr>
                    <w:jc w:val="center"/>
                    <w:rPr>
                      <w:rFonts w:hint="eastAsia"/>
                      <w:color w:val="auto"/>
                      <w:lang w:val="en-US" w:eastAsia="zh-CN"/>
                    </w:rPr>
                  </w:pPr>
                  <w:r>
                    <w:rPr>
                      <w:rFonts w:hint="eastAsia"/>
                      <w:color w:val="auto"/>
                      <w:lang w:val="en-US" w:eastAsia="zh-CN"/>
                    </w:rPr>
                    <w:t>69.98</w:t>
                  </w:r>
                </w:p>
              </w:tc>
              <w:tc>
                <w:tcPr>
                  <w:tcW w:w="938" w:type="dxa"/>
                  <w:tcBorders>
                    <w:tl2br w:val="nil"/>
                    <w:tr2bl w:val="nil"/>
                  </w:tcBorders>
                  <w:textDirection w:val="lrTb"/>
                  <w:vAlign w:val="center"/>
                </w:tcPr>
                <w:p>
                  <w:pPr>
                    <w:jc w:val="center"/>
                    <w:rPr>
                      <w:rFonts w:hint="eastAsia"/>
                      <w:color w:val="auto"/>
                      <w:lang w:val="en-US" w:eastAsia="zh-CN"/>
                    </w:rPr>
                  </w:pPr>
                  <w:r>
                    <w:rPr>
                      <w:rFonts w:hint="eastAsia"/>
                      <w:color w:val="auto"/>
                      <w:lang w:val="en-US" w:eastAsia="zh-CN"/>
                    </w:rPr>
                    <w:t>66.46</w:t>
                  </w:r>
                </w:p>
              </w:tc>
              <w:tc>
                <w:tcPr>
                  <w:tcW w:w="938" w:type="dxa"/>
                  <w:tcBorders>
                    <w:tl2br w:val="nil"/>
                    <w:tr2bl w:val="nil"/>
                  </w:tcBorders>
                  <w:textDirection w:val="lrTb"/>
                  <w:vAlign w:val="center"/>
                </w:tcPr>
                <w:p>
                  <w:pPr>
                    <w:jc w:val="center"/>
                    <w:rPr>
                      <w:rFonts w:hint="eastAsia"/>
                      <w:color w:val="auto"/>
                      <w:lang w:val="en-US" w:eastAsia="zh-CN"/>
                    </w:rPr>
                  </w:pPr>
                  <w:r>
                    <w:rPr>
                      <w:rFonts w:hint="eastAsia"/>
                      <w:color w:val="auto"/>
                      <w:lang w:val="en-US" w:eastAsia="zh-CN"/>
                    </w:rPr>
                    <w:t>60.44</w:t>
                  </w:r>
                </w:p>
              </w:tc>
              <w:tc>
                <w:tcPr>
                  <w:tcW w:w="938" w:type="dxa"/>
                  <w:tcBorders>
                    <w:tl2br w:val="nil"/>
                    <w:tr2bl w:val="nil"/>
                  </w:tcBorders>
                  <w:textDirection w:val="lrTb"/>
                  <w:vAlign w:val="center"/>
                </w:tcPr>
                <w:p>
                  <w:pPr>
                    <w:jc w:val="center"/>
                    <w:rPr>
                      <w:rFonts w:hint="eastAsia"/>
                      <w:color w:val="auto"/>
                      <w:lang w:val="en-US" w:eastAsia="zh-CN"/>
                    </w:rPr>
                  </w:pPr>
                  <w:r>
                    <w:rPr>
                      <w:rFonts w:hint="eastAsia"/>
                      <w:color w:val="auto"/>
                      <w:lang w:val="en-US" w:eastAsia="zh-CN"/>
                    </w:rPr>
                    <w:t>56</w:t>
                  </w:r>
                </w:p>
              </w:tc>
              <w:tc>
                <w:tcPr>
                  <w:tcW w:w="938" w:type="dxa"/>
                  <w:tcBorders>
                    <w:tl2br w:val="nil"/>
                    <w:tr2bl w:val="nil"/>
                  </w:tcBorders>
                  <w:textDirection w:val="lrTb"/>
                  <w:vAlign w:val="center"/>
                </w:tcPr>
                <w:p>
                  <w:pPr>
                    <w:jc w:val="center"/>
                    <w:rPr>
                      <w:rFonts w:hint="eastAsia"/>
                      <w:color w:val="auto"/>
                      <w:lang w:val="en-US" w:eastAsia="zh-CN"/>
                    </w:rPr>
                  </w:pPr>
                  <w:r>
                    <w:rPr>
                      <w:rFonts w:hint="eastAsia"/>
                      <w:color w:val="auto"/>
                      <w:lang w:val="en-US" w:eastAsia="zh-CN"/>
                    </w:rPr>
                    <w:t>52.48</w:t>
                  </w:r>
                </w:p>
              </w:tc>
              <w:tc>
                <w:tcPr>
                  <w:tcW w:w="938" w:type="dxa"/>
                  <w:tcBorders>
                    <w:tl2br w:val="nil"/>
                    <w:tr2bl w:val="nil"/>
                  </w:tcBorders>
                  <w:textDirection w:val="lrTb"/>
                  <w:vAlign w:val="center"/>
                </w:tcPr>
                <w:p>
                  <w:pPr>
                    <w:jc w:val="center"/>
                    <w:rPr>
                      <w:rFonts w:hint="eastAsia"/>
                      <w:color w:val="auto"/>
                      <w:lang w:val="en-US" w:eastAsia="zh-CN"/>
                    </w:rPr>
                  </w:pPr>
                  <w:r>
                    <w:rPr>
                      <w:rFonts w:hint="eastAsia"/>
                      <w:color w:val="auto"/>
                      <w:lang w:val="en-US" w:eastAsia="zh-CN"/>
                    </w:rPr>
                    <w:t>49.98</w:t>
                  </w:r>
                </w:p>
              </w:tc>
              <w:tc>
                <w:tcPr>
                  <w:tcW w:w="938" w:type="dxa"/>
                  <w:tcBorders>
                    <w:tl2br w:val="nil"/>
                    <w:tr2bl w:val="nil"/>
                  </w:tcBorders>
                  <w:textDirection w:val="lrTb"/>
                  <w:vAlign w:val="center"/>
                </w:tcPr>
                <w:p>
                  <w:pPr>
                    <w:jc w:val="center"/>
                    <w:rPr>
                      <w:rFonts w:hint="eastAsia"/>
                      <w:color w:val="auto"/>
                      <w:lang w:val="en-US" w:eastAsia="zh-CN"/>
                    </w:rPr>
                  </w:pPr>
                  <w:r>
                    <w:rPr>
                      <w:rFonts w:hint="eastAsia"/>
                      <w:color w:val="auto"/>
                      <w:lang w:val="en-US" w:eastAsia="zh-CN"/>
                    </w:rPr>
                    <w:t>45.12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jc w:val="center"/>
              </w:trPr>
              <w:tc>
                <w:tcPr>
                  <w:tcW w:w="937" w:type="dxa"/>
                  <w:tcBorders>
                    <w:tl2br w:val="nil"/>
                    <w:tr2bl w:val="nil"/>
                  </w:tcBorders>
                  <w:vAlign w:val="center"/>
                </w:tcPr>
                <w:p>
                  <w:pPr>
                    <w:jc w:val="center"/>
                    <w:rPr>
                      <w:rFonts w:hint="eastAsia"/>
                      <w:color w:val="auto"/>
                      <w:lang w:val="en-US" w:eastAsia="zh-CN"/>
                    </w:rPr>
                  </w:pPr>
                  <w:r>
                    <w:rPr>
                      <w:rFonts w:hint="eastAsia"/>
                      <w:color w:val="auto"/>
                      <w:lang w:val="en-US" w:eastAsia="zh-CN"/>
                    </w:rPr>
                    <w:t>83型锤击桩机</w:t>
                  </w:r>
                </w:p>
              </w:tc>
              <w:tc>
                <w:tcPr>
                  <w:tcW w:w="937" w:type="dxa"/>
                  <w:tcBorders>
                    <w:tl2br w:val="nil"/>
                    <w:tr2bl w:val="nil"/>
                  </w:tcBorders>
                  <w:vAlign w:val="center"/>
                </w:tcPr>
                <w:p>
                  <w:pPr>
                    <w:jc w:val="center"/>
                    <w:rPr>
                      <w:rFonts w:hint="eastAsia"/>
                      <w:color w:val="auto"/>
                      <w:lang w:val="en-US" w:eastAsia="zh-CN"/>
                    </w:rPr>
                  </w:pPr>
                  <w:r>
                    <w:rPr>
                      <w:rFonts w:hint="eastAsia"/>
                      <w:color w:val="auto"/>
                      <w:lang w:val="en-US" w:eastAsia="zh-CN"/>
                    </w:rPr>
                    <w:t>102</w:t>
                  </w:r>
                </w:p>
              </w:tc>
              <w:tc>
                <w:tcPr>
                  <w:tcW w:w="937" w:type="dxa"/>
                  <w:tcBorders>
                    <w:tl2br w:val="nil"/>
                    <w:tr2bl w:val="nil"/>
                  </w:tcBorders>
                  <w:vAlign w:val="center"/>
                </w:tcPr>
                <w:p>
                  <w:pPr>
                    <w:jc w:val="center"/>
                    <w:rPr>
                      <w:rFonts w:hint="eastAsia"/>
                      <w:color w:val="auto"/>
                      <w:lang w:val="en-US" w:eastAsia="zh-CN"/>
                    </w:rPr>
                  </w:pPr>
                  <w:r>
                    <w:rPr>
                      <w:rFonts w:hint="eastAsia"/>
                      <w:color w:val="auto"/>
                      <w:lang w:val="en-US" w:eastAsia="zh-CN"/>
                    </w:rPr>
                    <w:t>82</w:t>
                  </w:r>
                </w:p>
              </w:tc>
              <w:tc>
                <w:tcPr>
                  <w:tcW w:w="937" w:type="dxa"/>
                  <w:tcBorders>
                    <w:tl2br w:val="nil"/>
                    <w:tr2bl w:val="nil"/>
                  </w:tcBorders>
                  <w:vAlign w:val="center"/>
                </w:tcPr>
                <w:p>
                  <w:pPr>
                    <w:jc w:val="center"/>
                    <w:rPr>
                      <w:rFonts w:hint="eastAsia"/>
                      <w:color w:val="auto"/>
                      <w:lang w:val="en-US" w:eastAsia="zh-CN"/>
                    </w:rPr>
                  </w:pPr>
                  <w:r>
                    <w:rPr>
                      <w:rFonts w:hint="eastAsia"/>
                      <w:color w:val="auto"/>
                      <w:lang w:val="en-US" w:eastAsia="zh-CN"/>
                    </w:rPr>
                    <w:t>75.98</w:t>
                  </w:r>
                </w:p>
              </w:tc>
              <w:tc>
                <w:tcPr>
                  <w:tcW w:w="938" w:type="dxa"/>
                  <w:tcBorders>
                    <w:tl2br w:val="nil"/>
                    <w:tr2bl w:val="nil"/>
                  </w:tcBorders>
                  <w:vAlign w:val="center"/>
                </w:tcPr>
                <w:p>
                  <w:pPr>
                    <w:jc w:val="center"/>
                    <w:rPr>
                      <w:rFonts w:hint="eastAsia"/>
                      <w:color w:val="auto"/>
                      <w:lang w:val="en-US" w:eastAsia="zh-CN"/>
                    </w:rPr>
                  </w:pPr>
                  <w:r>
                    <w:rPr>
                      <w:rFonts w:hint="eastAsia"/>
                      <w:color w:val="auto"/>
                      <w:lang w:val="en-US" w:eastAsia="zh-CN"/>
                    </w:rPr>
                    <w:t>72.46</w:t>
                  </w:r>
                </w:p>
              </w:tc>
              <w:tc>
                <w:tcPr>
                  <w:tcW w:w="938" w:type="dxa"/>
                  <w:tcBorders>
                    <w:tl2br w:val="nil"/>
                    <w:tr2bl w:val="nil"/>
                  </w:tcBorders>
                  <w:vAlign w:val="center"/>
                </w:tcPr>
                <w:p>
                  <w:pPr>
                    <w:jc w:val="center"/>
                    <w:rPr>
                      <w:rFonts w:hint="eastAsia"/>
                      <w:color w:val="auto"/>
                      <w:lang w:val="en-US" w:eastAsia="zh-CN"/>
                    </w:rPr>
                  </w:pPr>
                  <w:r>
                    <w:rPr>
                      <w:rFonts w:hint="eastAsia"/>
                      <w:color w:val="auto"/>
                      <w:lang w:val="en-US" w:eastAsia="zh-CN"/>
                    </w:rPr>
                    <w:t>66.44</w:t>
                  </w:r>
                </w:p>
              </w:tc>
              <w:tc>
                <w:tcPr>
                  <w:tcW w:w="938" w:type="dxa"/>
                  <w:tcBorders>
                    <w:tl2br w:val="nil"/>
                    <w:tr2bl w:val="nil"/>
                  </w:tcBorders>
                  <w:vAlign w:val="center"/>
                </w:tcPr>
                <w:p>
                  <w:pPr>
                    <w:jc w:val="center"/>
                    <w:rPr>
                      <w:rFonts w:hint="eastAsia"/>
                      <w:color w:val="auto"/>
                      <w:lang w:val="en-US" w:eastAsia="zh-CN"/>
                    </w:rPr>
                  </w:pPr>
                  <w:r>
                    <w:rPr>
                      <w:rFonts w:hint="eastAsia"/>
                      <w:color w:val="auto"/>
                      <w:lang w:val="en-US" w:eastAsia="zh-CN"/>
                    </w:rPr>
                    <w:t>62</w:t>
                  </w:r>
                </w:p>
              </w:tc>
              <w:tc>
                <w:tcPr>
                  <w:tcW w:w="938" w:type="dxa"/>
                  <w:tcBorders>
                    <w:tl2br w:val="nil"/>
                    <w:tr2bl w:val="nil"/>
                  </w:tcBorders>
                  <w:vAlign w:val="center"/>
                </w:tcPr>
                <w:p>
                  <w:pPr>
                    <w:jc w:val="center"/>
                    <w:rPr>
                      <w:rFonts w:hint="eastAsia"/>
                      <w:color w:val="auto"/>
                      <w:lang w:val="en-US" w:eastAsia="zh-CN"/>
                    </w:rPr>
                  </w:pPr>
                  <w:r>
                    <w:rPr>
                      <w:rFonts w:hint="eastAsia"/>
                      <w:color w:val="auto"/>
                      <w:lang w:val="en-US" w:eastAsia="zh-CN"/>
                    </w:rPr>
                    <w:t>58.48</w:t>
                  </w:r>
                </w:p>
              </w:tc>
              <w:tc>
                <w:tcPr>
                  <w:tcW w:w="938" w:type="dxa"/>
                  <w:tcBorders>
                    <w:tl2br w:val="nil"/>
                    <w:tr2bl w:val="nil"/>
                  </w:tcBorders>
                  <w:vAlign w:val="center"/>
                </w:tcPr>
                <w:p>
                  <w:pPr>
                    <w:jc w:val="center"/>
                    <w:rPr>
                      <w:rFonts w:hint="eastAsia"/>
                      <w:color w:val="auto"/>
                      <w:lang w:val="en-US" w:eastAsia="zh-CN"/>
                    </w:rPr>
                  </w:pPr>
                  <w:r>
                    <w:rPr>
                      <w:rFonts w:hint="eastAsia"/>
                      <w:color w:val="auto"/>
                      <w:lang w:val="en-US" w:eastAsia="zh-CN"/>
                    </w:rPr>
                    <w:t>55.98</w:t>
                  </w:r>
                </w:p>
              </w:tc>
              <w:tc>
                <w:tcPr>
                  <w:tcW w:w="938" w:type="dxa"/>
                  <w:tcBorders>
                    <w:tl2br w:val="nil"/>
                    <w:tr2bl w:val="nil"/>
                  </w:tcBorders>
                  <w:vAlign w:val="center"/>
                </w:tcPr>
                <w:p>
                  <w:pPr>
                    <w:jc w:val="center"/>
                    <w:rPr>
                      <w:rFonts w:hint="eastAsia"/>
                      <w:color w:val="auto"/>
                      <w:lang w:val="en-US" w:eastAsia="zh-CN"/>
                    </w:rPr>
                  </w:pPr>
                  <w:r>
                    <w:rPr>
                      <w:rFonts w:hint="eastAsia"/>
                      <w:color w:val="auto"/>
                      <w:lang w:val="en-US" w:eastAsia="zh-CN"/>
                    </w:rPr>
                    <w:t>51.12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jc w:val="center"/>
              </w:trPr>
              <w:tc>
                <w:tcPr>
                  <w:tcW w:w="937" w:type="dxa"/>
                  <w:tcBorders>
                    <w:tl2br w:val="nil"/>
                    <w:tr2bl w:val="nil"/>
                  </w:tcBorders>
                  <w:vAlign w:val="center"/>
                </w:tcPr>
                <w:p>
                  <w:pPr>
                    <w:jc w:val="center"/>
                    <w:rPr>
                      <w:rFonts w:hint="eastAsia"/>
                      <w:color w:val="auto"/>
                      <w:lang w:val="en-US" w:eastAsia="zh-CN"/>
                    </w:rPr>
                  </w:pPr>
                  <w:r>
                    <w:rPr>
                      <w:rFonts w:hint="eastAsia"/>
                      <w:color w:val="auto"/>
                      <w:lang w:val="en-US" w:eastAsia="zh-CN"/>
                    </w:rPr>
                    <w:t xml:space="preserve">挖掘机 </w:t>
                  </w:r>
                </w:p>
              </w:tc>
              <w:tc>
                <w:tcPr>
                  <w:tcW w:w="937" w:type="dxa"/>
                  <w:tcBorders>
                    <w:tl2br w:val="nil"/>
                    <w:tr2bl w:val="nil"/>
                  </w:tcBorders>
                  <w:vAlign w:val="center"/>
                </w:tcPr>
                <w:p>
                  <w:pPr>
                    <w:jc w:val="center"/>
                    <w:rPr>
                      <w:rFonts w:hint="eastAsia"/>
                      <w:color w:val="auto"/>
                      <w:lang w:val="en-US" w:eastAsia="zh-CN"/>
                    </w:rPr>
                  </w:pPr>
                  <w:r>
                    <w:rPr>
                      <w:rFonts w:hint="eastAsia"/>
                      <w:color w:val="auto"/>
                      <w:lang w:val="en-US" w:eastAsia="zh-CN"/>
                    </w:rPr>
                    <w:t>98</w:t>
                  </w:r>
                </w:p>
              </w:tc>
              <w:tc>
                <w:tcPr>
                  <w:tcW w:w="937" w:type="dxa"/>
                  <w:tcBorders>
                    <w:tl2br w:val="nil"/>
                    <w:tr2bl w:val="nil"/>
                  </w:tcBorders>
                  <w:vAlign w:val="center"/>
                </w:tcPr>
                <w:p>
                  <w:pPr>
                    <w:jc w:val="center"/>
                    <w:rPr>
                      <w:rFonts w:hint="eastAsia"/>
                      <w:color w:val="auto"/>
                      <w:lang w:val="en-US" w:eastAsia="zh-CN"/>
                    </w:rPr>
                  </w:pPr>
                  <w:r>
                    <w:rPr>
                      <w:rFonts w:hint="eastAsia"/>
                      <w:color w:val="auto"/>
                      <w:lang w:val="en-US" w:eastAsia="zh-CN"/>
                    </w:rPr>
                    <w:t>78</w:t>
                  </w:r>
                </w:p>
              </w:tc>
              <w:tc>
                <w:tcPr>
                  <w:tcW w:w="937" w:type="dxa"/>
                  <w:tcBorders>
                    <w:tl2br w:val="nil"/>
                    <w:tr2bl w:val="nil"/>
                  </w:tcBorders>
                  <w:vAlign w:val="center"/>
                </w:tcPr>
                <w:p>
                  <w:pPr>
                    <w:jc w:val="center"/>
                    <w:rPr>
                      <w:rFonts w:hint="eastAsia"/>
                      <w:color w:val="auto"/>
                      <w:lang w:val="en-US" w:eastAsia="zh-CN"/>
                    </w:rPr>
                  </w:pPr>
                  <w:r>
                    <w:rPr>
                      <w:rFonts w:hint="eastAsia"/>
                      <w:color w:val="auto"/>
                      <w:lang w:val="en-US" w:eastAsia="zh-CN"/>
                    </w:rPr>
                    <w:t>71.98</w:t>
                  </w:r>
                </w:p>
              </w:tc>
              <w:tc>
                <w:tcPr>
                  <w:tcW w:w="938" w:type="dxa"/>
                  <w:tcBorders>
                    <w:tl2br w:val="nil"/>
                    <w:tr2bl w:val="nil"/>
                  </w:tcBorders>
                  <w:vAlign w:val="center"/>
                </w:tcPr>
                <w:p>
                  <w:pPr>
                    <w:jc w:val="center"/>
                    <w:rPr>
                      <w:rFonts w:hint="eastAsia"/>
                      <w:color w:val="auto"/>
                      <w:lang w:val="en-US" w:eastAsia="zh-CN"/>
                    </w:rPr>
                  </w:pPr>
                  <w:r>
                    <w:rPr>
                      <w:rFonts w:hint="eastAsia"/>
                      <w:color w:val="auto"/>
                      <w:lang w:val="en-US" w:eastAsia="zh-CN"/>
                    </w:rPr>
                    <w:t>68.46</w:t>
                  </w:r>
                </w:p>
              </w:tc>
              <w:tc>
                <w:tcPr>
                  <w:tcW w:w="938" w:type="dxa"/>
                  <w:tcBorders>
                    <w:tl2br w:val="nil"/>
                    <w:tr2bl w:val="nil"/>
                  </w:tcBorders>
                  <w:vAlign w:val="center"/>
                </w:tcPr>
                <w:p>
                  <w:pPr>
                    <w:jc w:val="center"/>
                    <w:rPr>
                      <w:rFonts w:hint="eastAsia"/>
                      <w:color w:val="auto"/>
                      <w:lang w:val="en-US" w:eastAsia="zh-CN"/>
                    </w:rPr>
                  </w:pPr>
                  <w:r>
                    <w:rPr>
                      <w:rFonts w:hint="eastAsia"/>
                      <w:color w:val="auto"/>
                      <w:lang w:val="en-US" w:eastAsia="zh-CN"/>
                    </w:rPr>
                    <w:t>62.44</w:t>
                  </w:r>
                </w:p>
              </w:tc>
              <w:tc>
                <w:tcPr>
                  <w:tcW w:w="938" w:type="dxa"/>
                  <w:tcBorders>
                    <w:tl2br w:val="nil"/>
                    <w:tr2bl w:val="nil"/>
                  </w:tcBorders>
                  <w:vAlign w:val="center"/>
                </w:tcPr>
                <w:p>
                  <w:pPr>
                    <w:jc w:val="center"/>
                    <w:rPr>
                      <w:rFonts w:hint="eastAsia"/>
                      <w:color w:val="auto"/>
                      <w:lang w:val="en-US" w:eastAsia="zh-CN"/>
                    </w:rPr>
                  </w:pPr>
                  <w:r>
                    <w:rPr>
                      <w:rFonts w:hint="eastAsia"/>
                      <w:color w:val="auto"/>
                      <w:lang w:val="en-US" w:eastAsia="zh-CN"/>
                    </w:rPr>
                    <w:t>58</w:t>
                  </w:r>
                </w:p>
              </w:tc>
              <w:tc>
                <w:tcPr>
                  <w:tcW w:w="938" w:type="dxa"/>
                  <w:tcBorders>
                    <w:tl2br w:val="nil"/>
                    <w:tr2bl w:val="nil"/>
                  </w:tcBorders>
                  <w:vAlign w:val="center"/>
                </w:tcPr>
                <w:p>
                  <w:pPr>
                    <w:jc w:val="center"/>
                    <w:rPr>
                      <w:rFonts w:hint="eastAsia"/>
                      <w:color w:val="auto"/>
                      <w:lang w:val="en-US" w:eastAsia="zh-CN"/>
                    </w:rPr>
                  </w:pPr>
                  <w:r>
                    <w:rPr>
                      <w:rFonts w:hint="eastAsia"/>
                      <w:color w:val="auto"/>
                      <w:lang w:val="en-US" w:eastAsia="zh-CN"/>
                    </w:rPr>
                    <w:t>54.48</w:t>
                  </w:r>
                </w:p>
              </w:tc>
              <w:tc>
                <w:tcPr>
                  <w:tcW w:w="938" w:type="dxa"/>
                  <w:tcBorders>
                    <w:tl2br w:val="nil"/>
                    <w:tr2bl w:val="nil"/>
                  </w:tcBorders>
                  <w:vAlign w:val="center"/>
                </w:tcPr>
                <w:p>
                  <w:pPr>
                    <w:jc w:val="center"/>
                    <w:rPr>
                      <w:rFonts w:hint="eastAsia"/>
                      <w:color w:val="auto"/>
                      <w:lang w:val="en-US" w:eastAsia="zh-CN"/>
                    </w:rPr>
                  </w:pPr>
                  <w:r>
                    <w:rPr>
                      <w:rFonts w:hint="eastAsia"/>
                      <w:color w:val="auto"/>
                      <w:lang w:val="en-US" w:eastAsia="zh-CN"/>
                    </w:rPr>
                    <w:t>51.98</w:t>
                  </w:r>
                </w:p>
              </w:tc>
              <w:tc>
                <w:tcPr>
                  <w:tcW w:w="938" w:type="dxa"/>
                  <w:tcBorders>
                    <w:tl2br w:val="nil"/>
                    <w:tr2bl w:val="nil"/>
                  </w:tcBorders>
                  <w:vAlign w:val="center"/>
                </w:tcPr>
                <w:p>
                  <w:pPr>
                    <w:jc w:val="center"/>
                    <w:rPr>
                      <w:rFonts w:hint="eastAsia"/>
                      <w:color w:val="auto"/>
                      <w:lang w:val="en-US" w:eastAsia="zh-CN"/>
                    </w:rPr>
                  </w:pPr>
                  <w:r>
                    <w:rPr>
                      <w:rFonts w:hint="eastAsia"/>
                      <w:color w:val="auto"/>
                      <w:lang w:val="en-US" w:eastAsia="zh-CN"/>
                    </w:rPr>
                    <w:t>47.12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jc w:val="center"/>
              </w:trPr>
              <w:tc>
                <w:tcPr>
                  <w:tcW w:w="937" w:type="dxa"/>
                  <w:tcBorders>
                    <w:tl2br w:val="nil"/>
                    <w:tr2bl w:val="nil"/>
                  </w:tcBorders>
                  <w:vAlign w:val="center"/>
                </w:tcPr>
                <w:p>
                  <w:pPr>
                    <w:jc w:val="center"/>
                    <w:rPr>
                      <w:rFonts w:hint="eastAsia"/>
                      <w:color w:val="auto"/>
                      <w:lang w:val="en-US" w:eastAsia="zh-CN"/>
                    </w:rPr>
                  </w:pPr>
                  <w:r>
                    <w:rPr>
                      <w:rFonts w:hint="eastAsia"/>
                      <w:color w:val="auto"/>
                      <w:lang w:val="en-US" w:eastAsia="zh-CN"/>
                    </w:rPr>
                    <w:t>冲击式钻机</w:t>
                  </w:r>
                </w:p>
              </w:tc>
              <w:tc>
                <w:tcPr>
                  <w:tcW w:w="937" w:type="dxa"/>
                  <w:tcBorders>
                    <w:tl2br w:val="nil"/>
                    <w:tr2bl w:val="nil"/>
                  </w:tcBorders>
                  <w:vAlign w:val="center"/>
                </w:tcPr>
                <w:p>
                  <w:pPr>
                    <w:jc w:val="center"/>
                    <w:rPr>
                      <w:rFonts w:hint="eastAsia"/>
                      <w:color w:val="auto"/>
                      <w:lang w:val="en-US" w:eastAsia="zh-CN"/>
                    </w:rPr>
                  </w:pPr>
                  <w:r>
                    <w:rPr>
                      <w:rFonts w:hint="eastAsia"/>
                      <w:color w:val="auto"/>
                      <w:lang w:val="en-US" w:eastAsia="zh-CN"/>
                    </w:rPr>
                    <w:t>96</w:t>
                  </w:r>
                </w:p>
              </w:tc>
              <w:tc>
                <w:tcPr>
                  <w:tcW w:w="937" w:type="dxa"/>
                  <w:tcBorders>
                    <w:tl2br w:val="nil"/>
                    <w:tr2bl w:val="nil"/>
                  </w:tcBorders>
                  <w:textDirection w:val="lrTb"/>
                  <w:vAlign w:val="center"/>
                </w:tcPr>
                <w:p>
                  <w:pPr>
                    <w:jc w:val="center"/>
                    <w:rPr>
                      <w:rFonts w:hint="eastAsia"/>
                      <w:color w:val="auto"/>
                      <w:lang w:val="en-US" w:eastAsia="zh-CN"/>
                    </w:rPr>
                  </w:pPr>
                  <w:r>
                    <w:rPr>
                      <w:rFonts w:hint="eastAsia"/>
                      <w:color w:val="auto"/>
                      <w:lang w:val="en-US" w:eastAsia="zh-CN"/>
                    </w:rPr>
                    <w:t>76</w:t>
                  </w:r>
                </w:p>
              </w:tc>
              <w:tc>
                <w:tcPr>
                  <w:tcW w:w="937" w:type="dxa"/>
                  <w:tcBorders>
                    <w:tl2br w:val="nil"/>
                    <w:tr2bl w:val="nil"/>
                  </w:tcBorders>
                  <w:textDirection w:val="lrTb"/>
                  <w:vAlign w:val="center"/>
                </w:tcPr>
                <w:p>
                  <w:pPr>
                    <w:jc w:val="center"/>
                    <w:rPr>
                      <w:rFonts w:hint="eastAsia"/>
                      <w:color w:val="auto"/>
                      <w:lang w:val="en-US" w:eastAsia="zh-CN"/>
                    </w:rPr>
                  </w:pPr>
                  <w:r>
                    <w:rPr>
                      <w:rFonts w:hint="eastAsia"/>
                      <w:color w:val="auto"/>
                      <w:lang w:val="en-US" w:eastAsia="zh-CN"/>
                    </w:rPr>
                    <w:t>69.98</w:t>
                  </w:r>
                </w:p>
              </w:tc>
              <w:tc>
                <w:tcPr>
                  <w:tcW w:w="938" w:type="dxa"/>
                  <w:tcBorders>
                    <w:tl2br w:val="nil"/>
                    <w:tr2bl w:val="nil"/>
                  </w:tcBorders>
                  <w:textDirection w:val="lrTb"/>
                  <w:vAlign w:val="center"/>
                </w:tcPr>
                <w:p>
                  <w:pPr>
                    <w:jc w:val="center"/>
                    <w:rPr>
                      <w:rFonts w:hint="eastAsia"/>
                      <w:color w:val="auto"/>
                      <w:lang w:val="en-US" w:eastAsia="zh-CN"/>
                    </w:rPr>
                  </w:pPr>
                  <w:r>
                    <w:rPr>
                      <w:rFonts w:hint="eastAsia"/>
                      <w:color w:val="auto"/>
                      <w:lang w:val="en-US" w:eastAsia="zh-CN"/>
                    </w:rPr>
                    <w:t>66.46</w:t>
                  </w:r>
                </w:p>
              </w:tc>
              <w:tc>
                <w:tcPr>
                  <w:tcW w:w="938" w:type="dxa"/>
                  <w:tcBorders>
                    <w:tl2br w:val="nil"/>
                    <w:tr2bl w:val="nil"/>
                  </w:tcBorders>
                  <w:textDirection w:val="lrTb"/>
                  <w:vAlign w:val="center"/>
                </w:tcPr>
                <w:p>
                  <w:pPr>
                    <w:jc w:val="center"/>
                    <w:rPr>
                      <w:rFonts w:hint="eastAsia"/>
                      <w:color w:val="auto"/>
                      <w:lang w:val="en-US" w:eastAsia="zh-CN"/>
                    </w:rPr>
                  </w:pPr>
                  <w:r>
                    <w:rPr>
                      <w:rFonts w:hint="eastAsia"/>
                      <w:color w:val="auto"/>
                      <w:lang w:val="en-US" w:eastAsia="zh-CN"/>
                    </w:rPr>
                    <w:t>60.44</w:t>
                  </w:r>
                </w:p>
              </w:tc>
              <w:tc>
                <w:tcPr>
                  <w:tcW w:w="938" w:type="dxa"/>
                  <w:tcBorders>
                    <w:tl2br w:val="nil"/>
                    <w:tr2bl w:val="nil"/>
                  </w:tcBorders>
                  <w:textDirection w:val="lrTb"/>
                  <w:vAlign w:val="center"/>
                </w:tcPr>
                <w:p>
                  <w:pPr>
                    <w:jc w:val="center"/>
                    <w:rPr>
                      <w:rFonts w:hint="eastAsia"/>
                      <w:color w:val="auto"/>
                      <w:lang w:val="en-US" w:eastAsia="zh-CN"/>
                    </w:rPr>
                  </w:pPr>
                  <w:r>
                    <w:rPr>
                      <w:rFonts w:hint="eastAsia"/>
                      <w:color w:val="auto"/>
                      <w:lang w:val="en-US" w:eastAsia="zh-CN"/>
                    </w:rPr>
                    <w:t>56</w:t>
                  </w:r>
                </w:p>
              </w:tc>
              <w:tc>
                <w:tcPr>
                  <w:tcW w:w="938" w:type="dxa"/>
                  <w:tcBorders>
                    <w:tl2br w:val="nil"/>
                    <w:tr2bl w:val="nil"/>
                  </w:tcBorders>
                  <w:textDirection w:val="lrTb"/>
                  <w:vAlign w:val="center"/>
                </w:tcPr>
                <w:p>
                  <w:pPr>
                    <w:jc w:val="center"/>
                    <w:rPr>
                      <w:rFonts w:hint="eastAsia"/>
                      <w:color w:val="auto"/>
                      <w:lang w:val="en-US" w:eastAsia="zh-CN"/>
                    </w:rPr>
                  </w:pPr>
                  <w:r>
                    <w:rPr>
                      <w:rFonts w:hint="eastAsia"/>
                      <w:color w:val="auto"/>
                      <w:lang w:val="en-US" w:eastAsia="zh-CN"/>
                    </w:rPr>
                    <w:t>52.48</w:t>
                  </w:r>
                </w:p>
              </w:tc>
              <w:tc>
                <w:tcPr>
                  <w:tcW w:w="938" w:type="dxa"/>
                  <w:tcBorders>
                    <w:tl2br w:val="nil"/>
                    <w:tr2bl w:val="nil"/>
                  </w:tcBorders>
                  <w:textDirection w:val="lrTb"/>
                  <w:vAlign w:val="center"/>
                </w:tcPr>
                <w:p>
                  <w:pPr>
                    <w:jc w:val="center"/>
                    <w:rPr>
                      <w:rFonts w:hint="eastAsia"/>
                      <w:color w:val="auto"/>
                      <w:lang w:val="en-US" w:eastAsia="zh-CN"/>
                    </w:rPr>
                  </w:pPr>
                  <w:r>
                    <w:rPr>
                      <w:rFonts w:hint="eastAsia"/>
                      <w:color w:val="auto"/>
                      <w:lang w:val="en-US" w:eastAsia="zh-CN"/>
                    </w:rPr>
                    <w:t>49.98</w:t>
                  </w:r>
                </w:p>
              </w:tc>
              <w:tc>
                <w:tcPr>
                  <w:tcW w:w="938" w:type="dxa"/>
                  <w:tcBorders>
                    <w:tl2br w:val="nil"/>
                    <w:tr2bl w:val="nil"/>
                  </w:tcBorders>
                  <w:textDirection w:val="lrTb"/>
                  <w:vAlign w:val="center"/>
                </w:tcPr>
                <w:p>
                  <w:pPr>
                    <w:jc w:val="center"/>
                    <w:rPr>
                      <w:rFonts w:hint="eastAsia"/>
                      <w:color w:val="auto"/>
                      <w:lang w:val="en-US" w:eastAsia="zh-CN"/>
                    </w:rPr>
                  </w:pPr>
                  <w:r>
                    <w:rPr>
                      <w:rFonts w:hint="eastAsia"/>
                      <w:color w:val="auto"/>
                      <w:lang w:val="en-US" w:eastAsia="zh-CN"/>
                    </w:rPr>
                    <w:t>45.12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jc w:val="center"/>
              </w:trPr>
              <w:tc>
                <w:tcPr>
                  <w:tcW w:w="937" w:type="dxa"/>
                  <w:tcBorders>
                    <w:tl2br w:val="nil"/>
                    <w:tr2bl w:val="nil"/>
                  </w:tcBorders>
                  <w:vAlign w:val="center"/>
                </w:tcPr>
                <w:p>
                  <w:pPr>
                    <w:jc w:val="center"/>
                    <w:rPr>
                      <w:rFonts w:hint="eastAsia"/>
                      <w:color w:val="auto"/>
                      <w:lang w:val="en-US" w:eastAsia="zh-CN"/>
                    </w:rPr>
                  </w:pPr>
                  <w:r>
                    <w:rPr>
                      <w:rFonts w:hint="eastAsia"/>
                      <w:color w:val="auto"/>
                      <w:lang w:val="en-US" w:eastAsia="zh-CN"/>
                    </w:rPr>
                    <w:t xml:space="preserve">平地机 </w:t>
                  </w:r>
                </w:p>
              </w:tc>
              <w:tc>
                <w:tcPr>
                  <w:tcW w:w="937" w:type="dxa"/>
                  <w:tcBorders>
                    <w:tl2br w:val="nil"/>
                    <w:tr2bl w:val="nil"/>
                  </w:tcBorders>
                  <w:vAlign w:val="center"/>
                </w:tcPr>
                <w:p>
                  <w:pPr>
                    <w:jc w:val="center"/>
                    <w:rPr>
                      <w:rFonts w:hint="eastAsia"/>
                      <w:color w:val="auto"/>
                      <w:lang w:val="en-US" w:eastAsia="zh-CN"/>
                    </w:rPr>
                  </w:pPr>
                  <w:r>
                    <w:rPr>
                      <w:rFonts w:hint="eastAsia"/>
                      <w:color w:val="auto"/>
                      <w:lang w:val="en-US" w:eastAsia="zh-CN"/>
                    </w:rPr>
                    <w:t>96</w:t>
                  </w:r>
                </w:p>
              </w:tc>
              <w:tc>
                <w:tcPr>
                  <w:tcW w:w="937" w:type="dxa"/>
                  <w:tcBorders>
                    <w:tl2br w:val="nil"/>
                    <w:tr2bl w:val="nil"/>
                  </w:tcBorders>
                  <w:textDirection w:val="lrTb"/>
                  <w:vAlign w:val="center"/>
                </w:tcPr>
                <w:p>
                  <w:pPr>
                    <w:jc w:val="center"/>
                    <w:rPr>
                      <w:rFonts w:hint="eastAsia"/>
                      <w:color w:val="auto"/>
                      <w:lang w:val="en-US" w:eastAsia="zh-CN"/>
                    </w:rPr>
                  </w:pPr>
                  <w:r>
                    <w:rPr>
                      <w:rFonts w:hint="eastAsia"/>
                      <w:color w:val="auto"/>
                      <w:lang w:val="en-US" w:eastAsia="zh-CN"/>
                    </w:rPr>
                    <w:t>76</w:t>
                  </w:r>
                </w:p>
              </w:tc>
              <w:tc>
                <w:tcPr>
                  <w:tcW w:w="937" w:type="dxa"/>
                  <w:tcBorders>
                    <w:tl2br w:val="nil"/>
                    <w:tr2bl w:val="nil"/>
                  </w:tcBorders>
                  <w:textDirection w:val="lrTb"/>
                  <w:vAlign w:val="center"/>
                </w:tcPr>
                <w:p>
                  <w:pPr>
                    <w:jc w:val="center"/>
                    <w:rPr>
                      <w:rFonts w:hint="eastAsia"/>
                      <w:color w:val="auto"/>
                      <w:lang w:val="en-US" w:eastAsia="zh-CN"/>
                    </w:rPr>
                  </w:pPr>
                  <w:r>
                    <w:rPr>
                      <w:rFonts w:hint="eastAsia"/>
                      <w:color w:val="auto"/>
                      <w:lang w:val="en-US" w:eastAsia="zh-CN"/>
                    </w:rPr>
                    <w:t>69.98</w:t>
                  </w:r>
                </w:p>
              </w:tc>
              <w:tc>
                <w:tcPr>
                  <w:tcW w:w="938" w:type="dxa"/>
                  <w:tcBorders>
                    <w:tl2br w:val="nil"/>
                    <w:tr2bl w:val="nil"/>
                  </w:tcBorders>
                  <w:textDirection w:val="lrTb"/>
                  <w:vAlign w:val="center"/>
                </w:tcPr>
                <w:p>
                  <w:pPr>
                    <w:jc w:val="center"/>
                    <w:rPr>
                      <w:rFonts w:hint="eastAsia"/>
                      <w:color w:val="auto"/>
                      <w:lang w:val="en-US" w:eastAsia="zh-CN"/>
                    </w:rPr>
                  </w:pPr>
                  <w:r>
                    <w:rPr>
                      <w:rFonts w:hint="eastAsia"/>
                      <w:color w:val="auto"/>
                      <w:lang w:val="en-US" w:eastAsia="zh-CN"/>
                    </w:rPr>
                    <w:t>66.46</w:t>
                  </w:r>
                </w:p>
              </w:tc>
              <w:tc>
                <w:tcPr>
                  <w:tcW w:w="938" w:type="dxa"/>
                  <w:tcBorders>
                    <w:tl2br w:val="nil"/>
                    <w:tr2bl w:val="nil"/>
                  </w:tcBorders>
                  <w:textDirection w:val="lrTb"/>
                  <w:vAlign w:val="center"/>
                </w:tcPr>
                <w:p>
                  <w:pPr>
                    <w:jc w:val="center"/>
                    <w:rPr>
                      <w:rFonts w:hint="eastAsia"/>
                      <w:color w:val="auto"/>
                      <w:lang w:val="en-US" w:eastAsia="zh-CN"/>
                    </w:rPr>
                  </w:pPr>
                  <w:r>
                    <w:rPr>
                      <w:rFonts w:hint="eastAsia"/>
                      <w:color w:val="auto"/>
                      <w:lang w:val="en-US" w:eastAsia="zh-CN"/>
                    </w:rPr>
                    <w:t>60.44</w:t>
                  </w:r>
                </w:p>
              </w:tc>
              <w:tc>
                <w:tcPr>
                  <w:tcW w:w="938" w:type="dxa"/>
                  <w:tcBorders>
                    <w:tl2br w:val="nil"/>
                    <w:tr2bl w:val="nil"/>
                  </w:tcBorders>
                  <w:textDirection w:val="lrTb"/>
                  <w:vAlign w:val="center"/>
                </w:tcPr>
                <w:p>
                  <w:pPr>
                    <w:jc w:val="center"/>
                    <w:rPr>
                      <w:rFonts w:hint="eastAsia"/>
                      <w:color w:val="auto"/>
                      <w:lang w:val="en-US" w:eastAsia="zh-CN"/>
                    </w:rPr>
                  </w:pPr>
                  <w:r>
                    <w:rPr>
                      <w:rFonts w:hint="eastAsia"/>
                      <w:color w:val="auto"/>
                      <w:lang w:val="en-US" w:eastAsia="zh-CN"/>
                    </w:rPr>
                    <w:t>56</w:t>
                  </w:r>
                </w:p>
              </w:tc>
              <w:tc>
                <w:tcPr>
                  <w:tcW w:w="938" w:type="dxa"/>
                  <w:tcBorders>
                    <w:tl2br w:val="nil"/>
                    <w:tr2bl w:val="nil"/>
                  </w:tcBorders>
                  <w:textDirection w:val="lrTb"/>
                  <w:vAlign w:val="center"/>
                </w:tcPr>
                <w:p>
                  <w:pPr>
                    <w:jc w:val="center"/>
                    <w:rPr>
                      <w:rFonts w:hint="eastAsia"/>
                      <w:color w:val="auto"/>
                      <w:lang w:val="en-US" w:eastAsia="zh-CN"/>
                    </w:rPr>
                  </w:pPr>
                  <w:r>
                    <w:rPr>
                      <w:rFonts w:hint="eastAsia"/>
                      <w:color w:val="auto"/>
                      <w:lang w:val="en-US" w:eastAsia="zh-CN"/>
                    </w:rPr>
                    <w:t>52.48</w:t>
                  </w:r>
                </w:p>
              </w:tc>
              <w:tc>
                <w:tcPr>
                  <w:tcW w:w="938" w:type="dxa"/>
                  <w:tcBorders>
                    <w:tl2br w:val="nil"/>
                    <w:tr2bl w:val="nil"/>
                  </w:tcBorders>
                  <w:textDirection w:val="lrTb"/>
                  <w:vAlign w:val="center"/>
                </w:tcPr>
                <w:p>
                  <w:pPr>
                    <w:jc w:val="center"/>
                    <w:rPr>
                      <w:rFonts w:hint="eastAsia"/>
                      <w:color w:val="auto"/>
                      <w:lang w:val="en-US" w:eastAsia="zh-CN"/>
                    </w:rPr>
                  </w:pPr>
                  <w:r>
                    <w:rPr>
                      <w:rFonts w:hint="eastAsia"/>
                      <w:color w:val="auto"/>
                      <w:lang w:val="en-US" w:eastAsia="zh-CN"/>
                    </w:rPr>
                    <w:t>49.98</w:t>
                  </w:r>
                </w:p>
              </w:tc>
              <w:tc>
                <w:tcPr>
                  <w:tcW w:w="938" w:type="dxa"/>
                  <w:tcBorders>
                    <w:tl2br w:val="nil"/>
                    <w:tr2bl w:val="nil"/>
                  </w:tcBorders>
                  <w:textDirection w:val="lrTb"/>
                  <w:vAlign w:val="center"/>
                </w:tcPr>
                <w:p>
                  <w:pPr>
                    <w:jc w:val="center"/>
                    <w:rPr>
                      <w:rFonts w:hint="eastAsia"/>
                      <w:color w:val="auto"/>
                      <w:lang w:val="en-US" w:eastAsia="zh-CN"/>
                    </w:rPr>
                  </w:pPr>
                  <w:r>
                    <w:rPr>
                      <w:rFonts w:hint="eastAsia"/>
                      <w:color w:val="auto"/>
                      <w:lang w:val="en-US" w:eastAsia="zh-CN"/>
                    </w:rPr>
                    <w:t>45.12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jc w:val="center"/>
              </w:trPr>
              <w:tc>
                <w:tcPr>
                  <w:tcW w:w="937" w:type="dxa"/>
                  <w:tcBorders>
                    <w:tl2br w:val="nil"/>
                    <w:tr2bl w:val="nil"/>
                  </w:tcBorders>
                  <w:vAlign w:val="center"/>
                </w:tcPr>
                <w:p>
                  <w:pPr>
                    <w:jc w:val="center"/>
                    <w:rPr>
                      <w:rFonts w:hint="eastAsia"/>
                      <w:color w:val="auto"/>
                      <w:lang w:val="en-US" w:eastAsia="zh-CN"/>
                    </w:rPr>
                  </w:pPr>
                  <w:r>
                    <w:rPr>
                      <w:rFonts w:hint="eastAsia"/>
                      <w:color w:val="auto"/>
                      <w:lang w:val="en-US" w:eastAsia="zh-CN"/>
                    </w:rPr>
                    <w:t xml:space="preserve">移动式空压机 </w:t>
                  </w:r>
                </w:p>
              </w:tc>
              <w:tc>
                <w:tcPr>
                  <w:tcW w:w="937" w:type="dxa"/>
                  <w:tcBorders>
                    <w:tl2br w:val="nil"/>
                    <w:tr2bl w:val="nil"/>
                  </w:tcBorders>
                  <w:vAlign w:val="center"/>
                </w:tcPr>
                <w:p>
                  <w:pPr>
                    <w:jc w:val="center"/>
                    <w:rPr>
                      <w:rFonts w:hint="eastAsia"/>
                      <w:color w:val="auto"/>
                      <w:lang w:val="en-US" w:eastAsia="zh-CN"/>
                    </w:rPr>
                  </w:pPr>
                  <w:r>
                    <w:rPr>
                      <w:rFonts w:hint="eastAsia"/>
                      <w:color w:val="auto"/>
                      <w:lang w:val="en-US" w:eastAsia="zh-CN"/>
                    </w:rPr>
                    <w:t>96</w:t>
                  </w:r>
                </w:p>
              </w:tc>
              <w:tc>
                <w:tcPr>
                  <w:tcW w:w="937" w:type="dxa"/>
                  <w:tcBorders>
                    <w:tl2br w:val="nil"/>
                    <w:tr2bl w:val="nil"/>
                  </w:tcBorders>
                  <w:textDirection w:val="lrTb"/>
                  <w:vAlign w:val="center"/>
                </w:tcPr>
                <w:p>
                  <w:pPr>
                    <w:jc w:val="center"/>
                    <w:rPr>
                      <w:rFonts w:hint="eastAsia"/>
                      <w:color w:val="auto"/>
                      <w:lang w:val="en-US" w:eastAsia="zh-CN"/>
                    </w:rPr>
                  </w:pPr>
                  <w:r>
                    <w:rPr>
                      <w:rFonts w:hint="eastAsia"/>
                      <w:color w:val="auto"/>
                      <w:lang w:val="en-US" w:eastAsia="zh-CN"/>
                    </w:rPr>
                    <w:t>76</w:t>
                  </w:r>
                </w:p>
              </w:tc>
              <w:tc>
                <w:tcPr>
                  <w:tcW w:w="937" w:type="dxa"/>
                  <w:tcBorders>
                    <w:tl2br w:val="nil"/>
                    <w:tr2bl w:val="nil"/>
                  </w:tcBorders>
                  <w:textDirection w:val="lrTb"/>
                  <w:vAlign w:val="center"/>
                </w:tcPr>
                <w:p>
                  <w:pPr>
                    <w:jc w:val="center"/>
                    <w:rPr>
                      <w:rFonts w:hint="eastAsia"/>
                      <w:color w:val="auto"/>
                      <w:lang w:val="en-US" w:eastAsia="zh-CN"/>
                    </w:rPr>
                  </w:pPr>
                  <w:r>
                    <w:rPr>
                      <w:rFonts w:hint="eastAsia"/>
                      <w:color w:val="auto"/>
                      <w:lang w:val="en-US" w:eastAsia="zh-CN"/>
                    </w:rPr>
                    <w:t>69.98</w:t>
                  </w:r>
                </w:p>
              </w:tc>
              <w:tc>
                <w:tcPr>
                  <w:tcW w:w="938" w:type="dxa"/>
                  <w:tcBorders>
                    <w:tl2br w:val="nil"/>
                    <w:tr2bl w:val="nil"/>
                  </w:tcBorders>
                  <w:textDirection w:val="lrTb"/>
                  <w:vAlign w:val="center"/>
                </w:tcPr>
                <w:p>
                  <w:pPr>
                    <w:jc w:val="center"/>
                    <w:rPr>
                      <w:rFonts w:hint="eastAsia"/>
                      <w:color w:val="auto"/>
                      <w:lang w:val="en-US" w:eastAsia="zh-CN"/>
                    </w:rPr>
                  </w:pPr>
                  <w:r>
                    <w:rPr>
                      <w:rFonts w:hint="eastAsia"/>
                      <w:color w:val="auto"/>
                      <w:lang w:val="en-US" w:eastAsia="zh-CN"/>
                    </w:rPr>
                    <w:t>66.46</w:t>
                  </w:r>
                </w:p>
              </w:tc>
              <w:tc>
                <w:tcPr>
                  <w:tcW w:w="938" w:type="dxa"/>
                  <w:tcBorders>
                    <w:tl2br w:val="nil"/>
                    <w:tr2bl w:val="nil"/>
                  </w:tcBorders>
                  <w:textDirection w:val="lrTb"/>
                  <w:vAlign w:val="center"/>
                </w:tcPr>
                <w:p>
                  <w:pPr>
                    <w:jc w:val="center"/>
                    <w:rPr>
                      <w:rFonts w:hint="eastAsia"/>
                      <w:color w:val="auto"/>
                      <w:lang w:val="en-US" w:eastAsia="zh-CN"/>
                    </w:rPr>
                  </w:pPr>
                  <w:r>
                    <w:rPr>
                      <w:rFonts w:hint="eastAsia"/>
                      <w:color w:val="auto"/>
                      <w:lang w:val="en-US" w:eastAsia="zh-CN"/>
                    </w:rPr>
                    <w:t>60.44</w:t>
                  </w:r>
                </w:p>
              </w:tc>
              <w:tc>
                <w:tcPr>
                  <w:tcW w:w="938" w:type="dxa"/>
                  <w:tcBorders>
                    <w:tl2br w:val="nil"/>
                    <w:tr2bl w:val="nil"/>
                  </w:tcBorders>
                  <w:textDirection w:val="lrTb"/>
                  <w:vAlign w:val="center"/>
                </w:tcPr>
                <w:p>
                  <w:pPr>
                    <w:jc w:val="center"/>
                    <w:rPr>
                      <w:rFonts w:hint="eastAsia"/>
                      <w:color w:val="auto"/>
                      <w:lang w:val="en-US" w:eastAsia="zh-CN"/>
                    </w:rPr>
                  </w:pPr>
                  <w:r>
                    <w:rPr>
                      <w:rFonts w:hint="eastAsia"/>
                      <w:color w:val="auto"/>
                      <w:lang w:val="en-US" w:eastAsia="zh-CN"/>
                    </w:rPr>
                    <w:t>56</w:t>
                  </w:r>
                </w:p>
              </w:tc>
              <w:tc>
                <w:tcPr>
                  <w:tcW w:w="938" w:type="dxa"/>
                  <w:tcBorders>
                    <w:tl2br w:val="nil"/>
                    <w:tr2bl w:val="nil"/>
                  </w:tcBorders>
                  <w:textDirection w:val="lrTb"/>
                  <w:vAlign w:val="center"/>
                </w:tcPr>
                <w:p>
                  <w:pPr>
                    <w:jc w:val="center"/>
                    <w:rPr>
                      <w:rFonts w:hint="eastAsia"/>
                      <w:color w:val="auto"/>
                      <w:lang w:val="en-US" w:eastAsia="zh-CN"/>
                    </w:rPr>
                  </w:pPr>
                  <w:r>
                    <w:rPr>
                      <w:rFonts w:hint="eastAsia"/>
                      <w:color w:val="auto"/>
                      <w:lang w:val="en-US" w:eastAsia="zh-CN"/>
                    </w:rPr>
                    <w:t>52.48</w:t>
                  </w:r>
                </w:p>
              </w:tc>
              <w:tc>
                <w:tcPr>
                  <w:tcW w:w="938" w:type="dxa"/>
                  <w:tcBorders>
                    <w:tl2br w:val="nil"/>
                    <w:tr2bl w:val="nil"/>
                  </w:tcBorders>
                  <w:textDirection w:val="lrTb"/>
                  <w:vAlign w:val="center"/>
                </w:tcPr>
                <w:p>
                  <w:pPr>
                    <w:jc w:val="center"/>
                    <w:rPr>
                      <w:rFonts w:hint="eastAsia"/>
                      <w:color w:val="auto"/>
                      <w:lang w:val="en-US" w:eastAsia="zh-CN"/>
                    </w:rPr>
                  </w:pPr>
                  <w:r>
                    <w:rPr>
                      <w:rFonts w:hint="eastAsia"/>
                      <w:color w:val="auto"/>
                      <w:lang w:val="en-US" w:eastAsia="zh-CN"/>
                    </w:rPr>
                    <w:t>49.98</w:t>
                  </w:r>
                </w:p>
              </w:tc>
              <w:tc>
                <w:tcPr>
                  <w:tcW w:w="938" w:type="dxa"/>
                  <w:tcBorders>
                    <w:tl2br w:val="nil"/>
                    <w:tr2bl w:val="nil"/>
                  </w:tcBorders>
                  <w:textDirection w:val="lrTb"/>
                  <w:vAlign w:val="center"/>
                </w:tcPr>
                <w:p>
                  <w:pPr>
                    <w:jc w:val="center"/>
                    <w:rPr>
                      <w:rFonts w:hint="eastAsia"/>
                      <w:color w:val="auto"/>
                      <w:lang w:val="en-US" w:eastAsia="zh-CN"/>
                    </w:rPr>
                  </w:pPr>
                  <w:r>
                    <w:rPr>
                      <w:rFonts w:hint="eastAsia"/>
                      <w:color w:val="auto"/>
                      <w:lang w:val="en-US" w:eastAsia="zh-CN"/>
                    </w:rPr>
                    <w:t>45.12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jc w:val="center"/>
              </w:trPr>
              <w:tc>
                <w:tcPr>
                  <w:tcW w:w="937" w:type="dxa"/>
                  <w:tcBorders>
                    <w:tl2br w:val="nil"/>
                    <w:tr2bl w:val="nil"/>
                  </w:tcBorders>
                  <w:vAlign w:val="center"/>
                </w:tcPr>
                <w:p>
                  <w:pPr>
                    <w:jc w:val="center"/>
                    <w:rPr>
                      <w:rFonts w:hint="eastAsia"/>
                      <w:color w:val="auto"/>
                      <w:lang w:val="en-US" w:eastAsia="zh-CN"/>
                    </w:rPr>
                  </w:pPr>
                  <w:r>
                    <w:rPr>
                      <w:rFonts w:hint="eastAsia"/>
                      <w:color w:val="auto"/>
                      <w:lang w:val="en-US" w:eastAsia="zh-CN"/>
                    </w:rPr>
                    <w:t xml:space="preserve">吊车 </w:t>
                  </w:r>
                </w:p>
              </w:tc>
              <w:tc>
                <w:tcPr>
                  <w:tcW w:w="937" w:type="dxa"/>
                  <w:tcBorders>
                    <w:tl2br w:val="nil"/>
                    <w:tr2bl w:val="nil"/>
                  </w:tcBorders>
                  <w:vAlign w:val="center"/>
                </w:tcPr>
                <w:p>
                  <w:pPr>
                    <w:jc w:val="center"/>
                    <w:rPr>
                      <w:rFonts w:hint="eastAsia"/>
                      <w:color w:val="auto"/>
                      <w:lang w:val="en-US" w:eastAsia="zh-CN"/>
                    </w:rPr>
                  </w:pPr>
                  <w:r>
                    <w:rPr>
                      <w:rFonts w:hint="eastAsia"/>
                      <w:color w:val="auto"/>
                      <w:lang w:val="en-US" w:eastAsia="zh-CN"/>
                    </w:rPr>
                    <w:t>93</w:t>
                  </w:r>
                </w:p>
              </w:tc>
              <w:tc>
                <w:tcPr>
                  <w:tcW w:w="937" w:type="dxa"/>
                  <w:tcBorders>
                    <w:tl2br w:val="nil"/>
                    <w:tr2bl w:val="nil"/>
                  </w:tcBorders>
                  <w:vAlign w:val="center"/>
                </w:tcPr>
                <w:p>
                  <w:pPr>
                    <w:jc w:val="center"/>
                    <w:rPr>
                      <w:rFonts w:hint="eastAsia"/>
                      <w:color w:val="auto"/>
                      <w:lang w:val="en-US" w:eastAsia="zh-CN"/>
                    </w:rPr>
                  </w:pPr>
                  <w:r>
                    <w:rPr>
                      <w:rFonts w:hint="eastAsia"/>
                      <w:color w:val="auto"/>
                      <w:lang w:val="en-US" w:eastAsia="zh-CN"/>
                    </w:rPr>
                    <w:t>73</w:t>
                  </w:r>
                </w:p>
              </w:tc>
              <w:tc>
                <w:tcPr>
                  <w:tcW w:w="937" w:type="dxa"/>
                  <w:tcBorders>
                    <w:tl2br w:val="nil"/>
                    <w:tr2bl w:val="nil"/>
                  </w:tcBorders>
                  <w:vAlign w:val="center"/>
                </w:tcPr>
                <w:p>
                  <w:pPr>
                    <w:jc w:val="center"/>
                    <w:rPr>
                      <w:rFonts w:hint="eastAsia"/>
                      <w:color w:val="auto"/>
                      <w:lang w:val="en-US" w:eastAsia="zh-CN"/>
                    </w:rPr>
                  </w:pPr>
                  <w:r>
                    <w:rPr>
                      <w:rFonts w:hint="eastAsia"/>
                      <w:color w:val="auto"/>
                      <w:lang w:val="en-US" w:eastAsia="zh-CN"/>
                    </w:rPr>
                    <w:t>66.98</w:t>
                  </w:r>
                </w:p>
              </w:tc>
              <w:tc>
                <w:tcPr>
                  <w:tcW w:w="938" w:type="dxa"/>
                  <w:tcBorders>
                    <w:tl2br w:val="nil"/>
                    <w:tr2bl w:val="nil"/>
                  </w:tcBorders>
                  <w:vAlign w:val="center"/>
                </w:tcPr>
                <w:p>
                  <w:pPr>
                    <w:jc w:val="center"/>
                    <w:rPr>
                      <w:rFonts w:hint="eastAsia"/>
                      <w:color w:val="auto"/>
                      <w:lang w:val="en-US" w:eastAsia="zh-CN"/>
                    </w:rPr>
                  </w:pPr>
                  <w:r>
                    <w:rPr>
                      <w:rFonts w:hint="eastAsia"/>
                      <w:color w:val="auto"/>
                      <w:lang w:val="en-US" w:eastAsia="zh-CN"/>
                    </w:rPr>
                    <w:t>63.46</w:t>
                  </w:r>
                </w:p>
              </w:tc>
              <w:tc>
                <w:tcPr>
                  <w:tcW w:w="938" w:type="dxa"/>
                  <w:tcBorders>
                    <w:tl2br w:val="nil"/>
                    <w:tr2bl w:val="nil"/>
                  </w:tcBorders>
                  <w:vAlign w:val="center"/>
                </w:tcPr>
                <w:p>
                  <w:pPr>
                    <w:jc w:val="center"/>
                    <w:rPr>
                      <w:rFonts w:hint="eastAsia"/>
                      <w:color w:val="auto"/>
                      <w:lang w:val="en-US" w:eastAsia="zh-CN"/>
                    </w:rPr>
                  </w:pPr>
                  <w:r>
                    <w:rPr>
                      <w:rFonts w:hint="eastAsia"/>
                      <w:color w:val="auto"/>
                      <w:lang w:val="en-US" w:eastAsia="zh-CN"/>
                    </w:rPr>
                    <w:t>57.44</w:t>
                  </w:r>
                </w:p>
              </w:tc>
              <w:tc>
                <w:tcPr>
                  <w:tcW w:w="938" w:type="dxa"/>
                  <w:tcBorders>
                    <w:tl2br w:val="nil"/>
                    <w:tr2bl w:val="nil"/>
                  </w:tcBorders>
                  <w:vAlign w:val="center"/>
                </w:tcPr>
                <w:p>
                  <w:pPr>
                    <w:jc w:val="center"/>
                    <w:rPr>
                      <w:rFonts w:hint="eastAsia"/>
                      <w:color w:val="auto"/>
                      <w:lang w:val="en-US" w:eastAsia="zh-CN"/>
                    </w:rPr>
                  </w:pPr>
                  <w:r>
                    <w:rPr>
                      <w:rFonts w:hint="eastAsia"/>
                      <w:color w:val="auto"/>
                      <w:lang w:val="en-US" w:eastAsia="zh-CN"/>
                    </w:rPr>
                    <w:t>53</w:t>
                  </w:r>
                </w:p>
              </w:tc>
              <w:tc>
                <w:tcPr>
                  <w:tcW w:w="938" w:type="dxa"/>
                  <w:tcBorders>
                    <w:tl2br w:val="nil"/>
                    <w:tr2bl w:val="nil"/>
                  </w:tcBorders>
                  <w:vAlign w:val="center"/>
                </w:tcPr>
                <w:p>
                  <w:pPr>
                    <w:jc w:val="center"/>
                    <w:rPr>
                      <w:rFonts w:hint="eastAsia"/>
                      <w:color w:val="auto"/>
                      <w:lang w:val="en-US" w:eastAsia="zh-CN"/>
                    </w:rPr>
                  </w:pPr>
                  <w:r>
                    <w:rPr>
                      <w:rFonts w:hint="eastAsia"/>
                      <w:color w:val="auto"/>
                      <w:lang w:val="en-US" w:eastAsia="zh-CN"/>
                    </w:rPr>
                    <w:t>49.48</w:t>
                  </w:r>
                </w:p>
              </w:tc>
              <w:tc>
                <w:tcPr>
                  <w:tcW w:w="938" w:type="dxa"/>
                  <w:tcBorders>
                    <w:tl2br w:val="nil"/>
                    <w:tr2bl w:val="nil"/>
                  </w:tcBorders>
                  <w:vAlign w:val="center"/>
                </w:tcPr>
                <w:p>
                  <w:pPr>
                    <w:jc w:val="center"/>
                    <w:rPr>
                      <w:rFonts w:hint="eastAsia"/>
                      <w:color w:val="auto"/>
                      <w:lang w:val="en-US" w:eastAsia="zh-CN"/>
                    </w:rPr>
                  </w:pPr>
                  <w:r>
                    <w:rPr>
                      <w:rFonts w:hint="eastAsia"/>
                      <w:color w:val="auto"/>
                      <w:lang w:val="en-US" w:eastAsia="zh-CN"/>
                    </w:rPr>
                    <w:t>46.98</w:t>
                  </w:r>
                </w:p>
              </w:tc>
              <w:tc>
                <w:tcPr>
                  <w:tcW w:w="938" w:type="dxa"/>
                  <w:tcBorders>
                    <w:tl2br w:val="nil"/>
                    <w:tr2bl w:val="nil"/>
                  </w:tcBorders>
                  <w:vAlign w:val="center"/>
                </w:tcPr>
                <w:p>
                  <w:pPr>
                    <w:jc w:val="center"/>
                    <w:rPr>
                      <w:rFonts w:hint="eastAsia"/>
                      <w:color w:val="auto"/>
                      <w:lang w:val="en-US" w:eastAsia="zh-CN"/>
                    </w:rPr>
                  </w:pPr>
                  <w:r>
                    <w:rPr>
                      <w:rFonts w:hint="eastAsia"/>
                      <w:color w:val="auto"/>
                      <w:lang w:val="en-US" w:eastAsia="zh-CN"/>
                    </w:rPr>
                    <w:t>42.12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jc w:val="center"/>
              </w:trPr>
              <w:tc>
                <w:tcPr>
                  <w:tcW w:w="937" w:type="dxa"/>
                  <w:tcBorders>
                    <w:tl2br w:val="nil"/>
                    <w:tr2bl w:val="nil"/>
                  </w:tcBorders>
                  <w:vAlign w:val="center"/>
                </w:tcPr>
                <w:p>
                  <w:pPr>
                    <w:jc w:val="center"/>
                    <w:rPr>
                      <w:rFonts w:hint="eastAsia"/>
                      <w:color w:val="auto"/>
                      <w:lang w:val="en-US" w:eastAsia="zh-CN"/>
                    </w:rPr>
                  </w:pPr>
                  <w:r>
                    <w:rPr>
                      <w:rFonts w:hint="eastAsia"/>
                      <w:color w:val="auto"/>
                      <w:lang w:val="en-US" w:eastAsia="zh-CN"/>
                    </w:rPr>
                    <w:t>木工</w:t>
                  </w:r>
                </w:p>
                <w:p>
                  <w:pPr>
                    <w:jc w:val="center"/>
                    <w:rPr>
                      <w:rFonts w:hint="eastAsia"/>
                      <w:color w:val="auto"/>
                      <w:lang w:val="en-US" w:eastAsia="zh-CN"/>
                    </w:rPr>
                  </w:pPr>
                  <w:r>
                    <w:rPr>
                      <w:rFonts w:hint="eastAsia"/>
                      <w:color w:val="auto"/>
                      <w:lang w:val="en-US" w:eastAsia="zh-CN"/>
                    </w:rPr>
                    <w:t xml:space="preserve">机械 </w:t>
                  </w:r>
                </w:p>
              </w:tc>
              <w:tc>
                <w:tcPr>
                  <w:tcW w:w="937" w:type="dxa"/>
                  <w:tcBorders>
                    <w:tl2br w:val="nil"/>
                    <w:tr2bl w:val="nil"/>
                  </w:tcBorders>
                  <w:vAlign w:val="center"/>
                </w:tcPr>
                <w:p>
                  <w:pPr>
                    <w:jc w:val="center"/>
                    <w:rPr>
                      <w:rFonts w:hint="eastAsia"/>
                      <w:color w:val="auto"/>
                      <w:lang w:val="en-US" w:eastAsia="zh-CN"/>
                    </w:rPr>
                  </w:pPr>
                  <w:r>
                    <w:rPr>
                      <w:rFonts w:hint="eastAsia"/>
                      <w:color w:val="auto"/>
                      <w:lang w:val="en-US" w:eastAsia="zh-CN"/>
                    </w:rPr>
                    <w:t>99</w:t>
                  </w:r>
                </w:p>
              </w:tc>
              <w:tc>
                <w:tcPr>
                  <w:tcW w:w="937" w:type="dxa"/>
                  <w:tcBorders>
                    <w:tl2br w:val="nil"/>
                    <w:tr2bl w:val="nil"/>
                  </w:tcBorders>
                  <w:vAlign w:val="center"/>
                </w:tcPr>
                <w:p>
                  <w:pPr>
                    <w:jc w:val="center"/>
                    <w:rPr>
                      <w:rFonts w:hint="eastAsia"/>
                      <w:color w:val="auto"/>
                      <w:lang w:val="en-US" w:eastAsia="zh-CN"/>
                    </w:rPr>
                  </w:pPr>
                  <w:r>
                    <w:rPr>
                      <w:rFonts w:hint="eastAsia"/>
                      <w:color w:val="auto"/>
                      <w:lang w:val="en-US" w:eastAsia="zh-CN"/>
                    </w:rPr>
                    <w:t>79</w:t>
                  </w:r>
                </w:p>
              </w:tc>
              <w:tc>
                <w:tcPr>
                  <w:tcW w:w="937" w:type="dxa"/>
                  <w:tcBorders>
                    <w:tl2br w:val="nil"/>
                    <w:tr2bl w:val="nil"/>
                  </w:tcBorders>
                  <w:vAlign w:val="center"/>
                </w:tcPr>
                <w:p>
                  <w:pPr>
                    <w:jc w:val="center"/>
                    <w:rPr>
                      <w:rFonts w:hint="eastAsia"/>
                      <w:color w:val="auto"/>
                      <w:lang w:val="en-US" w:eastAsia="zh-CN"/>
                    </w:rPr>
                  </w:pPr>
                  <w:r>
                    <w:rPr>
                      <w:rFonts w:hint="eastAsia"/>
                      <w:color w:val="auto"/>
                      <w:lang w:val="en-US" w:eastAsia="zh-CN"/>
                    </w:rPr>
                    <w:t>72.98</w:t>
                  </w:r>
                </w:p>
              </w:tc>
              <w:tc>
                <w:tcPr>
                  <w:tcW w:w="938" w:type="dxa"/>
                  <w:tcBorders>
                    <w:tl2br w:val="nil"/>
                    <w:tr2bl w:val="nil"/>
                  </w:tcBorders>
                  <w:vAlign w:val="center"/>
                </w:tcPr>
                <w:p>
                  <w:pPr>
                    <w:jc w:val="center"/>
                    <w:rPr>
                      <w:rFonts w:hint="eastAsia"/>
                      <w:color w:val="auto"/>
                      <w:lang w:val="en-US" w:eastAsia="zh-CN"/>
                    </w:rPr>
                  </w:pPr>
                  <w:r>
                    <w:rPr>
                      <w:rFonts w:hint="eastAsia"/>
                      <w:color w:val="auto"/>
                      <w:lang w:val="en-US" w:eastAsia="zh-CN"/>
                    </w:rPr>
                    <w:t>69.46</w:t>
                  </w:r>
                </w:p>
              </w:tc>
              <w:tc>
                <w:tcPr>
                  <w:tcW w:w="938" w:type="dxa"/>
                  <w:tcBorders>
                    <w:tl2br w:val="nil"/>
                    <w:tr2bl w:val="nil"/>
                  </w:tcBorders>
                  <w:vAlign w:val="center"/>
                </w:tcPr>
                <w:p>
                  <w:pPr>
                    <w:jc w:val="center"/>
                    <w:rPr>
                      <w:rFonts w:hint="eastAsia"/>
                      <w:color w:val="auto"/>
                      <w:lang w:val="en-US" w:eastAsia="zh-CN"/>
                    </w:rPr>
                  </w:pPr>
                  <w:r>
                    <w:rPr>
                      <w:rFonts w:hint="eastAsia"/>
                      <w:color w:val="auto"/>
                      <w:lang w:val="en-US" w:eastAsia="zh-CN"/>
                    </w:rPr>
                    <w:t>64.44</w:t>
                  </w:r>
                </w:p>
              </w:tc>
              <w:tc>
                <w:tcPr>
                  <w:tcW w:w="938" w:type="dxa"/>
                  <w:tcBorders>
                    <w:tl2br w:val="nil"/>
                    <w:tr2bl w:val="nil"/>
                  </w:tcBorders>
                  <w:vAlign w:val="center"/>
                </w:tcPr>
                <w:p>
                  <w:pPr>
                    <w:jc w:val="center"/>
                    <w:rPr>
                      <w:rFonts w:hint="eastAsia"/>
                      <w:color w:val="auto"/>
                      <w:lang w:val="en-US" w:eastAsia="zh-CN"/>
                    </w:rPr>
                  </w:pPr>
                  <w:r>
                    <w:rPr>
                      <w:rFonts w:hint="eastAsia"/>
                      <w:color w:val="auto"/>
                      <w:lang w:val="en-US" w:eastAsia="zh-CN"/>
                    </w:rPr>
                    <w:t>59</w:t>
                  </w:r>
                </w:p>
              </w:tc>
              <w:tc>
                <w:tcPr>
                  <w:tcW w:w="938" w:type="dxa"/>
                  <w:tcBorders>
                    <w:tl2br w:val="nil"/>
                    <w:tr2bl w:val="nil"/>
                  </w:tcBorders>
                  <w:vAlign w:val="center"/>
                </w:tcPr>
                <w:p>
                  <w:pPr>
                    <w:jc w:val="center"/>
                    <w:rPr>
                      <w:rFonts w:hint="eastAsia"/>
                      <w:color w:val="auto"/>
                      <w:lang w:val="en-US" w:eastAsia="zh-CN"/>
                    </w:rPr>
                  </w:pPr>
                  <w:r>
                    <w:rPr>
                      <w:rFonts w:hint="eastAsia"/>
                      <w:color w:val="auto"/>
                      <w:lang w:val="en-US" w:eastAsia="zh-CN"/>
                    </w:rPr>
                    <w:t>55.48</w:t>
                  </w:r>
                </w:p>
              </w:tc>
              <w:tc>
                <w:tcPr>
                  <w:tcW w:w="938" w:type="dxa"/>
                  <w:tcBorders>
                    <w:tl2br w:val="nil"/>
                    <w:tr2bl w:val="nil"/>
                  </w:tcBorders>
                  <w:vAlign w:val="center"/>
                </w:tcPr>
                <w:p>
                  <w:pPr>
                    <w:jc w:val="center"/>
                    <w:rPr>
                      <w:rFonts w:hint="eastAsia"/>
                      <w:color w:val="auto"/>
                      <w:lang w:val="en-US" w:eastAsia="zh-CN"/>
                    </w:rPr>
                  </w:pPr>
                  <w:r>
                    <w:rPr>
                      <w:rFonts w:hint="eastAsia"/>
                      <w:color w:val="auto"/>
                      <w:lang w:val="en-US" w:eastAsia="zh-CN"/>
                    </w:rPr>
                    <w:t>52.98</w:t>
                  </w:r>
                </w:p>
              </w:tc>
              <w:tc>
                <w:tcPr>
                  <w:tcW w:w="938" w:type="dxa"/>
                  <w:tcBorders>
                    <w:tl2br w:val="nil"/>
                    <w:tr2bl w:val="nil"/>
                  </w:tcBorders>
                  <w:vAlign w:val="center"/>
                </w:tcPr>
                <w:p>
                  <w:pPr>
                    <w:jc w:val="center"/>
                    <w:rPr>
                      <w:rFonts w:hint="eastAsia"/>
                      <w:color w:val="auto"/>
                      <w:lang w:val="en-US" w:eastAsia="zh-CN"/>
                    </w:rPr>
                  </w:pPr>
                  <w:r>
                    <w:rPr>
                      <w:rFonts w:hint="eastAsia"/>
                      <w:color w:val="auto"/>
                      <w:lang w:val="en-US" w:eastAsia="zh-CN"/>
                    </w:rPr>
                    <w:t>48.12</w:t>
                  </w:r>
                </w:p>
              </w:tc>
            </w:tr>
          </w:tbl>
          <w:p>
            <w:pPr>
              <w:autoSpaceDE w:val="0"/>
              <w:autoSpaceDN w:val="0"/>
              <w:adjustRightInd w:val="0"/>
              <w:spacing w:line="360" w:lineRule="auto"/>
              <w:ind w:firstLine="482" w:firstLineChars="200"/>
              <w:rPr>
                <w:rFonts w:hint="eastAsia"/>
                <w:b/>
                <w:color w:val="auto"/>
                <w:sz w:val="24"/>
              </w:rPr>
            </w:pPr>
            <w:r>
              <w:rPr>
                <w:rFonts w:hint="eastAsia"/>
                <w:b/>
                <w:color w:val="auto"/>
                <w:sz w:val="24"/>
                <w:lang w:val="en-US" w:eastAsia="zh-CN"/>
              </w:rPr>
              <w:t>②</w:t>
            </w:r>
            <w:r>
              <w:rPr>
                <w:rFonts w:hint="eastAsia"/>
                <w:b/>
                <w:color w:val="auto"/>
                <w:sz w:val="24"/>
              </w:rPr>
              <w:t>施工场界排放达标情况分析</w:t>
            </w:r>
          </w:p>
          <w:p>
            <w:pPr>
              <w:spacing w:line="360" w:lineRule="auto"/>
              <w:ind w:firstLine="420" w:firstLineChars="175"/>
              <w:rPr>
                <w:rFonts w:hint="eastAsia"/>
                <w:color w:val="auto"/>
                <w:sz w:val="24"/>
              </w:rPr>
            </w:pPr>
            <w:r>
              <w:rPr>
                <w:rFonts w:hint="eastAsia"/>
                <w:color w:val="auto"/>
                <w:sz w:val="24"/>
                <w:lang w:val="en-US" w:eastAsia="zh-CN"/>
              </w:rPr>
              <w:t>a</w:t>
            </w:r>
            <w:r>
              <w:rPr>
                <w:rFonts w:hint="eastAsia"/>
                <w:color w:val="auto"/>
                <w:sz w:val="24"/>
              </w:rPr>
              <w:t>施工场界排放达标情况分析</w:t>
            </w:r>
          </w:p>
          <w:p>
            <w:pPr>
              <w:spacing w:line="360" w:lineRule="auto"/>
              <w:ind w:firstLine="420" w:firstLineChars="175"/>
              <w:rPr>
                <w:rFonts w:hint="eastAsia"/>
                <w:color w:val="auto"/>
                <w:sz w:val="24"/>
              </w:rPr>
            </w:pPr>
            <w:r>
              <w:rPr>
                <w:rFonts w:hint="eastAsia"/>
                <w:color w:val="auto"/>
                <w:sz w:val="24"/>
              </w:rPr>
              <w:t>根据表</w:t>
            </w:r>
            <w:r>
              <w:rPr>
                <w:rFonts w:hint="eastAsia"/>
                <w:color w:val="auto"/>
                <w:sz w:val="24"/>
                <w:lang w:val="en-US" w:eastAsia="zh-CN"/>
              </w:rPr>
              <w:t>21</w:t>
            </w:r>
            <w:r>
              <w:rPr>
                <w:rFonts w:hint="eastAsia"/>
                <w:color w:val="auto"/>
                <w:sz w:val="24"/>
              </w:rPr>
              <w:t>，各个施工机械在没有围墙阻隔时，昼间施工主要施工机械约需要经过20~100m的距离衰减后方可满足《建筑施工场界环境噪声排放标准》（GB12523-2011）昼间70dB（A）排放标准；夜间施工主要施工机械约需要经过60~150m的距离衰减后方可满足《建筑施工场界环境噪声排放标准》（GB12523-2011）夜间60dB（A）排放标准。</w:t>
            </w:r>
          </w:p>
          <w:p>
            <w:pPr>
              <w:spacing w:line="360" w:lineRule="auto"/>
              <w:ind w:firstLine="420" w:firstLineChars="175"/>
              <w:rPr>
                <w:rFonts w:hint="eastAsia"/>
                <w:color w:val="auto"/>
                <w:sz w:val="24"/>
              </w:rPr>
            </w:pPr>
            <w:r>
              <w:rPr>
                <w:rFonts w:hint="eastAsia"/>
                <w:color w:val="auto"/>
                <w:sz w:val="24"/>
                <w:lang w:val="en-US" w:eastAsia="zh-CN"/>
              </w:rPr>
              <w:t>b</w:t>
            </w:r>
            <w:r>
              <w:rPr>
                <w:rFonts w:hint="eastAsia"/>
                <w:color w:val="auto"/>
                <w:sz w:val="24"/>
              </w:rPr>
              <w:t>施工机械噪声对周边环境的影响</w:t>
            </w:r>
          </w:p>
          <w:p>
            <w:pPr>
              <w:spacing w:line="360" w:lineRule="auto"/>
              <w:ind w:firstLine="420" w:firstLineChars="175"/>
              <w:rPr>
                <w:rFonts w:hint="eastAsia"/>
                <w:color w:val="auto"/>
                <w:sz w:val="24"/>
              </w:rPr>
            </w:pPr>
            <w:r>
              <w:rPr>
                <w:rFonts w:hint="eastAsia"/>
                <w:color w:val="auto"/>
                <w:sz w:val="24"/>
              </w:rPr>
              <w:t>由表</w:t>
            </w:r>
            <w:r>
              <w:rPr>
                <w:rFonts w:hint="eastAsia"/>
                <w:color w:val="auto"/>
                <w:sz w:val="24"/>
                <w:lang w:val="en-US" w:eastAsia="zh-CN"/>
              </w:rPr>
              <w:t>21</w:t>
            </w:r>
            <w:r>
              <w:rPr>
                <w:rFonts w:hint="eastAsia"/>
                <w:color w:val="auto"/>
                <w:sz w:val="24"/>
              </w:rPr>
              <w:t>计算结果可知，昼间施工影响范围在150m左右，即距离施工机械150m范围内的受体将受到施工噪声较明显的影响。根据调查可知，距离本项目最近的敏感点为项目</w:t>
            </w:r>
            <w:r>
              <w:rPr>
                <w:rFonts w:hint="eastAsia"/>
                <w:color w:val="auto"/>
                <w:sz w:val="24"/>
                <w:lang w:val="en-US" w:eastAsia="zh-CN"/>
              </w:rPr>
              <w:t>东北</w:t>
            </w:r>
            <w:r>
              <w:rPr>
                <w:rFonts w:hint="eastAsia"/>
                <w:color w:val="auto"/>
                <w:sz w:val="24"/>
              </w:rPr>
              <w:t>侧</w:t>
            </w:r>
            <w:r>
              <w:rPr>
                <w:rFonts w:hint="eastAsia"/>
                <w:color w:val="auto"/>
                <w:sz w:val="24"/>
                <w:lang w:val="en-US" w:eastAsia="zh-CN"/>
              </w:rPr>
              <w:t>35</w:t>
            </w:r>
            <w:r>
              <w:rPr>
                <w:rFonts w:hint="eastAsia"/>
                <w:color w:val="auto"/>
                <w:sz w:val="24"/>
              </w:rPr>
              <w:t>m的</w:t>
            </w:r>
            <w:r>
              <w:rPr>
                <w:rFonts w:hint="eastAsia"/>
                <w:color w:val="auto"/>
                <w:sz w:val="24"/>
                <w:lang w:val="en-US" w:eastAsia="zh-CN"/>
              </w:rPr>
              <w:t>二杨庄</w:t>
            </w:r>
            <w:r>
              <w:rPr>
                <w:rFonts w:hint="eastAsia"/>
                <w:color w:val="auto"/>
                <w:sz w:val="24"/>
              </w:rPr>
              <w:t>村</w:t>
            </w:r>
            <w:r>
              <w:rPr>
                <w:rFonts w:hint="eastAsia"/>
                <w:color w:val="auto"/>
                <w:sz w:val="24"/>
                <w:lang w:eastAsia="zh-CN"/>
              </w:rPr>
              <w:t>、</w:t>
            </w:r>
            <w:r>
              <w:rPr>
                <w:rFonts w:hint="eastAsia"/>
                <w:color w:val="auto"/>
                <w:sz w:val="24"/>
                <w:lang w:val="en-US" w:eastAsia="zh-CN"/>
              </w:rPr>
              <w:t>东侧20m蒋刘中学</w:t>
            </w:r>
            <w:r>
              <w:rPr>
                <w:rFonts w:hint="eastAsia"/>
                <w:color w:val="auto"/>
                <w:sz w:val="24"/>
              </w:rPr>
              <w:t>将受到一定的影响。为降低项目施工期对周边居民的影响，环评建议建设单位优化施工机械布局，尽量避免高噪声设备同时施工，并采用移动式声屏障进行隔声，白天分时段施工，夜间禁止施工，最大程度上减少对周围环境的影响。</w:t>
            </w:r>
          </w:p>
          <w:p>
            <w:pPr>
              <w:autoSpaceDE w:val="0"/>
              <w:autoSpaceDN w:val="0"/>
              <w:adjustRightInd w:val="0"/>
              <w:spacing w:line="360" w:lineRule="auto"/>
              <w:ind w:firstLine="482" w:firstLineChars="200"/>
              <w:rPr>
                <w:b/>
                <w:color w:val="auto"/>
                <w:sz w:val="24"/>
              </w:rPr>
            </w:pPr>
            <w:r>
              <w:rPr>
                <w:b/>
                <w:color w:val="auto"/>
                <w:sz w:val="24"/>
              </w:rPr>
              <w:t>4、施工固废</w:t>
            </w:r>
          </w:p>
          <w:p>
            <w:pPr>
              <w:spacing w:line="360" w:lineRule="auto"/>
              <w:ind w:firstLine="420" w:firstLineChars="175"/>
              <w:rPr>
                <w:rFonts w:hint="eastAsia"/>
                <w:color w:val="auto"/>
                <w:sz w:val="24"/>
              </w:rPr>
            </w:pPr>
            <w:r>
              <w:rPr>
                <w:rFonts w:hint="eastAsia"/>
                <w:color w:val="auto"/>
                <w:sz w:val="24"/>
              </w:rPr>
              <w:t>施工期产生固体废物主要是施工工人的生活垃圾、建筑垃圾及施工过程中产生的土石方。</w:t>
            </w:r>
          </w:p>
          <w:p>
            <w:pPr>
              <w:spacing w:line="360" w:lineRule="auto"/>
              <w:ind w:firstLine="420" w:firstLineChars="175"/>
              <w:rPr>
                <w:rFonts w:hint="eastAsia"/>
                <w:color w:val="auto"/>
                <w:sz w:val="24"/>
              </w:rPr>
            </w:pPr>
            <w:r>
              <w:rPr>
                <w:rFonts w:hint="eastAsia"/>
                <w:color w:val="auto"/>
                <w:sz w:val="24"/>
              </w:rPr>
              <w:t>（1）生活垃圾</w:t>
            </w:r>
          </w:p>
          <w:p>
            <w:pPr>
              <w:spacing w:line="360" w:lineRule="auto"/>
              <w:ind w:firstLine="420" w:firstLineChars="175"/>
              <w:rPr>
                <w:rFonts w:hint="eastAsia"/>
                <w:color w:val="auto"/>
                <w:sz w:val="24"/>
              </w:rPr>
            </w:pPr>
            <w:r>
              <w:rPr>
                <w:rFonts w:hint="eastAsia"/>
                <w:color w:val="auto"/>
                <w:sz w:val="24"/>
                <w:lang w:val="en-US" w:eastAsia="zh-CN"/>
              </w:rPr>
              <w:t>施工人员</w:t>
            </w:r>
            <w:r>
              <w:rPr>
                <w:rFonts w:hint="eastAsia"/>
                <w:color w:val="auto"/>
                <w:sz w:val="24"/>
              </w:rPr>
              <w:t>生活垃圾</w:t>
            </w:r>
            <w:r>
              <w:rPr>
                <w:rFonts w:hint="eastAsia"/>
                <w:color w:val="auto"/>
                <w:sz w:val="24"/>
                <w:lang w:val="en-US" w:eastAsia="zh-CN"/>
              </w:rPr>
              <w:t>应设垃圾桶分类收集</w:t>
            </w:r>
            <w:r>
              <w:rPr>
                <w:rFonts w:hint="eastAsia"/>
                <w:color w:val="auto"/>
                <w:sz w:val="24"/>
              </w:rPr>
              <w:t>，由环卫部门定期集中收集处理。</w:t>
            </w:r>
          </w:p>
          <w:p>
            <w:pPr>
              <w:spacing w:line="360" w:lineRule="auto"/>
              <w:ind w:firstLine="420" w:firstLineChars="175"/>
              <w:rPr>
                <w:rFonts w:hint="eastAsia"/>
                <w:color w:val="auto"/>
                <w:sz w:val="24"/>
              </w:rPr>
            </w:pPr>
            <w:r>
              <w:rPr>
                <w:rFonts w:hint="eastAsia"/>
                <w:color w:val="auto"/>
                <w:sz w:val="24"/>
              </w:rPr>
              <w:t>（2）建筑垃圾</w:t>
            </w:r>
          </w:p>
          <w:p>
            <w:pPr>
              <w:spacing w:line="360" w:lineRule="auto"/>
              <w:ind w:firstLine="420" w:firstLineChars="175"/>
              <w:rPr>
                <w:rFonts w:hint="eastAsia"/>
                <w:color w:val="auto"/>
                <w:sz w:val="24"/>
              </w:rPr>
            </w:pPr>
            <w:r>
              <w:rPr>
                <w:rFonts w:hint="eastAsia"/>
                <w:color w:val="auto"/>
                <w:sz w:val="24"/>
              </w:rPr>
              <w:t>施工期建筑垃圾主要包括混凝土砂石、废砖断瓦、废玻璃、废木块、废水泥浇筑体等。</w:t>
            </w:r>
            <w:r>
              <w:rPr>
                <w:rFonts w:hint="eastAsia"/>
                <w:color w:val="auto"/>
                <w:sz w:val="24"/>
                <w:lang w:val="en-US" w:eastAsia="zh-CN"/>
              </w:rPr>
              <w:t>产生的</w:t>
            </w:r>
            <w:r>
              <w:rPr>
                <w:rFonts w:hint="eastAsia"/>
                <w:color w:val="auto"/>
                <w:sz w:val="24"/>
              </w:rPr>
              <w:t>建筑垃圾</w:t>
            </w:r>
            <w:r>
              <w:rPr>
                <w:rFonts w:hint="eastAsia"/>
                <w:color w:val="auto"/>
                <w:sz w:val="24"/>
                <w:lang w:val="en-US" w:eastAsia="zh-CN"/>
              </w:rPr>
              <w:t>应</w:t>
            </w:r>
            <w:r>
              <w:rPr>
                <w:rFonts w:hint="eastAsia"/>
                <w:color w:val="auto"/>
                <w:sz w:val="24"/>
              </w:rPr>
              <w:t>由具有相应资质的建筑垃圾清运部门运输车运送到指定的建筑垃圾专用处置场，不得随意堆放、抛弃，避免对周围环境造成不利影响；在运输过程中加盖篷布</w:t>
            </w:r>
            <w:r>
              <w:rPr>
                <w:rFonts w:hint="eastAsia"/>
                <w:color w:val="auto"/>
                <w:sz w:val="24"/>
                <w:lang w:eastAsia="zh-CN"/>
              </w:rPr>
              <w:t>，</w:t>
            </w:r>
            <w:r>
              <w:rPr>
                <w:rFonts w:hint="eastAsia"/>
                <w:color w:val="auto"/>
                <w:sz w:val="24"/>
              </w:rPr>
              <w:t>避免产生扬尘或洒落废料。</w:t>
            </w:r>
          </w:p>
          <w:p>
            <w:pPr>
              <w:spacing w:line="360" w:lineRule="auto"/>
              <w:ind w:firstLine="420" w:firstLineChars="175"/>
              <w:rPr>
                <w:rFonts w:hint="eastAsia"/>
                <w:color w:val="auto"/>
                <w:sz w:val="24"/>
                <w:lang w:val="en-US" w:eastAsia="zh-CN"/>
              </w:rPr>
            </w:pPr>
            <w:r>
              <w:rPr>
                <w:rFonts w:hint="eastAsia"/>
                <w:color w:val="auto"/>
                <w:sz w:val="24"/>
                <w:lang w:val="en-US" w:eastAsia="zh-CN"/>
              </w:rPr>
              <w:t>项目施工机械产生的废机油、装修期使用的涂料桶属于危险废物，环评要求施工单位应在施工营地内设置危废暂存间，将危险废物单独收集、分类存放，再委托有危废处理资质的单位收集处理。</w:t>
            </w:r>
          </w:p>
          <w:p>
            <w:pPr>
              <w:spacing w:line="360" w:lineRule="auto"/>
              <w:ind w:firstLine="420" w:firstLineChars="175"/>
              <w:rPr>
                <w:rFonts w:hint="eastAsia"/>
                <w:color w:val="auto"/>
                <w:sz w:val="24"/>
              </w:rPr>
            </w:pPr>
            <w:r>
              <w:rPr>
                <w:rFonts w:hint="eastAsia"/>
                <w:color w:val="auto"/>
                <w:sz w:val="24"/>
              </w:rPr>
              <w:t>（3）项目土石方平衡</w:t>
            </w:r>
          </w:p>
          <w:p>
            <w:pPr>
              <w:spacing w:line="360" w:lineRule="auto"/>
              <w:ind w:firstLine="420" w:firstLineChars="175"/>
              <w:rPr>
                <w:rFonts w:hint="eastAsia"/>
                <w:color w:val="auto"/>
                <w:sz w:val="24"/>
                <w:lang w:val="en-US" w:eastAsia="zh-CN"/>
              </w:rPr>
            </w:pPr>
            <w:r>
              <w:rPr>
                <w:rFonts w:hint="eastAsia"/>
                <w:color w:val="auto"/>
                <w:sz w:val="24"/>
              </w:rPr>
              <w:t>本项目挖填土石方主要产生于给排水</w:t>
            </w:r>
            <w:r>
              <w:rPr>
                <w:rFonts w:hint="eastAsia"/>
                <w:color w:val="auto"/>
                <w:sz w:val="24"/>
                <w:lang w:eastAsia="zh-CN"/>
              </w:rPr>
              <w:t>、</w:t>
            </w:r>
            <w:r>
              <w:rPr>
                <w:rFonts w:hint="eastAsia"/>
                <w:color w:val="auto"/>
                <w:sz w:val="24"/>
              </w:rPr>
              <w:t>电气管网及各单体</w:t>
            </w:r>
            <w:r>
              <w:rPr>
                <w:rFonts w:hint="eastAsia"/>
                <w:color w:val="auto"/>
                <w:sz w:val="24"/>
                <w:lang w:val="en-US" w:eastAsia="zh-CN"/>
              </w:rPr>
              <w:t>地下</w:t>
            </w:r>
            <w:r>
              <w:rPr>
                <w:rFonts w:hint="eastAsia"/>
                <w:color w:val="auto"/>
                <w:sz w:val="24"/>
              </w:rPr>
              <w:t>构筑物建设过程中。</w:t>
            </w:r>
            <w:r>
              <w:rPr>
                <w:rFonts w:hint="eastAsia"/>
                <w:color w:val="auto"/>
                <w:sz w:val="24"/>
                <w:lang w:val="en-US" w:eastAsia="zh-CN"/>
              </w:rPr>
              <w:t>由于项目区地势相对不平整，因此，根据建设方设计资料提供，土石方阶段产生的挖方除少量表土外，剩余可全部用于</w:t>
            </w:r>
            <w:r>
              <w:rPr>
                <w:rFonts w:hint="eastAsia"/>
                <w:color w:val="auto"/>
                <w:sz w:val="24"/>
              </w:rPr>
              <w:t>地面平整，地基回填等</w:t>
            </w:r>
            <w:r>
              <w:rPr>
                <w:rFonts w:hint="eastAsia"/>
                <w:color w:val="auto"/>
                <w:sz w:val="24"/>
                <w:lang w:eastAsia="zh-CN"/>
              </w:rPr>
              <w:t>，</w:t>
            </w:r>
            <w:r>
              <w:rPr>
                <w:rFonts w:hint="eastAsia"/>
                <w:color w:val="auto"/>
                <w:sz w:val="24"/>
                <w:lang w:val="en-US" w:eastAsia="zh-CN"/>
              </w:rPr>
              <w:t>上层少量表土临时堆存于园区内，且进行表面覆盖，用于后期绿化用土。</w:t>
            </w:r>
          </w:p>
          <w:p>
            <w:pPr>
              <w:spacing w:line="360" w:lineRule="auto"/>
              <w:ind w:firstLine="420" w:firstLineChars="175"/>
              <w:rPr>
                <w:rFonts w:hint="eastAsia"/>
                <w:color w:val="auto"/>
                <w:sz w:val="24"/>
              </w:rPr>
            </w:pPr>
            <w:r>
              <w:rPr>
                <w:rFonts w:hint="eastAsia"/>
                <w:color w:val="auto"/>
                <w:sz w:val="24"/>
              </w:rPr>
              <w:t>项目土石方平衡详见表</w:t>
            </w:r>
            <w:r>
              <w:rPr>
                <w:rFonts w:hint="eastAsia"/>
                <w:color w:val="auto"/>
                <w:sz w:val="24"/>
                <w:lang w:val="en-US" w:eastAsia="zh-CN"/>
              </w:rPr>
              <w:t>22</w:t>
            </w:r>
            <w:r>
              <w:rPr>
                <w:rFonts w:hint="eastAsia"/>
                <w:color w:val="auto"/>
                <w:sz w:val="24"/>
              </w:rPr>
              <w:t>。</w:t>
            </w:r>
          </w:p>
          <w:p>
            <w:pPr>
              <w:spacing w:line="360" w:lineRule="auto"/>
              <w:ind w:firstLine="420" w:firstLineChars="175"/>
              <w:rPr>
                <w:rFonts w:hint="eastAsia" w:eastAsia="黑体"/>
                <w:color w:val="auto"/>
                <w:sz w:val="24"/>
                <w:lang w:val="en-US" w:eastAsia="zh-CN"/>
              </w:rPr>
            </w:pPr>
            <w:r>
              <w:rPr>
                <w:rFonts w:hint="eastAsia"/>
                <w:color w:val="auto"/>
                <w:sz w:val="24"/>
                <w:lang w:val="en-US" w:eastAsia="zh-CN"/>
              </w:rPr>
              <w:t xml:space="preserve">                        </w:t>
            </w:r>
            <w:r>
              <w:rPr>
                <w:rFonts w:hint="eastAsia" w:eastAsia="黑体"/>
                <w:color w:val="auto"/>
                <w:sz w:val="24"/>
                <w:lang w:val="en-US" w:eastAsia="zh-CN"/>
              </w:rPr>
              <w:t>表22    土石方平衡一览表</w:t>
            </w:r>
          </w:p>
          <w:tbl>
            <w:tblPr>
              <w:tblStyle w:val="25"/>
              <w:tblW w:w="934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081"/>
              <w:gridCol w:w="791"/>
              <w:gridCol w:w="1348"/>
              <w:gridCol w:w="53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44" w:type="dxa"/>
                  <w:tcBorders>
                    <w:tl2br w:val="nil"/>
                    <w:tr2bl w:val="nil"/>
                  </w:tcBorders>
                  <w:vAlign w:val="center"/>
                </w:tcPr>
                <w:p>
                  <w:pPr>
                    <w:widowControl w:val="0"/>
                    <w:topLinePunct/>
                    <w:spacing w:line="240" w:lineRule="exact"/>
                    <w:jc w:val="center"/>
                    <w:textAlignment w:val="baseline"/>
                    <w:rPr>
                      <w:rFonts w:hint="eastAsia" w:ascii="Times New Roman" w:hAnsi="Times New Roman" w:cs="Times New Roman"/>
                      <w:color w:val="auto"/>
                      <w:kern w:val="2"/>
                      <w:sz w:val="21"/>
                      <w:szCs w:val="21"/>
                      <w:lang w:val="en-US" w:eastAsia="zh-CN"/>
                    </w:rPr>
                  </w:pPr>
                  <w:r>
                    <w:rPr>
                      <w:rFonts w:hint="eastAsia" w:ascii="Times New Roman" w:hAnsi="Times New Roman" w:cs="Times New Roman"/>
                      <w:color w:val="auto"/>
                      <w:kern w:val="2"/>
                      <w:sz w:val="21"/>
                      <w:szCs w:val="21"/>
                      <w:lang w:val="en-US" w:eastAsia="zh-CN"/>
                    </w:rPr>
                    <w:t>序号</w:t>
                  </w:r>
                </w:p>
              </w:tc>
              <w:tc>
                <w:tcPr>
                  <w:tcW w:w="1081" w:type="dxa"/>
                  <w:tcBorders>
                    <w:tl2br w:val="nil"/>
                    <w:tr2bl w:val="nil"/>
                  </w:tcBorders>
                  <w:vAlign w:val="center"/>
                </w:tcPr>
                <w:p>
                  <w:pPr>
                    <w:widowControl w:val="0"/>
                    <w:topLinePunct/>
                    <w:spacing w:line="240" w:lineRule="exact"/>
                    <w:jc w:val="center"/>
                    <w:textAlignment w:val="baseline"/>
                    <w:rPr>
                      <w:rFonts w:hint="eastAsia" w:ascii="Times New Roman" w:hAnsi="Times New Roman" w:cs="Times New Roman"/>
                      <w:color w:val="auto"/>
                      <w:kern w:val="2"/>
                      <w:sz w:val="21"/>
                      <w:szCs w:val="21"/>
                      <w:lang w:val="en-US" w:eastAsia="zh-CN"/>
                    </w:rPr>
                  </w:pPr>
                  <w:r>
                    <w:rPr>
                      <w:rFonts w:hint="eastAsia" w:ascii="Times New Roman" w:hAnsi="Times New Roman" w:cs="Times New Roman"/>
                      <w:color w:val="auto"/>
                      <w:kern w:val="2"/>
                      <w:sz w:val="21"/>
                      <w:szCs w:val="21"/>
                      <w:lang w:val="en-US" w:eastAsia="zh-CN"/>
                    </w:rPr>
                    <w:t>项目</w:t>
                  </w:r>
                </w:p>
              </w:tc>
              <w:tc>
                <w:tcPr>
                  <w:tcW w:w="791" w:type="dxa"/>
                  <w:tcBorders>
                    <w:tl2br w:val="nil"/>
                    <w:tr2bl w:val="nil"/>
                  </w:tcBorders>
                  <w:vAlign w:val="center"/>
                </w:tcPr>
                <w:p>
                  <w:pPr>
                    <w:widowControl w:val="0"/>
                    <w:topLinePunct/>
                    <w:spacing w:line="240" w:lineRule="exact"/>
                    <w:jc w:val="center"/>
                    <w:textAlignment w:val="baseline"/>
                    <w:rPr>
                      <w:rFonts w:hint="eastAsia" w:ascii="Times New Roman" w:hAnsi="Times New Roman" w:cs="Times New Roman"/>
                      <w:color w:val="auto"/>
                      <w:kern w:val="2"/>
                      <w:sz w:val="21"/>
                      <w:szCs w:val="21"/>
                      <w:lang w:val="en-US" w:eastAsia="zh-CN"/>
                    </w:rPr>
                  </w:pPr>
                  <w:r>
                    <w:rPr>
                      <w:rFonts w:hint="eastAsia" w:ascii="Times New Roman" w:hAnsi="Times New Roman" w:cs="Times New Roman"/>
                      <w:color w:val="auto"/>
                      <w:kern w:val="2"/>
                      <w:sz w:val="21"/>
                      <w:szCs w:val="21"/>
                      <w:lang w:val="en-US" w:eastAsia="zh-CN"/>
                    </w:rPr>
                    <w:t>单位</w:t>
                  </w:r>
                </w:p>
              </w:tc>
              <w:tc>
                <w:tcPr>
                  <w:tcW w:w="1348" w:type="dxa"/>
                  <w:tcBorders>
                    <w:tl2br w:val="nil"/>
                    <w:tr2bl w:val="nil"/>
                  </w:tcBorders>
                  <w:vAlign w:val="center"/>
                </w:tcPr>
                <w:p>
                  <w:pPr>
                    <w:widowControl w:val="0"/>
                    <w:topLinePunct/>
                    <w:spacing w:line="240" w:lineRule="exact"/>
                    <w:jc w:val="center"/>
                    <w:textAlignment w:val="baseline"/>
                    <w:rPr>
                      <w:rFonts w:hint="eastAsia" w:ascii="Times New Roman" w:hAnsi="Times New Roman" w:cs="Times New Roman"/>
                      <w:color w:val="auto"/>
                      <w:kern w:val="2"/>
                      <w:sz w:val="21"/>
                      <w:szCs w:val="21"/>
                      <w:lang w:val="en-US" w:eastAsia="zh-CN"/>
                    </w:rPr>
                  </w:pPr>
                  <w:r>
                    <w:rPr>
                      <w:rFonts w:hint="eastAsia" w:ascii="Times New Roman" w:hAnsi="Times New Roman" w:cs="Times New Roman"/>
                      <w:color w:val="auto"/>
                      <w:kern w:val="2"/>
                      <w:sz w:val="21"/>
                      <w:szCs w:val="21"/>
                      <w:lang w:val="en-US" w:eastAsia="zh-CN"/>
                    </w:rPr>
                    <w:t>规模</w:t>
                  </w:r>
                </w:p>
              </w:tc>
              <w:tc>
                <w:tcPr>
                  <w:tcW w:w="5382" w:type="dxa"/>
                  <w:tcBorders>
                    <w:tl2br w:val="nil"/>
                    <w:tr2bl w:val="nil"/>
                  </w:tcBorders>
                  <w:vAlign w:val="center"/>
                </w:tcPr>
                <w:p>
                  <w:pPr>
                    <w:widowControl w:val="0"/>
                    <w:topLinePunct/>
                    <w:spacing w:line="240" w:lineRule="exact"/>
                    <w:jc w:val="center"/>
                    <w:textAlignment w:val="baseline"/>
                    <w:rPr>
                      <w:rFonts w:hint="eastAsia" w:ascii="Times New Roman" w:hAnsi="Times New Roman" w:cs="Times New Roman"/>
                      <w:color w:val="auto"/>
                      <w:kern w:val="2"/>
                      <w:sz w:val="21"/>
                      <w:szCs w:val="21"/>
                      <w:lang w:val="en-US" w:eastAsia="zh-CN"/>
                    </w:rPr>
                  </w:pPr>
                  <w:r>
                    <w:rPr>
                      <w:rFonts w:hint="eastAsia" w:ascii="Times New Roman" w:hAnsi="Times New Roman" w:cs="Times New Roman"/>
                      <w:color w:val="auto"/>
                      <w:kern w:val="2"/>
                      <w:sz w:val="21"/>
                      <w:szCs w:val="21"/>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744" w:type="dxa"/>
                  <w:tcBorders>
                    <w:tl2br w:val="nil"/>
                    <w:tr2bl w:val="nil"/>
                  </w:tcBorders>
                  <w:vAlign w:val="center"/>
                </w:tcPr>
                <w:p>
                  <w:pPr>
                    <w:widowControl w:val="0"/>
                    <w:topLinePunct/>
                    <w:spacing w:line="240" w:lineRule="exact"/>
                    <w:jc w:val="center"/>
                    <w:textAlignment w:val="baseline"/>
                    <w:rPr>
                      <w:rFonts w:hint="eastAsia" w:ascii="Times New Roman" w:hAnsi="Times New Roman" w:cs="Times New Roman"/>
                      <w:color w:val="auto"/>
                      <w:kern w:val="2"/>
                      <w:sz w:val="21"/>
                      <w:szCs w:val="21"/>
                      <w:lang w:val="en-US" w:eastAsia="zh-CN"/>
                    </w:rPr>
                  </w:pPr>
                  <w:r>
                    <w:rPr>
                      <w:rFonts w:hint="eastAsia" w:ascii="Times New Roman" w:hAnsi="Times New Roman" w:cs="Times New Roman"/>
                      <w:color w:val="auto"/>
                      <w:kern w:val="2"/>
                      <w:sz w:val="21"/>
                      <w:szCs w:val="21"/>
                      <w:lang w:val="en-US" w:eastAsia="zh-CN"/>
                    </w:rPr>
                    <w:t>1</w:t>
                  </w:r>
                </w:p>
              </w:tc>
              <w:tc>
                <w:tcPr>
                  <w:tcW w:w="1081" w:type="dxa"/>
                  <w:tcBorders>
                    <w:tl2br w:val="nil"/>
                    <w:tr2bl w:val="nil"/>
                  </w:tcBorders>
                  <w:vAlign w:val="center"/>
                </w:tcPr>
                <w:p>
                  <w:pPr>
                    <w:widowControl w:val="0"/>
                    <w:topLinePunct/>
                    <w:spacing w:line="240" w:lineRule="exact"/>
                    <w:jc w:val="center"/>
                    <w:textAlignment w:val="baseline"/>
                    <w:rPr>
                      <w:rFonts w:hint="eastAsia" w:ascii="Times New Roman" w:hAnsi="Times New Roman" w:cs="Times New Roman"/>
                      <w:color w:val="auto"/>
                      <w:kern w:val="2"/>
                      <w:sz w:val="21"/>
                      <w:szCs w:val="21"/>
                      <w:lang w:val="en-US" w:eastAsia="zh-CN"/>
                    </w:rPr>
                  </w:pPr>
                  <w:r>
                    <w:rPr>
                      <w:rFonts w:hint="eastAsia" w:ascii="Times New Roman" w:hAnsi="Times New Roman" w:cs="Times New Roman"/>
                      <w:color w:val="auto"/>
                      <w:kern w:val="2"/>
                      <w:sz w:val="21"/>
                      <w:szCs w:val="21"/>
                      <w:lang w:val="en-US" w:eastAsia="zh-CN"/>
                    </w:rPr>
                    <w:t>挖方量</w:t>
                  </w:r>
                </w:p>
              </w:tc>
              <w:tc>
                <w:tcPr>
                  <w:tcW w:w="791" w:type="dxa"/>
                  <w:tcBorders>
                    <w:tl2br w:val="nil"/>
                    <w:tr2bl w:val="nil"/>
                  </w:tcBorders>
                  <w:vAlign w:val="center"/>
                </w:tcPr>
                <w:p>
                  <w:pPr>
                    <w:widowControl w:val="0"/>
                    <w:topLinePunct/>
                    <w:spacing w:line="240" w:lineRule="exact"/>
                    <w:jc w:val="center"/>
                    <w:textAlignment w:val="baseline"/>
                    <w:rPr>
                      <w:rFonts w:hint="eastAsia" w:ascii="Times New Roman" w:hAnsi="Times New Roman" w:cs="Times New Roman"/>
                      <w:color w:val="auto"/>
                      <w:kern w:val="2"/>
                      <w:sz w:val="21"/>
                      <w:szCs w:val="21"/>
                      <w:lang w:val="en-US" w:eastAsia="zh-CN"/>
                    </w:rPr>
                  </w:pPr>
                  <w:r>
                    <w:rPr>
                      <w:rFonts w:hint="eastAsia" w:ascii="Times New Roman" w:hAnsi="Times New Roman" w:cs="Times New Roman"/>
                      <w:color w:val="auto"/>
                      <w:kern w:val="2"/>
                      <w:sz w:val="21"/>
                      <w:szCs w:val="21"/>
                      <w:lang w:val="en-US" w:eastAsia="zh-CN"/>
                    </w:rPr>
                    <w:t>m</w:t>
                  </w:r>
                  <w:r>
                    <w:rPr>
                      <w:rFonts w:hint="eastAsia" w:ascii="Times New Roman" w:hAnsi="Times New Roman" w:cs="Times New Roman"/>
                      <w:color w:val="auto"/>
                      <w:kern w:val="2"/>
                      <w:sz w:val="21"/>
                      <w:szCs w:val="21"/>
                      <w:vertAlign w:val="superscript"/>
                      <w:lang w:val="en-US" w:eastAsia="zh-CN"/>
                    </w:rPr>
                    <w:t>3</w:t>
                  </w:r>
                </w:p>
              </w:tc>
              <w:tc>
                <w:tcPr>
                  <w:tcW w:w="1348" w:type="dxa"/>
                  <w:tcBorders>
                    <w:tl2br w:val="nil"/>
                    <w:tr2bl w:val="nil"/>
                  </w:tcBorders>
                  <w:vAlign w:val="center"/>
                </w:tcPr>
                <w:p>
                  <w:pPr>
                    <w:widowControl w:val="0"/>
                    <w:topLinePunct/>
                    <w:spacing w:line="240" w:lineRule="exact"/>
                    <w:jc w:val="center"/>
                    <w:textAlignment w:val="baseline"/>
                    <w:rPr>
                      <w:rFonts w:hint="eastAsia" w:ascii="Times New Roman" w:hAnsi="Times New Roman" w:eastAsia="宋体" w:cs="Times New Roman"/>
                      <w:color w:val="auto"/>
                      <w:kern w:val="2"/>
                      <w:sz w:val="21"/>
                      <w:szCs w:val="21"/>
                      <w:lang w:val="en-US" w:eastAsia="zh-CN"/>
                    </w:rPr>
                  </w:pPr>
                  <w:r>
                    <w:rPr>
                      <w:rFonts w:hint="eastAsia" w:cs="Times New Roman"/>
                      <w:color w:val="auto"/>
                      <w:kern w:val="2"/>
                      <w:sz w:val="21"/>
                      <w:szCs w:val="21"/>
                      <w:lang w:val="en-US" w:eastAsia="zh-CN"/>
                    </w:rPr>
                    <w:t>800</w:t>
                  </w:r>
                </w:p>
              </w:tc>
              <w:tc>
                <w:tcPr>
                  <w:tcW w:w="5382" w:type="dxa"/>
                  <w:tcBorders>
                    <w:tl2br w:val="nil"/>
                    <w:tr2bl w:val="nil"/>
                  </w:tcBorders>
                  <w:vAlign w:val="center"/>
                </w:tcPr>
                <w:p>
                  <w:pPr>
                    <w:widowControl w:val="0"/>
                    <w:topLinePunct/>
                    <w:spacing w:line="240" w:lineRule="exact"/>
                    <w:jc w:val="center"/>
                    <w:textAlignment w:val="baseline"/>
                    <w:rPr>
                      <w:rFonts w:hint="eastAsia" w:ascii="Times New Roman" w:hAnsi="Times New Roman" w:cs="Times New Roman"/>
                      <w:color w:val="auto"/>
                      <w:kern w:val="2"/>
                      <w:sz w:val="21"/>
                      <w:szCs w:val="21"/>
                    </w:rPr>
                  </w:pPr>
                  <w:r>
                    <w:rPr>
                      <w:rFonts w:hint="eastAsia" w:ascii="Times New Roman" w:hAnsi="Times New Roman" w:cs="Times New Roman"/>
                      <w:color w:val="auto"/>
                      <w:kern w:val="2"/>
                      <w:sz w:val="21"/>
                      <w:szCs w:val="21"/>
                    </w:rPr>
                    <w:t>给排水管网、电气管网及各单体构筑物地基开挖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trPr>
              <w:tc>
                <w:tcPr>
                  <w:tcW w:w="744" w:type="dxa"/>
                  <w:tcBorders>
                    <w:tl2br w:val="nil"/>
                    <w:tr2bl w:val="nil"/>
                  </w:tcBorders>
                  <w:vAlign w:val="center"/>
                </w:tcPr>
                <w:p>
                  <w:pPr>
                    <w:widowControl w:val="0"/>
                    <w:topLinePunct/>
                    <w:spacing w:line="240" w:lineRule="exact"/>
                    <w:jc w:val="center"/>
                    <w:textAlignment w:val="baseline"/>
                    <w:rPr>
                      <w:rFonts w:hint="eastAsia" w:ascii="Times New Roman" w:hAnsi="Times New Roman" w:cs="Times New Roman"/>
                      <w:color w:val="auto"/>
                      <w:kern w:val="2"/>
                      <w:sz w:val="21"/>
                      <w:szCs w:val="21"/>
                      <w:lang w:val="en-US" w:eastAsia="zh-CN"/>
                    </w:rPr>
                  </w:pPr>
                  <w:r>
                    <w:rPr>
                      <w:rFonts w:hint="eastAsia" w:ascii="Times New Roman" w:hAnsi="Times New Roman" w:cs="Times New Roman"/>
                      <w:color w:val="auto"/>
                      <w:kern w:val="2"/>
                      <w:sz w:val="21"/>
                      <w:szCs w:val="21"/>
                      <w:lang w:val="en-US" w:eastAsia="zh-CN"/>
                    </w:rPr>
                    <w:t>2</w:t>
                  </w:r>
                </w:p>
              </w:tc>
              <w:tc>
                <w:tcPr>
                  <w:tcW w:w="1081" w:type="dxa"/>
                  <w:tcBorders>
                    <w:tl2br w:val="nil"/>
                    <w:tr2bl w:val="nil"/>
                  </w:tcBorders>
                  <w:vAlign w:val="center"/>
                </w:tcPr>
                <w:p>
                  <w:pPr>
                    <w:widowControl w:val="0"/>
                    <w:topLinePunct/>
                    <w:spacing w:line="240" w:lineRule="exact"/>
                    <w:jc w:val="center"/>
                    <w:textAlignment w:val="baseline"/>
                    <w:rPr>
                      <w:rFonts w:hint="eastAsia" w:ascii="Times New Roman" w:hAnsi="Times New Roman" w:cs="Times New Roman"/>
                      <w:color w:val="auto"/>
                      <w:kern w:val="2"/>
                      <w:sz w:val="21"/>
                      <w:szCs w:val="21"/>
                      <w:lang w:val="en-US" w:eastAsia="zh-CN"/>
                    </w:rPr>
                  </w:pPr>
                  <w:r>
                    <w:rPr>
                      <w:rFonts w:hint="eastAsia" w:ascii="Times New Roman" w:hAnsi="Times New Roman" w:cs="Times New Roman"/>
                      <w:color w:val="auto"/>
                      <w:kern w:val="2"/>
                      <w:sz w:val="21"/>
                      <w:szCs w:val="21"/>
                      <w:lang w:val="en-US" w:eastAsia="zh-CN"/>
                    </w:rPr>
                    <w:t>填方量</w:t>
                  </w:r>
                </w:p>
              </w:tc>
              <w:tc>
                <w:tcPr>
                  <w:tcW w:w="791" w:type="dxa"/>
                  <w:tcBorders>
                    <w:tl2br w:val="nil"/>
                    <w:tr2bl w:val="nil"/>
                  </w:tcBorders>
                  <w:vAlign w:val="center"/>
                </w:tcPr>
                <w:p>
                  <w:pPr>
                    <w:widowControl w:val="0"/>
                    <w:topLinePunct/>
                    <w:spacing w:line="240" w:lineRule="exact"/>
                    <w:jc w:val="center"/>
                    <w:textAlignment w:val="baseline"/>
                    <w:rPr>
                      <w:rFonts w:hint="eastAsia" w:ascii="Times New Roman" w:hAnsi="Times New Roman" w:cs="Times New Roman"/>
                      <w:color w:val="auto"/>
                      <w:kern w:val="2"/>
                      <w:sz w:val="21"/>
                      <w:szCs w:val="21"/>
                      <w:lang w:val="en-US" w:eastAsia="zh-CN"/>
                    </w:rPr>
                  </w:pPr>
                  <w:r>
                    <w:rPr>
                      <w:rFonts w:hint="eastAsia" w:ascii="Times New Roman" w:hAnsi="Times New Roman" w:cs="Times New Roman"/>
                      <w:color w:val="auto"/>
                      <w:kern w:val="2"/>
                      <w:sz w:val="21"/>
                      <w:szCs w:val="21"/>
                      <w:lang w:val="en-US" w:eastAsia="zh-CN"/>
                    </w:rPr>
                    <w:t>m</w:t>
                  </w:r>
                  <w:r>
                    <w:rPr>
                      <w:rFonts w:hint="eastAsia" w:ascii="Times New Roman" w:hAnsi="Times New Roman" w:cs="Times New Roman"/>
                      <w:color w:val="auto"/>
                      <w:kern w:val="2"/>
                      <w:sz w:val="21"/>
                      <w:szCs w:val="21"/>
                      <w:vertAlign w:val="superscript"/>
                      <w:lang w:val="en-US" w:eastAsia="zh-CN"/>
                    </w:rPr>
                    <w:t>3</w:t>
                  </w:r>
                </w:p>
              </w:tc>
              <w:tc>
                <w:tcPr>
                  <w:tcW w:w="1348" w:type="dxa"/>
                  <w:tcBorders>
                    <w:tl2br w:val="nil"/>
                    <w:tr2bl w:val="nil"/>
                  </w:tcBorders>
                  <w:vAlign w:val="center"/>
                </w:tcPr>
                <w:p>
                  <w:pPr>
                    <w:widowControl w:val="0"/>
                    <w:topLinePunct/>
                    <w:spacing w:line="240" w:lineRule="exact"/>
                    <w:jc w:val="center"/>
                    <w:textAlignment w:val="baseline"/>
                    <w:rPr>
                      <w:rFonts w:hint="eastAsia" w:ascii="Times New Roman" w:hAnsi="Times New Roman" w:eastAsia="宋体" w:cs="Times New Roman"/>
                      <w:color w:val="auto"/>
                      <w:kern w:val="2"/>
                      <w:sz w:val="21"/>
                      <w:szCs w:val="21"/>
                      <w:lang w:val="en-US" w:eastAsia="zh-CN"/>
                    </w:rPr>
                  </w:pPr>
                  <w:r>
                    <w:rPr>
                      <w:rFonts w:hint="eastAsia" w:cs="Times New Roman"/>
                      <w:color w:val="auto"/>
                      <w:kern w:val="2"/>
                      <w:sz w:val="21"/>
                      <w:szCs w:val="21"/>
                      <w:lang w:val="en-US" w:eastAsia="zh-CN"/>
                    </w:rPr>
                    <w:t>780</w:t>
                  </w:r>
                </w:p>
              </w:tc>
              <w:tc>
                <w:tcPr>
                  <w:tcW w:w="5382" w:type="dxa"/>
                  <w:tcBorders>
                    <w:tl2br w:val="nil"/>
                    <w:tr2bl w:val="nil"/>
                  </w:tcBorders>
                  <w:vAlign w:val="center"/>
                </w:tcPr>
                <w:p>
                  <w:pPr>
                    <w:widowControl w:val="0"/>
                    <w:topLinePunct/>
                    <w:spacing w:line="240" w:lineRule="exact"/>
                    <w:jc w:val="center"/>
                    <w:textAlignment w:val="baseline"/>
                    <w:rPr>
                      <w:rFonts w:hint="eastAsia" w:ascii="Times New Roman" w:hAnsi="Times New Roman" w:cs="Times New Roman"/>
                      <w:color w:val="auto"/>
                      <w:kern w:val="2"/>
                      <w:sz w:val="21"/>
                      <w:szCs w:val="21"/>
                    </w:rPr>
                  </w:pPr>
                  <w:r>
                    <w:rPr>
                      <w:rFonts w:hint="eastAsia" w:ascii="Times New Roman" w:hAnsi="Times New Roman" w:cs="Times New Roman"/>
                      <w:color w:val="auto"/>
                      <w:kern w:val="2"/>
                      <w:sz w:val="21"/>
                      <w:szCs w:val="21"/>
                    </w:rPr>
                    <w:t>地面平整，地基回填等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trPr>
              <w:tc>
                <w:tcPr>
                  <w:tcW w:w="744" w:type="dxa"/>
                  <w:tcBorders>
                    <w:tl2br w:val="nil"/>
                    <w:tr2bl w:val="nil"/>
                  </w:tcBorders>
                  <w:vAlign w:val="center"/>
                </w:tcPr>
                <w:p>
                  <w:pPr>
                    <w:widowControl w:val="0"/>
                    <w:topLinePunct/>
                    <w:spacing w:line="240" w:lineRule="exact"/>
                    <w:jc w:val="center"/>
                    <w:textAlignment w:val="baseline"/>
                    <w:rPr>
                      <w:rFonts w:hint="eastAsia" w:ascii="Times New Roman" w:hAnsi="Times New Roman" w:cs="Times New Roman"/>
                      <w:color w:val="auto"/>
                      <w:kern w:val="2"/>
                      <w:sz w:val="21"/>
                      <w:szCs w:val="21"/>
                      <w:lang w:val="en-US" w:eastAsia="zh-CN"/>
                    </w:rPr>
                  </w:pPr>
                  <w:r>
                    <w:rPr>
                      <w:rFonts w:hint="eastAsia" w:cs="Times New Roman"/>
                      <w:color w:val="auto"/>
                      <w:kern w:val="2"/>
                      <w:sz w:val="21"/>
                      <w:szCs w:val="21"/>
                      <w:lang w:val="en-US" w:eastAsia="zh-CN"/>
                    </w:rPr>
                    <w:t>3</w:t>
                  </w:r>
                </w:p>
              </w:tc>
              <w:tc>
                <w:tcPr>
                  <w:tcW w:w="1081" w:type="dxa"/>
                  <w:tcBorders>
                    <w:tl2br w:val="nil"/>
                    <w:tr2bl w:val="nil"/>
                  </w:tcBorders>
                  <w:vAlign w:val="center"/>
                </w:tcPr>
                <w:p>
                  <w:pPr>
                    <w:widowControl w:val="0"/>
                    <w:topLinePunct/>
                    <w:spacing w:line="240" w:lineRule="exact"/>
                    <w:jc w:val="center"/>
                    <w:textAlignment w:val="baseline"/>
                    <w:rPr>
                      <w:rFonts w:hint="eastAsia" w:ascii="Times New Roman" w:hAnsi="Times New Roman" w:cs="Times New Roman"/>
                      <w:color w:val="auto"/>
                      <w:kern w:val="2"/>
                      <w:sz w:val="21"/>
                      <w:szCs w:val="21"/>
                      <w:lang w:val="en-US" w:eastAsia="zh-CN"/>
                    </w:rPr>
                  </w:pPr>
                  <w:r>
                    <w:rPr>
                      <w:rFonts w:hint="eastAsia" w:cs="Times New Roman"/>
                      <w:color w:val="auto"/>
                      <w:kern w:val="2"/>
                      <w:sz w:val="21"/>
                      <w:szCs w:val="21"/>
                      <w:lang w:val="en-US" w:eastAsia="zh-CN"/>
                    </w:rPr>
                    <w:t>剩余方</w:t>
                  </w:r>
                </w:p>
              </w:tc>
              <w:tc>
                <w:tcPr>
                  <w:tcW w:w="791" w:type="dxa"/>
                  <w:tcBorders>
                    <w:tl2br w:val="nil"/>
                    <w:tr2bl w:val="nil"/>
                  </w:tcBorders>
                  <w:vAlign w:val="center"/>
                </w:tcPr>
                <w:p>
                  <w:pPr>
                    <w:widowControl w:val="0"/>
                    <w:topLinePunct/>
                    <w:spacing w:line="240" w:lineRule="exact"/>
                    <w:jc w:val="center"/>
                    <w:textAlignment w:val="baseline"/>
                    <w:rPr>
                      <w:rFonts w:hint="eastAsia" w:ascii="Times New Roman" w:hAnsi="Times New Roman" w:cs="Times New Roman"/>
                      <w:color w:val="auto"/>
                      <w:kern w:val="2"/>
                      <w:sz w:val="21"/>
                      <w:szCs w:val="21"/>
                      <w:lang w:val="en-US" w:eastAsia="zh-CN"/>
                    </w:rPr>
                  </w:pPr>
                  <w:r>
                    <w:rPr>
                      <w:rFonts w:hint="eastAsia" w:cs="Times New Roman"/>
                      <w:color w:val="auto"/>
                      <w:kern w:val="2"/>
                      <w:sz w:val="21"/>
                      <w:szCs w:val="21"/>
                      <w:lang w:val="en-US" w:eastAsia="zh-CN"/>
                    </w:rPr>
                    <w:t>m</w:t>
                  </w:r>
                  <w:r>
                    <w:rPr>
                      <w:rFonts w:hint="eastAsia" w:cs="Times New Roman"/>
                      <w:color w:val="auto"/>
                      <w:kern w:val="2"/>
                      <w:sz w:val="21"/>
                      <w:szCs w:val="21"/>
                      <w:vertAlign w:val="superscript"/>
                      <w:lang w:val="en-US" w:eastAsia="zh-CN"/>
                    </w:rPr>
                    <w:t>3</w:t>
                  </w:r>
                </w:p>
              </w:tc>
              <w:tc>
                <w:tcPr>
                  <w:tcW w:w="1348" w:type="dxa"/>
                  <w:tcBorders>
                    <w:tl2br w:val="nil"/>
                    <w:tr2bl w:val="nil"/>
                  </w:tcBorders>
                  <w:vAlign w:val="center"/>
                </w:tcPr>
                <w:p>
                  <w:pPr>
                    <w:widowControl w:val="0"/>
                    <w:topLinePunct/>
                    <w:spacing w:line="240" w:lineRule="exact"/>
                    <w:jc w:val="center"/>
                    <w:textAlignment w:val="baseline"/>
                    <w:rPr>
                      <w:rFonts w:hint="eastAsia" w:cs="Times New Roman"/>
                      <w:color w:val="auto"/>
                      <w:kern w:val="2"/>
                      <w:sz w:val="21"/>
                      <w:szCs w:val="21"/>
                      <w:lang w:val="en-US" w:eastAsia="zh-CN"/>
                    </w:rPr>
                  </w:pPr>
                  <w:r>
                    <w:rPr>
                      <w:rFonts w:hint="eastAsia" w:cs="Times New Roman"/>
                      <w:color w:val="auto"/>
                      <w:kern w:val="2"/>
                      <w:sz w:val="21"/>
                      <w:szCs w:val="21"/>
                      <w:lang w:val="en-US" w:eastAsia="zh-CN"/>
                    </w:rPr>
                    <w:t>20</w:t>
                  </w:r>
                </w:p>
              </w:tc>
              <w:tc>
                <w:tcPr>
                  <w:tcW w:w="5382" w:type="dxa"/>
                  <w:tcBorders>
                    <w:tl2br w:val="nil"/>
                    <w:tr2bl w:val="nil"/>
                  </w:tcBorders>
                  <w:vAlign w:val="center"/>
                </w:tcPr>
                <w:p>
                  <w:pPr>
                    <w:widowControl w:val="0"/>
                    <w:topLinePunct/>
                    <w:spacing w:line="240" w:lineRule="exact"/>
                    <w:jc w:val="center"/>
                    <w:textAlignment w:val="baseline"/>
                    <w:rPr>
                      <w:rFonts w:hint="eastAsia" w:ascii="Times New Roman" w:hAnsi="Times New Roman" w:eastAsia="宋体" w:cs="Times New Roman"/>
                      <w:color w:val="auto"/>
                      <w:kern w:val="2"/>
                      <w:sz w:val="21"/>
                      <w:szCs w:val="21"/>
                      <w:lang w:val="en-US" w:eastAsia="zh-CN"/>
                    </w:rPr>
                  </w:pPr>
                  <w:r>
                    <w:rPr>
                      <w:rFonts w:hint="eastAsia" w:cs="Times New Roman"/>
                      <w:color w:val="auto"/>
                      <w:kern w:val="2"/>
                      <w:sz w:val="21"/>
                      <w:szCs w:val="21"/>
                      <w:lang w:val="en-US" w:eastAsia="zh-CN"/>
                    </w:rPr>
                    <w:t>为表土课会用于后期场区内绿化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44" w:type="dxa"/>
                  <w:tcBorders>
                    <w:tl2br w:val="nil"/>
                    <w:tr2bl w:val="nil"/>
                  </w:tcBorders>
                  <w:vAlign w:val="center"/>
                </w:tcPr>
                <w:p>
                  <w:pPr>
                    <w:widowControl w:val="0"/>
                    <w:topLinePunct/>
                    <w:spacing w:line="240" w:lineRule="exact"/>
                    <w:jc w:val="center"/>
                    <w:textAlignment w:val="baseline"/>
                    <w:rPr>
                      <w:rFonts w:hint="eastAsia" w:ascii="Times New Roman" w:hAnsi="Times New Roman" w:cs="Times New Roman"/>
                      <w:color w:val="auto"/>
                      <w:kern w:val="2"/>
                      <w:sz w:val="21"/>
                      <w:szCs w:val="21"/>
                      <w:lang w:val="en-US" w:eastAsia="zh-CN"/>
                    </w:rPr>
                  </w:pPr>
                  <w:r>
                    <w:rPr>
                      <w:rFonts w:hint="eastAsia" w:ascii="Times New Roman" w:hAnsi="Times New Roman" w:cs="Times New Roman"/>
                      <w:color w:val="auto"/>
                      <w:kern w:val="2"/>
                      <w:sz w:val="21"/>
                      <w:szCs w:val="21"/>
                      <w:lang w:val="en-US" w:eastAsia="zh-CN"/>
                    </w:rPr>
                    <w:t>3</w:t>
                  </w:r>
                </w:p>
              </w:tc>
              <w:tc>
                <w:tcPr>
                  <w:tcW w:w="1081" w:type="dxa"/>
                  <w:tcBorders>
                    <w:tl2br w:val="nil"/>
                    <w:tr2bl w:val="nil"/>
                  </w:tcBorders>
                  <w:vAlign w:val="center"/>
                </w:tcPr>
                <w:p>
                  <w:pPr>
                    <w:widowControl w:val="0"/>
                    <w:topLinePunct/>
                    <w:spacing w:line="240" w:lineRule="exact"/>
                    <w:jc w:val="center"/>
                    <w:textAlignment w:val="baseline"/>
                    <w:rPr>
                      <w:rFonts w:hint="eastAsia" w:ascii="Times New Roman" w:hAnsi="Times New Roman" w:cs="Times New Roman"/>
                      <w:color w:val="auto"/>
                      <w:kern w:val="2"/>
                      <w:sz w:val="21"/>
                      <w:szCs w:val="21"/>
                      <w:lang w:val="en-US" w:eastAsia="zh-CN"/>
                    </w:rPr>
                  </w:pPr>
                  <w:r>
                    <w:rPr>
                      <w:rFonts w:hint="eastAsia" w:ascii="Times New Roman" w:hAnsi="Times New Roman" w:cs="Times New Roman"/>
                      <w:color w:val="auto"/>
                      <w:kern w:val="2"/>
                      <w:sz w:val="21"/>
                      <w:szCs w:val="21"/>
                      <w:lang w:val="en-US" w:eastAsia="zh-CN"/>
                    </w:rPr>
                    <w:t>弃方量</w:t>
                  </w:r>
                </w:p>
              </w:tc>
              <w:tc>
                <w:tcPr>
                  <w:tcW w:w="791" w:type="dxa"/>
                  <w:tcBorders>
                    <w:tl2br w:val="nil"/>
                    <w:tr2bl w:val="nil"/>
                  </w:tcBorders>
                  <w:vAlign w:val="center"/>
                </w:tcPr>
                <w:p>
                  <w:pPr>
                    <w:widowControl w:val="0"/>
                    <w:topLinePunct/>
                    <w:spacing w:line="240" w:lineRule="exact"/>
                    <w:jc w:val="center"/>
                    <w:textAlignment w:val="baseline"/>
                    <w:rPr>
                      <w:rFonts w:hint="eastAsia" w:ascii="Times New Roman" w:hAnsi="Times New Roman" w:cs="Times New Roman"/>
                      <w:color w:val="auto"/>
                      <w:kern w:val="2"/>
                      <w:sz w:val="21"/>
                      <w:szCs w:val="21"/>
                      <w:lang w:val="en-US" w:eastAsia="zh-CN"/>
                    </w:rPr>
                  </w:pPr>
                  <w:r>
                    <w:rPr>
                      <w:rFonts w:hint="eastAsia" w:ascii="Times New Roman" w:hAnsi="Times New Roman" w:cs="Times New Roman"/>
                      <w:color w:val="auto"/>
                      <w:kern w:val="2"/>
                      <w:sz w:val="21"/>
                      <w:szCs w:val="21"/>
                      <w:lang w:val="en-US" w:eastAsia="zh-CN"/>
                    </w:rPr>
                    <w:t>m</w:t>
                  </w:r>
                  <w:r>
                    <w:rPr>
                      <w:rFonts w:hint="eastAsia" w:ascii="Times New Roman" w:hAnsi="Times New Roman" w:cs="Times New Roman"/>
                      <w:color w:val="auto"/>
                      <w:kern w:val="2"/>
                      <w:sz w:val="21"/>
                      <w:szCs w:val="21"/>
                      <w:vertAlign w:val="superscript"/>
                      <w:lang w:val="en-US" w:eastAsia="zh-CN"/>
                    </w:rPr>
                    <w:t>3</w:t>
                  </w:r>
                </w:p>
              </w:tc>
              <w:tc>
                <w:tcPr>
                  <w:tcW w:w="1348" w:type="dxa"/>
                  <w:tcBorders>
                    <w:tl2br w:val="nil"/>
                    <w:tr2bl w:val="nil"/>
                  </w:tcBorders>
                  <w:vAlign w:val="center"/>
                </w:tcPr>
                <w:p>
                  <w:pPr>
                    <w:widowControl w:val="0"/>
                    <w:topLinePunct/>
                    <w:spacing w:line="240" w:lineRule="exact"/>
                    <w:jc w:val="center"/>
                    <w:textAlignment w:val="baseline"/>
                    <w:rPr>
                      <w:rFonts w:hint="eastAsia" w:ascii="Times New Roman" w:hAnsi="Times New Roman" w:eastAsia="宋体" w:cs="Times New Roman"/>
                      <w:color w:val="auto"/>
                      <w:kern w:val="2"/>
                      <w:sz w:val="21"/>
                      <w:szCs w:val="21"/>
                      <w:lang w:val="en-US" w:eastAsia="zh-CN"/>
                    </w:rPr>
                  </w:pPr>
                  <w:r>
                    <w:rPr>
                      <w:rFonts w:hint="eastAsia" w:cs="Times New Roman"/>
                      <w:color w:val="auto"/>
                      <w:kern w:val="2"/>
                      <w:sz w:val="21"/>
                      <w:szCs w:val="21"/>
                      <w:lang w:val="en-US" w:eastAsia="zh-CN"/>
                    </w:rPr>
                    <w:t>0</w:t>
                  </w:r>
                </w:p>
              </w:tc>
              <w:tc>
                <w:tcPr>
                  <w:tcW w:w="5382" w:type="dxa"/>
                  <w:tcBorders>
                    <w:tl2br w:val="nil"/>
                    <w:tr2bl w:val="nil"/>
                  </w:tcBorders>
                  <w:vAlign w:val="center"/>
                </w:tcPr>
                <w:p>
                  <w:pPr>
                    <w:widowControl w:val="0"/>
                    <w:topLinePunct/>
                    <w:spacing w:line="240" w:lineRule="exact"/>
                    <w:jc w:val="center"/>
                    <w:textAlignment w:val="baseline"/>
                    <w:rPr>
                      <w:rFonts w:hint="eastAsia" w:ascii="Times New Roman" w:hAnsi="Times New Roman" w:eastAsia="宋体" w:cs="Times New Roman"/>
                      <w:color w:val="auto"/>
                      <w:kern w:val="2"/>
                      <w:sz w:val="21"/>
                      <w:szCs w:val="21"/>
                      <w:lang w:val="en-US" w:eastAsia="zh-CN"/>
                    </w:rPr>
                  </w:pPr>
                  <w:r>
                    <w:rPr>
                      <w:rFonts w:hint="eastAsia" w:cs="Times New Roman"/>
                      <w:color w:val="auto"/>
                      <w:kern w:val="2"/>
                      <w:sz w:val="21"/>
                      <w:szCs w:val="21"/>
                      <w:lang w:val="en-US" w:eastAsia="zh-CN"/>
                    </w:rPr>
                    <w:t>/</w:t>
                  </w:r>
                </w:p>
              </w:tc>
            </w:tr>
          </w:tbl>
          <w:p>
            <w:pPr>
              <w:spacing w:line="360" w:lineRule="auto"/>
              <w:ind w:firstLine="420" w:firstLineChars="175"/>
              <w:rPr>
                <w:color w:val="auto"/>
                <w:sz w:val="24"/>
              </w:rPr>
            </w:pPr>
            <w:r>
              <w:rPr>
                <w:color w:val="auto"/>
                <w:sz w:val="24"/>
              </w:rPr>
              <w:t>通过采取以上措施，施工固体废物均得以合理处置，对外环境影响小。</w:t>
            </w:r>
          </w:p>
          <w:p>
            <w:pPr>
              <w:adjustRightInd w:val="0"/>
              <w:snapToGrid w:val="0"/>
              <w:spacing w:line="360" w:lineRule="auto"/>
              <w:ind w:firstLine="482" w:firstLineChars="200"/>
              <w:rPr>
                <w:rFonts w:ascii="宋体" w:hAnsi="宋体" w:cs="宋体"/>
                <w:b/>
                <w:color w:val="auto"/>
                <w:sz w:val="24"/>
              </w:rPr>
            </w:pPr>
            <w:r>
              <w:rPr>
                <w:rFonts w:hint="eastAsia" w:ascii="宋体" w:hAnsi="宋体" w:cs="宋体"/>
                <w:b/>
                <w:color w:val="auto"/>
                <w:sz w:val="24"/>
              </w:rPr>
              <w:t>5、生态影响</w:t>
            </w:r>
          </w:p>
          <w:p>
            <w:pPr>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本项目位于</w:t>
            </w:r>
            <w:r>
              <w:rPr>
                <w:rFonts w:hint="eastAsia" w:ascii="宋体" w:hAnsi="宋体" w:cs="宋体"/>
                <w:color w:val="auto"/>
                <w:kern w:val="0"/>
                <w:sz w:val="24"/>
                <w:lang w:val="en-US" w:eastAsia="zh-CN"/>
              </w:rPr>
              <w:t>秦汉</w:t>
            </w:r>
            <w:r>
              <w:rPr>
                <w:rFonts w:hint="eastAsia" w:ascii="宋体" w:hAnsi="宋体" w:cs="宋体"/>
                <w:color w:val="auto"/>
                <w:kern w:val="0"/>
                <w:sz w:val="24"/>
              </w:rPr>
              <w:t>新城</w:t>
            </w:r>
            <w:r>
              <w:rPr>
                <w:rFonts w:hint="eastAsia" w:ascii="宋体" w:hAnsi="宋体" w:cs="宋体"/>
                <w:color w:val="auto"/>
                <w:kern w:val="0"/>
                <w:sz w:val="24"/>
                <w:lang w:val="en-US" w:eastAsia="zh-CN"/>
              </w:rPr>
              <w:t>沣泾</w:t>
            </w:r>
            <w:r>
              <w:rPr>
                <w:rFonts w:hint="eastAsia" w:ascii="宋体" w:hAnsi="宋体" w:cs="宋体"/>
                <w:color w:val="auto"/>
                <w:kern w:val="0"/>
                <w:sz w:val="24"/>
              </w:rPr>
              <w:t>大道以北、</w:t>
            </w:r>
            <w:r>
              <w:rPr>
                <w:rFonts w:hint="eastAsia" w:ascii="宋体" w:hAnsi="宋体" w:cs="宋体"/>
                <w:color w:val="auto"/>
                <w:kern w:val="0"/>
                <w:sz w:val="24"/>
                <w:lang w:val="en-US" w:eastAsia="zh-CN"/>
              </w:rPr>
              <w:t>规划的</w:t>
            </w:r>
            <w:r>
              <w:rPr>
                <w:rFonts w:hint="default" w:ascii="宋体" w:hAnsi="宋体" w:cs="宋体"/>
                <w:color w:val="auto"/>
                <w:kern w:val="0"/>
                <w:sz w:val="24"/>
                <w:lang w:val="en-US" w:eastAsia="zh-CN"/>
              </w:rPr>
              <w:t>望夷路以南，</w:t>
            </w:r>
            <w:r>
              <w:rPr>
                <w:rFonts w:hint="eastAsia" w:ascii="宋体" w:hAnsi="宋体" w:cs="宋体"/>
                <w:color w:val="auto"/>
                <w:kern w:val="0"/>
                <w:sz w:val="24"/>
                <w:lang w:val="en-US" w:eastAsia="zh-CN"/>
              </w:rPr>
              <w:t>规划的汉风路</w:t>
            </w:r>
            <w:r>
              <w:rPr>
                <w:rFonts w:hint="default" w:ascii="宋体" w:hAnsi="宋体" w:cs="宋体"/>
                <w:color w:val="auto"/>
                <w:kern w:val="0"/>
                <w:sz w:val="24"/>
                <w:lang w:val="en-US" w:eastAsia="zh-CN"/>
              </w:rPr>
              <w:t>以西，规划的汉风三路以东</w:t>
            </w:r>
            <w:r>
              <w:rPr>
                <w:rFonts w:hint="eastAsia" w:ascii="宋体" w:hAnsi="宋体" w:cs="宋体"/>
                <w:color w:val="auto"/>
                <w:kern w:val="0"/>
                <w:sz w:val="24"/>
              </w:rPr>
              <w:t>，根据《西咸新区沣东新城镐京片区控制性详细规划》本项目属于</w:t>
            </w:r>
            <w:r>
              <w:rPr>
                <w:rFonts w:hint="eastAsia" w:ascii="宋体" w:hAnsi="宋体" w:cs="宋体"/>
                <w:color w:val="auto"/>
                <w:kern w:val="0"/>
                <w:sz w:val="24"/>
                <w:lang w:val="en-US" w:eastAsia="zh-CN"/>
              </w:rPr>
              <w:t>秦汉</w:t>
            </w:r>
            <w:r>
              <w:rPr>
                <w:rFonts w:hint="eastAsia" w:ascii="宋体" w:hAnsi="宋体" w:cs="宋体"/>
                <w:color w:val="auto"/>
                <w:kern w:val="0"/>
                <w:sz w:val="24"/>
              </w:rPr>
              <w:t>新城</w:t>
            </w:r>
            <w:r>
              <w:rPr>
                <w:rFonts w:hint="eastAsia" w:ascii="宋体" w:hAnsi="宋体" w:cs="宋体"/>
                <w:color w:val="auto"/>
                <w:kern w:val="0"/>
                <w:sz w:val="24"/>
                <w:lang w:val="en-US" w:eastAsia="zh-CN"/>
              </w:rPr>
              <w:t>塬北文化生活核心区</w:t>
            </w:r>
            <w:r>
              <w:rPr>
                <w:rFonts w:hint="eastAsia" w:ascii="宋体" w:hAnsi="宋体" w:cs="宋体"/>
                <w:color w:val="auto"/>
                <w:kern w:val="0"/>
                <w:sz w:val="24"/>
              </w:rPr>
              <w:t>中的</w:t>
            </w:r>
            <w:r>
              <w:rPr>
                <w:rFonts w:hint="eastAsia" w:ascii="宋体" w:hAnsi="宋体" w:cs="宋体"/>
                <w:color w:val="auto"/>
                <w:kern w:val="0"/>
                <w:sz w:val="24"/>
                <w:lang w:val="en-US" w:eastAsia="zh-CN"/>
              </w:rPr>
              <w:t>童世界创意组团</w:t>
            </w:r>
            <w:r>
              <w:rPr>
                <w:rFonts w:hint="eastAsia" w:ascii="宋体" w:hAnsi="宋体" w:cs="宋体"/>
                <w:color w:val="auto"/>
                <w:kern w:val="0"/>
                <w:sz w:val="24"/>
              </w:rPr>
              <w:t>。</w:t>
            </w:r>
          </w:p>
          <w:p>
            <w:pPr>
              <w:adjustRightInd w:val="0"/>
              <w:snapToGrid w:val="0"/>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本项目目前为空地，</w:t>
            </w:r>
            <w:r>
              <w:rPr>
                <w:rFonts w:hint="eastAsia" w:ascii="宋体" w:hAnsi="宋体" w:cs="宋体"/>
                <w:color w:val="auto"/>
                <w:kern w:val="0"/>
                <w:sz w:val="24"/>
                <w:lang w:val="en-US" w:eastAsia="zh-CN"/>
              </w:rPr>
              <w:t>占地范围内的原有村庄</w:t>
            </w:r>
            <w:r>
              <w:rPr>
                <w:rFonts w:hint="eastAsia" w:ascii="宋体" w:hAnsi="宋体" w:cs="宋体"/>
                <w:color w:val="auto"/>
                <w:kern w:val="0"/>
                <w:sz w:val="24"/>
              </w:rPr>
              <w:t>已完成搬迁工作。部分地块有少量野草，呈散生状分布。</w:t>
            </w:r>
          </w:p>
          <w:p>
            <w:pPr>
              <w:adjustRightInd w:val="0"/>
              <w:snapToGrid w:val="0"/>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施工期的生态环境影响是临时性的，主要表现为项目开挖、填筑、土地平整等活动对生态环境的影响。由于项目的建设而造成的生态环境影响主要体现在对动植物造成的影响、景观生态影响和水土流失等方面。</w:t>
            </w:r>
          </w:p>
          <w:p>
            <w:pPr>
              <w:adjustRightInd w:val="0"/>
              <w:snapToGrid w:val="0"/>
              <w:spacing w:line="360" w:lineRule="auto"/>
              <w:ind w:firstLine="480" w:firstLineChars="200"/>
              <w:rPr>
                <w:rFonts w:hint="eastAsia"/>
                <w:b/>
                <w:bCs/>
                <w:color w:val="auto"/>
                <w:kern w:val="0"/>
                <w:sz w:val="24"/>
              </w:rPr>
            </w:pPr>
            <w:r>
              <w:rPr>
                <w:rFonts w:hint="eastAsia"/>
                <w:b/>
                <w:bCs/>
                <w:color w:val="auto"/>
                <w:kern w:val="0"/>
                <w:sz w:val="24"/>
                <w:lang w:val="en-US" w:eastAsia="zh-CN"/>
              </w:rPr>
              <w:t>5.1</w:t>
            </w:r>
            <w:r>
              <w:rPr>
                <w:rFonts w:hint="eastAsia"/>
                <w:b/>
                <w:bCs/>
                <w:color w:val="auto"/>
                <w:kern w:val="0"/>
                <w:sz w:val="24"/>
              </w:rPr>
              <w:t>动物活动的影响</w:t>
            </w:r>
          </w:p>
          <w:p>
            <w:pPr>
              <w:adjustRightInd w:val="0"/>
              <w:snapToGrid w:val="0"/>
              <w:spacing w:line="360" w:lineRule="auto"/>
              <w:rPr>
                <w:rFonts w:hint="eastAsia"/>
                <w:color w:val="auto"/>
                <w:kern w:val="0"/>
                <w:sz w:val="24"/>
              </w:rPr>
            </w:pPr>
            <w:r>
              <w:rPr>
                <w:rFonts w:hint="eastAsia"/>
                <w:color w:val="auto"/>
                <w:kern w:val="0"/>
                <w:sz w:val="24"/>
                <w:lang w:val="en-US" w:eastAsia="zh-CN"/>
              </w:rPr>
              <w:t xml:space="preserve">    该区域正处于城市新区规划建设之中，因此，主要动物为兔类、鼠类、无</w:t>
            </w:r>
            <w:r>
              <w:rPr>
                <w:rFonts w:hint="eastAsia"/>
                <w:color w:val="auto"/>
                <w:sz w:val="24"/>
              </w:rPr>
              <w:t>珍惜濒危动物</w:t>
            </w:r>
            <w:r>
              <w:rPr>
                <w:rFonts w:hint="eastAsia"/>
                <w:color w:val="auto"/>
                <w:sz w:val="24"/>
                <w:lang w:eastAsia="zh-CN"/>
              </w:rPr>
              <w:t>，</w:t>
            </w:r>
            <w:r>
              <w:rPr>
                <w:rFonts w:hint="eastAsia"/>
                <w:color w:val="auto"/>
                <w:kern w:val="0"/>
                <w:sz w:val="24"/>
              </w:rPr>
              <w:t>工程施工期间主要的噪声源来自机动车辆行驶（流动声源）、土方开挖</w:t>
            </w:r>
            <w:r>
              <w:rPr>
                <w:rFonts w:hint="eastAsia"/>
                <w:color w:val="auto"/>
                <w:kern w:val="0"/>
                <w:sz w:val="24"/>
                <w:lang w:val="en-US" w:eastAsia="zh-CN"/>
              </w:rPr>
              <w:t>回填</w:t>
            </w:r>
            <w:r>
              <w:rPr>
                <w:rFonts w:hint="eastAsia"/>
                <w:color w:val="auto"/>
                <w:kern w:val="0"/>
                <w:sz w:val="24"/>
              </w:rPr>
              <w:t>等。同时，工程施工期间还要产生一定量的“三废”。这些因素均有可能对区域内的动物产生一定的影响，主要表现为对部分陆生动物的活动区域、迁移途径、栖息区域、觅食范围等受到一定的限制。</w:t>
            </w:r>
          </w:p>
          <w:p>
            <w:pPr>
              <w:adjustRightInd w:val="0"/>
              <w:snapToGrid w:val="0"/>
              <w:spacing w:line="360" w:lineRule="auto"/>
              <w:ind w:firstLine="480" w:firstLineChars="200"/>
              <w:rPr>
                <w:rFonts w:hint="eastAsia"/>
                <w:color w:val="auto"/>
                <w:kern w:val="0"/>
                <w:sz w:val="24"/>
              </w:rPr>
            </w:pPr>
            <w:r>
              <w:rPr>
                <w:rFonts w:hint="eastAsia"/>
                <w:color w:val="auto"/>
                <w:kern w:val="0"/>
                <w:sz w:val="24"/>
              </w:rPr>
              <w:t>由于项目施工区的范围有限，主要集中于一定范围内，给动物的活动留有较大的缓冲空间，故各类动物均可在整个评价范围甚至更大的背景空间中自由来往。因此</w:t>
            </w:r>
            <w:r>
              <w:rPr>
                <w:rFonts w:hint="eastAsia"/>
                <w:color w:val="auto"/>
                <w:kern w:val="0"/>
                <w:sz w:val="24"/>
                <w:lang w:eastAsia="zh-CN"/>
              </w:rPr>
              <w:t>，</w:t>
            </w:r>
            <w:r>
              <w:rPr>
                <w:rFonts w:hint="eastAsia"/>
                <w:color w:val="auto"/>
                <w:kern w:val="0"/>
                <w:sz w:val="24"/>
              </w:rPr>
              <w:t>本项目施工期对于区域常见野生动物的活动影响较小</w:t>
            </w:r>
            <w:r>
              <w:rPr>
                <w:rFonts w:hint="eastAsia"/>
                <w:color w:val="auto"/>
                <w:kern w:val="0"/>
                <w:sz w:val="24"/>
                <w:lang w:eastAsia="zh-CN"/>
              </w:rPr>
              <w:t>，</w:t>
            </w:r>
            <w:r>
              <w:rPr>
                <w:rFonts w:hint="eastAsia"/>
                <w:color w:val="auto"/>
                <w:kern w:val="0"/>
                <w:sz w:val="24"/>
              </w:rPr>
              <w:t>不会对区域内动物的生存环境造成显著的不利影响，也不会引起区域内动物物种的减少。</w:t>
            </w:r>
          </w:p>
          <w:p>
            <w:pPr>
              <w:adjustRightInd w:val="0"/>
              <w:snapToGrid w:val="0"/>
              <w:spacing w:line="360" w:lineRule="auto"/>
              <w:ind w:firstLine="480" w:firstLineChars="200"/>
              <w:rPr>
                <w:rFonts w:hint="eastAsia"/>
                <w:b/>
                <w:bCs/>
                <w:color w:val="auto"/>
                <w:kern w:val="0"/>
                <w:sz w:val="24"/>
              </w:rPr>
            </w:pPr>
            <w:r>
              <w:rPr>
                <w:rFonts w:hint="eastAsia"/>
                <w:b/>
                <w:bCs/>
                <w:color w:val="auto"/>
                <w:kern w:val="0"/>
                <w:sz w:val="24"/>
                <w:lang w:val="en-US" w:eastAsia="zh-CN"/>
              </w:rPr>
              <w:t>5.2</w:t>
            </w:r>
            <w:r>
              <w:rPr>
                <w:rFonts w:hint="eastAsia"/>
                <w:b/>
                <w:bCs/>
                <w:color w:val="auto"/>
                <w:kern w:val="0"/>
                <w:sz w:val="24"/>
              </w:rPr>
              <w:t>陆生植被影响</w:t>
            </w:r>
          </w:p>
          <w:p>
            <w:pPr>
              <w:adjustRightInd w:val="0"/>
              <w:snapToGrid w:val="0"/>
              <w:spacing w:line="360" w:lineRule="auto"/>
              <w:ind w:firstLine="480" w:firstLineChars="200"/>
              <w:rPr>
                <w:rFonts w:hint="eastAsia"/>
                <w:color w:val="auto"/>
                <w:kern w:val="0"/>
                <w:sz w:val="24"/>
              </w:rPr>
            </w:pPr>
            <w:r>
              <w:rPr>
                <w:rFonts w:hint="eastAsia"/>
                <w:color w:val="auto"/>
                <w:kern w:val="0"/>
                <w:sz w:val="24"/>
              </w:rPr>
              <w:t>施工过程中将可能对拟建场地原有地面上的地表植被造成一定的破坏或扰动。施工完成后，根据绿化景观需要，进行景观绿化设计，在植被的恢复方面，尽量采用地方特色树种，避免引进外来物种造成生物入侵。同时注意近期和远期的结合，尽快恢复项目建设造成的生态破坏并达到绿化效果，使长远的生态保护和景观相对稳定，速生树种和缓生树种兼用，合理搭配。通过灌木、乔木及草本植物的多种搭配，可在一定程度上增加该区域的植物多样性、种群结构的层次性，项目建成后绿地率达</w:t>
            </w:r>
            <w:r>
              <w:rPr>
                <w:rFonts w:hint="eastAsia"/>
                <w:color w:val="auto"/>
                <w:kern w:val="0"/>
                <w:sz w:val="24"/>
              </w:rPr>
              <w:t>35%以上</w:t>
            </w:r>
            <w:r>
              <w:rPr>
                <w:rFonts w:hint="eastAsia"/>
                <w:color w:val="auto"/>
                <w:kern w:val="0"/>
                <w:sz w:val="24"/>
              </w:rPr>
              <w:t>，使项目所在区域植被得到一定程度的补偿。</w:t>
            </w:r>
          </w:p>
          <w:p>
            <w:pPr>
              <w:adjustRightInd w:val="0"/>
              <w:snapToGrid w:val="0"/>
              <w:spacing w:line="360" w:lineRule="auto"/>
              <w:ind w:firstLine="480" w:firstLineChars="200"/>
              <w:rPr>
                <w:rFonts w:hint="eastAsia"/>
                <w:b/>
                <w:bCs/>
                <w:color w:val="auto"/>
                <w:kern w:val="0"/>
                <w:sz w:val="24"/>
              </w:rPr>
            </w:pPr>
            <w:r>
              <w:rPr>
                <w:rFonts w:hint="eastAsia"/>
                <w:b/>
                <w:bCs/>
                <w:color w:val="auto"/>
                <w:kern w:val="0"/>
                <w:sz w:val="24"/>
                <w:lang w:val="en-US" w:eastAsia="zh-CN"/>
              </w:rPr>
              <w:t>5.3</w:t>
            </w:r>
            <w:r>
              <w:rPr>
                <w:rFonts w:hint="eastAsia"/>
                <w:b/>
                <w:bCs/>
                <w:color w:val="auto"/>
                <w:kern w:val="0"/>
                <w:sz w:val="24"/>
              </w:rPr>
              <w:t>景观生态影响</w:t>
            </w:r>
          </w:p>
          <w:p>
            <w:pPr>
              <w:adjustRightInd w:val="0"/>
              <w:snapToGrid w:val="0"/>
              <w:spacing w:line="360" w:lineRule="auto"/>
              <w:ind w:firstLine="480" w:firstLineChars="200"/>
              <w:rPr>
                <w:rFonts w:hint="eastAsia"/>
                <w:color w:val="auto"/>
                <w:kern w:val="0"/>
                <w:sz w:val="24"/>
              </w:rPr>
            </w:pPr>
            <w:r>
              <w:rPr>
                <w:rFonts w:hint="eastAsia"/>
                <w:color w:val="auto"/>
                <w:kern w:val="0"/>
                <w:sz w:val="24"/>
              </w:rPr>
              <w:t>项目施工场地开挖平整产生的临时取弃土石方，若不及时有效地处置，将会影响区域的景观环境，而且项目施工时的飞灰扬尘、下雨时未完工路面及临时弃土石场的水土流失，将会对区域的景观环境产生一定影响。因此</w:t>
            </w:r>
            <w:r>
              <w:rPr>
                <w:rFonts w:hint="eastAsia"/>
                <w:color w:val="auto"/>
                <w:kern w:val="0"/>
                <w:sz w:val="24"/>
                <w:lang w:eastAsia="zh-CN"/>
              </w:rPr>
              <w:t>，</w:t>
            </w:r>
            <w:r>
              <w:rPr>
                <w:rFonts w:hint="eastAsia"/>
                <w:color w:val="auto"/>
                <w:kern w:val="0"/>
                <w:sz w:val="24"/>
              </w:rPr>
              <w:t>建设单位和施工单位应采取及时有效的防治措施，将不利影响控制在最低限度。</w:t>
            </w:r>
          </w:p>
          <w:p>
            <w:pPr>
              <w:adjustRightInd w:val="0"/>
              <w:snapToGrid w:val="0"/>
              <w:spacing w:line="360" w:lineRule="auto"/>
              <w:ind w:firstLine="480" w:firstLineChars="200"/>
              <w:rPr>
                <w:rFonts w:hint="eastAsia"/>
                <w:b/>
                <w:bCs/>
                <w:color w:val="auto"/>
                <w:kern w:val="0"/>
                <w:sz w:val="24"/>
              </w:rPr>
            </w:pPr>
            <w:r>
              <w:rPr>
                <w:rFonts w:hint="eastAsia"/>
                <w:b/>
                <w:bCs/>
                <w:color w:val="auto"/>
                <w:kern w:val="0"/>
                <w:sz w:val="24"/>
              </w:rPr>
              <w:t>5.4水土流失影响</w:t>
            </w:r>
          </w:p>
          <w:p>
            <w:pPr>
              <w:adjustRightInd w:val="0"/>
              <w:snapToGrid w:val="0"/>
              <w:spacing w:line="360" w:lineRule="auto"/>
              <w:ind w:firstLine="480" w:firstLineChars="200"/>
              <w:rPr>
                <w:rFonts w:hint="eastAsia"/>
                <w:color w:val="auto"/>
                <w:kern w:val="0"/>
                <w:sz w:val="24"/>
              </w:rPr>
            </w:pPr>
            <w:r>
              <w:rPr>
                <w:rFonts w:hint="eastAsia"/>
                <w:color w:val="auto"/>
                <w:kern w:val="0"/>
                <w:sz w:val="24"/>
              </w:rPr>
              <w:t>本项目建设过程中因开挖、工程占地等施工活动将改变施工区的地形地貌。因此，本项目水土流失重点时段为工程施工期，预测时段为施工期</w:t>
            </w:r>
            <w:r>
              <w:rPr>
                <w:rFonts w:hint="eastAsia"/>
                <w:color w:val="auto"/>
                <w:kern w:val="0"/>
                <w:sz w:val="24"/>
                <w:lang w:val="en-US" w:eastAsia="zh-CN"/>
              </w:rPr>
              <w:t>46</w:t>
            </w:r>
            <w:r>
              <w:rPr>
                <w:rFonts w:hint="eastAsia"/>
                <w:color w:val="auto"/>
                <w:kern w:val="0"/>
                <w:sz w:val="24"/>
              </w:rPr>
              <w:t>个月。工程建设项目在开发建设过程中，将破坏原生地表抗蚀能力与外应力间的相对平衡，对建设区域及周边地区的生态环境产生影响，如施工区域场地平整、</w:t>
            </w:r>
            <w:r>
              <w:rPr>
                <w:rFonts w:hint="eastAsia"/>
                <w:color w:val="auto"/>
                <w:kern w:val="0"/>
                <w:sz w:val="24"/>
                <w:lang w:val="en-US" w:eastAsia="zh-CN"/>
              </w:rPr>
              <w:t>地下建筑的</w:t>
            </w:r>
            <w:r>
              <w:rPr>
                <w:rFonts w:hint="eastAsia"/>
                <w:color w:val="auto"/>
                <w:kern w:val="0"/>
                <w:sz w:val="24"/>
              </w:rPr>
              <w:t>开挖回填、建筑材料堆放、施工机械碾压和施工人员践踏等活动，扰动地表，使地表植被和土壤结构都受到不同程度的破坏</w:t>
            </w:r>
            <w:r>
              <w:rPr>
                <w:rFonts w:hint="eastAsia"/>
                <w:color w:val="auto"/>
                <w:kern w:val="0"/>
                <w:sz w:val="24"/>
                <w:lang w:eastAsia="zh-CN"/>
              </w:rPr>
              <w:t>，</w:t>
            </w:r>
            <w:r>
              <w:rPr>
                <w:rFonts w:hint="eastAsia"/>
                <w:color w:val="auto"/>
                <w:kern w:val="0"/>
                <w:sz w:val="24"/>
              </w:rPr>
              <w:t>植被防护能力和土壤抗蚀能力降低或丧失，引发或加剧水土流失。</w:t>
            </w:r>
          </w:p>
          <w:p>
            <w:pPr>
              <w:adjustRightInd w:val="0"/>
              <w:snapToGrid w:val="0"/>
              <w:spacing w:line="360" w:lineRule="auto"/>
              <w:rPr>
                <w:color w:val="auto"/>
                <w:kern w:val="0"/>
                <w:sz w:val="24"/>
              </w:rPr>
            </w:pPr>
            <w:r>
              <w:rPr>
                <w:rFonts w:hint="eastAsia"/>
                <w:color w:val="auto"/>
                <w:kern w:val="0"/>
                <w:sz w:val="24"/>
                <w:lang w:val="en-US" w:eastAsia="zh-CN"/>
              </w:rPr>
              <w:t xml:space="preserve">    </w:t>
            </w:r>
            <w:r>
              <w:rPr>
                <w:rFonts w:hint="eastAsia"/>
                <w:color w:val="auto"/>
                <w:kern w:val="0"/>
                <w:sz w:val="24"/>
              </w:rPr>
              <w:t>若不采取有效防护措施，项目在建设施工期间将加剧项目区的水土流失，为避免水土流失对项目区及周边环境的影响，施工期需采取水土保持措施，减轻项目区新增水土流失及各方面负面影响的根本保证。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314" w:hRule="atLeast"/>
          <w:jc w:val="center"/>
        </w:trPr>
        <w:tc>
          <w:tcPr>
            <w:tcW w:w="454" w:type="dxa"/>
            <w:tcMar>
              <w:left w:w="28" w:type="dxa"/>
              <w:right w:w="28" w:type="dxa"/>
            </w:tcMar>
            <w:vAlign w:val="center"/>
          </w:tcPr>
          <w:p>
            <w:pPr>
              <w:pStyle w:val="19"/>
              <w:adjustRightInd w:val="0"/>
              <w:snapToGrid w:val="0"/>
              <w:spacing w:before="0" w:beforeAutospacing="0" w:after="0" w:afterAutospacing="0"/>
              <w:jc w:val="center"/>
              <w:rPr>
                <w:rFonts w:cs="宋体"/>
                <w:bCs/>
                <w:color w:val="auto"/>
                <w:kern w:val="2"/>
                <w:sz w:val="21"/>
                <w:szCs w:val="21"/>
              </w:rPr>
            </w:pPr>
            <w:r>
              <w:rPr>
                <w:rFonts w:hint="eastAsia" w:cs="宋体"/>
                <w:bCs/>
                <w:color w:val="auto"/>
                <w:spacing w:val="10"/>
                <w:kern w:val="2"/>
                <w:sz w:val="21"/>
                <w:szCs w:val="21"/>
              </w:rPr>
              <w:t>运营期生态环境影响分析</w:t>
            </w:r>
          </w:p>
        </w:tc>
        <w:tc>
          <w:tcPr>
            <w:tcW w:w="9564" w:type="dxa"/>
          </w:tcPr>
          <w:p>
            <w:pPr>
              <w:adjustRightInd w:val="0"/>
              <w:snapToGrid w:val="0"/>
              <w:spacing w:line="360" w:lineRule="auto"/>
              <w:ind w:firstLine="480" w:firstLineChars="200"/>
              <w:rPr>
                <w:rFonts w:hint="eastAsia"/>
                <w:b/>
                <w:bCs/>
                <w:color w:val="auto"/>
                <w:kern w:val="0"/>
                <w:sz w:val="24"/>
                <w:lang w:val="en-US" w:eastAsia="zh-CN"/>
              </w:rPr>
            </w:pPr>
            <w:r>
              <w:rPr>
                <w:rFonts w:hint="eastAsia"/>
                <w:b/>
                <w:bCs/>
                <w:color w:val="auto"/>
                <w:kern w:val="0"/>
                <w:sz w:val="24"/>
                <w:lang w:val="en-US" w:eastAsia="zh-CN"/>
              </w:rPr>
              <w:t>一、运行期工艺流程及产污环节</w:t>
            </w:r>
          </w:p>
          <w:p>
            <w:pPr>
              <w:adjustRightInd w:val="0"/>
              <w:snapToGrid w:val="0"/>
              <w:spacing w:line="360" w:lineRule="auto"/>
              <w:ind w:firstLine="480" w:firstLineChars="200"/>
              <w:rPr>
                <w:rFonts w:hint="eastAsia"/>
                <w:color w:val="auto"/>
                <w:kern w:val="0"/>
                <w:sz w:val="24"/>
              </w:rPr>
            </w:pPr>
            <w:r>
              <w:rPr>
                <w:rFonts w:hint="eastAsia"/>
                <w:color w:val="auto"/>
                <w:kern w:val="0"/>
                <w:sz w:val="24"/>
              </w:rPr>
              <w:t>本项目运营期工艺流程见图</w:t>
            </w:r>
            <w:r>
              <w:rPr>
                <w:rFonts w:hint="eastAsia"/>
                <w:color w:val="auto"/>
                <w:kern w:val="0"/>
                <w:sz w:val="24"/>
                <w:lang w:val="en-US" w:eastAsia="zh-CN"/>
              </w:rPr>
              <w:t>1-4</w:t>
            </w:r>
            <w:r>
              <w:rPr>
                <w:rFonts w:hint="eastAsia"/>
                <w:color w:val="auto"/>
                <w:kern w:val="0"/>
                <w:sz w:val="24"/>
              </w:rPr>
              <w:t>。</w:t>
            </w:r>
          </w:p>
          <w:p>
            <w:pPr>
              <w:adjustRightInd w:val="0"/>
              <w:snapToGrid w:val="0"/>
              <w:rPr>
                <w:color w:val="auto"/>
              </w:rPr>
            </w:pPr>
          </w:p>
          <w:p>
            <w:pPr>
              <w:spacing w:line="480" w:lineRule="atLeast"/>
              <w:jc w:val="center"/>
              <w:rPr>
                <w:b/>
                <w:bCs/>
                <w:color w:val="auto"/>
                <w:sz w:val="24"/>
              </w:rPr>
            </w:pPr>
            <w:r>
              <w:rPr>
                <w:color w:val="auto"/>
              </w:rPr>
              <w:pict>
                <v:shape id="_x0000_s1029" o:spid="_x0000_s1029" o:spt="75" type="#_x0000_t75" style="position:absolute;left:0pt;margin-left:48.8pt;margin-top:8.4pt;height:368.55pt;width:356.45pt;mso-wrap-distance-left:9pt;mso-wrap-distance-right:9pt;z-index:-251642880;mso-width-relative:page;mso-height-relative:page;" o:ole="t" filled="f" o:preferrelative="t" stroked="f" coordsize="21600,21600" wrapcoords="21592 -2 0 0 0 21600 21592 21602 8 21602 21600 21600 21600 0 8 -2 21592 -2">
                  <v:path/>
                  <v:fill on="f" focussize="0,0"/>
                  <v:stroke on="f"/>
                  <v:imagedata r:id="rId14" o:title=""/>
                  <o:lock v:ext="edit" aspectratio="f"/>
                  <w10:wrap type="tight"/>
                </v:shape>
                <o:OLEObject Type="Embed" ProgID="Visio.Drawing.15" ShapeID="_x0000_s1029" DrawAspect="Content" ObjectID="_1468075727" r:id="rId13">
                  <o:LockedField>false</o:LockedField>
                </o:OLEObject>
              </w:pict>
            </w:r>
          </w:p>
          <w:p>
            <w:pPr>
              <w:spacing w:line="480" w:lineRule="atLeast"/>
              <w:jc w:val="center"/>
              <w:rPr>
                <w:b/>
                <w:bCs/>
                <w:color w:val="auto"/>
                <w:sz w:val="24"/>
              </w:rPr>
            </w:pPr>
          </w:p>
          <w:p>
            <w:pPr>
              <w:spacing w:line="480" w:lineRule="atLeast"/>
              <w:jc w:val="center"/>
              <w:rPr>
                <w:b/>
                <w:bCs/>
                <w:color w:val="auto"/>
                <w:sz w:val="24"/>
              </w:rPr>
            </w:pPr>
          </w:p>
          <w:p>
            <w:pPr>
              <w:spacing w:line="480" w:lineRule="atLeast"/>
              <w:jc w:val="center"/>
              <w:rPr>
                <w:b/>
                <w:bCs/>
                <w:color w:val="auto"/>
                <w:sz w:val="24"/>
              </w:rPr>
            </w:pPr>
          </w:p>
          <w:p>
            <w:pPr>
              <w:spacing w:line="480" w:lineRule="atLeast"/>
              <w:jc w:val="center"/>
              <w:rPr>
                <w:b/>
                <w:bCs/>
                <w:color w:val="auto"/>
                <w:sz w:val="24"/>
              </w:rPr>
            </w:pPr>
          </w:p>
          <w:p>
            <w:pPr>
              <w:spacing w:line="480" w:lineRule="atLeast"/>
              <w:jc w:val="center"/>
              <w:rPr>
                <w:b/>
                <w:bCs/>
                <w:color w:val="auto"/>
                <w:sz w:val="24"/>
              </w:rPr>
            </w:pPr>
          </w:p>
          <w:p>
            <w:pPr>
              <w:spacing w:line="480" w:lineRule="atLeast"/>
              <w:jc w:val="center"/>
              <w:rPr>
                <w:b/>
                <w:bCs/>
                <w:color w:val="auto"/>
                <w:sz w:val="24"/>
              </w:rPr>
            </w:pPr>
          </w:p>
          <w:p>
            <w:pPr>
              <w:spacing w:line="480" w:lineRule="atLeast"/>
              <w:jc w:val="center"/>
              <w:rPr>
                <w:b/>
                <w:bCs/>
                <w:color w:val="auto"/>
                <w:sz w:val="24"/>
              </w:rPr>
            </w:pPr>
          </w:p>
          <w:p>
            <w:pPr>
              <w:spacing w:line="480" w:lineRule="atLeast"/>
              <w:jc w:val="center"/>
              <w:rPr>
                <w:b/>
                <w:bCs/>
                <w:color w:val="auto"/>
                <w:sz w:val="24"/>
              </w:rPr>
            </w:pPr>
          </w:p>
          <w:p>
            <w:pPr>
              <w:spacing w:line="480" w:lineRule="atLeast"/>
              <w:jc w:val="center"/>
              <w:rPr>
                <w:b/>
                <w:bCs/>
                <w:color w:val="auto"/>
                <w:sz w:val="24"/>
              </w:rPr>
            </w:pPr>
          </w:p>
          <w:p>
            <w:pPr>
              <w:spacing w:line="480" w:lineRule="atLeast"/>
              <w:jc w:val="center"/>
              <w:rPr>
                <w:b/>
                <w:bCs/>
                <w:color w:val="auto"/>
                <w:sz w:val="24"/>
              </w:rPr>
            </w:pPr>
          </w:p>
          <w:p>
            <w:pPr>
              <w:spacing w:line="480" w:lineRule="atLeast"/>
              <w:jc w:val="center"/>
              <w:rPr>
                <w:b/>
                <w:bCs/>
                <w:color w:val="auto"/>
                <w:sz w:val="24"/>
              </w:rPr>
            </w:pPr>
          </w:p>
          <w:p>
            <w:pPr>
              <w:spacing w:line="480" w:lineRule="atLeast"/>
              <w:jc w:val="center"/>
              <w:rPr>
                <w:b/>
                <w:bCs/>
                <w:color w:val="auto"/>
                <w:sz w:val="24"/>
              </w:rPr>
            </w:pPr>
          </w:p>
          <w:p>
            <w:pPr>
              <w:spacing w:line="480" w:lineRule="atLeast"/>
              <w:jc w:val="center"/>
              <w:rPr>
                <w:b/>
                <w:bCs/>
                <w:color w:val="auto"/>
                <w:sz w:val="24"/>
              </w:rPr>
            </w:pPr>
          </w:p>
          <w:p>
            <w:pPr>
              <w:spacing w:line="480" w:lineRule="atLeast"/>
              <w:jc w:val="center"/>
              <w:rPr>
                <w:b/>
                <w:bCs/>
                <w:color w:val="auto"/>
                <w:sz w:val="24"/>
              </w:rPr>
            </w:pPr>
          </w:p>
          <w:p>
            <w:pPr>
              <w:spacing w:line="480" w:lineRule="atLeast"/>
              <w:jc w:val="center"/>
              <w:rPr>
                <w:b/>
                <w:bCs/>
                <w:color w:val="auto"/>
                <w:sz w:val="24"/>
              </w:rPr>
            </w:pPr>
          </w:p>
          <w:p>
            <w:pPr>
              <w:adjustRightInd w:val="0"/>
              <w:snapToGrid w:val="0"/>
              <w:spacing w:line="360" w:lineRule="auto"/>
              <w:ind w:firstLine="480" w:firstLineChars="200"/>
              <w:rPr>
                <w:rFonts w:hint="eastAsia"/>
                <w:b/>
                <w:bCs/>
                <w:color w:val="auto"/>
                <w:kern w:val="0"/>
                <w:sz w:val="24"/>
                <w:lang w:val="en-US" w:eastAsia="zh-CN"/>
              </w:rPr>
            </w:pPr>
            <w:r>
              <w:rPr>
                <w:rFonts w:hint="eastAsia"/>
                <w:b/>
                <w:bCs/>
                <w:color w:val="auto"/>
                <w:kern w:val="0"/>
                <w:sz w:val="24"/>
                <w:lang w:val="en-US" w:eastAsia="zh-CN"/>
              </w:rPr>
              <w:t xml:space="preserve">                   图1-4   运营期工艺流程及产污环节图</w:t>
            </w:r>
          </w:p>
          <w:p>
            <w:pPr>
              <w:adjustRightInd w:val="0"/>
              <w:snapToGrid w:val="0"/>
              <w:spacing w:line="360" w:lineRule="auto"/>
              <w:ind w:firstLine="480" w:firstLineChars="200"/>
              <w:rPr>
                <w:rFonts w:hint="eastAsia"/>
                <w:color w:val="auto"/>
                <w:kern w:val="0"/>
                <w:sz w:val="24"/>
                <w:lang w:val="en-US" w:eastAsia="zh-CN"/>
              </w:rPr>
            </w:pPr>
            <w:r>
              <w:rPr>
                <w:rFonts w:hint="eastAsia"/>
                <w:color w:val="auto"/>
                <w:kern w:val="0"/>
                <w:sz w:val="24"/>
                <w:lang w:val="en-US" w:eastAsia="zh-CN"/>
              </w:rPr>
              <w:t>主要污染工序及污染因子见表23。</w:t>
            </w:r>
          </w:p>
          <w:p>
            <w:pPr>
              <w:spacing w:line="360" w:lineRule="auto"/>
              <w:ind w:firstLine="420" w:firstLineChars="175"/>
              <w:rPr>
                <w:rFonts w:hint="eastAsia" w:eastAsia="黑体"/>
                <w:color w:val="auto"/>
                <w:sz w:val="24"/>
                <w:lang w:val="en-US" w:eastAsia="zh-CN"/>
              </w:rPr>
            </w:pPr>
            <w:bookmarkStart w:id="7" w:name="_Hlk536201500"/>
            <w:r>
              <w:rPr>
                <w:rFonts w:hint="eastAsia" w:eastAsia="黑体"/>
                <w:color w:val="auto"/>
                <w:sz w:val="24"/>
                <w:lang w:val="en-US" w:eastAsia="zh-CN"/>
              </w:rPr>
              <w:t xml:space="preserve">                    表23    主要污染工序及污染因子一览表</w:t>
            </w:r>
          </w:p>
          <w:tbl>
            <w:tblPr>
              <w:tblStyle w:val="24"/>
              <w:tblpPr w:leftFromText="180" w:rightFromText="180" w:vertAnchor="text" w:horzAnchor="page" w:tblpXSpec="center" w:tblpY="323"/>
              <w:tblOverlap w:val="never"/>
              <w:tblW w:w="934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73"/>
              <w:gridCol w:w="1980"/>
              <w:gridCol w:w="1989"/>
              <w:gridCol w:w="31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9"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时段</w:t>
                  </w:r>
                </w:p>
              </w:tc>
              <w:tc>
                <w:tcPr>
                  <w:tcW w:w="1373"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项目</w:t>
                  </w:r>
                </w:p>
              </w:tc>
              <w:tc>
                <w:tcPr>
                  <w:tcW w:w="1980"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污染工序（源）</w:t>
                  </w:r>
                </w:p>
              </w:tc>
              <w:tc>
                <w:tcPr>
                  <w:tcW w:w="1989"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污染物名称</w:t>
                  </w:r>
                </w:p>
              </w:tc>
              <w:tc>
                <w:tcPr>
                  <w:tcW w:w="3175"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主要污染因子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9" w:type="dxa"/>
                  <w:vMerge w:val="restart"/>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施工期</w:t>
                  </w:r>
                </w:p>
              </w:tc>
              <w:tc>
                <w:tcPr>
                  <w:tcW w:w="1373" w:type="dxa"/>
                  <w:vMerge w:val="restart"/>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废气</w:t>
                  </w:r>
                </w:p>
              </w:tc>
              <w:tc>
                <w:tcPr>
                  <w:tcW w:w="1980"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场地开挖、物料堆放、来往车辆</w:t>
                  </w:r>
                </w:p>
              </w:tc>
              <w:tc>
                <w:tcPr>
                  <w:tcW w:w="1989"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扬尘</w:t>
                  </w:r>
                </w:p>
              </w:tc>
              <w:tc>
                <w:tcPr>
                  <w:tcW w:w="3175"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颗粒物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9" w:type="dxa"/>
                  <w:vMerge w:val="continue"/>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p>
              </w:tc>
              <w:tc>
                <w:tcPr>
                  <w:tcW w:w="1373" w:type="dxa"/>
                  <w:vMerge w:val="continue"/>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p>
              </w:tc>
              <w:tc>
                <w:tcPr>
                  <w:tcW w:w="1980"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运输车辆、机械设备</w:t>
                  </w:r>
                </w:p>
              </w:tc>
              <w:tc>
                <w:tcPr>
                  <w:tcW w:w="1989"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汽车尾气及机械废气</w:t>
                  </w:r>
                </w:p>
              </w:tc>
              <w:tc>
                <w:tcPr>
                  <w:tcW w:w="3175"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CO、NO</w:t>
                  </w:r>
                  <w:r>
                    <w:rPr>
                      <w:rFonts w:ascii="Times New Roman" w:hAnsi="Times New Roman" w:eastAsia="宋体" w:cs="Times New Roman"/>
                      <w:bCs/>
                      <w:color w:val="auto"/>
                      <w:szCs w:val="21"/>
                      <w:vertAlign w:val="subscript"/>
                    </w:rPr>
                    <w:t>X</w:t>
                  </w:r>
                  <w:r>
                    <w:rPr>
                      <w:rFonts w:ascii="Times New Roman" w:hAnsi="Times New Roman" w:eastAsia="宋体" w:cs="Times New Roman"/>
                      <w:bCs/>
                      <w:color w:val="auto"/>
                      <w:szCs w:val="21"/>
                    </w:rPr>
                    <w:t>、HC</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jc w:val="center"/>
              </w:trPr>
              <w:tc>
                <w:tcPr>
                  <w:tcW w:w="829" w:type="dxa"/>
                  <w:vMerge w:val="continue"/>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p>
              </w:tc>
              <w:tc>
                <w:tcPr>
                  <w:tcW w:w="1373" w:type="dxa"/>
                  <w:vMerge w:val="restart"/>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废水</w:t>
                  </w:r>
                </w:p>
              </w:tc>
              <w:tc>
                <w:tcPr>
                  <w:tcW w:w="1980"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施工过程</w:t>
                  </w:r>
                </w:p>
              </w:tc>
              <w:tc>
                <w:tcPr>
                  <w:tcW w:w="1989"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废水</w:t>
                  </w:r>
                </w:p>
              </w:tc>
              <w:tc>
                <w:tcPr>
                  <w:tcW w:w="3175"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石油类、SS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jc w:val="center"/>
              </w:trPr>
              <w:tc>
                <w:tcPr>
                  <w:tcW w:w="829"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 w:val="24"/>
                      <w:szCs w:val="20"/>
                      <w:lang w:val="zh-CN"/>
                    </w:rPr>
                  </w:pPr>
                </w:p>
              </w:tc>
              <w:tc>
                <w:tcPr>
                  <w:tcW w:w="1373"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 w:val="24"/>
                      <w:szCs w:val="20"/>
                      <w:lang w:val="zh-CN"/>
                    </w:rPr>
                  </w:pPr>
                </w:p>
              </w:tc>
              <w:tc>
                <w:tcPr>
                  <w:tcW w:w="1980"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生活</w:t>
                  </w:r>
                </w:p>
              </w:tc>
              <w:tc>
                <w:tcPr>
                  <w:tcW w:w="1989"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生活污水</w:t>
                  </w:r>
                </w:p>
              </w:tc>
              <w:tc>
                <w:tcPr>
                  <w:tcW w:w="3175"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COD、BOD、NH</w:t>
                  </w:r>
                  <w:r>
                    <w:rPr>
                      <w:rFonts w:ascii="Times New Roman" w:hAnsi="Times New Roman" w:eastAsia="宋体" w:cs="Times New Roman"/>
                      <w:bCs/>
                      <w:color w:val="auto"/>
                      <w:szCs w:val="21"/>
                      <w:vertAlign w:val="subscript"/>
                    </w:rPr>
                    <w:t>3</w:t>
                  </w:r>
                  <w:r>
                    <w:rPr>
                      <w:rFonts w:ascii="Times New Roman" w:hAnsi="Times New Roman" w:eastAsia="宋体" w:cs="Times New Roman"/>
                      <w:bCs/>
                      <w:color w:val="auto"/>
                      <w:szCs w:val="21"/>
                    </w:rPr>
                    <w:t>-N、SS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29" w:type="dxa"/>
                  <w:vMerge w:val="continue"/>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p>
              </w:tc>
              <w:tc>
                <w:tcPr>
                  <w:tcW w:w="1373"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噪声</w:t>
                  </w:r>
                </w:p>
              </w:tc>
              <w:tc>
                <w:tcPr>
                  <w:tcW w:w="1980"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施工设备</w:t>
                  </w:r>
                </w:p>
              </w:tc>
              <w:tc>
                <w:tcPr>
                  <w:tcW w:w="1989"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设备噪声</w:t>
                  </w:r>
                </w:p>
              </w:tc>
              <w:tc>
                <w:tcPr>
                  <w:tcW w:w="3175"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噪声（dB(A)）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jc w:val="center"/>
              </w:trPr>
              <w:tc>
                <w:tcPr>
                  <w:tcW w:w="829" w:type="dxa"/>
                  <w:vMerge w:val="continue"/>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p>
              </w:tc>
              <w:tc>
                <w:tcPr>
                  <w:tcW w:w="1373" w:type="dxa"/>
                  <w:vMerge w:val="restart"/>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固废</w:t>
                  </w:r>
                </w:p>
              </w:tc>
              <w:tc>
                <w:tcPr>
                  <w:tcW w:w="1980"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施工过程</w:t>
                  </w:r>
                </w:p>
              </w:tc>
              <w:tc>
                <w:tcPr>
                  <w:tcW w:w="1989"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建筑垃圾</w:t>
                  </w:r>
                </w:p>
              </w:tc>
              <w:tc>
                <w:tcPr>
                  <w:tcW w:w="3175"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一般固废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jc w:val="center"/>
              </w:trPr>
              <w:tc>
                <w:tcPr>
                  <w:tcW w:w="829"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 w:val="24"/>
                      <w:szCs w:val="20"/>
                      <w:lang w:val="zh-CN"/>
                    </w:rPr>
                  </w:pPr>
                </w:p>
              </w:tc>
              <w:tc>
                <w:tcPr>
                  <w:tcW w:w="1373"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 w:val="24"/>
                      <w:szCs w:val="20"/>
                      <w:lang w:val="zh-CN"/>
                    </w:rPr>
                  </w:pPr>
                </w:p>
              </w:tc>
              <w:tc>
                <w:tcPr>
                  <w:tcW w:w="1980"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施工人员</w:t>
                  </w:r>
                </w:p>
              </w:tc>
              <w:tc>
                <w:tcPr>
                  <w:tcW w:w="1989"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生活垃圾</w:t>
                  </w:r>
                </w:p>
              </w:tc>
              <w:tc>
                <w:tcPr>
                  <w:tcW w:w="3175"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一般固废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jc w:val="center"/>
              </w:trPr>
              <w:tc>
                <w:tcPr>
                  <w:tcW w:w="829"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 w:val="24"/>
                      <w:szCs w:val="20"/>
                      <w:lang w:val="zh-CN"/>
                    </w:rPr>
                  </w:pPr>
                </w:p>
              </w:tc>
              <w:tc>
                <w:tcPr>
                  <w:tcW w:w="1373" w:type="dxa"/>
                  <w:shd w:val="clear" w:color="auto" w:fill="auto"/>
                  <w:vAlign w:val="center"/>
                </w:tcPr>
                <w:p>
                  <w:pPr>
                    <w:autoSpaceDE w:val="0"/>
                    <w:autoSpaceDN w:val="0"/>
                    <w:adjustRightInd w:val="0"/>
                    <w:jc w:val="center"/>
                    <w:rPr>
                      <w:rFonts w:hint="eastAsia" w:ascii="Times New Roman" w:hAnsi="Times New Roman" w:eastAsia="宋体" w:cs="Times New Roman"/>
                      <w:color w:val="auto"/>
                      <w:sz w:val="24"/>
                      <w:szCs w:val="20"/>
                      <w:lang w:val="en-US" w:eastAsia="zh-CN"/>
                    </w:rPr>
                  </w:pPr>
                  <w:r>
                    <w:rPr>
                      <w:rFonts w:hint="eastAsia" w:cs="Times New Roman"/>
                      <w:color w:val="auto"/>
                      <w:sz w:val="21"/>
                      <w:szCs w:val="21"/>
                      <w:lang w:val="en-US" w:eastAsia="zh-CN"/>
                    </w:rPr>
                    <w:t>生态</w:t>
                  </w:r>
                </w:p>
              </w:tc>
              <w:tc>
                <w:tcPr>
                  <w:tcW w:w="7144" w:type="dxa"/>
                  <w:gridSpan w:val="3"/>
                  <w:shd w:val="clear" w:color="auto" w:fill="auto"/>
                  <w:vAlign w:val="center"/>
                </w:tcPr>
                <w:p>
                  <w:pPr>
                    <w:autoSpaceDE w:val="0"/>
                    <w:autoSpaceDN w:val="0"/>
                    <w:adjustRightInd w:val="0"/>
                    <w:jc w:val="both"/>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lang w:val="en-US" w:eastAsia="zh-CN"/>
                    </w:rPr>
                    <w:t>①</w:t>
                  </w:r>
                  <w:r>
                    <w:rPr>
                      <w:rFonts w:hint="eastAsia" w:ascii="Times New Roman" w:hAnsi="Times New Roman" w:eastAsia="宋体" w:cs="Times New Roman"/>
                      <w:bCs/>
                      <w:color w:val="auto"/>
                      <w:szCs w:val="21"/>
                    </w:rPr>
                    <w:t>动物活动的影响</w:t>
                  </w:r>
                  <w:r>
                    <w:rPr>
                      <w:rFonts w:hint="eastAsia" w:ascii="Times New Roman" w:hAnsi="Times New Roman" w:eastAsia="宋体" w:cs="Times New Roman"/>
                      <w:bCs/>
                      <w:color w:val="auto"/>
                      <w:szCs w:val="21"/>
                      <w:lang w:val="en-US" w:eastAsia="zh-CN"/>
                    </w:rPr>
                    <w:t>②</w:t>
                  </w:r>
                  <w:r>
                    <w:rPr>
                      <w:rFonts w:hint="eastAsia" w:ascii="Times New Roman" w:hAnsi="Times New Roman" w:eastAsia="宋体" w:cs="Times New Roman"/>
                      <w:bCs/>
                      <w:color w:val="auto"/>
                      <w:szCs w:val="21"/>
                    </w:rPr>
                    <w:t>陆生植被影响</w:t>
                  </w:r>
                  <w:r>
                    <w:rPr>
                      <w:rFonts w:hint="eastAsia" w:ascii="Times New Roman" w:hAnsi="Times New Roman" w:eastAsia="宋体" w:cs="Times New Roman"/>
                      <w:bCs/>
                      <w:color w:val="auto"/>
                      <w:szCs w:val="21"/>
                      <w:lang w:val="en-US" w:eastAsia="zh-CN"/>
                    </w:rPr>
                    <w:t>③</w:t>
                  </w:r>
                  <w:r>
                    <w:rPr>
                      <w:rFonts w:hint="eastAsia" w:ascii="Times New Roman" w:hAnsi="Times New Roman" w:eastAsia="宋体" w:cs="Times New Roman"/>
                      <w:bCs/>
                      <w:color w:val="auto"/>
                      <w:szCs w:val="21"/>
                    </w:rPr>
                    <w:t>景观生态影响</w:t>
                  </w:r>
                  <w:r>
                    <w:rPr>
                      <w:rFonts w:hint="eastAsia" w:ascii="Times New Roman" w:hAnsi="Times New Roman" w:eastAsia="宋体" w:cs="Times New Roman"/>
                      <w:bCs/>
                      <w:color w:val="auto"/>
                      <w:szCs w:val="21"/>
                      <w:lang w:val="en-US" w:eastAsia="zh-CN"/>
                    </w:rPr>
                    <w:t>④</w:t>
                  </w:r>
                  <w:r>
                    <w:rPr>
                      <w:rFonts w:hint="eastAsia" w:ascii="Times New Roman" w:hAnsi="Times New Roman" w:eastAsia="宋体" w:cs="Times New Roman"/>
                      <w:bCs/>
                      <w:color w:val="auto"/>
                      <w:szCs w:val="21"/>
                    </w:rPr>
                    <w:t>水土流失影响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jc w:val="center"/>
              </w:trPr>
              <w:tc>
                <w:tcPr>
                  <w:tcW w:w="829" w:type="dxa"/>
                  <w:vMerge w:val="restart"/>
                  <w:shd w:val="clear" w:color="auto" w:fill="auto"/>
                  <w:vAlign w:val="center"/>
                </w:tcPr>
                <w:p>
                  <w:pPr>
                    <w:autoSpaceDE w:val="0"/>
                    <w:autoSpaceDN w:val="0"/>
                    <w:adjustRightInd w:val="0"/>
                    <w:jc w:val="center"/>
                    <w:rPr>
                      <w:rFonts w:ascii="Times New Roman" w:hAnsi="Times New Roman" w:eastAsia="宋体" w:cs="Times New Roman"/>
                      <w:color w:val="auto"/>
                      <w:szCs w:val="21"/>
                      <w:lang w:val="zh-CN"/>
                    </w:rPr>
                  </w:pPr>
                  <w:r>
                    <w:rPr>
                      <w:rFonts w:ascii="Times New Roman" w:hAnsi="Times New Roman" w:eastAsia="宋体" w:cs="Times New Roman"/>
                      <w:color w:val="auto"/>
                      <w:szCs w:val="21"/>
                      <w:lang w:val="zh-CN"/>
                    </w:rPr>
                    <w:t>运营期</w:t>
                  </w:r>
                </w:p>
              </w:tc>
              <w:tc>
                <w:tcPr>
                  <w:tcW w:w="1373" w:type="dxa"/>
                  <w:vMerge w:val="restart"/>
                  <w:shd w:val="clear" w:color="auto" w:fill="auto"/>
                  <w:vAlign w:val="center"/>
                </w:tcPr>
                <w:p>
                  <w:pPr>
                    <w:autoSpaceDE w:val="0"/>
                    <w:autoSpaceDN w:val="0"/>
                    <w:adjustRightInd w:val="0"/>
                    <w:jc w:val="center"/>
                    <w:rPr>
                      <w:rFonts w:ascii="Times New Roman" w:hAnsi="Times New Roman" w:eastAsia="宋体" w:cs="Times New Roman"/>
                      <w:color w:val="auto"/>
                      <w:szCs w:val="21"/>
                      <w:lang w:val="zh-CN"/>
                    </w:rPr>
                  </w:pPr>
                  <w:r>
                    <w:rPr>
                      <w:rFonts w:ascii="Times New Roman" w:hAnsi="Times New Roman" w:eastAsia="宋体" w:cs="Times New Roman"/>
                      <w:color w:val="auto"/>
                      <w:szCs w:val="21"/>
                      <w:lang w:val="zh-CN"/>
                    </w:rPr>
                    <w:t>废气</w:t>
                  </w:r>
                </w:p>
              </w:tc>
              <w:tc>
                <w:tcPr>
                  <w:tcW w:w="1980"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color w:val="auto"/>
                      <w:kern w:val="0"/>
                      <w:szCs w:val="21"/>
                    </w:rPr>
                    <w:t>地下停车场</w:t>
                  </w:r>
                </w:p>
              </w:tc>
              <w:tc>
                <w:tcPr>
                  <w:tcW w:w="1989"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color w:val="auto"/>
                      <w:kern w:val="0"/>
                      <w:szCs w:val="21"/>
                    </w:rPr>
                    <w:t>汽车尾气</w:t>
                  </w:r>
                </w:p>
              </w:tc>
              <w:tc>
                <w:tcPr>
                  <w:tcW w:w="3175"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CO、HC、NO</w:t>
                  </w:r>
                  <w:r>
                    <w:rPr>
                      <w:rFonts w:ascii="Times New Roman" w:hAnsi="Times New Roman" w:eastAsia="宋体" w:cs="Times New Roman"/>
                      <w:bCs/>
                      <w:color w:val="auto"/>
                      <w:szCs w:val="21"/>
                      <w:vertAlign w:val="subscript"/>
                    </w:rPr>
                    <w:t>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jc w:val="center"/>
              </w:trPr>
              <w:tc>
                <w:tcPr>
                  <w:tcW w:w="829"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Cs w:val="21"/>
                    </w:rPr>
                  </w:pPr>
                </w:p>
              </w:tc>
              <w:tc>
                <w:tcPr>
                  <w:tcW w:w="1373"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Cs w:val="21"/>
                    </w:rPr>
                  </w:pPr>
                </w:p>
              </w:tc>
              <w:tc>
                <w:tcPr>
                  <w:tcW w:w="1980"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color w:val="auto"/>
                      <w:kern w:val="0"/>
                      <w:szCs w:val="21"/>
                    </w:rPr>
                    <w:t>餐饮</w:t>
                  </w:r>
                </w:p>
              </w:tc>
              <w:tc>
                <w:tcPr>
                  <w:tcW w:w="1989"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color w:val="auto"/>
                      <w:kern w:val="0"/>
                      <w:szCs w:val="21"/>
                    </w:rPr>
                    <w:t>餐饮油烟</w:t>
                  </w:r>
                </w:p>
              </w:tc>
              <w:tc>
                <w:tcPr>
                  <w:tcW w:w="3175"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油烟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jc w:val="center"/>
              </w:trPr>
              <w:tc>
                <w:tcPr>
                  <w:tcW w:w="829"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Cs w:val="21"/>
                    </w:rPr>
                  </w:pPr>
                </w:p>
              </w:tc>
              <w:tc>
                <w:tcPr>
                  <w:tcW w:w="1373"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Cs w:val="21"/>
                    </w:rPr>
                  </w:pPr>
                </w:p>
              </w:tc>
              <w:tc>
                <w:tcPr>
                  <w:tcW w:w="1980" w:type="dxa"/>
                  <w:shd w:val="clear" w:color="auto" w:fill="auto"/>
                  <w:vAlign w:val="center"/>
                </w:tcPr>
                <w:p>
                  <w:pPr>
                    <w:autoSpaceDE w:val="0"/>
                    <w:autoSpaceDN w:val="0"/>
                    <w:adjustRightInd w:val="0"/>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备用柴油发电机</w:t>
                  </w:r>
                </w:p>
              </w:tc>
              <w:tc>
                <w:tcPr>
                  <w:tcW w:w="1989" w:type="dxa"/>
                  <w:shd w:val="clear" w:color="auto" w:fill="auto"/>
                  <w:vAlign w:val="center"/>
                </w:tcPr>
                <w:p>
                  <w:pPr>
                    <w:autoSpaceDE w:val="0"/>
                    <w:autoSpaceDN w:val="0"/>
                    <w:adjustRightInd w:val="0"/>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发电机废</w:t>
                  </w:r>
                </w:p>
              </w:tc>
              <w:tc>
                <w:tcPr>
                  <w:tcW w:w="3175" w:type="dxa"/>
                  <w:shd w:val="clear" w:color="auto" w:fill="auto"/>
                  <w:vAlign w:val="center"/>
                </w:tcPr>
                <w:p>
                  <w:pPr>
                    <w:autoSpaceDE w:val="0"/>
                    <w:autoSpaceDN w:val="0"/>
                    <w:adjustRightIn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CO</w:t>
                  </w:r>
                  <w:r>
                    <w:rPr>
                      <w:rFonts w:hint="eastAsia" w:ascii="Times New Roman" w:hAnsi="Times New Roman" w:eastAsia="宋体" w:cs="Times New Roman"/>
                      <w:color w:val="auto"/>
                      <w:kern w:val="0"/>
                      <w:szCs w:val="21"/>
                    </w:rPr>
                    <w:t>、</w:t>
                  </w:r>
                  <w:r>
                    <w:rPr>
                      <w:rFonts w:ascii="Times New Roman" w:hAnsi="Times New Roman" w:eastAsia="宋体" w:cs="Times New Roman"/>
                      <w:color w:val="auto"/>
                      <w:kern w:val="0"/>
                      <w:szCs w:val="21"/>
                    </w:rPr>
                    <w:t>HC</w:t>
                  </w:r>
                  <w:r>
                    <w:rPr>
                      <w:rFonts w:hint="eastAsia" w:ascii="Times New Roman" w:hAnsi="Times New Roman" w:eastAsia="宋体" w:cs="Times New Roman"/>
                      <w:color w:val="auto"/>
                      <w:kern w:val="0"/>
                      <w:szCs w:val="21"/>
                    </w:rPr>
                    <w:t>、</w:t>
                  </w:r>
                  <w:r>
                    <w:rPr>
                      <w:rFonts w:hint="eastAsia" w:ascii="Times New Roman" w:hAnsi="宋体" w:eastAsia="宋体" w:cs="Times New Roman"/>
                      <w:color w:val="auto"/>
                      <w:szCs w:val="21"/>
                    </w:rPr>
                    <w:t>NO</w:t>
                  </w:r>
                  <w:r>
                    <w:rPr>
                      <w:rFonts w:hint="eastAsia" w:ascii="Times New Roman" w:hAnsi="宋体" w:eastAsia="宋体" w:cs="Times New Roman"/>
                      <w:color w:val="auto"/>
                      <w:szCs w:val="21"/>
                      <w:vertAlign w:val="subscript"/>
                    </w:rPr>
                    <w:t>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29"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Cs w:val="21"/>
                      <w:lang w:val="zh-CN"/>
                    </w:rPr>
                  </w:pPr>
                </w:p>
              </w:tc>
              <w:tc>
                <w:tcPr>
                  <w:tcW w:w="1373" w:type="dxa"/>
                  <w:vMerge w:val="restart"/>
                  <w:shd w:val="clear" w:color="auto" w:fill="auto"/>
                  <w:vAlign w:val="center"/>
                </w:tcPr>
                <w:p>
                  <w:pPr>
                    <w:autoSpaceDE w:val="0"/>
                    <w:autoSpaceDN w:val="0"/>
                    <w:adjustRightInd w:val="0"/>
                    <w:jc w:val="center"/>
                    <w:rPr>
                      <w:rFonts w:ascii="Times New Roman" w:hAnsi="Times New Roman" w:eastAsia="宋体" w:cs="Times New Roman"/>
                      <w:color w:val="auto"/>
                      <w:szCs w:val="21"/>
                      <w:lang w:val="zh-CN"/>
                    </w:rPr>
                  </w:pPr>
                  <w:r>
                    <w:rPr>
                      <w:rFonts w:ascii="Times New Roman" w:hAnsi="Times New Roman" w:eastAsia="宋体" w:cs="Times New Roman"/>
                      <w:color w:val="auto"/>
                      <w:szCs w:val="21"/>
                      <w:lang w:val="zh-CN"/>
                    </w:rPr>
                    <w:t>废水</w:t>
                  </w:r>
                </w:p>
              </w:tc>
              <w:tc>
                <w:tcPr>
                  <w:tcW w:w="1980"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生活废水</w:t>
                  </w:r>
                </w:p>
              </w:tc>
              <w:tc>
                <w:tcPr>
                  <w:tcW w:w="1989"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生活废水</w:t>
                  </w:r>
                </w:p>
              </w:tc>
              <w:tc>
                <w:tcPr>
                  <w:tcW w:w="3175"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color w:val="auto"/>
                      <w:kern w:val="0"/>
                      <w:szCs w:val="21"/>
                    </w:rPr>
                    <w:t>COD、BOD</w:t>
                  </w:r>
                  <w:r>
                    <w:rPr>
                      <w:rFonts w:ascii="Times New Roman" w:hAnsi="Times New Roman" w:eastAsia="宋体" w:cs="Times New Roman"/>
                      <w:color w:val="auto"/>
                      <w:kern w:val="0"/>
                      <w:szCs w:val="21"/>
                      <w:vertAlign w:val="subscript"/>
                    </w:rPr>
                    <w:t>5</w:t>
                  </w:r>
                  <w:r>
                    <w:rPr>
                      <w:rFonts w:ascii="Times New Roman" w:hAnsi="Times New Roman" w:eastAsia="宋体" w:cs="Times New Roman"/>
                      <w:color w:val="auto"/>
                      <w:kern w:val="0"/>
                      <w:szCs w:val="21"/>
                    </w:rPr>
                    <w:t>、氨氮、SS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jc w:val="center"/>
              </w:trPr>
              <w:tc>
                <w:tcPr>
                  <w:tcW w:w="829"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Cs w:val="21"/>
                    </w:rPr>
                  </w:pPr>
                </w:p>
              </w:tc>
              <w:tc>
                <w:tcPr>
                  <w:tcW w:w="1373"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Cs w:val="21"/>
                    </w:rPr>
                  </w:pPr>
                </w:p>
              </w:tc>
              <w:tc>
                <w:tcPr>
                  <w:tcW w:w="1980" w:type="dxa"/>
                  <w:vMerge w:val="restart"/>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娱乐废水</w:t>
                  </w:r>
                </w:p>
              </w:tc>
              <w:tc>
                <w:tcPr>
                  <w:tcW w:w="1989"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color w:val="auto"/>
                      <w:kern w:val="0"/>
                      <w:szCs w:val="21"/>
                    </w:rPr>
                    <w:t>水池</w:t>
                  </w:r>
                  <w:r>
                    <w:rPr>
                      <w:rFonts w:hint="eastAsia" w:cs="Times New Roman"/>
                      <w:color w:val="auto"/>
                      <w:kern w:val="0"/>
                      <w:szCs w:val="21"/>
                      <w:lang w:val="en-US" w:eastAsia="zh-CN"/>
                    </w:rPr>
                    <w:t>定期排放</w:t>
                  </w:r>
                  <w:r>
                    <w:rPr>
                      <w:rFonts w:ascii="Times New Roman" w:hAnsi="Times New Roman" w:eastAsia="宋体" w:cs="Times New Roman"/>
                      <w:color w:val="auto"/>
                      <w:kern w:val="0"/>
                      <w:szCs w:val="21"/>
                    </w:rPr>
                    <w:t>废水</w:t>
                  </w:r>
                </w:p>
              </w:tc>
              <w:tc>
                <w:tcPr>
                  <w:tcW w:w="3175" w:type="dxa"/>
                  <w:shd w:val="clear" w:color="auto" w:fill="auto"/>
                  <w:vAlign w:val="center"/>
                </w:tcPr>
                <w:p>
                  <w:pPr>
                    <w:autoSpaceDE w:val="0"/>
                    <w:autoSpaceDN w:val="0"/>
                    <w:adjustRightIn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COD、BOD</w:t>
                  </w:r>
                  <w:r>
                    <w:rPr>
                      <w:rFonts w:ascii="Times New Roman" w:hAnsi="Times New Roman" w:eastAsia="宋体" w:cs="Times New Roman"/>
                      <w:color w:val="auto"/>
                      <w:kern w:val="0"/>
                      <w:szCs w:val="21"/>
                      <w:vertAlign w:val="subscript"/>
                    </w:rPr>
                    <w:t>5</w:t>
                  </w:r>
                  <w:r>
                    <w:rPr>
                      <w:rFonts w:ascii="Times New Roman" w:hAnsi="Times New Roman" w:eastAsia="宋体" w:cs="Times New Roman"/>
                      <w:color w:val="auto"/>
                      <w:kern w:val="0"/>
                      <w:szCs w:val="21"/>
                    </w:rPr>
                    <w:t>、氨氮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jc w:val="center"/>
              </w:trPr>
              <w:tc>
                <w:tcPr>
                  <w:tcW w:w="829"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Cs w:val="21"/>
                    </w:rPr>
                  </w:pPr>
                </w:p>
              </w:tc>
              <w:tc>
                <w:tcPr>
                  <w:tcW w:w="1373"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Cs w:val="21"/>
                    </w:rPr>
                  </w:pPr>
                </w:p>
              </w:tc>
              <w:tc>
                <w:tcPr>
                  <w:tcW w:w="1980" w:type="dxa"/>
                  <w:vMerge w:val="continue"/>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p>
              </w:tc>
              <w:tc>
                <w:tcPr>
                  <w:tcW w:w="1989" w:type="dxa"/>
                  <w:shd w:val="clear" w:color="auto" w:fill="auto"/>
                  <w:vAlign w:val="center"/>
                </w:tcPr>
                <w:p>
                  <w:pPr>
                    <w:autoSpaceDE w:val="0"/>
                    <w:autoSpaceDN w:val="0"/>
                    <w:adjustRightIn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反冲洗废水</w:t>
                  </w:r>
                </w:p>
              </w:tc>
              <w:tc>
                <w:tcPr>
                  <w:tcW w:w="3175" w:type="dxa"/>
                  <w:shd w:val="clear" w:color="auto" w:fill="auto"/>
                  <w:vAlign w:val="center"/>
                </w:tcPr>
                <w:p>
                  <w:pPr>
                    <w:autoSpaceDE w:val="0"/>
                    <w:autoSpaceDN w:val="0"/>
                    <w:adjustRightIn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COD、BOD</w:t>
                  </w:r>
                  <w:r>
                    <w:rPr>
                      <w:rFonts w:ascii="Times New Roman" w:hAnsi="Times New Roman" w:eastAsia="宋体" w:cs="Times New Roman"/>
                      <w:color w:val="auto"/>
                      <w:kern w:val="0"/>
                      <w:szCs w:val="21"/>
                      <w:vertAlign w:val="subscript"/>
                    </w:rPr>
                    <w:t>5</w:t>
                  </w:r>
                  <w:r>
                    <w:rPr>
                      <w:rFonts w:ascii="Times New Roman" w:hAnsi="Times New Roman" w:eastAsia="宋体" w:cs="Times New Roman"/>
                      <w:color w:val="auto"/>
                      <w:kern w:val="0"/>
                      <w:szCs w:val="21"/>
                    </w:rPr>
                    <w:t>、氨氮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jc w:val="center"/>
              </w:trPr>
              <w:tc>
                <w:tcPr>
                  <w:tcW w:w="829"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Cs w:val="21"/>
                    </w:rPr>
                  </w:pPr>
                </w:p>
              </w:tc>
              <w:tc>
                <w:tcPr>
                  <w:tcW w:w="1373" w:type="dxa"/>
                  <w:shd w:val="clear" w:color="auto" w:fill="auto"/>
                  <w:vAlign w:val="center"/>
                </w:tcPr>
                <w:p>
                  <w:pPr>
                    <w:autoSpaceDE w:val="0"/>
                    <w:autoSpaceDN w:val="0"/>
                    <w:adjustRightIn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噪声</w:t>
                  </w:r>
                </w:p>
              </w:tc>
              <w:tc>
                <w:tcPr>
                  <w:tcW w:w="1980"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运行设备</w:t>
                  </w:r>
                </w:p>
              </w:tc>
              <w:tc>
                <w:tcPr>
                  <w:tcW w:w="1989" w:type="dxa"/>
                  <w:shd w:val="clear" w:color="auto" w:fill="auto"/>
                  <w:vAlign w:val="center"/>
                </w:tcPr>
                <w:p>
                  <w:pPr>
                    <w:autoSpaceDE w:val="0"/>
                    <w:autoSpaceDN w:val="0"/>
                    <w:adjustRightInd w:val="0"/>
                    <w:jc w:val="center"/>
                    <w:rPr>
                      <w:rFonts w:ascii="Times New Roman" w:hAnsi="Times New Roman" w:eastAsia="宋体" w:cs="Times New Roman"/>
                      <w:color w:val="auto"/>
                      <w:kern w:val="0"/>
                      <w:szCs w:val="21"/>
                    </w:rPr>
                  </w:pPr>
                  <w:r>
                    <w:rPr>
                      <w:rFonts w:ascii="Times New Roman" w:hAnsi="Times New Roman" w:eastAsia="宋体" w:cs="Times New Roman"/>
                      <w:bCs/>
                      <w:color w:val="auto"/>
                      <w:szCs w:val="21"/>
                    </w:rPr>
                    <w:t>设备噪声</w:t>
                  </w:r>
                </w:p>
              </w:tc>
              <w:tc>
                <w:tcPr>
                  <w:tcW w:w="3175" w:type="dxa"/>
                  <w:shd w:val="clear" w:color="auto" w:fill="auto"/>
                  <w:vAlign w:val="center"/>
                </w:tcPr>
                <w:p>
                  <w:pPr>
                    <w:autoSpaceDE w:val="0"/>
                    <w:autoSpaceDN w:val="0"/>
                    <w:adjustRightInd w:val="0"/>
                    <w:jc w:val="center"/>
                    <w:rPr>
                      <w:rFonts w:ascii="Times New Roman" w:hAnsi="Times New Roman" w:eastAsia="宋体" w:cs="Times New Roman"/>
                      <w:color w:val="auto"/>
                      <w:kern w:val="0"/>
                      <w:szCs w:val="21"/>
                    </w:rPr>
                  </w:pPr>
                  <w:r>
                    <w:rPr>
                      <w:rFonts w:ascii="Times New Roman" w:hAnsi="Times New Roman" w:eastAsia="宋体" w:cs="Times New Roman"/>
                      <w:bCs/>
                      <w:color w:val="auto"/>
                      <w:szCs w:val="21"/>
                    </w:rPr>
                    <w:t>噪声（dB(A)）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jc w:val="center"/>
              </w:trPr>
              <w:tc>
                <w:tcPr>
                  <w:tcW w:w="829"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Cs w:val="21"/>
                    </w:rPr>
                  </w:pPr>
                </w:p>
              </w:tc>
              <w:tc>
                <w:tcPr>
                  <w:tcW w:w="1373" w:type="dxa"/>
                  <w:vMerge w:val="restart"/>
                  <w:shd w:val="clear" w:color="auto" w:fill="auto"/>
                  <w:vAlign w:val="center"/>
                </w:tcPr>
                <w:p>
                  <w:pPr>
                    <w:autoSpaceDE w:val="0"/>
                    <w:autoSpaceDN w:val="0"/>
                    <w:adjustRightIn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固废</w:t>
                  </w:r>
                </w:p>
              </w:tc>
              <w:tc>
                <w:tcPr>
                  <w:tcW w:w="1980"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color w:val="auto"/>
                      <w:kern w:val="0"/>
                      <w:szCs w:val="21"/>
                    </w:rPr>
                    <w:t>生活垃圾</w:t>
                  </w:r>
                </w:p>
              </w:tc>
              <w:tc>
                <w:tcPr>
                  <w:tcW w:w="1989"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color w:val="auto"/>
                      <w:kern w:val="0"/>
                      <w:szCs w:val="21"/>
                    </w:rPr>
                    <w:t>生活垃圾</w:t>
                  </w:r>
                </w:p>
              </w:tc>
              <w:tc>
                <w:tcPr>
                  <w:tcW w:w="3175" w:type="dxa"/>
                  <w:vMerge w:val="restart"/>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一般固废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jc w:val="center"/>
              </w:trPr>
              <w:tc>
                <w:tcPr>
                  <w:tcW w:w="829"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Cs w:val="21"/>
                    </w:rPr>
                  </w:pPr>
                </w:p>
              </w:tc>
              <w:tc>
                <w:tcPr>
                  <w:tcW w:w="1373"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Cs w:val="21"/>
                    </w:rPr>
                  </w:pPr>
                </w:p>
              </w:tc>
              <w:tc>
                <w:tcPr>
                  <w:tcW w:w="1980"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color w:val="auto"/>
                      <w:kern w:val="0"/>
                      <w:szCs w:val="21"/>
                    </w:rPr>
                    <w:t>餐饮</w:t>
                  </w:r>
                </w:p>
              </w:tc>
              <w:tc>
                <w:tcPr>
                  <w:tcW w:w="1989"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color w:val="auto"/>
                      <w:kern w:val="0"/>
                      <w:szCs w:val="21"/>
                    </w:rPr>
                    <w:t>餐饮垃圾</w:t>
                  </w:r>
                </w:p>
              </w:tc>
              <w:tc>
                <w:tcPr>
                  <w:tcW w:w="3175" w:type="dxa"/>
                  <w:vMerge w:val="continue"/>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jc w:val="center"/>
              </w:trPr>
              <w:tc>
                <w:tcPr>
                  <w:tcW w:w="829"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Cs w:val="21"/>
                    </w:rPr>
                  </w:pPr>
                </w:p>
              </w:tc>
              <w:tc>
                <w:tcPr>
                  <w:tcW w:w="1373"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Cs w:val="21"/>
                    </w:rPr>
                  </w:pPr>
                </w:p>
              </w:tc>
              <w:tc>
                <w:tcPr>
                  <w:tcW w:w="1980" w:type="dxa"/>
                  <w:shd w:val="clear" w:color="auto" w:fill="auto"/>
                  <w:vAlign w:val="center"/>
                </w:tcPr>
                <w:p>
                  <w:pPr>
                    <w:autoSpaceDE w:val="0"/>
                    <w:autoSpaceDN w:val="0"/>
                    <w:adjustRightInd w:val="0"/>
                    <w:jc w:val="center"/>
                    <w:rPr>
                      <w:rFonts w:hint="eastAsia" w:ascii="Times New Roman" w:hAnsi="Times New Roman" w:eastAsia="宋体" w:cs="Times New Roman"/>
                      <w:color w:val="auto"/>
                      <w:kern w:val="0"/>
                      <w:szCs w:val="21"/>
                      <w:lang w:val="en-US" w:eastAsia="zh-CN"/>
                    </w:rPr>
                  </w:pPr>
                  <w:r>
                    <w:rPr>
                      <w:rFonts w:hint="eastAsia" w:cs="Times New Roman"/>
                      <w:color w:val="auto"/>
                      <w:kern w:val="0"/>
                      <w:szCs w:val="21"/>
                      <w:lang w:val="en-US" w:eastAsia="zh-CN"/>
                    </w:rPr>
                    <w:t>娱乐设施水处理系统</w:t>
                  </w:r>
                </w:p>
              </w:tc>
              <w:tc>
                <w:tcPr>
                  <w:tcW w:w="1989" w:type="dxa"/>
                  <w:shd w:val="clear" w:color="auto" w:fill="auto"/>
                  <w:vAlign w:val="center"/>
                </w:tcPr>
                <w:p>
                  <w:pPr>
                    <w:autoSpaceDE w:val="0"/>
                    <w:autoSpaceDN w:val="0"/>
                    <w:adjustRightInd w:val="0"/>
                    <w:jc w:val="center"/>
                    <w:rPr>
                      <w:rFonts w:hint="eastAsia" w:ascii="Times New Roman" w:hAnsi="Times New Roman" w:eastAsia="宋体" w:cs="Times New Roman"/>
                      <w:color w:val="auto"/>
                      <w:kern w:val="0"/>
                      <w:szCs w:val="21"/>
                      <w:lang w:val="en-US" w:eastAsia="zh-CN"/>
                    </w:rPr>
                  </w:pPr>
                  <w:r>
                    <w:rPr>
                      <w:rFonts w:hint="eastAsia" w:cs="Times New Roman"/>
                      <w:color w:val="auto"/>
                      <w:kern w:val="0"/>
                      <w:szCs w:val="21"/>
                      <w:lang w:val="en-US" w:eastAsia="zh-CN"/>
                    </w:rPr>
                    <w:t>滤渣毛发</w:t>
                  </w:r>
                </w:p>
              </w:tc>
              <w:tc>
                <w:tcPr>
                  <w:tcW w:w="3175" w:type="dxa"/>
                  <w:vMerge w:val="continue"/>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jc w:val="center"/>
              </w:trPr>
              <w:tc>
                <w:tcPr>
                  <w:tcW w:w="829"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Cs w:val="21"/>
                    </w:rPr>
                  </w:pPr>
                </w:p>
              </w:tc>
              <w:tc>
                <w:tcPr>
                  <w:tcW w:w="1373"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Cs w:val="21"/>
                    </w:rPr>
                  </w:pPr>
                </w:p>
              </w:tc>
              <w:tc>
                <w:tcPr>
                  <w:tcW w:w="1980" w:type="dxa"/>
                  <w:vMerge w:val="restart"/>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设备维修</w:t>
                  </w:r>
                </w:p>
              </w:tc>
              <w:tc>
                <w:tcPr>
                  <w:tcW w:w="1989"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废机油</w:t>
                  </w:r>
                </w:p>
              </w:tc>
              <w:tc>
                <w:tcPr>
                  <w:tcW w:w="3175" w:type="dxa"/>
                  <w:vMerge w:val="restart"/>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危险废物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jc w:val="center"/>
              </w:trPr>
              <w:tc>
                <w:tcPr>
                  <w:tcW w:w="829"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Cs w:val="21"/>
                    </w:rPr>
                  </w:pPr>
                </w:p>
              </w:tc>
              <w:tc>
                <w:tcPr>
                  <w:tcW w:w="1373"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Cs w:val="21"/>
                    </w:rPr>
                  </w:pPr>
                </w:p>
              </w:tc>
              <w:tc>
                <w:tcPr>
                  <w:tcW w:w="1980" w:type="dxa"/>
                  <w:vMerge w:val="continue"/>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p>
              </w:tc>
              <w:tc>
                <w:tcPr>
                  <w:tcW w:w="1989"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废油抹布</w:t>
                  </w:r>
                </w:p>
              </w:tc>
              <w:tc>
                <w:tcPr>
                  <w:tcW w:w="3175" w:type="dxa"/>
                  <w:vMerge w:val="continue"/>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jc w:val="center"/>
              </w:trPr>
              <w:tc>
                <w:tcPr>
                  <w:tcW w:w="829"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Cs w:val="21"/>
                    </w:rPr>
                  </w:pPr>
                </w:p>
              </w:tc>
              <w:tc>
                <w:tcPr>
                  <w:tcW w:w="1373"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Cs w:val="21"/>
                    </w:rPr>
                  </w:pPr>
                </w:p>
              </w:tc>
              <w:tc>
                <w:tcPr>
                  <w:tcW w:w="1980"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医务室</w:t>
                  </w:r>
                </w:p>
              </w:tc>
              <w:tc>
                <w:tcPr>
                  <w:tcW w:w="1989"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医疗废物</w:t>
                  </w:r>
                </w:p>
              </w:tc>
              <w:tc>
                <w:tcPr>
                  <w:tcW w:w="3175" w:type="dxa"/>
                  <w:vMerge w:val="continue"/>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jc w:val="center"/>
              </w:trPr>
              <w:tc>
                <w:tcPr>
                  <w:tcW w:w="829"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Cs w:val="21"/>
                    </w:rPr>
                  </w:pPr>
                </w:p>
              </w:tc>
              <w:tc>
                <w:tcPr>
                  <w:tcW w:w="1373" w:type="dxa"/>
                  <w:shd w:val="clear" w:color="auto" w:fill="auto"/>
                  <w:vAlign w:val="center"/>
                </w:tcPr>
                <w:p>
                  <w:pPr>
                    <w:autoSpaceDE w:val="0"/>
                    <w:autoSpaceDN w:val="0"/>
                    <w:adjustRightInd w:val="0"/>
                    <w:jc w:val="center"/>
                    <w:rPr>
                      <w:rFonts w:hint="eastAsia" w:ascii="Times New Roman" w:hAnsi="Times New Roman" w:eastAsia="宋体" w:cs="Times New Roman"/>
                      <w:color w:val="auto"/>
                      <w:szCs w:val="21"/>
                      <w:lang w:val="en-US" w:eastAsia="zh-CN"/>
                    </w:rPr>
                  </w:pPr>
                  <w:r>
                    <w:rPr>
                      <w:rFonts w:hint="eastAsia" w:cs="Times New Roman"/>
                      <w:color w:val="auto"/>
                      <w:szCs w:val="21"/>
                      <w:lang w:val="en-US" w:eastAsia="zh-CN"/>
                    </w:rPr>
                    <w:t>生态</w:t>
                  </w:r>
                </w:p>
              </w:tc>
              <w:tc>
                <w:tcPr>
                  <w:tcW w:w="7144" w:type="dxa"/>
                  <w:gridSpan w:val="3"/>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hint="eastAsia" w:cs="Times New Roman"/>
                      <w:bCs/>
                      <w:color w:val="auto"/>
                      <w:szCs w:val="21"/>
                      <w:lang w:val="en-US" w:eastAsia="zh-CN"/>
                    </w:rPr>
                    <w:t>①</w:t>
                  </w:r>
                  <w:r>
                    <w:rPr>
                      <w:rFonts w:hint="eastAsia" w:ascii="Times New Roman" w:hAnsi="Times New Roman" w:eastAsia="宋体" w:cs="Times New Roman"/>
                      <w:bCs/>
                      <w:color w:val="auto"/>
                      <w:szCs w:val="21"/>
                      <w:lang w:val="en-US" w:eastAsia="zh-CN"/>
                    </w:rPr>
                    <w:t>对动植物及其生境的影响分析</w:t>
                  </w:r>
                  <w:r>
                    <w:rPr>
                      <w:rFonts w:hint="eastAsia" w:cs="Times New Roman"/>
                      <w:bCs/>
                      <w:color w:val="auto"/>
                      <w:szCs w:val="21"/>
                      <w:lang w:val="en-US" w:eastAsia="zh-CN"/>
                    </w:rPr>
                    <w:t>②</w:t>
                  </w:r>
                  <w:r>
                    <w:rPr>
                      <w:rFonts w:hint="eastAsia" w:ascii="Times New Roman" w:hAnsi="Times New Roman" w:eastAsia="宋体" w:cs="Times New Roman"/>
                      <w:bCs/>
                      <w:color w:val="auto"/>
                      <w:szCs w:val="21"/>
                      <w:lang w:val="en-US" w:eastAsia="zh-CN"/>
                    </w:rPr>
                    <w:t>项目占地的生态影响分析</w:t>
                  </w:r>
                  <w:r>
                    <w:rPr>
                      <w:rFonts w:hint="eastAsia" w:cs="Times New Roman"/>
                      <w:bCs/>
                      <w:color w:val="auto"/>
                      <w:szCs w:val="21"/>
                      <w:lang w:val="en-US" w:eastAsia="zh-CN"/>
                    </w:rPr>
                    <w:t>③</w:t>
                  </w:r>
                  <w:r>
                    <w:rPr>
                      <w:rFonts w:hint="eastAsia" w:ascii="Times New Roman" w:hAnsi="Times New Roman" w:eastAsia="宋体" w:cs="Times New Roman"/>
                      <w:bCs/>
                      <w:color w:val="auto"/>
                      <w:szCs w:val="21"/>
                      <w:lang w:val="en-US" w:eastAsia="zh-CN"/>
                    </w:rPr>
                    <w:t>对生态系统功能的影响</w:t>
                  </w:r>
                </w:p>
              </w:tc>
            </w:tr>
          </w:tbl>
          <w:p>
            <w:pPr>
              <w:adjustRightInd w:val="0"/>
              <w:snapToGrid w:val="0"/>
              <w:spacing w:line="360" w:lineRule="auto"/>
              <w:ind w:firstLine="480" w:firstLineChars="200"/>
              <w:rPr>
                <w:rFonts w:hint="eastAsia"/>
                <w:b/>
                <w:bCs/>
                <w:color w:val="auto"/>
                <w:kern w:val="0"/>
                <w:sz w:val="24"/>
                <w:lang w:val="en-US" w:eastAsia="zh-CN"/>
              </w:rPr>
            </w:pPr>
            <w:r>
              <w:rPr>
                <w:rFonts w:hint="eastAsia"/>
                <w:b/>
                <w:bCs/>
                <w:color w:val="auto"/>
                <w:kern w:val="0"/>
                <w:sz w:val="24"/>
                <w:lang w:val="en-US" w:eastAsia="zh-CN"/>
              </w:rPr>
              <w:t>二、生态环境影响分析</w:t>
            </w:r>
          </w:p>
          <w:p>
            <w:pPr>
              <w:spacing w:line="460" w:lineRule="exact"/>
              <w:ind w:firstLine="480" w:firstLineChars="200"/>
              <w:rPr>
                <w:rFonts w:hint="eastAsia"/>
                <w:color w:val="auto"/>
                <w:sz w:val="24"/>
                <w:lang w:val="en-US" w:eastAsia="zh-CN"/>
              </w:rPr>
            </w:pPr>
            <w:r>
              <w:rPr>
                <w:rFonts w:hint="eastAsia"/>
                <w:bCs/>
                <w:color w:val="auto"/>
                <w:sz w:val="24"/>
                <w:lang w:val="en-US" w:eastAsia="zh-CN"/>
              </w:rPr>
              <w:t>本项目</w:t>
            </w:r>
            <w:r>
              <w:rPr>
                <w:bCs/>
                <w:color w:val="auto"/>
                <w:sz w:val="24"/>
              </w:rPr>
              <w:t>未涉及《全国主体功能区划》与《陕西省主体功能区划》中的禁止开发区域、自然保护区、森林公园、风景名胜区、地质公园、文化自然遗产、水产种植自然保护区、重要湿地（含湿地公园）、重要水源地等。</w:t>
            </w:r>
            <w:r>
              <w:rPr>
                <w:rFonts w:hint="eastAsia"/>
                <w:color w:val="auto"/>
                <w:sz w:val="24"/>
                <w:lang w:val="en-US" w:eastAsia="zh-CN"/>
              </w:rPr>
              <w:t>营运期的主要影响在于永久占地及旅游的人为干扰两个方面，以及由此带来的生态系统结构格局的变化与系统功能的改变。</w:t>
            </w:r>
          </w:p>
          <w:p>
            <w:pPr>
              <w:spacing w:line="460" w:lineRule="exact"/>
              <w:ind w:firstLine="480" w:firstLineChars="200"/>
              <w:rPr>
                <w:rFonts w:hint="eastAsia"/>
                <w:b/>
                <w:bCs/>
                <w:color w:val="auto"/>
                <w:sz w:val="24"/>
                <w:lang w:val="en-US" w:eastAsia="zh-CN"/>
              </w:rPr>
            </w:pPr>
            <w:r>
              <w:rPr>
                <w:rFonts w:hint="eastAsia"/>
                <w:b/>
                <w:bCs/>
                <w:color w:val="auto"/>
                <w:sz w:val="24"/>
                <w:lang w:val="en-US" w:eastAsia="zh-CN"/>
              </w:rPr>
              <w:t>2.1对动植物及其生境的影响分析</w:t>
            </w:r>
          </w:p>
          <w:p>
            <w:pPr>
              <w:spacing w:line="460" w:lineRule="exact"/>
              <w:ind w:firstLine="480" w:firstLineChars="200"/>
              <w:rPr>
                <w:rFonts w:hint="eastAsia"/>
                <w:bCs/>
                <w:color w:val="auto"/>
                <w:sz w:val="24"/>
                <w:lang w:val="en-US" w:eastAsia="zh-CN"/>
              </w:rPr>
            </w:pPr>
            <w:r>
              <w:rPr>
                <w:rFonts w:hint="eastAsia"/>
                <w:bCs/>
                <w:color w:val="auto"/>
                <w:sz w:val="24"/>
                <w:lang w:val="en-US" w:eastAsia="zh-CN"/>
              </w:rPr>
              <w:t>对植物的影响主要表现在人为践踏的直接伤害作用，以及由于长期的践踏作用使土壤板结而影响到植物的生存条件，这种长期的干扰将影响植物的生长甚至使植物死亡。但由于旅游是局限在一个较小的范围内，故其影响范围不会太大，在采取一定措施后是可以接受的。总的看来，项目营运期对动植物的生存环境将造成一定的不利影响，但这种影响在采取一定的措施后是可以接受的。</w:t>
            </w:r>
          </w:p>
          <w:p>
            <w:pPr>
              <w:spacing w:line="460" w:lineRule="exact"/>
              <w:ind w:firstLine="480" w:firstLineChars="200"/>
              <w:rPr>
                <w:rFonts w:hint="eastAsia"/>
                <w:b/>
                <w:bCs w:val="0"/>
                <w:color w:val="auto"/>
                <w:sz w:val="24"/>
                <w:lang w:val="en-US" w:eastAsia="zh-CN"/>
              </w:rPr>
            </w:pPr>
            <w:r>
              <w:rPr>
                <w:rFonts w:hint="eastAsia"/>
                <w:b/>
                <w:bCs w:val="0"/>
                <w:color w:val="auto"/>
                <w:sz w:val="24"/>
                <w:lang w:val="en-US" w:eastAsia="zh-CN"/>
              </w:rPr>
              <w:t>2.2项目占地的生态影响分析</w:t>
            </w:r>
          </w:p>
          <w:p>
            <w:pPr>
              <w:spacing w:line="460" w:lineRule="exact"/>
              <w:ind w:firstLine="480" w:firstLineChars="200"/>
              <w:rPr>
                <w:rFonts w:hint="eastAsia"/>
                <w:bCs/>
                <w:color w:val="auto"/>
                <w:sz w:val="24"/>
                <w:lang w:val="en-US" w:eastAsia="zh-CN"/>
              </w:rPr>
            </w:pPr>
            <w:r>
              <w:rPr>
                <w:rFonts w:hint="eastAsia"/>
                <w:bCs/>
                <w:color w:val="auto"/>
                <w:sz w:val="24"/>
                <w:lang w:val="en-US" w:eastAsia="zh-CN"/>
              </w:rPr>
              <w:t>本项目总占地面积为80.898公顷，现状主要为耕地、部分拆迁宅基地，场地用地性质于2016年已调整为建设用地，且根据《陕西省西咸新区秦汉新城分区规划（2016-2035）》要求，本项目所在地已属于娱乐康体设施用地。</w:t>
            </w:r>
          </w:p>
          <w:p>
            <w:pPr>
              <w:spacing w:line="460" w:lineRule="exact"/>
              <w:ind w:firstLine="480" w:firstLineChars="200"/>
              <w:rPr>
                <w:rFonts w:hint="eastAsia"/>
                <w:bCs/>
                <w:color w:val="auto"/>
                <w:sz w:val="24"/>
                <w:lang w:val="en-US" w:eastAsia="zh-CN"/>
              </w:rPr>
            </w:pPr>
            <w:r>
              <w:rPr>
                <w:rFonts w:hint="eastAsia"/>
                <w:bCs/>
                <w:color w:val="auto"/>
                <w:sz w:val="24"/>
                <w:lang w:val="en-US" w:eastAsia="zh-CN"/>
              </w:rPr>
              <w:t>由于本项目的地表开挖较大，如果不能够安排好合理的施工方式和施工时间，将会造成很大的水土流失和生境破坏，根据本项目的建设安排，本项目在优先建设地面较为平整的区域，对于开挖的土方进行边挖边填，同时做好土方的暂存工作，对剩余土方的暂存点的选址和堆放方式予以严格要求，不能堆弃在河沟和靠近居民点等地，最大限度的减少水土流失。</w:t>
            </w:r>
          </w:p>
          <w:p>
            <w:pPr>
              <w:spacing w:line="460" w:lineRule="exact"/>
              <w:ind w:firstLine="480" w:firstLineChars="200"/>
              <w:rPr>
                <w:rFonts w:hint="eastAsia"/>
                <w:b/>
                <w:bCs/>
                <w:color w:val="auto"/>
                <w:sz w:val="24"/>
                <w:lang w:val="en-US" w:eastAsia="zh-CN"/>
              </w:rPr>
            </w:pPr>
            <w:r>
              <w:rPr>
                <w:rFonts w:hint="eastAsia"/>
                <w:b/>
                <w:bCs/>
                <w:color w:val="auto"/>
                <w:sz w:val="24"/>
                <w:lang w:val="en-US" w:eastAsia="zh-CN"/>
              </w:rPr>
              <w:t>2.3对生态系统功能的影响</w:t>
            </w:r>
          </w:p>
          <w:p>
            <w:pPr>
              <w:spacing w:line="460" w:lineRule="exact"/>
              <w:ind w:firstLine="480" w:firstLineChars="200"/>
              <w:rPr>
                <w:rFonts w:hint="eastAsia"/>
                <w:color w:val="auto"/>
                <w:sz w:val="24"/>
                <w:lang w:val="en-US" w:eastAsia="zh-CN"/>
              </w:rPr>
            </w:pPr>
            <w:r>
              <w:rPr>
                <w:rFonts w:hint="eastAsia"/>
                <w:color w:val="auto"/>
                <w:sz w:val="24"/>
                <w:lang w:val="en-US" w:eastAsia="zh-CN"/>
              </w:rPr>
              <w:t>项目占地改变了土地利用功能，生态系统植被面积减少，生物多样性减少。但本项目建成后会在各园区进行绿化治理，设计种植各种适宜的花草树木等，所在区域的植被覆盖率会有所增加。因此，将对生态系统结构及功能有一定的正效应，如绿地增加，生态系统的调节作用有一定的增强。</w:t>
            </w:r>
            <w:r>
              <w:rPr>
                <w:rFonts w:hint="eastAsia"/>
                <w:color w:val="auto"/>
                <w:sz w:val="24"/>
              </w:rPr>
              <w:t>因此，本项目对生态影响较小。</w:t>
            </w:r>
          </w:p>
          <w:p>
            <w:pPr>
              <w:spacing w:line="460" w:lineRule="exact"/>
              <w:ind w:firstLine="480" w:firstLineChars="200"/>
              <w:rPr>
                <w:rFonts w:hint="eastAsia"/>
                <w:b/>
                <w:bCs/>
                <w:color w:val="auto"/>
                <w:sz w:val="24"/>
                <w:lang w:val="en-US" w:eastAsia="zh-CN"/>
              </w:rPr>
            </w:pPr>
            <w:r>
              <w:rPr>
                <w:rFonts w:hint="eastAsia"/>
                <w:b/>
                <w:bCs/>
                <w:color w:val="auto"/>
                <w:sz w:val="24"/>
                <w:lang w:val="en-US" w:eastAsia="zh-CN"/>
              </w:rPr>
              <w:t>三、其它污染因素环境影响分析</w:t>
            </w:r>
          </w:p>
          <w:p>
            <w:pPr>
              <w:spacing w:line="460" w:lineRule="exact"/>
              <w:ind w:firstLine="480" w:firstLineChars="200"/>
              <w:rPr>
                <w:rFonts w:hint="eastAsia"/>
                <w:color w:val="auto"/>
                <w:sz w:val="24"/>
                <w:lang w:val="en-US" w:eastAsia="zh-CN"/>
              </w:rPr>
            </w:pPr>
            <w:r>
              <w:rPr>
                <w:rFonts w:hint="eastAsia"/>
                <w:color w:val="auto"/>
                <w:sz w:val="24"/>
                <w:lang w:val="en-US" w:eastAsia="zh-CN"/>
              </w:rPr>
              <w:t>3.1废气</w:t>
            </w:r>
          </w:p>
          <w:bookmarkEnd w:id="7"/>
          <w:p>
            <w:pPr>
              <w:spacing w:line="460" w:lineRule="exact"/>
              <w:ind w:firstLine="480" w:firstLineChars="200"/>
              <w:rPr>
                <w:rFonts w:hint="eastAsia"/>
                <w:color w:val="auto"/>
                <w:sz w:val="24"/>
                <w:lang w:val="en-US" w:eastAsia="zh-CN"/>
              </w:rPr>
            </w:pPr>
            <w:r>
              <w:rPr>
                <w:rFonts w:hint="eastAsia"/>
                <w:color w:val="auto"/>
                <w:sz w:val="24"/>
                <w:lang w:val="en-US" w:eastAsia="zh-CN"/>
              </w:rPr>
              <w:t>3.1.1产排污环节</w:t>
            </w:r>
          </w:p>
          <w:p>
            <w:pPr>
              <w:spacing w:line="460" w:lineRule="exact"/>
              <w:ind w:firstLine="480" w:firstLineChars="200"/>
              <w:rPr>
                <w:rFonts w:hint="eastAsia"/>
                <w:color w:val="auto"/>
                <w:sz w:val="24"/>
                <w:lang w:val="en-US" w:eastAsia="zh-CN"/>
              </w:rPr>
            </w:pPr>
            <w:r>
              <w:rPr>
                <w:rFonts w:hint="eastAsia"/>
                <w:color w:val="auto"/>
                <w:sz w:val="24"/>
                <w:lang w:val="en-US" w:eastAsia="zh-CN"/>
              </w:rPr>
              <w:t>拟建项目建成后，废气污染源主要包括垃圾收集点恶臭、停车场废气、备用发电机尾气和餐饮油烟废气。</w:t>
            </w:r>
          </w:p>
          <w:p>
            <w:pPr>
              <w:spacing w:line="460" w:lineRule="exact"/>
              <w:ind w:firstLine="480" w:firstLineChars="200"/>
              <w:rPr>
                <w:rFonts w:hint="eastAsia"/>
                <w:color w:val="auto"/>
                <w:sz w:val="24"/>
                <w:lang w:val="en-US" w:eastAsia="zh-CN"/>
              </w:rPr>
            </w:pPr>
            <w:r>
              <w:rPr>
                <w:rFonts w:hint="eastAsia"/>
                <w:color w:val="auto"/>
                <w:sz w:val="24"/>
                <w:lang w:val="en-US" w:eastAsia="zh-CN"/>
              </w:rPr>
              <w:t>3.1.2废气产排、治理措施及影响分析</w:t>
            </w:r>
          </w:p>
          <w:p>
            <w:pPr>
              <w:spacing w:line="460" w:lineRule="exact"/>
              <w:ind w:firstLine="480" w:firstLineChars="200"/>
              <w:rPr>
                <w:rFonts w:hint="eastAsia"/>
                <w:color w:val="auto"/>
                <w:sz w:val="24"/>
                <w:lang w:val="en-US" w:eastAsia="zh-CN"/>
              </w:rPr>
            </w:pPr>
            <w:r>
              <w:rPr>
                <w:rFonts w:hint="eastAsia"/>
                <w:color w:val="auto"/>
                <w:sz w:val="24"/>
                <w:lang w:val="en-US" w:eastAsia="zh-CN"/>
              </w:rPr>
              <w:t>（1）停车场废气</w:t>
            </w:r>
          </w:p>
          <w:p>
            <w:pPr>
              <w:spacing w:line="460" w:lineRule="exact"/>
              <w:ind w:firstLine="480" w:firstLineChars="200"/>
              <w:rPr>
                <w:rFonts w:hint="eastAsia"/>
                <w:color w:val="auto"/>
                <w:sz w:val="24"/>
                <w:lang w:val="en-US" w:eastAsia="zh-CN"/>
              </w:rPr>
            </w:pPr>
            <w:r>
              <w:rPr>
                <w:rFonts w:hint="eastAsia"/>
                <w:color w:val="auto"/>
                <w:sz w:val="24"/>
                <w:lang w:val="en-US" w:eastAsia="zh-CN"/>
              </w:rPr>
              <w:t>拟建项目设置有停车位约1746个，其中地上30个，地下1707个。由于地面停车场停车位较少，分布于主城堡、办公楼区域，且通风条件好，地面停车场的汽车尾气可迅速扩散，因此，地面停车场对周边环境的影响很小。本次主要分析地下车库汽车尾气。</w:t>
            </w:r>
          </w:p>
          <w:p>
            <w:pPr>
              <w:spacing w:line="460" w:lineRule="exact"/>
              <w:ind w:firstLine="480" w:firstLineChars="200"/>
              <w:rPr>
                <w:rFonts w:hint="default"/>
                <w:color w:val="auto"/>
                <w:sz w:val="24"/>
                <w:lang w:val="en-US" w:eastAsia="zh-CN"/>
              </w:rPr>
            </w:pPr>
            <w:r>
              <w:rPr>
                <w:rFonts w:hint="default"/>
                <w:color w:val="auto"/>
                <w:sz w:val="24"/>
                <w:lang w:val="en-US" w:eastAsia="zh-CN"/>
              </w:rPr>
              <w:t>本项目地下停车场位于主城堡地下二层，停车位1707个。地下车库产生的汽车尾气主要是指汽车进出车库及在车库内行驶时，汽车怠速及慢速（≤5km/h）状态下的尾气排放，包括排气管尾气、曲轴箱漏气及油箱和化油箱等燃料系统的泄漏等。汽车废气中主要污染因子为CO、HC、NO</w:t>
            </w:r>
            <w:r>
              <w:rPr>
                <w:rFonts w:hint="default"/>
                <w:color w:val="auto"/>
                <w:sz w:val="24"/>
                <w:vertAlign w:val="subscript"/>
                <w:lang w:val="en-US" w:eastAsia="zh-CN"/>
              </w:rPr>
              <w:t>X</w:t>
            </w:r>
            <w:r>
              <w:rPr>
                <w:rFonts w:hint="default"/>
                <w:color w:val="auto"/>
                <w:sz w:val="24"/>
                <w:lang w:val="en-US" w:eastAsia="zh-CN"/>
              </w:rPr>
              <w:t>等。</w:t>
            </w:r>
          </w:p>
          <w:p>
            <w:pPr>
              <w:spacing w:line="460" w:lineRule="exact"/>
              <w:ind w:firstLine="480" w:firstLineChars="200"/>
              <w:rPr>
                <w:rFonts w:hint="default"/>
                <w:color w:val="auto"/>
                <w:sz w:val="24"/>
                <w:lang w:val="en-US" w:eastAsia="zh-CN"/>
              </w:rPr>
            </w:pPr>
            <w:r>
              <w:rPr>
                <w:rFonts w:hint="default"/>
                <w:color w:val="auto"/>
                <w:sz w:val="24"/>
                <w:lang w:val="en-US" w:eastAsia="zh-CN"/>
              </w:rPr>
              <w:t>一般汽车出入停车场的行驶速度要求不大于5km/h，出入口到泊位的平均距离如按照50m计算，汽车从出入口到泊位的运行时间约为36s；从汽车停在泊位至关闭发动机一般在1s-3s；而汽车从泊位启动至出车一般在3s-3min，平均约1min，故汽车出入停车场与在停车场内的运行时间约为100s。</w:t>
            </w:r>
          </w:p>
          <w:p>
            <w:pPr>
              <w:spacing w:line="460" w:lineRule="exact"/>
              <w:ind w:firstLine="480" w:firstLineChars="200"/>
              <w:rPr>
                <w:rFonts w:hint="default"/>
                <w:color w:val="auto"/>
                <w:sz w:val="24"/>
                <w:lang w:val="en-US" w:eastAsia="zh-CN"/>
              </w:rPr>
            </w:pPr>
            <w:r>
              <w:rPr>
                <w:rFonts w:hint="default"/>
                <w:color w:val="auto"/>
                <w:sz w:val="24"/>
                <w:lang w:val="en-US" w:eastAsia="zh-CN"/>
              </w:rPr>
              <w:t>参考文献《浅谈地下停车库汽车尾气的环境影响评价方法》[应用能源技术，2017年第1期（总第229期）]，在怠速状态下，地下停车场CO、HC、NO</w:t>
            </w:r>
            <w:r>
              <w:rPr>
                <w:rFonts w:hint="default"/>
                <w:color w:val="auto"/>
                <w:sz w:val="24"/>
                <w:vertAlign w:val="subscript"/>
                <w:lang w:val="en-US" w:eastAsia="zh-CN"/>
              </w:rPr>
              <w:t>X</w:t>
            </w:r>
            <w:r>
              <w:rPr>
                <w:rFonts w:hint="default"/>
                <w:color w:val="auto"/>
                <w:sz w:val="24"/>
                <w:lang w:val="en-US" w:eastAsia="zh-CN"/>
              </w:rPr>
              <w:t>散发量的比例大约是7:1.5:0.2，因此，根据CO的排放量，就可以推算出其他两种污染物的排放量。</w:t>
            </w:r>
          </w:p>
          <w:p>
            <w:pPr>
              <w:spacing w:line="360" w:lineRule="auto"/>
              <w:ind w:firstLine="480" w:firstLineChars="200"/>
              <w:rPr>
                <w:rFonts w:ascii="Times New Roman" w:hAnsi="Times New Roman" w:eastAsia="宋体" w:cs="Times New Roman"/>
                <w:color w:val="auto"/>
                <w:sz w:val="24"/>
                <w:szCs w:val="24"/>
                <w:shd w:val="clear" w:color="auto" w:fill="FFFFFF"/>
              </w:rPr>
            </w:pPr>
            <w:r>
              <w:rPr>
                <w:rFonts w:hint="eastAsia" w:ascii="Times New Roman" w:hAnsi="Times New Roman" w:eastAsia="宋体" w:cs="Times New Roman"/>
                <w:color w:val="auto"/>
                <w:sz w:val="24"/>
                <w:szCs w:val="24"/>
                <w:shd w:val="clear" w:color="auto" w:fill="FFFFFF"/>
              </w:rPr>
              <w:t>a、计算方法</w:t>
            </w:r>
          </w:p>
          <w:p>
            <w:pPr>
              <w:spacing w:line="360" w:lineRule="auto"/>
              <w:ind w:firstLine="480" w:firstLineChars="200"/>
              <w:rPr>
                <w:rFonts w:ascii="Times New Roman" w:hAnsi="Times New Roman" w:eastAsia="宋体" w:cs="Times New Roman"/>
                <w:color w:val="auto"/>
                <w:sz w:val="24"/>
                <w:szCs w:val="24"/>
                <w:shd w:val="clear" w:color="auto" w:fill="FFFFFF"/>
              </w:rPr>
            </w:pPr>
            <w:r>
              <w:rPr>
                <w:rFonts w:hint="eastAsia" w:ascii="Times New Roman" w:hAnsi="Times New Roman" w:eastAsia="宋体" w:cs="Times New Roman"/>
                <w:color w:val="auto"/>
                <w:sz w:val="24"/>
                <w:szCs w:val="24"/>
                <w:shd w:val="clear" w:color="auto" w:fill="FFFFFF"/>
              </w:rPr>
              <w:t>C</w:t>
            </w:r>
            <w:r>
              <w:rPr>
                <w:rFonts w:ascii="Times New Roman" w:hAnsi="Times New Roman" w:eastAsia="宋体" w:cs="Times New Roman"/>
                <w:color w:val="auto"/>
                <w:sz w:val="24"/>
                <w:szCs w:val="24"/>
                <w:shd w:val="clear" w:color="auto" w:fill="FFFFFF"/>
              </w:rPr>
              <w:t>O</w:t>
            </w:r>
            <w:r>
              <w:rPr>
                <w:rFonts w:hint="eastAsia" w:ascii="Times New Roman" w:hAnsi="Times New Roman" w:eastAsia="宋体" w:cs="Times New Roman"/>
                <w:color w:val="auto"/>
                <w:sz w:val="24"/>
                <w:szCs w:val="24"/>
                <w:shd w:val="clear" w:color="auto" w:fill="FFFFFF"/>
              </w:rPr>
              <w:t>排放量的计算方法：</w:t>
            </w:r>
          </w:p>
          <w:p>
            <w:pPr>
              <w:spacing w:line="360" w:lineRule="auto"/>
              <w:ind w:firstLine="960" w:firstLineChars="400"/>
              <w:rPr>
                <w:rFonts w:ascii="Times New Roman" w:hAnsi="Times New Roman" w:eastAsia="宋体" w:cs="Times New Roman"/>
                <w:color w:val="auto"/>
                <w:sz w:val="24"/>
                <w:szCs w:val="24"/>
                <w:shd w:val="clear" w:color="auto" w:fill="FFFFFF"/>
              </w:rPr>
            </w:pPr>
            <w:r>
              <w:rPr>
                <w:rFonts w:hint="eastAsia" w:ascii="Times New Roman" w:hAnsi="Times New Roman" w:eastAsia="宋体" w:cs="Times New Roman"/>
                <w:color w:val="auto"/>
                <w:sz w:val="24"/>
                <w:szCs w:val="24"/>
                <w:shd w:val="clear" w:color="auto" w:fill="FFFFFF"/>
              </w:rPr>
              <w:t>Q</w:t>
            </w:r>
            <w:r>
              <w:rPr>
                <w:rFonts w:ascii="Times New Roman" w:hAnsi="Times New Roman" w:eastAsia="宋体" w:cs="Times New Roman"/>
                <w:color w:val="auto"/>
                <w:sz w:val="24"/>
                <w:szCs w:val="24"/>
                <w:shd w:val="clear" w:color="auto" w:fill="FFFFFF"/>
              </w:rPr>
              <w:t>=ABCD/E</w:t>
            </w:r>
          </w:p>
          <w:p>
            <w:pPr>
              <w:spacing w:line="360" w:lineRule="auto"/>
              <w:ind w:firstLine="960" w:firstLineChars="400"/>
              <w:rPr>
                <w:rFonts w:ascii="Times New Roman" w:hAnsi="Times New Roman" w:eastAsia="宋体" w:cs="Times New Roman"/>
                <w:color w:val="auto"/>
                <w:sz w:val="24"/>
                <w:szCs w:val="24"/>
                <w:shd w:val="clear" w:color="auto" w:fill="FFFFFF"/>
              </w:rPr>
            </w:pPr>
            <w:r>
              <w:rPr>
                <w:rFonts w:hint="eastAsia" w:ascii="Times New Roman" w:hAnsi="Times New Roman" w:eastAsia="宋体" w:cs="Times New Roman"/>
                <w:color w:val="auto"/>
                <w:sz w:val="24"/>
                <w:szCs w:val="24"/>
                <w:shd w:val="clear" w:color="auto" w:fill="FFFFFF"/>
              </w:rPr>
              <w:t>式中，Q为地下车库汽车排放的C</w:t>
            </w:r>
            <w:r>
              <w:rPr>
                <w:rFonts w:ascii="Times New Roman" w:hAnsi="Times New Roman" w:eastAsia="宋体" w:cs="Times New Roman"/>
                <w:color w:val="auto"/>
                <w:sz w:val="24"/>
                <w:szCs w:val="24"/>
                <w:shd w:val="clear" w:color="auto" w:fill="FFFFFF"/>
              </w:rPr>
              <w:t>O</w:t>
            </w:r>
            <w:r>
              <w:rPr>
                <w:rFonts w:hint="eastAsia" w:ascii="Times New Roman" w:hAnsi="Times New Roman" w:eastAsia="宋体" w:cs="Times New Roman"/>
                <w:color w:val="auto"/>
                <w:sz w:val="24"/>
                <w:szCs w:val="24"/>
                <w:shd w:val="clear" w:color="auto" w:fill="FFFFFF"/>
              </w:rPr>
              <w:t>的量，m</w:t>
            </w:r>
            <w:r>
              <w:rPr>
                <w:rFonts w:ascii="Times New Roman" w:hAnsi="Times New Roman" w:eastAsia="宋体" w:cs="Times New Roman"/>
                <w:color w:val="auto"/>
                <w:sz w:val="24"/>
                <w:szCs w:val="24"/>
                <w:shd w:val="clear" w:color="auto" w:fill="FFFFFF"/>
              </w:rPr>
              <w:t>g/h</w:t>
            </w:r>
            <w:r>
              <w:rPr>
                <w:rFonts w:hint="eastAsia" w:ascii="Times New Roman" w:hAnsi="Times New Roman" w:eastAsia="宋体" w:cs="Times New Roman"/>
                <w:color w:val="auto"/>
                <w:sz w:val="24"/>
                <w:szCs w:val="24"/>
                <w:shd w:val="clear" w:color="auto" w:fill="FFFFFF"/>
              </w:rPr>
              <w:t>；</w:t>
            </w:r>
          </w:p>
          <w:p>
            <w:pPr>
              <w:spacing w:line="360" w:lineRule="auto"/>
              <w:ind w:firstLine="960" w:firstLineChars="400"/>
              <w:rPr>
                <w:rFonts w:ascii="Times New Roman" w:hAnsi="Times New Roman" w:eastAsia="宋体" w:cs="Times New Roman"/>
                <w:color w:val="auto"/>
                <w:sz w:val="24"/>
                <w:szCs w:val="24"/>
                <w:shd w:val="clear" w:color="auto" w:fill="FFFFFF"/>
              </w:rPr>
            </w:pPr>
            <w:r>
              <w:rPr>
                <w:rFonts w:ascii="Times New Roman" w:hAnsi="Times New Roman" w:eastAsia="宋体" w:cs="Times New Roman"/>
                <w:color w:val="auto"/>
                <w:sz w:val="24"/>
                <w:szCs w:val="24"/>
                <w:shd w:val="clear" w:color="auto" w:fill="FFFFFF"/>
              </w:rPr>
              <w:t>A</w:t>
            </w:r>
            <w:r>
              <w:rPr>
                <w:rFonts w:hint="eastAsia" w:ascii="Times New Roman" w:hAnsi="Times New Roman" w:eastAsia="宋体" w:cs="Times New Roman"/>
                <w:color w:val="auto"/>
                <w:sz w:val="24"/>
                <w:szCs w:val="24"/>
                <w:shd w:val="clear" w:color="auto" w:fill="FFFFFF"/>
              </w:rPr>
              <w:t>为地下车库车位数；</w:t>
            </w:r>
          </w:p>
          <w:p>
            <w:pPr>
              <w:spacing w:line="360" w:lineRule="auto"/>
              <w:ind w:firstLine="960" w:firstLineChars="400"/>
              <w:rPr>
                <w:rFonts w:ascii="Times New Roman" w:hAnsi="Times New Roman" w:eastAsia="宋体" w:cs="Times New Roman"/>
                <w:color w:val="auto"/>
                <w:sz w:val="24"/>
                <w:szCs w:val="24"/>
                <w:shd w:val="clear" w:color="auto" w:fill="FFFFFF"/>
              </w:rPr>
            </w:pPr>
            <w:r>
              <w:rPr>
                <w:rFonts w:hint="eastAsia" w:ascii="Times New Roman" w:hAnsi="Times New Roman" w:eastAsia="宋体" w:cs="Times New Roman"/>
                <w:color w:val="auto"/>
                <w:sz w:val="24"/>
                <w:szCs w:val="24"/>
                <w:shd w:val="clear" w:color="auto" w:fill="FFFFFF"/>
              </w:rPr>
              <w:t>B为汽车出入频度，一般有调查类比确定，按</w:t>
            </w:r>
            <w:r>
              <w:rPr>
                <w:rFonts w:ascii="Times New Roman" w:hAnsi="Times New Roman" w:eastAsia="宋体" w:cs="Times New Roman"/>
                <w:color w:val="auto"/>
                <w:sz w:val="24"/>
                <w:szCs w:val="24"/>
                <w:shd w:val="clear" w:color="auto" w:fill="FFFFFF"/>
              </w:rPr>
              <w:t>0.0425</w:t>
            </w:r>
            <w:r>
              <w:rPr>
                <w:rFonts w:hint="eastAsia" w:ascii="Times New Roman" w:hAnsi="Times New Roman" w:eastAsia="宋体" w:cs="Times New Roman"/>
                <w:color w:val="auto"/>
                <w:sz w:val="24"/>
                <w:szCs w:val="24"/>
                <w:shd w:val="clear" w:color="auto" w:fill="FFFFFF"/>
              </w:rPr>
              <w:t>；</w:t>
            </w:r>
          </w:p>
          <w:p>
            <w:pPr>
              <w:spacing w:line="360" w:lineRule="auto"/>
              <w:ind w:firstLine="960" w:firstLineChars="400"/>
              <w:rPr>
                <w:rFonts w:ascii="Times New Roman" w:hAnsi="Times New Roman" w:eastAsia="宋体" w:cs="Times New Roman"/>
                <w:color w:val="auto"/>
                <w:sz w:val="24"/>
                <w:szCs w:val="24"/>
                <w:shd w:val="clear" w:color="auto" w:fill="FFFFFF"/>
              </w:rPr>
            </w:pPr>
            <w:r>
              <w:rPr>
                <w:rFonts w:hint="eastAsia" w:ascii="Times New Roman" w:hAnsi="Times New Roman" w:eastAsia="宋体" w:cs="Times New Roman"/>
                <w:color w:val="auto"/>
                <w:sz w:val="24"/>
                <w:szCs w:val="24"/>
                <w:shd w:val="clear" w:color="auto" w:fill="FFFFFF"/>
              </w:rPr>
              <w:t>C为汽车发动机在地下车库的平均运行时间，s；</w:t>
            </w:r>
          </w:p>
          <w:p>
            <w:pPr>
              <w:spacing w:line="360" w:lineRule="auto"/>
              <w:ind w:firstLine="960" w:firstLineChars="400"/>
              <w:rPr>
                <w:rFonts w:ascii="Times New Roman" w:hAnsi="Times New Roman" w:eastAsia="宋体" w:cs="Times New Roman"/>
                <w:color w:val="auto"/>
                <w:sz w:val="24"/>
                <w:szCs w:val="24"/>
                <w:shd w:val="clear" w:color="auto" w:fill="FFFFFF"/>
              </w:rPr>
            </w:pPr>
            <w:r>
              <w:rPr>
                <w:rFonts w:hint="eastAsia" w:ascii="Times New Roman" w:hAnsi="Times New Roman" w:eastAsia="宋体" w:cs="Times New Roman"/>
                <w:color w:val="auto"/>
                <w:sz w:val="24"/>
                <w:szCs w:val="24"/>
                <w:shd w:val="clear" w:color="auto" w:fill="FFFFFF"/>
              </w:rPr>
              <w:t>D为汽车单位时间内C</w:t>
            </w:r>
            <w:r>
              <w:rPr>
                <w:rFonts w:ascii="Times New Roman" w:hAnsi="Times New Roman" w:eastAsia="宋体" w:cs="Times New Roman"/>
                <w:color w:val="auto"/>
                <w:sz w:val="24"/>
                <w:szCs w:val="24"/>
                <w:shd w:val="clear" w:color="auto" w:fill="FFFFFF"/>
              </w:rPr>
              <w:t>O</w:t>
            </w:r>
            <w:r>
              <w:rPr>
                <w:rFonts w:hint="eastAsia" w:ascii="Times New Roman" w:hAnsi="Times New Roman" w:eastAsia="宋体" w:cs="Times New Roman"/>
                <w:color w:val="auto"/>
                <w:sz w:val="24"/>
                <w:szCs w:val="24"/>
                <w:shd w:val="clear" w:color="auto" w:fill="FFFFFF"/>
              </w:rPr>
              <w:t>的排放量，m</w:t>
            </w:r>
            <w:r>
              <w:rPr>
                <w:rFonts w:ascii="Times New Roman" w:hAnsi="Times New Roman" w:eastAsia="宋体" w:cs="Times New Roman"/>
                <w:color w:val="auto"/>
                <w:sz w:val="24"/>
                <w:szCs w:val="24"/>
                <w:shd w:val="clear" w:color="auto" w:fill="FFFFFF"/>
              </w:rPr>
              <w:t>g/s</w:t>
            </w:r>
            <w:r>
              <w:rPr>
                <w:rFonts w:hint="eastAsia" w:ascii="Times New Roman" w:hAnsi="Times New Roman" w:eastAsia="宋体" w:cs="Times New Roman"/>
                <w:color w:val="auto"/>
                <w:sz w:val="24"/>
                <w:szCs w:val="24"/>
                <w:shd w:val="clear" w:color="auto" w:fill="FFFFFF"/>
              </w:rPr>
              <w:t>，一般取0</w:t>
            </w:r>
            <w:r>
              <w:rPr>
                <w:rFonts w:ascii="Times New Roman" w:hAnsi="Times New Roman" w:eastAsia="宋体" w:cs="Times New Roman"/>
                <w:color w:val="auto"/>
                <w:sz w:val="24"/>
                <w:szCs w:val="24"/>
                <w:shd w:val="clear" w:color="auto" w:fill="FFFFFF"/>
              </w:rPr>
              <w:t>.9095mg/s</w:t>
            </w:r>
            <w:r>
              <w:rPr>
                <w:rFonts w:hint="eastAsia" w:ascii="Times New Roman" w:hAnsi="Times New Roman" w:eastAsia="宋体" w:cs="Times New Roman"/>
                <w:color w:val="auto"/>
                <w:sz w:val="24"/>
                <w:szCs w:val="24"/>
                <w:shd w:val="clear" w:color="auto" w:fill="FFFFFF"/>
              </w:rPr>
              <w:t>；</w:t>
            </w:r>
          </w:p>
          <w:p>
            <w:pPr>
              <w:spacing w:line="360" w:lineRule="auto"/>
              <w:ind w:firstLine="960" w:firstLineChars="400"/>
              <w:rPr>
                <w:rFonts w:ascii="Times New Roman" w:hAnsi="Times New Roman" w:eastAsia="宋体" w:cs="Times New Roman"/>
                <w:color w:val="auto"/>
                <w:sz w:val="24"/>
                <w:szCs w:val="24"/>
                <w:shd w:val="clear" w:color="auto" w:fill="FFFFFF"/>
              </w:rPr>
            </w:pPr>
            <w:r>
              <w:rPr>
                <w:rFonts w:hint="eastAsia" w:ascii="Times New Roman" w:hAnsi="Times New Roman" w:eastAsia="宋体" w:cs="Times New Roman"/>
                <w:color w:val="auto"/>
                <w:sz w:val="24"/>
                <w:szCs w:val="24"/>
                <w:shd w:val="clear" w:color="auto" w:fill="FFFFFF"/>
              </w:rPr>
              <w:t>E为C</w:t>
            </w:r>
            <w:r>
              <w:rPr>
                <w:rFonts w:ascii="Times New Roman" w:hAnsi="Times New Roman" w:eastAsia="宋体" w:cs="Times New Roman"/>
                <w:color w:val="auto"/>
                <w:sz w:val="24"/>
                <w:szCs w:val="24"/>
                <w:shd w:val="clear" w:color="auto" w:fill="FFFFFF"/>
              </w:rPr>
              <w:t>O</w:t>
            </w:r>
            <w:r>
              <w:rPr>
                <w:rFonts w:hint="eastAsia" w:ascii="Times New Roman" w:hAnsi="Times New Roman" w:eastAsia="宋体" w:cs="Times New Roman"/>
                <w:color w:val="auto"/>
                <w:sz w:val="24"/>
                <w:szCs w:val="24"/>
                <w:shd w:val="clear" w:color="auto" w:fill="FFFFFF"/>
              </w:rPr>
              <w:t>的排放量占汽车总排放量的百分比，0</w:t>
            </w:r>
            <w:r>
              <w:rPr>
                <w:rFonts w:ascii="Times New Roman" w:hAnsi="Times New Roman" w:eastAsia="宋体" w:cs="Times New Roman"/>
                <w:color w:val="auto"/>
                <w:sz w:val="24"/>
                <w:szCs w:val="24"/>
                <w:shd w:val="clear" w:color="auto" w:fill="FFFFFF"/>
              </w:rPr>
              <w:t>.98</w:t>
            </w:r>
            <w:r>
              <w:rPr>
                <w:rFonts w:hint="eastAsia" w:ascii="Times New Roman" w:hAnsi="Times New Roman" w:eastAsia="宋体" w:cs="Times New Roman"/>
                <w:color w:val="auto"/>
                <w:sz w:val="24"/>
                <w:szCs w:val="24"/>
                <w:shd w:val="clear" w:color="auto" w:fill="FFFFFF"/>
              </w:rPr>
              <w:t>%。</w:t>
            </w:r>
          </w:p>
          <w:p>
            <w:pPr>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b</w:t>
            </w:r>
            <w:r>
              <w:rPr>
                <w:rFonts w:hint="eastAsia" w:ascii="宋体" w:hAnsi="宋体" w:eastAsia="宋体"/>
                <w:color w:val="auto"/>
                <w:sz w:val="24"/>
                <w:szCs w:val="24"/>
              </w:rPr>
              <w:t>、计算结果</w:t>
            </w:r>
          </w:p>
          <w:tbl>
            <w:tblPr>
              <w:tblStyle w:val="25"/>
              <w:tblW w:w="835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587"/>
              <w:gridCol w:w="1940"/>
              <w:gridCol w:w="1235"/>
              <w:gridCol w:w="1235"/>
              <w:gridCol w:w="11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trPr>
              <w:tc>
                <w:tcPr>
                  <w:tcW w:w="1217" w:type="dxa"/>
                  <w:vMerge w:val="restart"/>
                  <w:vAlign w:val="center"/>
                </w:tcPr>
                <w:p>
                  <w:pPr>
                    <w:spacing w:line="360" w:lineRule="auto"/>
                    <w:jc w:val="center"/>
                    <w:rPr>
                      <w:rFonts w:ascii="Times New Roman" w:hAnsi="Times New Roman" w:eastAsia="宋体" w:cs="Times New Roman"/>
                      <w:color w:val="auto"/>
                      <w:szCs w:val="21"/>
                      <w:shd w:val="clear" w:color="auto" w:fill="FFFFFF"/>
                    </w:rPr>
                  </w:pPr>
                  <w:r>
                    <w:rPr>
                      <w:rFonts w:hint="eastAsia" w:ascii="Times New Roman" w:hAnsi="Times New Roman" w:eastAsia="宋体" w:cs="Times New Roman"/>
                      <w:color w:val="auto"/>
                      <w:szCs w:val="21"/>
                      <w:shd w:val="clear" w:color="auto" w:fill="FFFFFF"/>
                    </w:rPr>
                    <w:t>位置</w:t>
                  </w:r>
                </w:p>
              </w:tc>
              <w:tc>
                <w:tcPr>
                  <w:tcW w:w="1587" w:type="dxa"/>
                  <w:vMerge w:val="restart"/>
                  <w:vAlign w:val="center"/>
                </w:tcPr>
                <w:p>
                  <w:pPr>
                    <w:spacing w:line="360" w:lineRule="auto"/>
                    <w:jc w:val="center"/>
                    <w:rPr>
                      <w:rFonts w:ascii="Times New Roman" w:hAnsi="Times New Roman" w:eastAsia="宋体" w:cs="Times New Roman"/>
                      <w:color w:val="auto"/>
                      <w:szCs w:val="21"/>
                      <w:shd w:val="clear" w:color="auto" w:fill="FFFFFF"/>
                    </w:rPr>
                  </w:pPr>
                  <w:r>
                    <w:rPr>
                      <w:rFonts w:hint="eastAsia" w:ascii="Times New Roman" w:hAnsi="Times New Roman" w:eastAsia="宋体" w:cs="Times New Roman"/>
                      <w:color w:val="auto"/>
                      <w:szCs w:val="21"/>
                      <w:shd w:val="clear" w:color="auto" w:fill="FFFFFF"/>
                    </w:rPr>
                    <w:t>车位（个）</w:t>
                  </w:r>
                </w:p>
              </w:tc>
              <w:tc>
                <w:tcPr>
                  <w:tcW w:w="1940" w:type="dxa"/>
                  <w:vMerge w:val="restart"/>
                  <w:vAlign w:val="center"/>
                </w:tcPr>
                <w:p>
                  <w:pPr>
                    <w:spacing w:line="360" w:lineRule="auto"/>
                    <w:jc w:val="center"/>
                    <w:rPr>
                      <w:rFonts w:ascii="Times New Roman" w:hAnsi="Times New Roman" w:eastAsia="宋体" w:cs="Times New Roman"/>
                      <w:color w:val="auto"/>
                      <w:szCs w:val="21"/>
                      <w:shd w:val="clear" w:color="auto" w:fill="FFFFFF"/>
                    </w:rPr>
                  </w:pPr>
                  <w:r>
                    <w:rPr>
                      <w:rFonts w:hint="eastAsia" w:ascii="Times New Roman" w:hAnsi="Times New Roman" w:eastAsia="宋体" w:cs="Times New Roman"/>
                      <w:color w:val="auto"/>
                      <w:szCs w:val="21"/>
                      <w:shd w:val="clear" w:color="auto" w:fill="FFFFFF"/>
                    </w:rPr>
                    <w:t>项目</w:t>
                  </w:r>
                </w:p>
              </w:tc>
              <w:tc>
                <w:tcPr>
                  <w:tcW w:w="3614" w:type="dxa"/>
                  <w:gridSpan w:val="3"/>
                  <w:vAlign w:val="center"/>
                </w:tcPr>
                <w:p>
                  <w:pPr>
                    <w:spacing w:line="360" w:lineRule="auto"/>
                    <w:jc w:val="center"/>
                    <w:rPr>
                      <w:rFonts w:ascii="Times New Roman" w:hAnsi="Times New Roman" w:eastAsia="宋体" w:cs="Times New Roman"/>
                      <w:color w:val="auto"/>
                      <w:szCs w:val="21"/>
                      <w:shd w:val="clear" w:color="auto" w:fill="FFFFFF"/>
                    </w:rPr>
                  </w:pPr>
                  <w:r>
                    <w:rPr>
                      <w:rFonts w:hint="eastAsia" w:ascii="Times New Roman" w:hAnsi="Times New Roman" w:eastAsia="宋体" w:cs="Times New Roman"/>
                      <w:color w:val="auto"/>
                      <w:szCs w:val="21"/>
                      <w:shd w:val="clear" w:color="auto" w:fill="FFFFFF"/>
                    </w:rPr>
                    <w:t>污染物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1217" w:type="dxa"/>
                  <w:vMerge w:val="continue"/>
                  <w:vAlign w:val="center"/>
                </w:tcPr>
                <w:p>
                  <w:pPr>
                    <w:spacing w:line="360" w:lineRule="auto"/>
                    <w:jc w:val="center"/>
                    <w:rPr>
                      <w:rFonts w:ascii="Times New Roman" w:hAnsi="Times New Roman" w:eastAsia="宋体" w:cs="Times New Roman"/>
                      <w:color w:val="auto"/>
                      <w:szCs w:val="21"/>
                      <w:shd w:val="clear" w:color="auto" w:fill="FFFFFF"/>
                    </w:rPr>
                  </w:pPr>
                </w:p>
              </w:tc>
              <w:tc>
                <w:tcPr>
                  <w:tcW w:w="1587" w:type="dxa"/>
                  <w:vMerge w:val="continue"/>
                  <w:vAlign w:val="center"/>
                </w:tcPr>
                <w:p>
                  <w:pPr>
                    <w:spacing w:line="360" w:lineRule="auto"/>
                    <w:jc w:val="center"/>
                    <w:rPr>
                      <w:rFonts w:ascii="Times New Roman" w:hAnsi="Times New Roman" w:eastAsia="宋体" w:cs="Times New Roman"/>
                      <w:color w:val="auto"/>
                      <w:szCs w:val="21"/>
                      <w:shd w:val="clear" w:color="auto" w:fill="FFFFFF"/>
                    </w:rPr>
                  </w:pPr>
                </w:p>
              </w:tc>
              <w:tc>
                <w:tcPr>
                  <w:tcW w:w="1940" w:type="dxa"/>
                  <w:vMerge w:val="continue"/>
                  <w:vAlign w:val="center"/>
                </w:tcPr>
                <w:p>
                  <w:pPr>
                    <w:spacing w:line="360" w:lineRule="auto"/>
                    <w:jc w:val="center"/>
                    <w:rPr>
                      <w:rFonts w:ascii="Times New Roman" w:hAnsi="Times New Roman" w:eastAsia="宋体" w:cs="Times New Roman"/>
                      <w:color w:val="auto"/>
                      <w:szCs w:val="21"/>
                      <w:shd w:val="clear" w:color="auto" w:fill="FFFFFF"/>
                    </w:rPr>
                  </w:pPr>
                </w:p>
              </w:tc>
              <w:tc>
                <w:tcPr>
                  <w:tcW w:w="1235" w:type="dxa"/>
                  <w:vAlign w:val="center"/>
                </w:tcPr>
                <w:p>
                  <w:pPr>
                    <w:spacing w:line="360" w:lineRule="auto"/>
                    <w:jc w:val="center"/>
                    <w:rPr>
                      <w:rFonts w:ascii="Times New Roman" w:hAnsi="Times New Roman" w:eastAsia="宋体" w:cs="Times New Roman"/>
                      <w:color w:val="auto"/>
                      <w:szCs w:val="21"/>
                      <w:shd w:val="clear" w:color="auto" w:fill="FFFFFF"/>
                    </w:rPr>
                  </w:pPr>
                  <w:r>
                    <w:rPr>
                      <w:rFonts w:hint="eastAsia" w:ascii="Times New Roman" w:hAnsi="Times New Roman" w:eastAsia="宋体" w:cs="Times New Roman"/>
                      <w:color w:val="auto"/>
                      <w:szCs w:val="21"/>
                      <w:shd w:val="clear" w:color="auto" w:fill="FFFFFF"/>
                    </w:rPr>
                    <w:t>C</w:t>
                  </w:r>
                  <w:r>
                    <w:rPr>
                      <w:rFonts w:ascii="Times New Roman" w:hAnsi="Times New Roman" w:eastAsia="宋体" w:cs="Times New Roman"/>
                      <w:color w:val="auto"/>
                      <w:szCs w:val="21"/>
                      <w:shd w:val="clear" w:color="auto" w:fill="FFFFFF"/>
                    </w:rPr>
                    <w:t>O</w:t>
                  </w:r>
                </w:p>
              </w:tc>
              <w:tc>
                <w:tcPr>
                  <w:tcW w:w="1235" w:type="dxa"/>
                  <w:vAlign w:val="center"/>
                </w:tcPr>
                <w:p>
                  <w:pPr>
                    <w:spacing w:line="360" w:lineRule="auto"/>
                    <w:jc w:val="center"/>
                    <w:rPr>
                      <w:rFonts w:ascii="Times New Roman" w:hAnsi="Times New Roman" w:eastAsia="宋体" w:cs="Times New Roman"/>
                      <w:color w:val="auto"/>
                      <w:szCs w:val="21"/>
                      <w:shd w:val="clear" w:color="auto" w:fill="FFFFFF"/>
                    </w:rPr>
                  </w:pPr>
                  <w:r>
                    <w:rPr>
                      <w:rFonts w:ascii="Times New Roman" w:hAnsi="Times New Roman" w:eastAsia="宋体" w:cs="Times New Roman"/>
                      <w:color w:val="auto"/>
                      <w:szCs w:val="21"/>
                      <w:shd w:val="clear" w:color="auto" w:fill="FFFFFF"/>
                    </w:rPr>
                    <w:t>HC</w:t>
                  </w:r>
                </w:p>
              </w:tc>
              <w:tc>
                <w:tcPr>
                  <w:tcW w:w="1144" w:type="dxa"/>
                  <w:vAlign w:val="center"/>
                </w:tcPr>
                <w:p>
                  <w:pPr>
                    <w:spacing w:line="360" w:lineRule="auto"/>
                    <w:jc w:val="center"/>
                    <w:rPr>
                      <w:rFonts w:ascii="Times New Roman" w:hAnsi="Times New Roman" w:eastAsia="宋体" w:cs="Times New Roman"/>
                      <w:color w:val="auto"/>
                      <w:szCs w:val="21"/>
                      <w:shd w:val="clear" w:color="auto" w:fill="FFFFFF"/>
                    </w:rPr>
                  </w:pPr>
                  <w:r>
                    <w:rPr>
                      <w:rFonts w:ascii="Times New Roman" w:hAnsi="Times New Roman" w:eastAsia="宋体" w:cs="Times New Roman"/>
                      <w:color w:val="auto"/>
                      <w:szCs w:val="21"/>
                      <w:shd w:val="clear" w:color="auto" w:fill="FFFFFF"/>
                    </w:rPr>
                    <w:t>NO</w:t>
                  </w:r>
                  <w:r>
                    <w:rPr>
                      <w:rFonts w:ascii="Times New Roman" w:hAnsi="Times New Roman" w:eastAsia="宋体" w:cs="Times New Roman"/>
                      <w:color w:val="auto"/>
                      <w:szCs w:val="21"/>
                      <w:shd w:val="clear" w:color="auto" w:fill="FFFFFF"/>
                      <w:vertAlign w:val="subscript"/>
                    </w:rPr>
                    <w:t>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1217" w:type="dxa"/>
                  <w:vMerge w:val="restart"/>
                  <w:vAlign w:val="center"/>
                </w:tcPr>
                <w:p>
                  <w:pPr>
                    <w:spacing w:line="360" w:lineRule="auto"/>
                    <w:jc w:val="center"/>
                    <w:rPr>
                      <w:rFonts w:ascii="Times New Roman" w:hAnsi="Times New Roman" w:eastAsia="宋体" w:cs="Times New Roman"/>
                      <w:color w:val="auto"/>
                      <w:szCs w:val="21"/>
                      <w:shd w:val="clear" w:color="auto" w:fill="FFFFFF"/>
                    </w:rPr>
                  </w:pPr>
                  <w:r>
                    <w:rPr>
                      <w:rFonts w:hint="eastAsia" w:ascii="Times New Roman" w:hAnsi="Times New Roman" w:eastAsia="宋体" w:cs="Times New Roman"/>
                      <w:color w:val="auto"/>
                      <w:szCs w:val="21"/>
                      <w:shd w:val="clear" w:color="auto" w:fill="FFFFFF"/>
                      <w:lang w:val="en-US" w:eastAsia="zh-CN"/>
                    </w:rPr>
                    <w:t>主城堡地下</w:t>
                  </w:r>
                  <w:r>
                    <w:rPr>
                      <w:rFonts w:hint="eastAsia" w:ascii="Times New Roman" w:hAnsi="Times New Roman" w:eastAsia="宋体" w:cs="Times New Roman"/>
                      <w:color w:val="auto"/>
                      <w:szCs w:val="21"/>
                      <w:shd w:val="clear" w:color="auto" w:fill="FFFFFF"/>
                    </w:rPr>
                    <w:t>停车场</w:t>
                  </w:r>
                </w:p>
              </w:tc>
              <w:tc>
                <w:tcPr>
                  <w:tcW w:w="1587" w:type="dxa"/>
                  <w:vMerge w:val="restart"/>
                  <w:vAlign w:val="center"/>
                </w:tcPr>
                <w:p>
                  <w:pPr>
                    <w:spacing w:line="360" w:lineRule="auto"/>
                    <w:jc w:val="center"/>
                    <w:rPr>
                      <w:rFonts w:hint="eastAsia" w:ascii="Times New Roman" w:hAnsi="Times New Roman" w:eastAsia="宋体" w:cs="Times New Roman"/>
                      <w:color w:val="auto"/>
                      <w:szCs w:val="21"/>
                      <w:shd w:val="clear" w:color="auto" w:fill="FFFFFF"/>
                      <w:lang w:eastAsia="zh-CN"/>
                    </w:rPr>
                  </w:pPr>
                  <w:r>
                    <w:rPr>
                      <w:rFonts w:hint="eastAsia" w:ascii="Times New Roman" w:hAnsi="Times New Roman" w:eastAsia="宋体" w:cs="Times New Roman"/>
                      <w:color w:val="auto"/>
                      <w:szCs w:val="21"/>
                      <w:shd w:val="clear" w:color="auto" w:fill="FFFFFF"/>
                      <w:lang w:val="en-US" w:eastAsia="zh-CN"/>
                    </w:rPr>
                    <w:t>1707</w:t>
                  </w:r>
                </w:p>
              </w:tc>
              <w:tc>
                <w:tcPr>
                  <w:tcW w:w="1940" w:type="dxa"/>
                  <w:vAlign w:val="center"/>
                </w:tcPr>
                <w:p>
                  <w:pPr>
                    <w:spacing w:line="360" w:lineRule="auto"/>
                    <w:jc w:val="center"/>
                    <w:rPr>
                      <w:rFonts w:ascii="Times New Roman" w:hAnsi="Times New Roman" w:eastAsia="宋体" w:cs="Times New Roman"/>
                      <w:color w:val="auto"/>
                      <w:szCs w:val="21"/>
                      <w:shd w:val="clear" w:color="auto" w:fill="FFFFFF"/>
                    </w:rPr>
                  </w:pPr>
                  <w:r>
                    <w:rPr>
                      <w:rFonts w:hint="eastAsia" w:ascii="Times New Roman" w:hAnsi="Times New Roman" w:eastAsia="宋体" w:cs="Times New Roman"/>
                      <w:color w:val="auto"/>
                      <w:szCs w:val="21"/>
                      <w:shd w:val="clear" w:color="auto" w:fill="FFFFFF"/>
                    </w:rPr>
                    <w:t>速率（k</w:t>
                  </w:r>
                  <w:r>
                    <w:rPr>
                      <w:rFonts w:ascii="Times New Roman" w:hAnsi="Times New Roman" w:eastAsia="宋体" w:cs="Times New Roman"/>
                      <w:color w:val="auto"/>
                      <w:szCs w:val="21"/>
                      <w:shd w:val="clear" w:color="auto" w:fill="FFFFFF"/>
                    </w:rPr>
                    <w:t>g/h</w:t>
                  </w:r>
                  <w:r>
                    <w:rPr>
                      <w:rFonts w:hint="eastAsia" w:ascii="Times New Roman" w:hAnsi="Times New Roman" w:eastAsia="宋体" w:cs="Times New Roman"/>
                      <w:color w:val="auto"/>
                      <w:szCs w:val="21"/>
                      <w:shd w:val="clear" w:color="auto" w:fill="FFFFFF"/>
                    </w:rPr>
                    <w:t>）</w:t>
                  </w:r>
                </w:p>
              </w:tc>
              <w:tc>
                <w:tcPr>
                  <w:tcW w:w="1235" w:type="dxa"/>
                  <w:vAlign w:val="center"/>
                </w:tcPr>
                <w:p>
                  <w:pPr>
                    <w:spacing w:line="360" w:lineRule="auto"/>
                    <w:jc w:val="center"/>
                    <w:rPr>
                      <w:rFonts w:ascii="Times New Roman" w:hAnsi="Times New Roman" w:eastAsia="宋体" w:cs="Times New Roman"/>
                      <w:color w:val="auto"/>
                      <w:szCs w:val="21"/>
                      <w:shd w:val="clear" w:color="auto" w:fill="FFFFFF"/>
                    </w:rPr>
                  </w:pPr>
                  <w:r>
                    <w:rPr>
                      <w:rFonts w:hint="eastAsia" w:ascii="Times New Roman" w:hAnsi="Times New Roman" w:eastAsia="宋体" w:cs="Times New Roman"/>
                      <w:color w:val="auto"/>
                      <w:szCs w:val="21"/>
                      <w:shd w:val="clear" w:color="auto" w:fill="FFFFFF"/>
                    </w:rPr>
                    <w:t>0</w:t>
                  </w:r>
                  <w:r>
                    <w:rPr>
                      <w:rFonts w:ascii="Times New Roman" w:hAnsi="Times New Roman" w:eastAsia="宋体" w:cs="Times New Roman"/>
                      <w:color w:val="auto"/>
                      <w:szCs w:val="21"/>
                      <w:shd w:val="clear" w:color="auto" w:fill="FFFFFF"/>
                    </w:rPr>
                    <w:t>.</w:t>
                  </w:r>
                  <w:r>
                    <w:rPr>
                      <w:rFonts w:hint="eastAsia" w:ascii="Times New Roman" w:hAnsi="Times New Roman" w:eastAsia="宋体" w:cs="Times New Roman"/>
                      <w:color w:val="auto"/>
                      <w:szCs w:val="21"/>
                      <w:shd w:val="clear" w:color="auto" w:fill="FFFFFF"/>
                      <w:lang w:val="en-US" w:eastAsia="zh-CN"/>
                    </w:rPr>
                    <w:t>673</w:t>
                  </w:r>
                </w:p>
              </w:tc>
              <w:tc>
                <w:tcPr>
                  <w:tcW w:w="1235" w:type="dxa"/>
                  <w:vAlign w:val="center"/>
                </w:tcPr>
                <w:p>
                  <w:pPr>
                    <w:spacing w:line="360" w:lineRule="auto"/>
                    <w:jc w:val="center"/>
                    <w:rPr>
                      <w:rFonts w:hint="eastAsia" w:ascii="Times New Roman" w:hAnsi="Times New Roman" w:eastAsia="宋体" w:cs="Times New Roman"/>
                      <w:color w:val="auto"/>
                      <w:szCs w:val="21"/>
                      <w:shd w:val="clear" w:color="auto" w:fill="FFFFFF"/>
                      <w:lang w:eastAsia="zh-CN"/>
                    </w:rPr>
                  </w:pPr>
                  <w:r>
                    <w:rPr>
                      <w:rFonts w:hint="eastAsia" w:ascii="Times New Roman" w:hAnsi="Times New Roman" w:eastAsia="宋体" w:cs="Times New Roman"/>
                      <w:color w:val="auto"/>
                      <w:szCs w:val="21"/>
                      <w:shd w:val="clear" w:color="auto" w:fill="FFFFFF"/>
                      <w:lang w:val="en-US" w:eastAsia="zh-CN"/>
                    </w:rPr>
                    <w:t>0.144</w:t>
                  </w:r>
                </w:p>
              </w:tc>
              <w:tc>
                <w:tcPr>
                  <w:tcW w:w="1144" w:type="dxa"/>
                  <w:vAlign w:val="center"/>
                </w:tcPr>
                <w:p>
                  <w:pPr>
                    <w:spacing w:line="360" w:lineRule="auto"/>
                    <w:jc w:val="center"/>
                    <w:rPr>
                      <w:rFonts w:hint="eastAsia" w:ascii="Times New Roman" w:hAnsi="Times New Roman" w:eastAsia="宋体" w:cs="Times New Roman"/>
                      <w:color w:val="auto"/>
                      <w:szCs w:val="21"/>
                      <w:shd w:val="clear" w:color="auto" w:fill="FFFFFF"/>
                      <w:lang w:eastAsia="zh-CN"/>
                    </w:rPr>
                  </w:pPr>
                  <w:r>
                    <w:rPr>
                      <w:rFonts w:hint="eastAsia" w:ascii="Times New Roman" w:hAnsi="Times New Roman" w:eastAsia="宋体" w:cs="Times New Roman"/>
                      <w:color w:val="auto"/>
                      <w:szCs w:val="21"/>
                      <w:shd w:val="clear" w:color="auto" w:fill="FFFFFF"/>
                      <w:lang w:val="en-US" w:eastAsia="zh-CN"/>
                    </w:rPr>
                    <w:t>0.019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217" w:type="dxa"/>
                  <w:vMerge w:val="continue"/>
                  <w:vAlign w:val="center"/>
                </w:tcPr>
                <w:p>
                  <w:pPr>
                    <w:spacing w:line="360" w:lineRule="auto"/>
                    <w:jc w:val="center"/>
                    <w:rPr>
                      <w:rFonts w:ascii="Times New Roman" w:hAnsi="Times New Roman" w:eastAsia="宋体" w:cs="Times New Roman"/>
                      <w:color w:val="auto"/>
                      <w:szCs w:val="21"/>
                      <w:shd w:val="clear" w:color="auto" w:fill="FFFFFF"/>
                    </w:rPr>
                  </w:pPr>
                </w:p>
              </w:tc>
              <w:tc>
                <w:tcPr>
                  <w:tcW w:w="1587" w:type="dxa"/>
                  <w:vMerge w:val="continue"/>
                  <w:vAlign w:val="center"/>
                </w:tcPr>
                <w:p>
                  <w:pPr>
                    <w:spacing w:line="360" w:lineRule="auto"/>
                    <w:jc w:val="center"/>
                    <w:rPr>
                      <w:rFonts w:ascii="Times New Roman" w:hAnsi="Times New Roman" w:eastAsia="宋体" w:cs="Times New Roman"/>
                      <w:color w:val="auto"/>
                      <w:szCs w:val="21"/>
                      <w:shd w:val="clear" w:color="auto" w:fill="FFFFFF"/>
                    </w:rPr>
                  </w:pPr>
                </w:p>
              </w:tc>
              <w:tc>
                <w:tcPr>
                  <w:tcW w:w="1940" w:type="dxa"/>
                  <w:vAlign w:val="center"/>
                </w:tcPr>
                <w:p>
                  <w:pPr>
                    <w:spacing w:line="360" w:lineRule="auto"/>
                    <w:jc w:val="center"/>
                    <w:rPr>
                      <w:rFonts w:ascii="Times New Roman" w:hAnsi="Times New Roman" w:eastAsia="宋体" w:cs="Times New Roman"/>
                      <w:color w:val="auto"/>
                      <w:szCs w:val="21"/>
                      <w:shd w:val="clear" w:color="auto" w:fill="FFFFFF"/>
                    </w:rPr>
                  </w:pPr>
                  <w:r>
                    <w:rPr>
                      <w:rFonts w:hint="eastAsia" w:ascii="Times New Roman" w:hAnsi="Times New Roman" w:eastAsia="宋体" w:cs="Times New Roman"/>
                      <w:color w:val="auto"/>
                      <w:szCs w:val="21"/>
                      <w:shd w:val="clear" w:color="auto" w:fill="FFFFFF"/>
                    </w:rPr>
                    <w:t>排放量(</w:t>
                  </w:r>
                  <w:r>
                    <w:rPr>
                      <w:rFonts w:ascii="Times New Roman" w:hAnsi="Times New Roman" w:eastAsia="宋体" w:cs="Times New Roman"/>
                      <w:color w:val="auto"/>
                      <w:szCs w:val="21"/>
                      <w:shd w:val="clear" w:color="auto" w:fill="FFFFFF"/>
                    </w:rPr>
                    <w:t>t/a)</w:t>
                  </w:r>
                </w:p>
              </w:tc>
              <w:tc>
                <w:tcPr>
                  <w:tcW w:w="1235" w:type="dxa"/>
                  <w:vAlign w:val="center"/>
                </w:tcPr>
                <w:p>
                  <w:pPr>
                    <w:spacing w:line="360" w:lineRule="auto"/>
                    <w:jc w:val="center"/>
                    <w:rPr>
                      <w:rFonts w:hint="eastAsia" w:ascii="Times New Roman" w:hAnsi="Times New Roman" w:eastAsia="宋体" w:cs="Times New Roman"/>
                      <w:color w:val="auto"/>
                      <w:szCs w:val="21"/>
                      <w:shd w:val="clear" w:color="auto" w:fill="FFFFFF"/>
                      <w:lang w:eastAsia="zh-CN"/>
                    </w:rPr>
                  </w:pPr>
                  <w:r>
                    <w:rPr>
                      <w:rFonts w:hint="eastAsia" w:ascii="Times New Roman" w:hAnsi="Times New Roman" w:eastAsia="宋体" w:cs="Times New Roman"/>
                      <w:color w:val="auto"/>
                      <w:szCs w:val="21"/>
                      <w:shd w:val="clear" w:color="auto" w:fill="FFFFFF"/>
                      <w:lang w:val="en-US" w:eastAsia="zh-CN"/>
                    </w:rPr>
                    <w:t>2.584</w:t>
                  </w:r>
                </w:p>
              </w:tc>
              <w:tc>
                <w:tcPr>
                  <w:tcW w:w="1235" w:type="dxa"/>
                  <w:vAlign w:val="center"/>
                </w:tcPr>
                <w:p>
                  <w:pPr>
                    <w:spacing w:line="360" w:lineRule="auto"/>
                    <w:jc w:val="center"/>
                    <w:rPr>
                      <w:rFonts w:hint="eastAsia" w:ascii="Times New Roman" w:hAnsi="Times New Roman" w:eastAsia="宋体" w:cs="Times New Roman"/>
                      <w:color w:val="auto"/>
                      <w:szCs w:val="21"/>
                      <w:shd w:val="clear" w:color="auto" w:fill="FFFFFF"/>
                      <w:lang w:eastAsia="zh-CN"/>
                    </w:rPr>
                  </w:pPr>
                  <w:r>
                    <w:rPr>
                      <w:rFonts w:hint="eastAsia" w:ascii="Times New Roman" w:hAnsi="Times New Roman" w:eastAsia="宋体" w:cs="Times New Roman"/>
                      <w:color w:val="auto"/>
                      <w:szCs w:val="21"/>
                      <w:shd w:val="clear" w:color="auto" w:fill="FFFFFF"/>
                      <w:lang w:val="en-US" w:eastAsia="zh-CN"/>
                    </w:rPr>
                    <w:t>0.553</w:t>
                  </w:r>
                </w:p>
              </w:tc>
              <w:tc>
                <w:tcPr>
                  <w:tcW w:w="1144" w:type="dxa"/>
                  <w:vAlign w:val="center"/>
                </w:tcPr>
                <w:p>
                  <w:pPr>
                    <w:spacing w:line="360" w:lineRule="auto"/>
                    <w:jc w:val="center"/>
                    <w:rPr>
                      <w:rFonts w:hint="eastAsia" w:ascii="Times New Roman" w:hAnsi="Times New Roman" w:eastAsia="宋体" w:cs="Times New Roman"/>
                      <w:color w:val="auto"/>
                      <w:szCs w:val="21"/>
                      <w:shd w:val="clear" w:color="auto" w:fill="FFFFFF"/>
                      <w:lang w:eastAsia="zh-CN"/>
                    </w:rPr>
                  </w:pPr>
                  <w:r>
                    <w:rPr>
                      <w:rFonts w:hint="eastAsia" w:ascii="Times New Roman" w:hAnsi="Times New Roman" w:eastAsia="宋体" w:cs="Times New Roman"/>
                      <w:color w:val="auto"/>
                      <w:szCs w:val="21"/>
                      <w:shd w:val="clear" w:color="auto" w:fill="FFFFFF"/>
                      <w:lang w:val="en-US" w:eastAsia="zh-CN"/>
                    </w:rPr>
                    <w:t>0.0730</w:t>
                  </w:r>
                </w:p>
              </w:tc>
            </w:tr>
          </w:tbl>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注：年运行365天，工作时间：淡季（11月~次年4月）：09:30~18:00，旺季（5月~10月）：09:30~22:00。</w:t>
            </w:r>
          </w:p>
          <w:p>
            <w:pPr>
              <w:autoSpaceDE w:val="0"/>
              <w:autoSpaceDN w:val="0"/>
              <w:adjustRightInd w:val="0"/>
              <w:spacing w:line="360" w:lineRule="auto"/>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rPr>
              <w:t>地下</w:t>
            </w:r>
            <w:r>
              <w:rPr>
                <w:rFonts w:hint="default" w:ascii="Times New Roman" w:hAnsi="Times New Roman" w:eastAsia="宋体" w:cs="Times New Roman"/>
                <w:color w:val="auto"/>
                <w:sz w:val="24"/>
                <w:szCs w:val="24"/>
              </w:rPr>
              <w:t>车库设置有机械通风系统，依据《汽车库、修车库、停车场设计防火规范》每2000m</w:t>
            </w:r>
            <w:r>
              <w:rPr>
                <w:rFonts w:hint="default" w:ascii="Times New Roman" w:hAnsi="Times New Roman" w:eastAsia="宋体" w:cs="Times New Roman"/>
                <w:color w:val="auto"/>
                <w:sz w:val="24"/>
                <w:szCs w:val="24"/>
                <w:vertAlign w:val="superscript"/>
              </w:rPr>
              <w:t>2</w:t>
            </w:r>
            <w:r>
              <w:rPr>
                <w:rFonts w:hint="default" w:ascii="Times New Roman" w:hAnsi="Times New Roman" w:eastAsia="宋体" w:cs="Times New Roman"/>
                <w:color w:val="auto"/>
                <w:sz w:val="24"/>
                <w:szCs w:val="24"/>
              </w:rPr>
              <w:t>设为一个防火分区，</w:t>
            </w:r>
            <w:r>
              <w:rPr>
                <w:rFonts w:hint="eastAsia" w:cs="Times New Roman"/>
                <w:color w:val="auto"/>
                <w:sz w:val="24"/>
                <w:szCs w:val="24"/>
                <w:lang w:val="en-US" w:eastAsia="zh-CN"/>
              </w:rPr>
              <w:t>共</w:t>
            </w:r>
            <w:r>
              <w:rPr>
                <w:rFonts w:hint="default" w:ascii="Times New Roman" w:hAnsi="Times New Roman" w:eastAsia="宋体" w:cs="Times New Roman"/>
                <w:color w:val="auto"/>
                <w:sz w:val="24"/>
                <w:szCs w:val="24"/>
              </w:rPr>
              <w:t>配套</w:t>
            </w:r>
            <w:r>
              <w:rPr>
                <w:rFonts w:hint="eastAsia" w:ascii="Times New Roman" w:hAnsi="Times New Roman" w:eastAsia="宋体" w:cs="Times New Roman"/>
                <w:color w:val="auto"/>
                <w:sz w:val="24"/>
                <w:szCs w:val="24"/>
                <w:lang w:val="en-US" w:eastAsia="zh-CN"/>
              </w:rPr>
              <w:t>17套机械排放系统，</w:t>
            </w:r>
            <w:r>
              <w:rPr>
                <w:rFonts w:hint="default" w:ascii="Times New Roman" w:hAnsi="Times New Roman" w:eastAsia="宋体" w:cs="Times New Roman"/>
                <w:color w:val="auto"/>
                <w:sz w:val="24"/>
                <w:szCs w:val="24"/>
              </w:rPr>
              <w:t>每台风机换气次数不小于6次/h</w:t>
            </w:r>
            <w:r>
              <w:rPr>
                <w:rFonts w:hint="eastAsia"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rPr>
              <w:t>本项目</w:t>
            </w:r>
            <w:r>
              <w:rPr>
                <w:rFonts w:hint="eastAsia" w:ascii="Times New Roman" w:hAnsi="Times New Roman" w:eastAsia="宋体" w:cs="Times New Roman"/>
                <w:color w:val="auto"/>
                <w:sz w:val="24"/>
                <w:szCs w:val="24"/>
              </w:rPr>
              <w:t>两个地下</w:t>
            </w:r>
            <w:r>
              <w:rPr>
                <w:rFonts w:hint="default" w:ascii="Times New Roman" w:hAnsi="Times New Roman" w:eastAsia="宋体" w:cs="Times New Roman"/>
                <w:color w:val="auto"/>
                <w:sz w:val="24"/>
                <w:szCs w:val="24"/>
              </w:rPr>
              <w:t>车库</w:t>
            </w:r>
            <w:r>
              <w:rPr>
                <w:rFonts w:hint="eastAsia" w:ascii="Times New Roman" w:hAnsi="Times New Roman" w:eastAsia="宋体" w:cs="Times New Roman"/>
                <w:color w:val="auto"/>
                <w:sz w:val="24"/>
                <w:szCs w:val="24"/>
              </w:rPr>
              <w:t>总面积</w:t>
            </w:r>
            <w:r>
              <w:rPr>
                <w:rFonts w:hint="default" w:ascii="Times New Roman" w:hAnsi="Times New Roman" w:eastAsia="宋体" w:cs="Times New Roman"/>
                <w:color w:val="auto"/>
                <w:sz w:val="24"/>
                <w:szCs w:val="24"/>
              </w:rPr>
              <w:t>按</w:t>
            </w:r>
            <w:r>
              <w:rPr>
                <w:rFonts w:hint="eastAsia" w:ascii="Times New Roman" w:hAnsi="Times New Roman" w:eastAsia="宋体" w:cs="Times New Roman"/>
                <w:color w:val="auto"/>
                <w:sz w:val="24"/>
                <w:szCs w:val="24"/>
                <w:lang w:val="en-US" w:eastAsia="zh-CN"/>
              </w:rPr>
              <w:t>97269</w:t>
            </w:r>
            <w:r>
              <w:rPr>
                <w:rFonts w:hint="default" w:ascii="Times New Roman" w:hAnsi="Times New Roman" w:eastAsia="宋体" w:cs="Times New Roman"/>
                <w:color w:val="auto"/>
                <w:sz w:val="24"/>
                <w:szCs w:val="24"/>
              </w:rPr>
              <w:t>m2，车库层高按4m计算，共配备风机</w:t>
            </w:r>
            <w:r>
              <w:rPr>
                <w:rFonts w:hint="eastAsia" w:ascii="Times New Roman" w:hAnsi="Times New Roman" w:eastAsia="宋体" w:cs="Times New Roman"/>
                <w:color w:val="auto"/>
                <w:sz w:val="24"/>
                <w:szCs w:val="24"/>
                <w:lang w:val="en-US" w:eastAsia="zh-CN"/>
              </w:rPr>
              <w:t>17</w:t>
            </w:r>
            <w:r>
              <w:rPr>
                <w:rFonts w:hint="default" w:ascii="Times New Roman" w:hAnsi="Times New Roman" w:eastAsia="宋体" w:cs="Times New Roman"/>
                <w:color w:val="auto"/>
                <w:sz w:val="24"/>
                <w:szCs w:val="24"/>
              </w:rPr>
              <w:t>台。地下停车库的废气</w:t>
            </w:r>
            <w:r>
              <w:rPr>
                <w:rFonts w:hint="eastAsia" w:ascii="Times New Roman" w:hAnsi="Times New Roman" w:eastAsia="宋体" w:cs="Times New Roman"/>
                <w:color w:val="auto"/>
                <w:sz w:val="24"/>
                <w:szCs w:val="24"/>
              </w:rPr>
              <w:t>设置</w:t>
            </w:r>
            <w:r>
              <w:rPr>
                <w:rFonts w:hint="eastAsia" w:ascii="Times New Roman" w:hAnsi="Times New Roman" w:eastAsia="宋体" w:cs="Times New Roman"/>
                <w:color w:val="auto"/>
                <w:sz w:val="24"/>
                <w:szCs w:val="24"/>
                <w:lang w:val="en-US" w:eastAsia="zh-CN"/>
              </w:rPr>
              <w:t>14</w:t>
            </w:r>
            <w:r>
              <w:rPr>
                <w:rFonts w:hint="default" w:ascii="Times New Roman" w:hAnsi="Times New Roman" w:eastAsia="宋体" w:cs="Times New Roman"/>
                <w:color w:val="auto"/>
                <w:sz w:val="24"/>
                <w:szCs w:val="24"/>
              </w:rPr>
              <w:t>排风口，排风口</w:t>
            </w:r>
            <w:r>
              <w:rPr>
                <w:rFonts w:hint="eastAsia" w:ascii="Times New Roman" w:hAnsi="Times New Roman" w:eastAsia="宋体" w:cs="Times New Roman"/>
                <w:color w:val="auto"/>
                <w:sz w:val="24"/>
                <w:szCs w:val="24"/>
                <w:lang w:val="en-US" w:eastAsia="zh-CN"/>
              </w:rPr>
              <w:t>以</w:t>
            </w:r>
            <w:r>
              <w:rPr>
                <w:rFonts w:hint="eastAsia" w:ascii="Times New Roman" w:hAnsi="Times New Roman" w:eastAsia="宋体" w:cs="Times New Roman"/>
                <w:color w:val="auto"/>
                <w:sz w:val="24"/>
                <w:szCs w:val="24"/>
              </w:rPr>
              <w:t>室外百叶或室外排烟口</w:t>
            </w:r>
            <w:r>
              <w:rPr>
                <w:rFonts w:hint="eastAsia" w:ascii="Times New Roman" w:hAnsi="Times New Roman" w:eastAsia="宋体" w:cs="Times New Roman"/>
                <w:color w:val="auto"/>
                <w:sz w:val="24"/>
                <w:szCs w:val="24"/>
                <w:lang w:val="en-US" w:eastAsia="zh-CN"/>
              </w:rPr>
              <w:t>形式排放。</w:t>
            </w:r>
          </w:p>
          <w:p>
            <w:pPr>
              <w:autoSpaceDE w:val="0"/>
              <w:autoSpaceDN w:val="0"/>
              <w:adjustRightInd w:val="0"/>
              <w:spacing w:line="360" w:lineRule="auto"/>
              <w:ind w:firstLine="480" w:firstLineChars="200"/>
              <w:rPr>
                <w:rFonts w:hint="default" w:ascii="Times New Roman" w:hAnsi="Times New Roman" w:cs="Times New Roman"/>
                <w:color w:val="auto"/>
                <w:sz w:val="24"/>
              </w:rPr>
            </w:pPr>
            <w:r>
              <w:rPr>
                <w:rFonts w:hint="eastAsia" w:ascii="Times New Roman" w:hAnsi="Times New Roman" w:cs="Times New Roman"/>
                <w:color w:val="auto"/>
                <w:sz w:val="24"/>
                <w:lang w:val="en-US" w:eastAsia="zh-CN"/>
              </w:rPr>
              <w:t>（</w:t>
            </w:r>
            <w:r>
              <w:rPr>
                <w:rFonts w:hint="eastAsia" w:cs="Times New Roman"/>
                <w:color w:val="auto"/>
                <w:sz w:val="24"/>
                <w:lang w:val="en-US" w:eastAsia="zh-CN"/>
              </w:rPr>
              <w:t>2</w:t>
            </w:r>
            <w:r>
              <w:rPr>
                <w:rFonts w:hint="eastAsia" w:ascii="Times New Roman" w:hAnsi="Times New Roman" w:cs="Times New Roman"/>
                <w:color w:val="auto"/>
                <w:sz w:val="24"/>
                <w:lang w:val="en-US" w:eastAsia="zh-CN"/>
              </w:rPr>
              <w:t>）</w:t>
            </w:r>
            <w:r>
              <w:rPr>
                <w:rFonts w:hint="default" w:ascii="Times New Roman" w:hAnsi="Times New Roman" w:cs="Times New Roman"/>
                <w:color w:val="auto"/>
                <w:sz w:val="24"/>
              </w:rPr>
              <w:t>餐饮油烟</w:t>
            </w:r>
          </w:p>
          <w:p>
            <w:pPr>
              <w:spacing w:line="360" w:lineRule="auto"/>
              <w:ind w:firstLine="480" w:firstLineChars="200"/>
              <w:rPr>
                <w:color w:val="auto"/>
                <w:sz w:val="24"/>
              </w:rPr>
            </w:pPr>
            <w:r>
              <w:rPr>
                <w:color w:val="auto"/>
                <w:sz w:val="24"/>
              </w:rPr>
              <w:t>本项目</w:t>
            </w:r>
            <w:r>
              <w:rPr>
                <w:rFonts w:hint="eastAsia"/>
                <w:color w:val="auto"/>
                <w:sz w:val="24"/>
                <w:lang w:val="en-US" w:eastAsia="zh-CN"/>
              </w:rPr>
              <w:t>设6</w:t>
            </w:r>
            <w:r>
              <w:rPr>
                <w:color w:val="auto"/>
                <w:sz w:val="24"/>
              </w:rPr>
              <w:t>个</w:t>
            </w:r>
            <w:r>
              <w:rPr>
                <w:rFonts w:hint="eastAsia"/>
                <w:color w:val="auto"/>
                <w:sz w:val="24"/>
                <w:lang w:val="en-US" w:eastAsia="zh-CN"/>
              </w:rPr>
              <w:t>职工餐饮区</w:t>
            </w:r>
            <w:r>
              <w:rPr>
                <w:color w:val="auto"/>
                <w:sz w:val="24"/>
              </w:rPr>
              <w:t>，</w:t>
            </w:r>
            <w:r>
              <w:rPr>
                <w:rFonts w:hint="eastAsia"/>
                <w:color w:val="auto"/>
                <w:sz w:val="24"/>
                <w:lang w:val="en-US" w:eastAsia="zh-CN"/>
              </w:rPr>
              <w:t>未设置游客餐饮服务区（均设置在园区外东南与西南角的童话大街），</w:t>
            </w:r>
            <w:r>
              <w:rPr>
                <w:rFonts w:hint="eastAsia"/>
                <w:color w:val="auto"/>
                <w:sz w:val="24"/>
              </w:rPr>
              <w:t>各餐厅</w:t>
            </w:r>
            <w:r>
              <w:rPr>
                <w:rFonts w:hint="eastAsia"/>
                <w:color w:val="auto"/>
                <w:sz w:val="24"/>
                <w:lang w:val="en-US" w:eastAsia="zh-CN"/>
              </w:rPr>
              <w:t>设置情况</w:t>
            </w:r>
            <w:r>
              <w:rPr>
                <w:rFonts w:hint="eastAsia"/>
                <w:color w:val="auto"/>
                <w:sz w:val="24"/>
              </w:rPr>
              <w:t>见表</w:t>
            </w:r>
            <w:r>
              <w:rPr>
                <w:rFonts w:hint="eastAsia"/>
                <w:color w:val="auto"/>
                <w:sz w:val="24"/>
                <w:lang w:val="en-US" w:eastAsia="zh-CN"/>
              </w:rPr>
              <w:t>24</w:t>
            </w:r>
            <w:r>
              <w:rPr>
                <w:rFonts w:hint="eastAsia"/>
                <w:color w:val="auto"/>
                <w:sz w:val="24"/>
              </w:rPr>
              <w:t>。</w:t>
            </w:r>
          </w:p>
          <w:p>
            <w:pPr>
              <w:spacing w:line="360" w:lineRule="auto"/>
              <w:ind w:firstLine="480" w:firstLineChars="200"/>
              <w:rPr>
                <w:rFonts w:hint="default" w:ascii="Times New Roman" w:hAnsi="Times New Roman" w:eastAsia="黑体" w:cs="Times New Roman"/>
                <w:color w:val="auto"/>
                <w:sz w:val="24"/>
                <w:lang w:val="en-US" w:eastAsia="zh-CN"/>
              </w:rPr>
            </w:pPr>
            <w:r>
              <w:rPr>
                <w:rFonts w:hint="eastAsia" w:eastAsia="黑体" w:cs="Times New Roman"/>
                <w:color w:val="auto"/>
                <w:sz w:val="24"/>
                <w:lang w:val="en-US" w:eastAsia="zh-CN"/>
              </w:rPr>
              <w:t xml:space="preserve">                   </w:t>
            </w:r>
            <w:r>
              <w:rPr>
                <w:rFonts w:hint="default" w:ascii="Times New Roman" w:hAnsi="Times New Roman" w:eastAsia="黑体" w:cs="Times New Roman"/>
                <w:color w:val="auto"/>
                <w:sz w:val="24"/>
                <w:lang w:val="en-US" w:eastAsia="zh-CN"/>
              </w:rPr>
              <w:t>表2</w:t>
            </w:r>
            <w:r>
              <w:rPr>
                <w:rFonts w:hint="eastAsia" w:eastAsia="黑体" w:cs="Times New Roman"/>
                <w:color w:val="auto"/>
                <w:sz w:val="24"/>
                <w:lang w:val="en-US" w:eastAsia="zh-CN"/>
              </w:rPr>
              <w:t>4</w:t>
            </w:r>
            <w:r>
              <w:rPr>
                <w:rFonts w:hint="default" w:ascii="Times New Roman" w:hAnsi="Times New Roman" w:eastAsia="黑体" w:cs="Times New Roman"/>
                <w:color w:val="auto"/>
                <w:sz w:val="24"/>
                <w:lang w:val="en-US" w:eastAsia="zh-CN"/>
              </w:rPr>
              <w:t xml:space="preserve">      职工餐厅设置情况一览表</w:t>
            </w:r>
          </w:p>
          <w:tbl>
            <w:tblPr>
              <w:tblStyle w:val="25"/>
              <w:tblW w:w="934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2224"/>
              <w:gridCol w:w="3148"/>
              <w:gridCol w:w="19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986"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rFonts w:hint="eastAsia" w:eastAsia="宋体"/>
                      <w:color w:val="auto"/>
                      <w:sz w:val="21"/>
                      <w:szCs w:val="21"/>
                      <w:vertAlign w:val="baseline"/>
                      <w:lang w:val="en-US" w:eastAsia="zh-CN"/>
                    </w:rPr>
                  </w:pPr>
                  <w:r>
                    <w:rPr>
                      <w:rFonts w:hint="eastAsia"/>
                      <w:color w:val="auto"/>
                      <w:sz w:val="21"/>
                      <w:szCs w:val="21"/>
                      <w:vertAlign w:val="baseline"/>
                      <w:lang w:val="en-US" w:eastAsia="zh-CN"/>
                    </w:rPr>
                    <w:t>分区</w:t>
                  </w:r>
                </w:p>
              </w:tc>
              <w:tc>
                <w:tcPr>
                  <w:tcW w:w="222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rFonts w:hint="eastAsia" w:eastAsia="宋体"/>
                      <w:color w:val="auto"/>
                      <w:sz w:val="21"/>
                      <w:szCs w:val="21"/>
                      <w:vertAlign w:val="baseline"/>
                      <w:lang w:val="en-US" w:eastAsia="zh-CN"/>
                    </w:rPr>
                  </w:pPr>
                  <w:r>
                    <w:rPr>
                      <w:rFonts w:hint="eastAsia"/>
                      <w:color w:val="auto"/>
                      <w:sz w:val="21"/>
                      <w:szCs w:val="21"/>
                      <w:vertAlign w:val="baseline"/>
                      <w:lang w:val="en-US" w:eastAsia="zh-CN"/>
                    </w:rPr>
                    <w:t>餐厅</w:t>
                  </w:r>
                </w:p>
              </w:tc>
              <w:tc>
                <w:tcPr>
                  <w:tcW w:w="3148"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rFonts w:hint="eastAsia" w:eastAsia="宋体"/>
                      <w:color w:val="auto"/>
                      <w:sz w:val="21"/>
                      <w:szCs w:val="21"/>
                      <w:vertAlign w:val="baseline"/>
                      <w:lang w:val="en-US" w:eastAsia="zh-CN"/>
                    </w:rPr>
                  </w:pPr>
                  <w:r>
                    <w:rPr>
                      <w:rFonts w:hint="eastAsia"/>
                      <w:color w:val="auto"/>
                      <w:sz w:val="21"/>
                      <w:szCs w:val="21"/>
                      <w:vertAlign w:val="baseline"/>
                      <w:lang w:val="en-US" w:eastAsia="zh-CN"/>
                    </w:rPr>
                    <w:t>容纳就餐人数（人）</w:t>
                  </w:r>
                </w:p>
              </w:tc>
              <w:tc>
                <w:tcPr>
                  <w:tcW w:w="1988"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rFonts w:hint="eastAsia" w:eastAsia="宋体"/>
                      <w:color w:val="auto"/>
                      <w:sz w:val="21"/>
                      <w:szCs w:val="21"/>
                      <w:vertAlign w:val="baseline"/>
                      <w:lang w:val="en-US" w:eastAsia="zh-CN"/>
                    </w:rPr>
                  </w:pPr>
                  <w:r>
                    <w:rPr>
                      <w:rFonts w:hint="eastAsia"/>
                      <w:color w:val="auto"/>
                      <w:sz w:val="21"/>
                      <w:szCs w:val="21"/>
                      <w:vertAlign w:val="baseline"/>
                      <w:lang w:val="en-US" w:eastAsia="zh-CN"/>
                    </w:rPr>
                    <w:t>折合基准灶头数（个）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986"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color w:val="auto"/>
                      <w:sz w:val="21"/>
                      <w:szCs w:val="21"/>
                      <w:vertAlign w:val="baseline"/>
                    </w:rPr>
                  </w:pPr>
                </w:p>
              </w:tc>
              <w:tc>
                <w:tcPr>
                  <w:tcW w:w="222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rFonts w:hint="eastAsia" w:eastAsia="宋体"/>
                      <w:color w:val="auto"/>
                      <w:sz w:val="21"/>
                      <w:szCs w:val="21"/>
                      <w:vertAlign w:val="baseline"/>
                      <w:lang w:val="en-US" w:eastAsia="zh-CN"/>
                    </w:rPr>
                  </w:pPr>
                  <w:r>
                    <w:rPr>
                      <w:rFonts w:hint="eastAsia"/>
                      <w:color w:val="auto"/>
                      <w:sz w:val="21"/>
                      <w:szCs w:val="21"/>
                      <w:vertAlign w:val="baseline"/>
                      <w:lang w:val="en-US" w:eastAsia="zh-CN"/>
                    </w:rPr>
                    <w:t>名称</w:t>
                  </w:r>
                </w:p>
              </w:tc>
              <w:tc>
                <w:tcPr>
                  <w:tcW w:w="3148"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color w:val="auto"/>
                      <w:sz w:val="21"/>
                      <w:szCs w:val="21"/>
                      <w:vertAlign w:val="baseline"/>
                    </w:rPr>
                  </w:pPr>
                </w:p>
              </w:tc>
              <w:tc>
                <w:tcPr>
                  <w:tcW w:w="1988"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color w:val="auto"/>
                      <w:sz w:val="21"/>
                      <w:szCs w:val="21"/>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98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color w:val="auto"/>
                      <w:sz w:val="21"/>
                      <w:szCs w:val="21"/>
                      <w:vertAlign w:val="baseline"/>
                    </w:rPr>
                  </w:pPr>
                  <w:r>
                    <w:rPr>
                      <w:rFonts w:hint="eastAsia"/>
                      <w:color w:val="auto"/>
                      <w:szCs w:val="21"/>
                      <w:lang w:val="en-US" w:eastAsia="zh-CN"/>
                    </w:rPr>
                    <w:t>璀璨中华区107#单体（2层）</w:t>
                  </w:r>
                </w:p>
              </w:tc>
              <w:tc>
                <w:tcPr>
                  <w:tcW w:w="222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color w:val="auto"/>
                      <w:sz w:val="21"/>
                      <w:szCs w:val="21"/>
                      <w:vertAlign w:val="baseline"/>
                    </w:rPr>
                  </w:pPr>
                  <w:r>
                    <w:rPr>
                      <w:rFonts w:hint="eastAsia"/>
                      <w:color w:val="auto"/>
                      <w:szCs w:val="21"/>
                      <w:lang w:val="en-US" w:eastAsia="zh-CN"/>
                    </w:rPr>
                    <w:t>2层职工食堂</w:t>
                  </w:r>
                </w:p>
              </w:tc>
              <w:tc>
                <w:tcPr>
                  <w:tcW w:w="3148"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rFonts w:hint="eastAsia" w:eastAsia="宋体"/>
                      <w:color w:val="auto"/>
                      <w:sz w:val="21"/>
                      <w:szCs w:val="21"/>
                      <w:vertAlign w:val="baseline"/>
                      <w:lang w:val="en-US" w:eastAsia="zh-CN"/>
                    </w:rPr>
                  </w:pPr>
                  <w:r>
                    <w:rPr>
                      <w:rFonts w:hint="eastAsia"/>
                      <w:color w:val="auto"/>
                      <w:sz w:val="21"/>
                      <w:szCs w:val="21"/>
                      <w:vertAlign w:val="baseline"/>
                      <w:lang w:val="en-US" w:eastAsia="zh-CN"/>
                    </w:rPr>
                    <w:t>108</w:t>
                  </w:r>
                </w:p>
              </w:tc>
              <w:tc>
                <w:tcPr>
                  <w:tcW w:w="1988"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rFonts w:hint="eastAsia" w:eastAsia="宋体"/>
                      <w:color w:val="auto"/>
                      <w:sz w:val="21"/>
                      <w:szCs w:val="21"/>
                      <w:vertAlign w:val="baseline"/>
                      <w:lang w:eastAsia="zh-CN"/>
                    </w:rPr>
                  </w:pPr>
                  <w:r>
                    <w:rPr>
                      <w:rFonts w:hint="eastAsia" w:ascii="Arial" w:hAnsi="Arial" w:cs="Arial"/>
                      <w:color w:val="auto"/>
                      <w:sz w:val="21"/>
                      <w:szCs w:val="21"/>
                      <w:vertAlign w:val="baseline"/>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98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color w:val="auto"/>
                      <w:sz w:val="21"/>
                      <w:szCs w:val="21"/>
                      <w:vertAlign w:val="baseline"/>
                    </w:rPr>
                  </w:pPr>
                  <w:r>
                    <w:rPr>
                      <w:rFonts w:hint="eastAsia"/>
                      <w:color w:val="auto"/>
                      <w:szCs w:val="21"/>
                      <w:lang w:val="en-US" w:eastAsia="zh-CN"/>
                    </w:rPr>
                    <w:t>璀璨中华区108#单体（2层）</w:t>
                  </w:r>
                </w:p>
              </w:tc>
              <w:tc>
                <w:tcPr>
                  <w:tcW w:w="222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color w:val="auto"/>
                      <w:sz w:val="21"/>
                      <w:szCs w:val="21"/>
                      <w:vertAlign w:val="baseline"/>
                    </w:rPr>
                  </w:pPr>
                  <w:r>
                    <w:rPr>
                      <w:rFonts w:hint="eastAsia"/>
                      <w:color w:val="auto"/>
                      <w:szCs w:val="21"/>
                      <w:lang w:val="en-US" w:eastAsia="zh-CN"/>
                    </w:rPr>
                    <w:t>2层职工食堂</w:t>
                  </w:r>
                </w:p>
              </w:tc>
              <w:tc>
                <w:tcPr>
                  <w:tcW w:w="3148"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rFonts w:hint="eastAsia" w:eastAsia="宋体"/>
                      <w:color w:val="auto"/>
                      <w:sz w:val="21"/>
                      <w:szCs w:val="21"/>
                      <w:vertAlign w:val="baseline"/>
                      <w:lang w:val="en-US" w:eastAsia="zh-CN"/>
                    </w:rPr>
                  </w:pPr>
                  <w:r>
                    <w:rPr>
                      <w:rFonts w:hint="eastAsia"/>
                      <w:color w:val="auto"/>
                      <w:sz w:val="21"/>
                      <w:szCs w:val="21"/>
                      <w:vertAlign w:val="baseline"/>
                      <w:lang w:val="en-US" w:eastAsia="zh-CN"/>
                    </w:rPr>
                    <w:t>168</w:t>
                  </w:r>
                </w:p>
              </w:tc>
              <w:tc>
                <w:tcPr>
                  <w:tcW w:w="1988"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rFonts w:hint="eastAsia" w:eastAsia="宋体"/>
                      <w:color w:val="auto"/>
                      <w:sz w:val="21"/>
                      <w:szCs w:val="21"/>
                      <w:vertAlign w:val="baseline"/>
                      <w:lang w:eastAsia="zh-CN"/>
                    </w:rPr>
                  </w:pPr>
                  <w:r>
                    <w:rPr>
                      <w:rFonts w:hint="eastAsia" w:ascii="Arial" w:hAnsi="Arial" w:cs="Arial"/>
                      <w:color w:val="auto"/>
                      <w:sz w:val="21"/>
                      <w:szCs w:val="21"/>
                      <w:vertAlign w:val="baseline"/>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98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color w:val="auto"/>
                      <w:sz w:val="21"/>
                      <w:szCs w:val="21"/>
                      <w:vertAlign w:val="baseline"/>
                    </w:rPr>
                  </w:pPr>
                  <w:r>
                    <w:rPr>
                      <w:rFonts w:hint="eastAsia"/>
                      <w:color w:val="auto"/>
                      <w:szCs w:val="21"/>
                      <w:lang w:val="en-US" w:eastAsia="zh-CN"/>
                    </w:rPr>
                    <w:t>神秘古国区217#单体（2层）</w:t>
                  </w:r>
                </w:p>
              </w:tc>
              <w:tc>
                <w:tcPr>
                  <w:tcW w:w="222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color w:val="auto"/>
                      <w:sz w:val="21"/>
                      <w:szCs w:val="21"/>
                      <w:vertAlign w:val="baseline"/>
                    </w:rPr>
                  </w:pPr>
                  <w:r>
                    <w:rPr>
                      <w:rFonts w:hint="eastAsia"/>
                      <w:color w:val="auto"/>
                      <w:szCs w:val="21"/>
                      <w:lang w:val="en-US" w:eastAsia="zh-CN"/>
                    </w:rPr>
                    <w:t>1层职工食堂</w:t>
                  </w:r>
                </w:p>
              </w:tc>
              <w:tc>
                <w:tcPr>
                  <w:tcW w:w="3148"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rFonts w:hint="eastAsia" w:eastAsia="宋体"/>
                      <w:color w:val="auto"/>
                      <w:sz w:val="21"/>
                      <w:szCs w:val="21"/>
                      <w:vertAlign w:val="baseline"/>
                      <w:lang w:val="en-US" w:eastAsia="zh-CN"/>
                    </w:rPr>
                  </w:pPr>
                  <w:r>
                    <w:rPr>
                      <w:rFonts w:hint="eastAsia"/>
                      <w:color w:val="auto"/>
                      <w:sz w:val="21"/>
                      <w:szCs w:val="21"/>
                      <w:vertAlign w:val="baseline"/>
                      <w:lang w:val="en-US" w:eastAsia="zh-CN"/>
                    </w:rPr>
                    <w:t>200</w:t>
                  </w:r>
                </w:p>
              </w:tc>
              <w:tc>
                <w:tcPr>
                  <w:tcW w:w="1988"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rFonts w:hint="eastAsia" w:eastAsia="宋体"/>
                      <w:color w:val="auto"/>
                      <w:sz w:val="21"/>
                      <w:szCs w:val="21"/>
                      <w:vertAlign w:val="baseline"/>
                      <w:lang w:eastAsia="zh-CN"/>
                    </w:rPr>
                  </w:pPr>
                  <w:r>
                    <w:rPr>
                      <w:rFonts w:hint="eastAsia" w:ascii="Arial" w:hAnsi="Arial" w:cs="Arial"/>
                      <w:color w:val="auto"/>
                      <w:sz w:val="21"/>
                      <w:szCs w:val="21"/>
                      <w:vertAlign w:val="baseline"/>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98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color w:val="auto"/>
                      <w:sz w:val="21"/>
                      <w:szCs w:val="21"/>
                      <w:vertAlign w:val="baseline"/>
                    </w:rPr>
                  </w:pPr>
                  <w:r>
                    <w:rPr>
                      <w:rFonts w:hint="eastAsia"/>
                      <w:color w:val="auto"/>
                      <w:szCs w:val="21"/>
                      <w:lang w:val="en-US" w:eastAsia="zh-CN"/>
                    </w:rPr>
                    <w:t>漫游海洋区321#单体（2层）</w:t>
                  </w:r>
                </w:p>
              </w:tc>
              <w:tc>
                <w:tcPr>
                  <w:tcW w:w="222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color w:val="auto"/>
                      <w:sz w:val="21"/>
                      <w:szCs w:val="21"/>
                      <w:vertAlign w:val="baseline"/>
                    </w:rPr>
                  </w:pPr>
                  <w:r>
                    <w:rPr>
                      <w:rFonts w:hint="eastAsia"/>
                      <w:color w:val="auto"/>
                      <w:szCs w:val="21"/>
                      <w:lang w:val="en-US" w:eastAsia="zh-CN"/>
                    </w:rPr>
                    <w:t>1层职工食堂</w:t>
                  </w:r>
                </w:p>
              </w:tc>
              <w:tc>
                <w:tcPr>
                  <w:tcW w:w="3148"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rFonts w:hint="eastAsia" w:eastAsia="宋体"/>
                      <w:color w:val="auto"/>
                      <w:sz w:val="21"/>
                      <w:szCs w:val="21"/>
                      <w:vertAlign w:val="baseline"/>
                      <w:lang w:val="en-US" w:eastAsia="zh-CN"/>
                    </w:rPr>
                  </w:pPr>
                  <w:r>
                    <w:rPr>
                      <w:rFonts w:hint="eastAsia"/>
                      <w:color w:val="auto"/>
                      <w:sz w:val="21"/>
                      <w:szCs w:val="21"/>
                      <w:vertAlign w:val="baseline"/>
                      <w:lang w:val="en-US" w:eastAsia="zh-CN"/>
                    </w:rPr>
                    <w:t>120</w:t>
                  </w:r>
                </w:p>
              </w:tc>
              <w:tc>
                <w:tcPr>
                  <w:tcW w:w="1988"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rFonts w:hint="eastAsia" w:eastAsia="宋体"/>
                      <w:color w:val="auto"/>
                      <w:sz w:val="21"/>
                      <w:szCs w:val="21"/>
                      <w:vertAlign w:val="baseline"/>
                      <w:lang w:eastAsia="zh-CN"/>
                    </w:rPr>
                  </w:pPr>
                  <w:r>
                    <w:rPr>
                      <w:rFonts w:hint="eastAsia" w:ascii="Arial" w:hAnsi="Arial" w:cs="Arial"/>
                      <w:color w:val="auto"/>
                      <w:sz w:val="21"/>
                      <w:szCs w:val="21"/>
                      <w:vertAlign w:val="baseline"/>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98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color w:val="auto"/>
                      <w:sz w:val="21"/>
                      <w:szCs w:val="21"/>
                      <w:vertAlign w:val="baseline"/>
                    </w:rPr>
                  </w:pPr>
                  <w:r>
                    <w:rPr>
                      <w:rFonts w:hint="eastAsia"/>
                      <w:color w:val="auto"/>
                      <w:szCs w:val="21"/>
                      <w:lang w:val="en-US" w:eastAsia="zh-CN"/>
                    </w:rPr>
                    <w:t>漫游海洋区424#单体（2层）</w:t>
                  </w:r>
                </w:p>
              </w:tc>
              <w:tc>
                <w:tcPr>
                  <w:tcW w:w="222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color w:val="auto"/>
                      <w:sz w:val="21"/>
                      <w:szCs w:val="21"/>
                      <w:vertAlign w:val="baseline"/>
                    </w:rPr>
                  </w:pPr>
                  <w:r>
                    <w:rPr>
                      <w:rFonts w:hint="eastAsia"/>
                      <w:color w:val="auto"/>
                      <w:szCs w:val="21"/>
                      <w:lang w:val="en-US" w:eastAsia="zh-CN"/>
                    </w:rPr>
                    <w:t>2层职工食堂</w:t>
                  </w:r>
                </w:p>
              </w:tc>
              <w:tc>
                <w:tcPr>
                  <w:tcW w:w="3148"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rFonts w:hint="eastAsia" w:eastAsia="宋体"/>
                      <w:color w:val="auto"/>
                      <w:sz w:val="21"/>
                      <w:szCs w:val="21"/>
                      <w:vertAlign w:val="baseline"/>
                      <w:lang w:val="en-US" w:eastAsia="zh-CN"/>
                    </w:rPr>
                  </w:pPr>
                  <w:r>
                    <w:rPr>
                      <w:rFonts w:hint="eastAsia"/>
                      <w:color w:val="auto"/>
                      <w:sz w:val="21"/>
                      <w:szCs w:val="21"/>
                      <w:vertAlign w:val="baseline"/>
                      <w:lang w:val="en-US" w:eastAsia="zh-CN"/>
                    </w:rPr>
                    <w:t>118</w:t>
                  </w:r>
                </w:p>
              </w:tc>
              <w:tc>
                <w:tcPr>
                  <w:tcW w:w="1988"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rFonts w:hint="eastAsia" w:eastAsia="宋体"/>
                      <w:color w:val="auto"/>
                      <w:sz w:val="21"/>
                      <w:szCs w:val="21"/>
                      <w:vertAlign w:val="baseline"/>
                      <w:lang w:eastAsia="zh-CN"/>
                    </w:rPr>
                  </w:pPr>
                  <w:r>
                    <w:rPr>
                      <w:rFonts w:hint="eastAsia" w:ascii="Arial" w:hAnsi="Arial" w:cs="Arial"/>
                      <w:color w:val="auto"/>
                      <w:sz w:val="21"/>
                      <w:szCs w:val="21"/>
                      <w:vertAlign w:val="baseline"/>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98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color w:val="auto"/>
                      <w:sz w:val="21"/>
                      <w:szCs w:val="21"/>
                      <w:vertAlign w:val="baseline"/>
                    </w:rPr>
                  </w:pPr>
                  <w:r>
                    <w:rPr>
                      <w:rFonts w:hint="eastAsia"/>
                      <w:color w:val="auto"/>
                      <w:szCs w:val="21"/>
                      <w:lang w:val="en-US" w:eastAsia="zh-CN"/>
                    </w:rPr>
                    <w:t>漫游海洋区633#单体（3层）</w:t>
                  </w:r>
                </w:p>
              </w:tc>
              <w:tc>
                <w:tcPr>
                  <w:tcW w:w="222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color w:val="auto"/>
                      <w:sz w:val="21"/>
                      <w:szCs w:val="21"/>
                      <w:vertAlign w:val="baseline"/>
                    </w:rPr>
                  </w:pPr>
                  <w:r>
                    <w:rPr>
                      <w:rFonts w:hint="eastAsia"/>
                      <w:color w:val="auto"/>
                      <w:szCs w:val="21"/>
                      <w:lang w:val="en-US" w:eastAsia="zh-CN"/>
                    </w:rPr>
                    <w:t>2层职工食堂</w:t>
                  </w:r>
                </w:p>
              </w:tc>
              <w:tc>
                <w:tcPr>
                  <w:tcW w:w="3148"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rFonts w:hint="eastAsia" w:eastAsia="宋体"/>
                      <w:color w:val="auto"/>
                      <w:sz w:val="21"/>
                      <w:szCs w:val="21"/>
                      <w:vertAlign w:val="baseline"/>
                      <w:lang w:val="en-US" w:eastAsia="zh-CN"/>
                    </w:rPr>
                  </w:pPr>
                  <w:r>
                    <w:rPr>
                      <w:rFonts w:hint="eastAsia"/>
                      <w:color w:val="auto"/>
                      <w:sz w:val="21"/>
                      <w:szCs w:val="21"/>
                      <w:vertAlign w:val="baseline"/>
                      <w:lang w:val="en-US" w:eastAsia="zh-CN"/>
                    </w:rPr>
                    <w:t>124</w:t>
                  </w:r>
                </w:p>
              </w:tc>
              <w:tc>
                <w:tcPr>
                  <w:tcW w:w="1988"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rFonts w:hint="eastAsia" w:eastAsia="宋体"/>
                      <w:color w:val="auto"/>
                      <w:sz w:val="21"/>
                      <w:szCs w:val="21"/>
                      <w:vertAlign w:val="baseline"/>
                      <w:lang w:eastAsia="zh-CN"/>
                    </w:rPr>
                  </w:pPr>
                  <w:r>
                    <w:rPr>
                      <w:rFonts w:hint="eastAsia" w:ascii="Arial" w:hAnsi="Arial" w:cs="Arial"/>
                      <w:color w:val="auto"/>
                      <w:sz w:val="21"/>
                      <w:szCs w:val="21"/>
                      <w:vertAlign w:val="baseline"/>
                      <w:lang w:val="en-US" w:eastAsia="zh-CN"/>
                    </w:rPr>
                    <w:t>4</w:t>
                  </w:r>
                </w:p>
              </w:tc>
            </w:tr>
          </w:tbl>
          <w:p>
            <w:pPr>
              <w:spacing w:line="360" w:lineRule="auto"/>
              <w:ind w:firstLine="480" w:firstLineChars="200"/>
              <w:rPr>
                <w:rFonts w:hint="eastAsia"/>
                <w:color w:val="auto"/>
                <w:sz w:val="24"/>
                <w:lang w:val="en-US" w:eastAsia="zh-CN"/>
              </w:rPr>
            </w:pPr>
            <w:r>
              <w:rPr>
                <w:rFonts w:hint="eastAsia"/>
                <w:color w:val="auto"/>
                <w:sz w:val="24"/>
              </w:rPr>
              <w:t>类比相关材料确定，每人每餐食用油量约为</w:t>
            </w:r>
            <w:r>
              <w:rPr>
                <w:rFonts w:hint="eastAsia"/>
                <w:color w:val="auto"/>
                <w:sz w:val="24"/>
                <w:lang w:val="en-US" w:eastAsia="zh-CN"/>
              </w:rPr>
              <w:t>30</w:t>
            </w:r>
            <w:r>
              <w:rPr>
                <w:rFonts w:hint="eastAsia"/>
                <w:color w:val="auto"/>
                <w:sz w:val="24"/>
              </w:rPr>
              <w:t>g</w:t>
            </w:r>
            <w:r>
              <w:rPr>
                <w:rFonts w:hint="eastAsia"/>
                <w:color w:val="auto"/>
                <w:sz w:val="24"/>
                <w:lang w:val="en-US" w:eastAsia="zh-CN"/>
              </w:rPr>
              <w:t>/人.d</w:t>
            </w:r>
            <w:r>
              <w:rPr>
                <w:rFonts w:hint="eastAsia"/>
                <w:color w:val="auto"/>
                <w:sz w:val="24"/>
              </w:rPr>
              <w:t>，根据不同的烹饪方法食用油的挥发量约占耗油量的2%~4%，本项目以3%计，项目运营时间按365天计。本次评价要求在各灶头上方安装集气罩，根据灶头数配套安装油烟净化设备，油烟净化设备引风机风量按照每个基准灶头≥2000m</w:t>
            </w:r>
            <w:r>
              <w:rPr>
                <w:rFonts w:hint="eastAsia"/>
                <w:color w:val="auto"/>
                <w:sz w:val="24"/>
                <w:vertAlign w:val="superscript"/>
              </w:rPr>
              <w:t>3</w:t>
            </w:r>
            <w:r>
              <w:rPr>
                <w:rFonts w:hint="eastAsia"/>
                <w:color w:val="auto"/>
                <w:sz w:val="24"/>
              </w:rPr>
              <w:t>/h配置，各餐厅每天烹饪时间以3h计。本次评价要求各餐厅</w:t>
            </w:r>
            <w:r>
              <w:rPr>
                <w:rFonts w:hint="eastAsia"/>
                <w:color w:val="auto"/>
                <w:sz w:val="24"/>
                <w:lang w:val="en-US" w:eastAsia="zh-CN"/>
              </w:rPr>
              <w:t>安装</w:t>
            </w:r>
            <w:r>
              <w:rPr>
                <w:rFonts w:hint="eastAsia"/>
                <w:color w:val="auto"/>
                <w:sz w:val="24"/>
              </w:rPr>
              <w:t>处理效率</w:t>
            </w:r>
            <w:r>
              <w:rPr>
                <w:rFonts w:hint="default" w:ascii="Arial" w:hAnsi="Arial" w:cs="Arial"/>
                <w:color w:val="auto"/>
                <w:sz w:val="24"/>
              </w:rPr>
              <w:t>≥</w:t>
            </w:r>
            <w:r>
              <w:rPr>
                <w:rFonts w:hint="eastAsia"/>
                <w:color w:val="auto"/>
                <w:sz w:val="24"/>
                <w:lang w:val="en-US" w:eastAsia="zh-CN"/>
              </w:rPr>
              <w:t>75</w:t>
            </w:r>
            <w:r>
              <w:rPr>
                <w:rFonts w:hint="eastAsia"/>
                <w:color w:val="auto"/>
                <w:sz w:val="24"/>
              </w:rPr>
              <w:t>%油烟净化器，</w:t>
            </w:r>
            <w:r>
              <w:rPr>
                <w:rFonts w:hint="eastAsia"/>
                <w:color w:val="auto"/>
                <w:sz w:val="24"/>
                <w:lang w:val="en-US" w:eastAsia="zh-CN"/>
              </w:rPr>
              <w:t>经处理后</w:t>
            </w:r>
            <w:r>
              <w:rPr>
                <w:rFonts w:hint="eastAsia"/>
                <w:color w:val="auto"/>
                <w:sz w:val="24"/>
              </w:rPr>
              <w:t>。</w:t>
            </w:r>
            <w:r>
              <w:rPr>
                <w:rFonts w:hint="eastAsia"/>
                <w:color w:val="auto"/>
                <w:sz w:val="24"/>
                <w:lang w:val="en-US" w:eastAsia="zh-CN"/>
              </w:rPr>
              <w:t>油烟废气满足</w:t>
            </w:r>
            <w:r>
              <w:rPr>
                <w:color w:val="auto"/>
                <w:sz w:val="24"/>
              </w:rPr>
              <w:t>GB18483-2001《饮食业油烟排放标准（试行）》</w:t>
            </w:r>
            <w:r>
              <w:rPr>
                <w:rFonts w:hint="eastAsia"/>
                <w:color w:val="auto"/>
                <w:sz w:val="24"/>
              </w:rPr>
              <w:t>要求</w:t>
            </w:r>
            <w:r>
              <w:rPr>
                <w:rFonts w:hint="eastAsia"/>
                <w:color w:val="auto"/>
                <w:sz w:val="24"/>
                <w:lang w:eastAsia="zh-CN"/>
              </w:rPr>
              <w:t>，</w:t>
            </w:r>
            <w:r>
              <w:rPr>
                <w:rFonts w:hint="eastAsia"/>
                <w:color w:val="auto"/>
                <w:sz w:val="24"/>
              </w:rPr>
              <w:t>从厨房排风竖井经屋顶或预留的内置烟道排放。</w:t>
            </w:r>
          </w:p>
          <w:p>
            <w:pPr>
              <w:autoSpaceDE w:val="0"/>
              <w:autoSpaceDN w:val="0"/>
              <w:adjustRightInd w:val="0"/>
              <w:spacing w:line="360" w:lineRule="auto"/>
              <w:ind w:firstLine="480" w:firstLineChars="200"/>
              <w:rPr>
                <w:color w:val="auto"/>
                <w:sz w:val="24"/>
              </w:rPr>
            </w:pPr>
            <w:r>
              <w:rPr>
                <w:color w:val="auto"/>
                <w:sz w:val="24"/>
              </w:rPr>
              <w:t>项目食堂油烟产生及排放情况见表</w:t>
            </w:r>
            <w:r>
              <w:rPr>
                <w:rFonts w:hint="eastAsia"/>
                <w:color w:val="auto"/>
                <w:sz w:val="24"/>
                <w:lang w:val="en-US" w:eastAsia="zh-CN"/>
              </w:rPr>
              <w:t>25</w:t>
            </w:r>
            <w:r>
              <w:rPr>
                <w:color w:val="auto"/>
                <w:sz w:val="24"/>
              </w:rPr>
              <w:t>。</w:t>
            </w:r>
          </w:p>
          <w:p>
            <w:pPr>
              <w:spacing w:line="360" w:lineRule="auto"/>
              <w:ind w:firstLine="480" w:firstLineChars="200"/>
              <w:rPr>
                <w:rFonts w:hint="eastAsia" w:eastAsia="黑体" w:cs="Times New Roman"/>
                <w:color w:val="auto"/>
                <w:sz w:val="24"/>
                <w:lang w:val="en-US" w:eastAsia="zh-CN"/>
              </w:rPr>
            </w:pPr>
            <w:r>
              <w:rPr>
                <w:rFonts w:hint="eastAsia" w:eastAsia="黑体" w:cs="Times New Roman"/>
                <w:color w:val="auto"/>
                <w:sz w:val="24"/>
                <w:lang w:val="en-US" w:eastAsia="zh-CN"/>
              </w:rPr>
              <w:t xml:space="preserve">                </w:t>
            </w:r>
            <w:r>
              <w:rPr>
                <w:rFonts w:hint="eastAsia" w:eastAsia="黑体" w:cs="Times New Roman"/>
                <w:color w:val="auto"/>
                <w:sz w:val="24"/>
                <w:lang w:val="en-US" w:eastAsia="zh-CN"/>
              </w:rPr>
              <w:t xml:space="preserve"> 表25     食堂油烟产排情况一览表      </w:t>
            </w:r>
          </w:p>
          <w:tbl>
            <w:tblPr>
              <w:tblStyle w:val="25"/>
              <w:tblW w:w="934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1169"/>
              <w:gridCol w:w="1168"/>
              <w:gridCol w:w="978"/>
              <w:gridCol w:w="1358"/>
              <w:gridCol w:w="1041"/>
              <w:gridCol w:w="1296"/>
              <w:gridCol w:w="116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trPr>
              <w:tc>
                <w:tcPr>
                  <w:tcW w:w="1168"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分区</w:t>
                  </w:r>
                </w:p>
              </w:tc>
              <w:tc>
                <w:tcPr>
                  <w:tcW w:w="1169"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污染源及污染物</w:t>
                  </w:r>
                </w:p>
              </w:tc>
              <w:tc>
                <w:tcPr>
                  <w:tcW w:w="1168"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废气量（m</w:t>
                  </w:r>
                  <w:r>
                    <w:rPr>
                      <w:rFonts w:hint="eastAsia"/>
                      <w:color w:val="auto"/>
                      <w:kern w:val="0"/>
                      <w:sz w:val="21"/>
                      <w:szCs w:val="21"/>
                      <w:shd w:val="clear" w:color="auto" w:fill="FFFFFF"/>
                      <w:vertAlign w:val="superscript"/>
                      <w:lang w:val="en-US" w:eastAsia="zh-CN"/>
                    </w:rPr>
                    <w:t>3</w:t>
                  </w:r>
                  <w:r>
                    <w:rPr>
                      <w:rFonts w:hint="eastAsia"/>
                      <w:color w:val="auto"/>
                      <w:kern w:val="0"/>
                      <w:sz w:val="21"/>
                      <w:szCs w:val="21"/>
                      <w:shd w:val="clear" w:color="auto" w:fill="FFFFFF"/>
                      <w:lang w:val="en-US" w:eastAsia="zh-CN"/>
                    </w:rPr>
                    <w:t>/h）</w:t>
                  </w:r>
                </w:p>
              </w:tc>
              <w:tc>
                <w:tcPr>
                  <w:tcW w:w="2336"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产生情况</w:t>
                  </w:r>
                </w:p>
              </w:tc>
              <w:tc>
                <w:tcPr>
                  <w:tcW w:w="2337"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排放情况</w:t>
                  </w:r>
                </w:p>
              </w:tc>
              <w:tc>
                <w:tcPr>
                  <w:tcW w:w="1168"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处理措施及效率（</w:t>
                  </w:r>
                  <w:r>
                    <w:rPr>
                      <w:rFonts w:hint="eastAsia" w:ascii="宋体" w:hAnsi="宋体" w:eastAsia="宋体" w:cs="宋体"/>
                      <w:color w:val="auto"/>
                      <w:kern w:val="0"/>
                      <w:sz w:val="21"/>
                      <w:szCs w:val="21"/>
                      <w:shd w:val="clear" w:color="auto" w:fill="FFFFFF"/>
                      <w:lang w:val="en-US" w:eastAsia="zh-CN"/>
                    </w:rPr>
                    <w:t>％</w:t>
                  </w:r>
                  <w:r>
                    <w:rPr>
                      <w:rFonts w:hint="eastAsia"/>
                      <w:color w:val="auto"/>
                      <w:kern w:val="0"/>
                      <w:sz w:val="21"/>
                      <w:szCs w:val="21"/>
                      <w:shd w:val="clear" w:color="auto" w:fill="FFFFFF"/>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16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p>
              </w:tc>
              <w:tc>
                <w:tcPr>
                  <w:tcW w:w="116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p>
              </w:tc>
              <w:tc>
                <w:tcPr>
                  <w:tcW w:w="116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p>
              </w:tc>
              <w:tc>
                <w:tcPr>
                  <w:tcW w:w="9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产生量（t/a）</w:t>
                  </w:r>
                </w:p>
              </w:tc>
              <w:tc>
                <w:tcPr>
                  <w:tcW w:w="135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产生浓度（mg/m</w:t>
                  </w:r>
                  <w:r>
                    <w:rPr>
                      <w:rFonts w:hint="eastAsia"/>
                      <w:color w:val="auto"/>
                      <w:kern w:val="0"/>
                      <w:sz w:val="21"/>
                      <w:szCs w:val="21"/>
                      <w:shd w:val="clear" w:color="auto" w:fill="FFFFFF"/>
                      <w:vertAlign w:val="superscript"/>
                      <w:lang w:val="en-US" w:eastAsia="zh-CN"/>
                    </w:rPr>
                    <w:t>3</w:t>
                  </w:r>
                  <w:r>
                    <w:rPr>
                      <w:rFonts w:hint="eastAsia"/>
                      <w:color w:val="auto"/>
                      <w:kern w:val="0"/>
                      <w:sz w:val="21"/>
                      <w:szCs w:val="21"/>
                      <w:shd w:val="clear" w:color="auto" w:fill="FFFFFF"/>
                      <w:lang w:val="en-US" w:eastAsia="zh-CN"/>
                    </w:rPr>
                    <w:t>）</w:t>
                  </w:r>
                </w:p>
              </w:tc>
              <w:tc>
                <w:tcPr>
                  <w:tcW w:w="104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排放量（t/a）</w:t>
                  </w:r>
                </w:p>
              </w:tc>
              <w:tc>
                <w:tcPr>
                  <w:tcW w:w="12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排放浓度（mg/m</w:t>
                  </w:r>
                  <w:r>
                    <w:rPr>
                      <w:rFonts w:hint="eastAsia"/>
                      <w:color w:val="auto"/>
                      <w:kern w:val="0"/>
                      <w:sz w:val="21"/>
                      <w:szCs w:val="21"/>
                      <w:shd w:val="clear" w:color="auto" w:fill="FFFFFF"/>
                      <w:vertAlign w:val="superscript"/>
                      <w:lang w:val="en-US" w:eastAsia="zh-CN"/>
                    </w:rPr>
                    <w:t>3</w:t>
                  </w:r>
                  <w:r>
                    <w:rPr>
                      <w:rFonts w:hint="eastAsia"/>
                      <w:color w:val="auto"/>
                      <w:kern w:val="0"/>
                      <w:sz w:val="21"/>
                      <w:szCs w:val="21"/>
                      <w:shd w:val="clear" w:color="auto" w:fill="FFFFFF"/>
                      <w:lang w:val="en-US" w:eastAsia="zh-CN"/>
                    </w:rPr>
                    <w:t>）</w:t>
                  </w:r>
                </w:p>
              </w:tc>
              <w:tc>
                <w:tcPr>
                  <w:tcW w:w="116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168"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sz w:val="21"/>
                      <w:szCs w:val="21"/>
                      <w:lang w:val="en-US" w:eastAsia="zh-CN"/>
                    </w:rPr>
                    <w:t>璀璨中华区107#单体（2层）</w:t>
                  </w:r>
                </w:p>
              </w:tc>
              <w:tc>
                <w:tcPr>
                  <w:tcW w:w="1169"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sz w:val="21"/>
                      <w:szCs w:val="21"/>
                      <w:lang w:val="en-US" w:eastAsia="zh-CN"/>
                    </w:rPr>
                    <w:t>2层职工食堂油烟</w:t>
                  </w:r>
                </w:p>
              </w:tc>
              <w:tc>
                <w:tcPr>
                  <w:tcW w:w="11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lang w:val="en-US" w:eastAsia="zh-CN"/>
                    </w:rPr>
                  </w:pPr>
                  <w:r>
                    <w:rPr>
                      <w:rFonts w:hint="eastAsia"/>
                      <w:color w:val="auto"/>
                      <w:lang w:val="en-US" w:eastAsia="zh-CN"/>
                    </w:rPr>
                    <w:t>6000</w:t>
                  </w:r>
                </w:p>
              </w:tc>
              <w:tc>
                <w:tcPr>
                  <w:tcW w:w="9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0.035</w:t>
                  </w:r>
                </w:p>
              </w:tc>
              <w:tc>
                <w:tcPr>
                  <w:tcW w:w="135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2.665</w:t>
                  </w:r>
                </w:p>
              </w:tc>
              <w:tc>
                <w:tcPr>
                  <w:tcW w:w="104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0.0088</w:t>
                  </w:r>
                </w:p>
              </w:tc>
              <w:tc>
                <w:tcPr>
                  <w:tcW w:w="12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1.33</w:t>
                  </w:r>
                </w:p>
              </w:tc>
              <w:tc>
                <w:tcPr>
                  <w:tcW w:w="11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油烟净化设施，处理效率</w:t>
                  </w:r>
                  <w:r>
                    <w:rPr>
                      <w:rFonts w:hint="default" w:ascii="Arial" w:hAnsi="Arial" w:cs="Arial"/>
                      <w:color w:val="auto"/>
                      <w:kern w:val="0"/>
                      <w:sz w:val="21"/>
                      <w:szCs w:val="21"/>
                      <w:shd w:val="clear" w:color="auto" w:fill="FFFFFF"/>
                      <w:lang w:val="en-US" w:eastAsia="zh-CN"/>
                    </w:rPr>
                    <w:t>≥</w:t>
                  </w:r>
                  <w:r>
                    <w:rPr>
                      <w:rFonts w:hint="eastAsia"/>
                      <w:color w:val="auto"/>
                      <w:kern w:val="0"/>
                      <w:sz w:val="21"/>
                      <w:szCs w:val="21"/>
                      <w:shd w:val="clear" w:color="auto" w:fill="FFFFFF"/>
                      <w:lang w:val="en-US" w:eastAsia="zh-CN"/>
                    </w:rPr>
                    <w:t>75</w:t>
                  </w:r>
                  <w:r>
                    <w:rPr>
                      <w:rFonts w:hint="eastAsia" w:ascii="宋体" w:hAnsi="宋体" w:eastAsia="宋体" w:cs="宋体"/>
                      <w:color w:val="auto"/>
                      <w:kern w:val="0"/>
                      <w:sz w:val="21"/>
                      <w:szCs w:val="21"/>
                      <w:shd w:val="clear" w:color="auto" w:fill="FFFFFF"/>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168"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sz w:val="21"/>
                      <w:szCs w:val="21"/>
                      <w:lang w:val="en-US" w:eastAsia="zh-CN"/>
                    </w:rPr>
                    <w:t>璀璨中华区108#单体（2层）</w:t>
                  </w:r>
                </w:p>
              </w:tc>
              <w:tc>
                <w:tcPr>
                  <w:tcW w:w="1169"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sz w:val="21"/>
                      <w:szCs w:val="21"/>
                      <w:lang w:val="en-US" w:eastAsia="zh-CN"/>
                    </w:rPr>
                    <w:t>2层职工食堂油烟</w:t>
                  </w:r>
                </w:p>
              </w:tc>
              <w:tc>
                <w:tcPr>
                  <w:tcW w:w="11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8000</w:t>
                  </w:r>
                </w:p>
              </w:tc>
              <w:tc>
                <w:tcPr>
                  <w:tcW w:w="9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0.055</w:t>
                  </w:r>
                </w:p>
              </w:tc>
              <w:tc>
                <w:tcPr>
                  <w:tcW w:w="135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3.14</w:t>
                  </w:r>
                </w:p>
              </w:tc>
              <w:tc>
                <w:tcPr>
                  <w:tcW w:w="104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0.0138</w:t>
                  </w:r>
                </w:p>
              </w:tc>
              <w:tc>
                <w:tcPr>
                  <w:tcW w:w="12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1.57</w:t>
                  </w:r>
                </w:p>
              </w:tc>
              <w:tc>
                <w:tcPr>
                  <w:tcW w:w="11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油烟净化机，处理效率</w:t>
                  </w:r>
                  <w:r>
                    <w:rPr>
                      <w:rFonts w:hint="default" w:ascii="Arial" w:hAnsi="Arial" w:cs="Arial"/>
                      <w:color w:val="auto"/>
                      <w:kern w:val="0"/>
                      <w:sz w:val="21"/>
                      <w:szCs w:val="21"/>
                      <w:shd w:val="clear" w:color="auto" w:fill="FFFFFF"/>
                      <w:lang w:val="en-US" w:eastAsia="zh-CN"/>
                    </w:rPr>
                    <w:t>≥</w:t>
                  </w:r>
                  <w:r>
                    <w:rPr>
                      <w:rFonts w:hint="eastAsia"/>
                      <w:color w:val="auto"/>
                      <w:kern w:val="0"/>
                      <w:sz w:val="21"/>
                      <w:szCs w:val="21"/>
                      <w:shd w:val="clear" w:color="auto" w:fill="FFFFFF"/>
                      <w:lang w:val="en-US" w:eastAsia="zh-CN"/>
                    </w:rPr>
                    <w:t>75</w:t>
                  </w:r>
                  <w:r>
                    <w:rPr>
                      <w:rFonts w:hint="eastAsia" w:ascii="宋体" w:hAnsi="宋体" w:eastAsia="宋体" w:cs="宋体"/>
                      <w:color w:val="auto"/>
                      <w:kern w:val="0"/>
                      <w:sz w:val="21"/>
                      <w:szCs w:val="21"/>
                      <w:shd w:val="clear" w:color="auto" w:fill="FFFFFF"/>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168"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sz w:val="21"/>
                      <w:szCs w:val="21"/>
                      <w:lang w:val="en-US" w:eastAsia="zh-CN"/>
                    </w:rPr>
                    <w:t>神秘古国区217#单体（2层）</w:t>
                  </w:r>
                </w:p>
              </w:tc>
              <w:tc>
                <w:tcPr>
                  <w:tcW w:w="1169"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sz w:val="21"/>
                      <w:szCs w:val="21"/>
                      <w:lang w:val="en-US" w:eastAsia="zh-CN"/>
                    </w:rPr>
                    <w:t>1层职工食堂油烟</w:t>
                  </w:r>
                </w:p>
              </w:tc>
              <w:tc>
                <w:tcPr>
                  <w:tcW w:w="11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lang w:val="en-US" w:eastAsia="zh-CN"/>
                    </w:rPr>
                  </w:pPr>
                  <w:r>
                    <w:rPr>
                      <w:rFonts w:hint="eastAsia"/>
                      <w:color w:val="auto"/>
                      <w:lang w:val="en-US" w:eastAsia="zh-CN"/>
                    </w:rPr>
                    <w:t>8000</w:t>
                  </w:r>
                </w:p>
              </w:tc>
              <w:tc>
                <w:tcPr>
                  <w:tcW w:w="9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0.066</w:t>
                  </w:r>
                </w:p>
              </w:tc>
              <w:tc>
                <w:tcPr>
                  <w:tcW w:w="135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7.53</w:t>
                  </w:r>
                </w:p>
              </w:tc>
              <w:tc>
                <w:tcPr>
                  <w:tcW w:w="104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0.0165</w:t>
                  </w:r>
                </w:p>
              </w:tc>
              <w:tc>
                <w:tcPr>
                  <w:tcW w:w="12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1.88</w:t>
                  </w:r>
                </w:p>
              </w:tc>
              <w:tc>
                <w:tcPr>
                  <w:tcW w:w="11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油烟净化机，处理效率</w:t>
                  </w:r>
                  <w:r>
                    <w:rPr>
                      <w:rFonts w:hint="default" w:ascii="Arial" w:hAnsi="Arial" w:cs="Arial"/>
                      <w:color w:val="auto"/>
                      <w:kern w:val="0"/>
                      <w:sz w:val="21"/>
                      <w:szCs w:val="21"/>
                      <w:shd w:val="clear" w:color="auto" w:fill="FFFFFF"/>
                      <w:lang w:val="en-US" w:eastAsia="zh-CN"/>
                    </w:rPr>
                    <w:t>≥</w:t>
                  </w:r>
                  <w:r>
                    <w:rPr>
                      <w:rFonts w:hint="eastAsia"/>
                      <w:color w:val="auto"/>
                      <w:kern w:val="0"/>
                      <w:sz w:val="21"/>
                      <w:szCs w:val="21"/>
                      <w:shd w:val="clear" w:color="auto" w:fill="FFFFFF"/>
                      <w:lang w:val="en-US" w:eastAsia="zh-CN"/>
                    </w:rPr>
                    <w:t>75</w:t>
                  </w:r>
                  <w:r>
                    <w:rPr>
                      <w:rFonts w:hint="eastAsia" w:ascii="宋体" w:hAnsi="宋体" w:eastAsia="宋体" w:cs="宋体"/>
                      <w:color w:val="auto"/>
                      <w:kern w:val="0"/>
                      <w:sz w:val="21"/>
                      <w:szCs w:val="21"/>
                      <w:shd w:val="clear" w:color="auto" w:fill="FFFFFF"/>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168"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sz w:val="21"/>
                      <w:szCs w:val="21"/>
                      <w:lang w:val="en-US" w:eastAsia="zh-CN"/>
                    </w:rPr>
                    <w:t>漫游海洋区321#单体（2层）</w:t>
                  </w:r>
                </w:p>
              </w:tc>
              <w:tc>
                <w:tcPr>
                  <w:tcW w:w="1169"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tLeast"/>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1层职工食堂</w:t>
                  </w:r>
                </w:p>
                <w:p>
                  <w:pPr>
                    <w:keepNext w:val="0"/>
                    <w:keepLines w:val="0"/>
                    <w:pageBreakBefore w:val="0"/>
                    <w:widowControl w:val="0"/>
                    <w:kinsoku/>
                    <w:wordWrap/>
                    <w:overflowPunct/>
                    <w:topLinePunct w:val="0"/>
                    <w:autoSpaceDE w:val="0"/>
                    <w:autoSpaceDN w:val="0"/>
                    <w:bidi w:val="0"/>
                    <w:adjustRightInd w:val="0"/>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sz w:val="21"/>
                      <w:szCs w:val="21"/>
                      <w:lang w:val="en-US" w:eastAsia="zh-CN"/>
                    </w:rPr>
                    <w:t>油烟</w:t>
                  </w:r>
                </w:p>
              </w:tc>
              <w:tc>
                <w:tcPr>
                  <w:tcW w:w="11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6000</w:t>
                  </w:r>
                </w:p>
              </w:tc>
              <w:tc>
                <w:tcPr>
                  <w:tcW w:w="9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0.039</w:t>
                  </w:r>
                </w:p>
              </w:tc>
              <w:tc>
                <w:tcPr>
                  <w:tcW w:w="135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5.94</w:t>
                  </w:r>
                </w:p>
              </w:tc>
              <w:tc>
                <w:tcPr>
                  <w:tcW w:w="104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0.0098</w:t>
                  </w:r>
                </w:p>
              </w:tc>
              <w:tc>
                <w:tcPr>
                  <w:tcW w:w="12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1.49</w:t>
                  </w:r>
                </w:p>
              </w:tc>
              <w:tc>
                <w:tcPr>
                  <w:tcW w:w="11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油烟净化机，处理效率</w:t>
                  </w:r>
                  <w:r>
                    <w:rPr>
                      <w:rFonts w:hint="default" w:ascii="Arial" w:hAnsi="Arial" w:cs="Arial"/>
                      <w:color w:val="auto"/>
                      <w:kern w:val="0"/>
                      <w:sz w:val="21"/>
                      <w:szCs w:val="21"/>
                      <w:shd w:val="clear" w:color="auto" w:fill="FFFFFF"/>
                      <w:lang w:val="en-US" w:eastAsia="zh-CN"/>
                    </w:rPr>
                    <w:t>≥</w:t>
                  </w:r>
                  <w:r>
                    <w:rPr>
                      <w:rFonts w:hint="eastAsia"/>
                      <w:color w:val="auto"/>
                      <w:kern w:val="0"/>
                      <w:sz w:val="21"/>
                      <w:szCs w:val="21"/>
                      <w:shd w:val="clear" w:color="auto" w:fill="FFFFFF"/>
                      <w:lang w:val="en-US" w:eastAsia="zh-CN"/>
                    </w:rPr>
                    <w:t>75</w:t>
                  </w:r>
                  <w:r>
                    <w:rPr>
                      <w:rFonts w:hint="eastAsia" w:ascii="宋体" w:hAnsi="宋体" w:eastAsia="宋体" w:cs="宋体"/>
                      <w:color w:val="auto"/>
                      <w:kern w:val="0"/>
                      <w:sz w:val="21"/>
                      <w:szCs w:val="21"/>
                      <w:shd w:val="clear" w:color="auto" w:fill="FFFFFF"/>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168"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sz w:val="21"/>
                      <w:szCs w:val="21"/>
                      <w:lang w:val="en-US" w:eastAsia="zh-CN"/>
                    </w:rPr>
                    <w:t>漫游海洋区424#单体（2层）</w:t>
                  </w:r>
                </w:p>
              </w:tc>
              <w:tc>
                <w:tcPr>
                  <w:tcW w:w="1169"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tLeast"/>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2层职工食堂</w:t>
                  </w:r>
                </w:p>
                <w:p>
                  <w:pPr>
                    <w:keepNext w:val="0"/>
                    <w:keepLines w:val="0"/>
                    <w:pageBreakBefore w:val="0"/>
                    <w:widowControl w:val="0"/>
                    <w:kinsoku/>
                    <w:wordWrap/>
                    <w:overflowPunct/>
                    <w:topLinePunct w:val="0"/>
                    <w:autoSpaceDE w:val="0"/>
                    <w:autoSpaceDN w:val="0"/>
                    <w:bidi w:val="0"/>
                    <w:adjustRightInd w:val="0"/>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sz w:val="21"/>
                      <w:szCs w:val="21"/>
                      <w:lang w:val="en-US" w:eastAsia="zh-CN"/>
                    </w:rPr>
                    <w:t>油烟</w:t>
                  </w:r>
                </w:p>
              </w:tc>
              <w:tc>
                <w:tcPr>
                  <w:tcW w:w="11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6000</w:t>
                  </w:r>
                </w:p>
              </w:tc>
              <w:tc>
                <w:tcPr>
                  <w:tcW w:w="9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0.039</w:t>
                  </w:r>
                </w:p>
              </w:tc>
              <w:tc>
                <w:tcPr>
                  <w:tcW w:w="135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5.94</w:t>
                  </w:r>
                </w:p>
              </w:tc>
              <w:tc>
                <w:tcPr>
                  <w:tcW w:w="104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0.010</w:t>
                  </w:r>
                </w:p>
              </w:tc>
              <w:tc>
                <w:tcPr>
                  <w:tcW w:w="12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1.49</w:t>
                  </w:r>
                </w:p>
              </w:tc>
              <w:tc>
                <w:tcPr>
                  <w:tcW w:w="11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油烟净化机，处理效率</w:t>
                  </w:r>
                  <w:r>
                    <w:rPr>
                      <w:rFonts w:hint="default" w:ascii="Arial" w:hAnsi="Arial" w:cs="Arial"/>
                      <w:color w:val="auto"/>
                      <w:kern w:val="0"/>
                      <w:sz w:val="21"/>
                      <w:szCs w:val="21"/>
                      <w:shd w:val="clear" w:color="auto" w:fill="FFFFFF"/>
                      <w:lang w:val="en-US" w:eastAsia="zh-CN"/>
                    </w:rPr>
                    <w:t>≥</w:t>
                  </w:r>
                  <w:r>
                    <w:rPr>
                      <w:rFonts w:hint="eastAsia"/>
                      <w:color w:val="auto"/>
                      <w:kern w:val="0"/>
                      <w:sz w:val="21"/>
                      <w:szCs w:val="21"/>
                      <w:shd w:val="clear" w:color="auto" w:fill="FFFFFF"/>
                      <w:lang w:val="en-US" w:eastAsia="zh-CN"/>
                    </w:rPr>
                    <w:t>75</w:t>
                  </w:r>
                  <w:r>
                    <w:rPr>
                      <w:rFonts w:hint="eastAsia" w:ascii="宋体" w:hAnsi="宋体" w:eastAsia="宋体" w:cs="宋体"/>
                      <w:color w:val="auto"/>
                      <w:kern w:val="0"/>
                      <w:sz w:val="21"/>
                      <w:szCs w:val="21"/>
                      <w:shd w:val="clear" w:color="auto" w:fill="FFFFFF"/>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168"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sz w:val="21"/>
                      <w:szCs w:val="21"/>
                      <w:lang w:val="en-US" w:eastAsia="zh-CN"/>
                    </w:rPr>
                    <w:t>漫游海洋区633#单体（3层）</w:t>
                  </w:r>
                </w:p>
              </w:tc>
              <w:tc>
                <w:tcPr>
                  <w:tcW w:w="1169"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tLeast"/>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2层职工食堂</w:t>
                  </w:r>
                </w:p>
                <w:p>
                  <w:pPr>
                    <w:keepNext w:val="0"/>
                    <w:keepLines w:val="0"/>
                    <w:pageBreakBefore w:val="0"/>
                    <w:widowControl w:val="0"/>
                    <w:kinsoku/>
                    <w:wordWrap/>
                    <w:overflowPunct/>
                    <w:topLinePunct w:val="0"/>
                    <w:autoSpaceDE w:val="0"/>
                    <w:autoSpaceDN w:val="0"/>
                    <w:bidi w:val="0"/>
                    <w:adjustRightInd w:val="0"/>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sz w:val="21"/>
                      <w:szCs w:val="21"/>
                      <w:lang w:val="en-US" w:eastAsia="zh-CN"/>
                    </w:rPr>
                    <w:t>油烟</w:t>
                  </w:r>
                </w:p>
              </w:tc>
              <w:tc>
                <w:tcPr>
                  <w:tcW w:w="11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8000</w:t>
                  </w:r>
                </w:p>
              </w:tc>
              <w:tc>
                <w:tcPr>
                  <w:tcW w:w="9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0.041</w:t>
                  </w:r>
                </w:p>
              </w:tc>
              <w:tc>
                <w:tcPr>
                  <w:tcW w:w="135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4.68</w:t>
                  </w:r>
                </w:p>
              </w:tc>
              <w:tc>
                <w:tcPr>
                  <w:tcW w:w="104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0.010</w:t>
                  </w:r>
                </w:p>
              </w:tc>
              <w:tc>
                <w:tcPr>
                  <w:tcW w:w="12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1.17</w:t>
                  </w:r>
                </w:p>
              </w:tc>
              <w:tc>
                <w:tcPr>
                  <w:tcW w:w="11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油烟净化机，处理效率</w:t>
                  </w:r>
                  <w:r>
                    <w:rPr>
                      <w:rFonts w:hint="default" w:ascii="Arial" w:hAnsi="Arial" w:cs="Arial"/>
                      <w:color w:val="auto"/>
                      <w:kern w:val="0"/>
                      <w:sz w:val="21"/>
                      <w:szCs w:val="21"/>
                      <w:shd w:val="clear" w:color="auto" w:fill="FFFFFF"/>
                      <w:lang w:val="en-US" w:eastAsia="zh-CN"/>
                    </w:rPr>
                    <w:t>≥</w:t>
                  </w:r>
                  <w:r>
                    <w:rPr>
                      <w:rFonts w:hint="eastAsia"/>
                      <w:color w:val="auto"/>
                      <w:kern w:val="0"/>
                      <w:sz w:val="21"/>
                      <w:szCs w:val="21"/>
                      <w:shd w:val="clear" w:color="auto" w:fill="FFFFFF"/>
                      <w:lang w:val="en-US" w:eastAsia="zh-CN"/>
                    </w:rPr>
                    <w:t>75</w:t>
                  </w:r>
                  <w:r>
                    <w:rPr>
                      <w:rFonts w:hint="eastAsia" w:ascii="宋体" w:hAnsi="宋体" w:eastAsia="宋体" w:cs="宋体"/>
                      <w:color w:val="auto"/>
                      <w:kern w:val="0"/>
                      <w:sz w:val="21"/>
                      <w:szCs w:val="21"/>
                      <w:shd w:val="clear" w:color="auto" w:fill="FFFFFF"/>
                      <w:lang w:val="en-US" w:eastAsia="zh-CN"/>
                    </w:rPr>
                    <w:t>％</w:t>
                  </w:r>
                </w:p>
              </w:tc>
            </w:tr>
          </w:tbl>
          <w:p>
            <w:pPr>
              <w:spacing w:line="360" w:lineRule="auto"/>
              <w:ind w:firstLine="480" w:firstLineChars="200"/>
              <w:rPr>
                <w:rFonts w:hint="eastAsia"/>
                <w:bCs/>
                <w:color w:val="auto"/>
                <w:sz w:val="24"/>
              </w:rPr>
            </w:pPr>
            <w:r>
              <w:rPr>
                <w:rFonts w:hint="eastAsia"/>
                <w:bCs/>
                <w:color w:val="auto"/>
                <w:sz w:val="24"/>
                <w:lang w:eastAsia="zh-CN"/>
              </w:rPr>
              <w:t>（</w:t>
            </w:r>
            <w:r>
              <w:rPr>
                <w:rFonts w:hint="eastAsia"/>
                <w:bCs/>
                <w:color w:val="auto"/>
                <w:sz w:val="24"/>
                <w:lang w:val="en-US" w:eastAsia="zh-CN"/>
              </w:rPr>
              <w:t>3）</w:t>
            </w:r>
            <w:r>
              <w:rPr>
                <w:rFonts w:hint="eastAsia"/>
                <w:bCs/>
                <w:color w:val="auto"/>
                <w:sz w:val="24"/>
              </w:rPr>
              <w:t>备用柴油发电机废气</w:t>
            </w:r>
          </w:p>
          <w:p>
            <w:pPr>
              <w:spacing w:line="360" w:lineRule="auto"/>
              <w:ind w:firstLine="480" w:firstLineChars="200"/>
              <w:rPr>
                <w:rFonts w:hint="eastAsia"/>
                <w:bCs/>
                <w:color w:val="auto"/>
                <w:sz w:val="24"/>
              </w:rPr>
            </w:pPr>
            <w:r>
              <w:rPr>
                <w:rFonts w:hint="eastAsia"/>
                <w:bCs/>
                <w:color w:val="auto"/>
                <w:sz w:val="24"/>
              </w:rPr>
              <w:t>柴油燃烧过程中会产生CO、HC、NO</w:t>
            </w:r>
            <w:r>
              <w:rPr>
                <w:rFonts w:hint="eastAsia"/>
                <w:bCs/>
                <w:color w:val="auto"/>
                <w:sz w:val="24"/>
                <w:vertAlign w:val="subscript"/>
              </w:rPr>
              <w:t>X</w:t>
            </w:r>
            <w:r>
              <w:rPr>
                <w:rFonts w:hint="eastAsia"/>
                <w:bCs/>
                <w:color w:val="auto"/>
                <w:sz w:val="24"/>
              </w:rPr>
              <w:t>、PM</w:t>
            </w:r>
            <w:r>
              <w:rPr>
                <w:rFonts w:hint="eastAsia"/>
                <w:bCs/>
                <w:color w:val="auto"/>
                <w:sz w:val="24"/>
                <w:vertAlign w:val="subscript"/>
              </w:rPr>
              <w:t>2.5</w:t>
            </w:r>
            <w:r>
              <w:rPr>
                <w:rFonts w:hint="eastAsia"/>
                <w:bCs/>
                <w:color w:val="auto"/>
                <w:sz w:val="24"/>
              </w:rPr>
              <w:t>和PM</w:t>
            </w:r>
            <w:r>
              <w:rPr>
                <w:rFonts w:hint="eastAsia"/>
                <w:bCs/>
                <w:color w:val="auto"/>
                <w:sz w:val="24"/>
                <w:vertAlign w:val="subscript"/>
              </w:rPr>
              <w:t>10</w:t>
            </w:r>
            <w:r>
              <w:rPr>
                <w:rFonts w:hint="eastAsia"/>
                <w:bCs/>
                <w:color w:val="auto"/>
                <w:sz w:val="24"/>
              </w:rPr>
              <w:t>等，将会对环境空气质量产生一定的影响。</w:t>
            </w:r>
          </w:p>
          <w:p>
            <w:pPr>
              <w:spacing w:line="360" w:lineRule="auto"/>
              <w:ind w:firstLine="480" w:firstLineChars="200"/>
              <w:rPr>
                <w:rFonts w:hint="eastAsia"/>
                <w:bCs/>
                <w:color w:val="auto"/>
                <w:sz w:val="24"/>
              </w:rPr>
            </w:pPr>
            <w:r>
              <w:rPr>
                <w:rFonts w:hint="eastAsia"/>
                <w:bCs/>
                <w:color w:val="auto"/>
                <w:sz w:val="24"/>
              </w:rPr>
              <w:t>污染物排放量依据《非道路移动源大气污染排放清单编制技术指南》中方法 1，计算公式如下：</w:t>
            </w:r>
          </w:p>
          <w:p>
            <w:pPr>
              <w:spacing w:line="360" w:lineRule="auto"/>
              <w:ind w:firstLine="480" w:firstLineChars="200"/>
              <w:rPr>
                <w:rFonts w:hint="eastAsia"/>
                <w:bCs/>
                <w:color w:val="auto"/>
                <w:sz w:val="24"/>
              </w:rPr>
            </w:pPr>
            <w:r>
              <w:rPr>
                <w:rFonts w:hint="eastAsia"/>
                <w:bCs/>
                <w:color w:val="auto"/>
                <w:sz w:val="24"/>
              </w:rPr>
              <w:drawing>
                <wp:inline distT="0" distB="0" distL="0" distR="0">
                  <wp:extent cx="1347470" cy="161925"/>
                  <wp:effectExtent l="0" t="0" r="11430" b="3175"/>
                  <wp:docPr id="17" name="image1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36.png"/>
                          <pic:cNvPicPr>
                            <a:picLocks noChangeAspect="1"/>
                          </pic:cNvPicPr>
                        </pic:nvPicPr>
                        <pic:blipFill>
                          <a:blip r:embed="rId15" cstate="print"/>
                          <a:stretch>
                            <a:fillRect/>
                          </a:stretch>
                        </pic:blipFill>
                        <pic:spPr>
                          <a:xfrm>
                            <a:off x="0" y="0"/>
                            <a:ext cx="1347820" cy="161925"/>
                          </a:xfrm>
                          <a:prstGeom prst="rect">
                            <a:avLst/>
                          </a:prstGeom>
                        </pic:spPr>
                      </pic:pic>
                    </a:graphicData>
                  </a:graphic>
                </wp:inline>
              </w:drawing>
            </w:r>
          </w:p>
          <w:p>
            <w:pPr>
              <w:spacing w:line="360" w:lineRule="auto"/>
              <w:ind w:firstLine="480" w:firstLineChars="200"/>
              <w:rPr>
                <w:rFonts w:hint="eastAsia"/>
                <w:bCs/>
                <w:color w:val="auto"/>
                <w:sz w:val="24"/>
              </w:rPr>
            </w:pPr>
            <w:r>
              <w:rPr>
                <w:rFonts w:hint="eastAsia"/>
                <w:bCs/>
                <w:color w:val="auto"/>
                <w:sz w:val="24"/>
              </w:rPr>
              <w:t>式中</w:t>
            </w:r>
            <w:r>
              <w:rPr>
                <w:rFonts w:hint="eastAsia"/>
                <w:bCs/>
                <w:color w:val="auto"/>
                <w:sz w:val="24"/>
                <w:lang w:eastAsia="zh-CN"/>
              </w:rPr>
              <w:t>：</w:t>
            </w:r>
            <w:r>
              <w:rPr>
                <w:rFonts w:hint="eastAsia"/>
                <w:bCs/>
                <w:color w:val="auto"/>
                <w:sz w:val="24"/>
              </w:rPr>
              <w:t>E为非道路移动机械的CO、HC、NO</w:t>
            </w:r>
            <w:r>
              <w:rPr>
                <w:rFonts w:hint="eastAsia"/>
                <w:bCs/>
                <w:color w:val="auto"/>
                <w:sz w:val="24"/>
                <w:vertAlign w:val="subscript"/>
              </w:rPr>
              <w:t>X</w:t>
            </w:r>
            <w:r>
              <w:rPr>
                <w:rFonts w:hint="eastAsia"/>
                <w:bCs/>
                <w:color w:val="auto"/>
                <w:sz w:val="24"/>
              </w:rPr>
              <w:t>、PM</w:t>
            </w:r>
            <w:r>
              <w:rPr>
                <w:rFonts w:hint="eastAsia"/>
                <w:bCs/>
                <w:color w:val="auto"/>
                <w:sz w:val="24"/>
                <w:vertAlign w:val="subscript"/>
              </w:rPr>
              <w:t>2.5</w:t>
            </w:r>
            <w:r>
              <w:rPr>
                <w:rFonts w:hint="eastAsia"/>
                <w:bCs/>
                <w:color w:val="auto"/>
                <w:sz w:val="24"/>
              </w:rPr>
              <w:t>和PM</w:t>
            </w:r>
            <w:r>
              <w:rPr>
                <w:rFonts w:hint="eastAsia"/>
                <w:bCs/>
                <w:color w:val="auto"/>
                <w:sz w:val="24"/>
                <w:vertAlign w:val="subscript"/>
              </w:rPr>
              <w:t>10</w:t>
            </w:r>
            <w:r>
              <w:rPr>
                <w:rFonts w:hint="eastAsia"/>
                <w:bCs/>
                <w:color w:val="auto"/>
                <w:sz w:val="24"/>
              </w:rPr>
              <w:t>排放量，单位为t；</w:t>
            </w:r>
          </w:p>
          <w:p>
            <w:pPr>
              <w:spacing w:line="360" w:lineRule="auto"/>
              <w:ind w:firstLine="480" w:firstLineChars="200"/>
              <w:rPr>
                <w:rFonts w:hint="eastAsia"/>
                <w:bCs/>
                <w:color w:val="auto"/>
                <w:sz w:val="24"/>
              </w:rPr>
            </w:pPr>
            <w:r>
              <w:rPr>
                <w:rFonts w:hint="eastAsia"/>
                <w:bCs/>
                <w:color w:val="auto"/>
                <w:sz w:val="24"/>
              </w:rPr>
              <w:t>Y为燃油消耗量，单位为kg；</w:t>
            </w:r>
          </w:p>
          <w:p>
            <w:pPr>
              <w:spacing w:line="360" w:lineRule="auto"/>
              <w:ind w:firstLine="480" w:firstLineChars="200"/>
              <w:rPr>
                <w:rFonts w:hint="eastAsia"/>
                <w:bCs/>
                <w:color w:val="auto"/>
                <w:sz w:val="24"/>
              </w:rPr>
            </w:pPr>
            <w:r>
              <w:rPr>
                <w:rFonts w:hint="eastAsia"/>
                <w:bCs/>
                <w:color w:val="auto"/>
                <w:sz w:val="24"/>
              </w:rPr>
              <w:t>EF为排放系数，单位为g/kg燃料，排放系数见参照指南中表5工程机械排放系数，CO、HC、NO</w:t>
            </w:r>
            <w:r>
              <w:rPr>
                <w:rFonts w:hint="eastAsia"/>
                <w:bCs/>
                <w:color w:val="auto"/>
                <w:sz w:val="24"/>
                <w:vertAlign w:val="subscript"/>
              </w:rPr>
              <w:t>X</w:t>
            </w:r>
            <w:r>
              <w:rPr>
                <w:rFonts w:hint="eastAsia"/>
                <w:bCs/>
                <w:color w:val="auto"/>
                <w:sz w:val="24"/>
              </w:rPr>
              <w:t>、PM</w:t>
            </w:r>
            <w:r>
              <w:rPr>
                <w:rFonts w:hint="eastAsia"/>
                <w:bCs/>
                <w:color w:val="auto"/>
                <w:sz w:val="24"/>
                <w:vertAlign w:val="subscript"/>
              </w:rPr>
              <w:t>2.5</w:t>
            </w:r>
            <w:r>
              <w:rPr>
                <w:rFonts w:hint="eastAsia"/>
                <w:bCs/>
                <w:color w:val="auto"/>
                <w:sz w:val="24"/>
              </w:rPr>
              <w:t>和PM</w:t>
            </w:r>
            <w:r>
              <w:rPr>
                <w:rFonts w:hint="eastAsia"/>
                <w:bCs/>
                <w:color w:val="auto"/>
                <w:sz w:val="24"/>
                <w:vertAlign w:val="subscript"/>
              </w:rPr>
              <w:t>10</w:t>
            </w:r>
            <w:r>
              <w:rPr>
                <w:rFonts w:hint="eastAsia"/>
                <w:bCs/>
                <w:color w:val="auto"/>
                <w:sz w:val="24"/>
              </w:rPr>
              <w:t>分别为10.72、3.39、32.79、2.09和2.09。</w:t>
            </w:r>
          </w:p>
          <w:p>
            <w:pPr>
              <w:spacing w:line="360" w:lineRule="auto"/>
              <w:ind w:firstLine="480" w:firstLineChars="200"/>
              <w:rPr>
                <w:color w:val="auto"/>
                <w:sz w:val="24"/>
              </w:rPr>
            </w:pPr>
            <w:r>
              <w:rPr>
                <w:color w:val="auto"/>
                <w:sz w:val="24"/>
              </w:rPr>
              <w:t>发电机耗油率约为</w:t>
            </w:r>
            <w:r>
              <w:rPr>
                <w:rFonts w:hint="eastAsia"/>
                <w:color w:val="auto"/>
                <w:sz w:val="24"/>
                <w:lang w:val="en-US" w:eastAsia="zh-CN"/>
              </w:rPr>
              <w:t>11</w:t>
            </w:r>
            <w:r>
              <w:rPr>
                <w:color w:val="auto"/>
                <w:sz w:val="24"/>
              </w:rPr>
              <w:t>0g/</w:t>
            </w:r>
            <w:r>
              <w:rPr>
                <w:rFonts w:hint="eastAsia"/>
                <w:color w:val="auto"/>
                <w:sz w:val="24"/>
              </w:rPr>
              <w:t>k</w:t>
            </w:r>
            <w:r>
              <w:rPr>
                <w:color w:val="auto"/>
                <w:sz w:val="24"/>
              </w:rPr>
              <w:t>W·h。</w:t>
            </w:r>
            <w:r>
              <w:rPr>
                <w:rFonts w:hint="eastAsia"/>
                <w:color w:val="auto"/>
                <w:sz w:val="24"/>
                <w:lang w:val="en-US" w:eastAsia="zh-CN"/>
              </w:rPr>
              <w:t>本项目设置5台备用发电机，</w:t>
            </w:r>
            <w:r>
              <w:rPr>
                <w:rFonts w:hint="eastAsia"/>
                <w:bCs/>
                <w:color w:val="auto"/>
                <w:sz w:val="24"/>
                <w:lang w:val="en-US" w:eastAsia="zh-CN"/>
              </w:rPr>
              <w:t>总功率2230</w:t>
            </w:r>
            <w:r>
              <w:rPr>
                <w:rFonts w:hint="eastAsia"/>
                <w:bCs/>
                <w:color w:val="auto"/>
                <w:sz w:val="24"/>
              </w:rPr>
              <w:t>kW</w:t>
            </w:r>
            <w:r>
              <w:rPr>
                <w:rFonts w:hint="eastAsia"/>
                <w:bCs/>
                <w:color w:val="auto"/>
                <w:sz w:val="24"/>
                <w:lang w:eastAsia="zh-CN"/>
              </w:rPr>
              <w:t>，</w:t>
            </w:r>
            <w:r>
              <w:rPr>
                <w:color w:val="auto"/>
                <w:sz w:val="24"/>
              </w:rPr>
              <w:t>据此计算</w:t>
            </w:r>
            <w:r>
              <w:rPr>
                <w:rFonts w:hint="eastAsia"/>
                <w:color w:val="auto"/>
                <w:sz w:val="24"/>
                <w:lang w:val="en-US" w:eastAsia="zh-CN"/>
              </w:rPr>
              <w:t>本</w:t>
            </w:r>
            <w:r>
              <w:rPr>
                <w:rFonts w:hint="eastAsia"/>
                <w:color w:val="auto"/>
                <w:sz w:val="24"/>
              </w:rPr>
              <w:t>项目</w:t>
            </w:r>
            <w:r>
              <w:rPr>
                <w:color w:val="auto"/>
                <w:sz w:val="24"/>
              </w:rPr>
              <w:t>备用发电机运行时的柴油消耗量约为</w:t>
            </w:r>
            <w:r>
              <w:rPr>
                <w:rFonts w:hint="eastAsia"/>
                <w:color w:val="auto"/>
                <w:sz w:val="24"/>
                <w:lang w:val="en-US" w:eastAsia="zh-CN"/>
              </w:rPr>
              <w:t>245</w:t>
            </w:r>
            <w:r>
              <w:rPr>
                <w:color w:val="auto"/>
                <w:sz w:val="24"/>
              </w:rPr>
              <w:t>kg/h。根据目前</w:t>
            </w:r>
            <w:r>
              <w:rPr>
                <w:rFonts w:hint="eastAsia"/>
                <w:color w:val="auto"/>
                <w:sz w:val="24"/>
                <w:lang w:val="en-US" w:eastAsia="zh-CN"/>
              </w:rPr>
              <w:t>该区域的</w:t>
            </w:r>
            <w:r>
              <w:rPr>
                <w:color w:val="auto"/>
                <w:sz w:val="24"/>
              </w:rPr>
              <w:t>供电情况，项目所在地区域供电较为稳定，使用发电机的</w:t>
            </w:r>
            <w:r>
              <w:rPr>
                <w:rFonts w:hint="eastAsia"/>
                <w:color w:val="auto"/>
                <w:sz w:val="24"/>
              </w:rPr>
              <w:t>机</w:t>
            </w:r>
            <w:r>
              <w:rPr>
                <w:color w:val="auto"/>
                <w:sz w:val="24"/>
              </w:rPr>
              <w:t>率较为有限，估计发电机使用频率为每月使用时间</w:t>
            </w:r>
            <w:r>
              <w:rPr>
                <w:rFonts w:hint="eastAsia"/>
                <w:color w:val="auto"/>
                <w:sz w:val="24"/>
                <w:lang w:val="en-US" w:eastAsia="zh-CN"/>
              </w:rPr>
              <w:t>2</w:t>
            </w:r>
            <w:r>
              <w:rPr>
                <w:color w:val="auto"/>
                <w:sz w:val="24"/>
              </w:rPr>
              <w:t>小时，则全年共运行</w:t>
            </w:r>
            <w:r>
              <w:rPr>
                <w:rFonts w:hint="eastAsia"/>
                <w:color w:val="auto"/>
                <w:sz w:val="24"/>
                <w:lang w:val="en-US" w:eastAsia="zh-CN"/>
              </w:rPr>
              <w:t>24</w:t>
            </w:r>
            <w:r>
              <w:rPr>
                <w:color w:val="auto"/>
                <w:sz w:val="24"/>
              </w:rPr>
              <w:t>小时。则备用发电机年耗油量约为</w:t>
            </w:r>
            <w:r>
              <w:rPr>
                <w:rFonts w:hint="eastAsia"/>
                <w:color w:val="auto"/>
                <w:sz w:val="24"/>
                <w:lang w:val="en-US" w:eastAsia="zh-CN"/>
              </w:rPr>
              <w:t>5.88</w:t>
            </w:r>
            <w:r>
              <w:rPr>
                <w:rFonts w:hint="eastAsia"/>
                <w:color w:val="auto"/>
                <w:sz w:val="24"/>
              </w:rPr>
              <w:t>t</w:t>
            </w:r>
            <w:r>
              <w:rPr>
                <w:color w:val="auto"/>
                <w:sz w:val="24"/>
              </w:rPr>
              <w:t>。</w:t>
            </w:r>
          </w:p>
          <w:p>
            <w:pPr>
              <w:spacing w:line="360" w:lineRule="auto"/>
              <w:ind w:firstLine="480" w:firstLineChars="200"/>
              <w:rPr>
                <w:rFonts w:hint="eastAsia"/>
                <w:bCs/>
                <w:color w:val="auto"/>
                <w:sz w:val="24"/>
              </w:rPr>
            </w:pPr>
            <w:r>
              <w:rPr>
                <w:rFonts w:hint="eastAsia"/>
                <w:bCs/>
                <w:color w:val="auto"/>
                <w:sz w:val="24"/>
              </w:rPr>
              <w:t>经计算得出燃油过程中CO、HC、NO</w:t>
            </w:r>
            <w:r>
              <w:rPr>
                <w:rFonts w:hint="eastAsia"/>
                <w:bCs/>
                <w:color w:val="auto"/>
                <w:sz w:val="24"/>
                <w:vertAlign w:val="subscript"/>
              </w:rPr>
              <w:t>X</w:t>
            </w:r>
            <w:r>
              <w:rPr>
                <w:rFonts w:hint="eastAsia"/>
                <w:bCs/>
                <w:color w:val="auto"/>
                <w:sz w:val="24"/>
              </w:rPr>
              <w:t>、PM</w:t>
            </w:r>
            <w:r>
              <w:rPr>
                <w:rFonts w:hint="eastAsia"/>
                <w:bCs/>
                <w:color w:val="auto"/>
                <w:sz w:val="24"/>
                <w:vertAlign w:val="subscript"/>
              </w:rPr>
              <w:t>2.5</w:t>
            </w:r>
            <w:r>
              <w:rPr>
                <w:rFonts w:hint="eastAsia"/>
                <w:bCs/>
                <w:color w:val="auto"/>
                <w:sz w:val="24"/>
              </w:rPr>
              <w:t>和PM</w:t>
            </w:r>
            <w:r>
              <w:rPr>
                <w:rFonts w:hint="eastAsia"/>
                <w:bCs/>
                <w:color w:val="auto"/>
                <w:sz w:val="24"/>
                <w:vertAlign w:val="subscript"/>
              </w:rPr>
              <w:t>10</w:t>
            </w:r>
            <w:r>
              <w:rPr>
                <w:rFonts w:hint="eastAsia"/>
                <w:bCs/>
                <w:color w:val="auto"/>
                <w:sz w:val="24"/>
              </w:rPr>
              <w:t>排放量分别为</w:t>
            </w:r>
            <w:r>
              <w:rPr>
                <w:rFonts w:hint="eastAsia"/>
                <w:bCs/>
                <w:color w:val="auto"/>
                <w:sz w:val="24"/>
                <w:lang w:val="en-US" w:eastAsia="zh-CN"/>
              </w:rPr>
              <w:t>0.063</w:t>
            </w:r>
            <w:r>
              <w:rPr>
                <w:rFonts w:hint="eastAsia"/>
                <w:bCs/>
                <w:color w:val="auto"/>
                <w:sz w:val="24"/>
              </w:rPr>
              <w:t>t/a（</w:t>
            </w:r>
            <w:r>
              <w:rPr>
                <w:rFonts w:hint="eastAsia"/>
                <w:bCs/>
                <w:color w:val="auto"/>
                <w:sz w:val="24"/>
                <w:lang w:val="en-US" w:eastAsia="zh-CN"/>
              </w:rPr>
              <w:t>2.63</w:t>
            </w:r>
            <w:r>
              <w:rPr>
                <w:rFonts w:hint="eastAsia"/>
                <w:bCs/>
                <w:color w:val="auto"/>
                <w:sz w:val="24"/>
              </w:rPr>
              <w:t>kg/h）、0.</w:t>
            </w:r>
            <w:r>
              <w:rPr>
                <w:rFonts w:hint="eastAsia"/>
                <w:bCs/>
                <w:color w:val="auto"/>
                <w:sz w:val="24"/>
                <w:lang w:val="en-US" w:eastAsia="zh-CN"/>
              </w:rPr>
              <w:t>020</w:t>
            </w:r>
            <w:r>
              <w:rPr>
                <w:rFonts w:hint="eastAsia"/>
                <w:bCs/>
                <w:color w:val="auto"/>
                <w:sz w:val="24"/>
              </w:rPr>
              <w:t>t/a（</w:t>
            </w:r>
            <w:r>
              <w:rPr>
                <w:rFonts w:hint="eastAsia"/>
                <w:bCs/>
                <w:color w:val="auto"/>
                <w:sz w:val="24"/>
                <w:lang w:val="en-US" w:eastAsia="zh-CN"/>
              </w:rPr>
              <w:t>0.83</w:t>
            </w:r>
            <w:r>
              <w:rPr>
                <w:rFonts w:hint="eastAsia"/>
                <w:bCs/>
                <w:color w:val="auto"/>
                <w:sz w:val="24"/>
              </w:rPr>
              <w:t>kg/h）、</w:t>
            </w:r>
            <w:r>
              <w:rPr>
                <w:rFonts w:hint="eastAsia"/>
                <w:bCs/>
                <w:color w:val="auto"/>
                <w:sz w:val="24"/>
                <w:lang w:val="en-US" w:eastAsia="zh-CN"/>
              </w:rPr>
              <w:t>0.193</w:t>
            </w:r>
            <w:r>
              <w:rPr>
                <w:rFonts w:hint="eastAsia"/>
                <w:bCs/>
                <w:color w:val="auto"/>
                <w:sz w:val="24"/>
              </w:rPr>
              <w:t>t/a（</w:t>
            </w:r>
            <w:r>
              <w:rPr>
                <w:rFonts w:hint="eastAsia"/>
                <w:bCs/>
                <w:color w:val="auto"/>
                <w:sz w:val="24"/>
                <w:lang w:val="en-US" w:eastAsia="zh-CN"/>
              </w:rPr>
              <w:t>8.025</w:t>
            </w:r>
            <w:r>
              <w:rPr>
                <w:rFonts w:hint="eastAsia"/>
                <w:bCs/>
                <w:color w:val="auto"/>
                <w:sz w:val="24"/>
              </w:rPr>
              <w:t>kg/h）、</w:t>
            </w:r>
            <w:r>
              <w:rPr>
                <w:rFonts w:hint="eastAsia"/>
                <w:bCs/>
                <w:color w:val="auto"/>
                <w:sz w:val="24"/>
                <w:lang w:val="en-US" w:eastAsia="zh-CN"/>
              </w:rPr>
              <w:t>0.0123</w:t>
            </w:r>
            <w:r>
              <w:rPr>
                <w:rFonts w:hint="eastAsia"/>
                <w:bCs/>
                <w:color w:val="auto"/>
                <w:sz w:val="24"/>
              </w:rPr>
              <w:t>t/a（</w:t>
            </w:r>
            <w:r>
              <w:rPr>
                <w:rFonts w:hint="eastAsia"/>
                <w:bCs/>
                <w:color w:val="auto"/>
                <w:sz w:val="24"/>
                <w:lang w:val="en-US" w:eastAsia="zh-CN"/>
              </w:rPr>
              <w:t>0.51</w:t>
            </w:r>
            <w:r>
              <w:rPr>
                <w:rFonts w:hint="eastAsia"/>
                <w:bCs/>
                <w:color w:val="auto"/>
                <w:sz w:val="24"/>
              </w:rPr>
              <w:t>kg/h）、</w:t>
            </w:r>
            <w:r>
              <w:rPr>
                <w:rFonts w:hint="eastAsia"/>
                <w:bCs/>
                <w:color w:val="auto"/>
                <w:sz w:val="24"/>
                <w:lang w:val="en-US" w:eastAsia="zh-CN"/>
              </w:rPr>
              <w:t>0.0123</w:t>
            </w:r>
            <w:r>
              <w:rPr>
                <w:rFonts w:hint="eastAsia"/>
                <w:bCs/>
                <w:color w:val="auto"/>
                <w:sz w:val="24"/>
              </w:rPr>
              <w:t>t/a（</w:t>
            </w:r>
            <w:r>
              <w:rPr>
                <w:rFonts w:hint="eastAsia"/>
                <w:bCs/>
                <w:color w:val="auto"/>
                <w:sz w:val="24"/>
                <w:lang w:val="en-US" w:eastAsia="zh-CN"/>
              </w:rPr>
              <w:t>0.512</w:t>
            </w:r>
            <w:r>
              <w:rPr>
                <w:rFonts w:hint="eastAsia"/>
                <w:bCs/>
                <w:color w:val="auto"/>
                <w:sz w:val="24"/>
              </w:rPr>
              <w:t>kg/h）。则污染物排放情况见下表</w:t>
            </w:r>
            <w:r>
              <w:rPr>
                <w:rFonts w:hint="eastAsia"/>
                <w:bCs/>
                <w:color w:val="auto"/>
                <w:sz w:val="24"/>
                <w:lang w:val="en-US" w:eastAsia="zh-CN"/>
              </w:rPr>
              <w:t>26</w:t>
            </w:r>
            <w:r>
              <w:rPr>
                <w:rFonts w:hint="eastAsia"/>
                <w:bCs/>
                <w:color w:val="auto"/>
                <w:sz w:val="24"/>
              </w:rPr>
              <w:t>。</w:t>
            </w:r>
          </w:p>
          <w:p>
            <w:pPr>
              <w:pStyle w:val="6"/>
              <w:tabs>
                <w:tab w:val="left" w:pos="1096"/>
              </w:tabs>
              <w:spacing w:line="361" w:lineRule="exact"/>
              <w:ind w:right="128"/>
              <w:jc w:val="center"/>
              <w:rPr>
                <w:rFonts w:hint="eastAsia" w:ascii="Times New Roman" w:hAnsi="Times New Roman" w:eastAsia="黑体" w:cs="Times New Roman"/>
                <w:b w:val="0"/>
                <w:bCs w:val="0"/>
                <w:color w:val="auto"/>
                <w:kern w:val="2"/>
                <w:sz w:val="24"/>
                <w:szCs w:val="24"/>
                <w:lang w:val="en-US" w:eastAsia="zh-CN" w:bidi="ar-SA"/>
              </w:rPr>
            </w:pPr>
            <w:r>
              <w:rPr>
                <w:rFonts w:hint="eastAsia" w:ascii="宋体" w:hAnsi="宋体" w:eastAsia="宋体" w:cs="宋体"/>
                <w:color w:val="auto"/>
                <w:lang w:eastAsia="zh-CN"/>
              </w:rPr>
              <w:tab/>
            </w:r>
            <w:r>
              <w:rPr>
                <w:rFonts w:hint="eastAsia" w:ascii="Times New Roman" w:hAnsi="Times New Roman" w:eastAsia="黑体" w:cs="Times New Roman"/>
                <w:b w:val="0"/>
                <w:bCs w:val="0"/>
                <w:color w:val="auto"/>
                <w:kern w:val="2"/>
                <w:sz w:val="24"/>
                <w:szCs w:val="24"/>
                <w:lang w:val="en-US" w:eastAsia="zh-CN" w:bidi="ar-SA"/>
              </w:rPr>
              <w:t xml:space="preserve">表26  </w:t>
            </w:r>
            <w:r>
              <w:rPr>
                <w:rFonts w:hint="eastAsia" w:ascii="Times New Roman" w:hAnsi="Times New Roman" w:eastAsia="黑体" w:cs="Times New Roman"/>
                <w:b w:val="0"/>
                <w:bCs w:val="0"/>
                <w:color w:val="auto"/>
                <w:kern w:val="2"/>
                <w:sz w:val="24"/>
                <w:szCs w:val="24"/>
                <w:lang w:val="en-US" w:eastAsia="zh-CN" w:bidi="ar-SA"/>
              </w:rPr>
              <w:tab/>
            </w:r>
            <w:r>
              <w:rPr>
                <w:rFonts w:hint="eastAsia" w:ascii="Times New Roman" w:hAnsi="Times New Roman" w:eastAsia="黑体" w:cs="Times New Roman"/>
                <w:b w:val="0"/>
                <w:bCs w:val="0"/>
                <w:color w:val="auto"/>
                <w:kern w:val="2"/>
                <w:sz w:val="24"/>
                <w:szCs w:val="24"/>
                <w:lang w:val="en-US" w:eastAsia="zh-CN" w:bidi="ar-SA"/>
              </w:rPr>
              <w:t>燃油废气污染物排污系数</w:t>
            </w:r>
          </w:p>
          <w:tbl>
            <w:tblPr>
              <w:tblStyle w:val="24"/>
              <w:tblW w:w="9346" w:type="dxa"/>
              <w:jc w:val="center"/>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771"/>
              <w:gridCol w:w="1313"/>
              <w:gridCol w:w="1326"/>
              <w:gridCol w:w="1308"/>
              <w:gridCol w:w="1227"/>
              <w:gridCol w:w="132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548" w:hRule="atLeast"/>
                <w:jc w:val="center"/>
              </w:trPr>
              <w:tc>
                <w:tcPr>
                  <w:tcW w:w="1075" w:type="dxa"/>
                  <w:tcBorders>
                    <w:tl2br w:val="nil"/>
                    <w:tr2bl w:val="nil"/>
                  </w:tcBorders>
                  <w:shd w:val="clear" w:color="auto" w:fill="FFFFFF"/>
                  <w:vAlign w:val="top"/>
                </w:tcPr>
                <w:p>
                  <w:pPr>
                    <w:pStyle w:val="55"/>
                    <w:spacing w:before="68"/>
                    <w:ind w:left="194" w:right="185"/>
                    <w:rPr>
                      <w:rFonts w:hint="eastAsia" w:ascii="Microsoft JhengHei" w:eastAsia="Microsoft JhengHei"/>
                      <w:b/>
                      <w:color w:val="auto"/>
                      <w:sz w:val="18"/>
                      <w:szCs w:val="18"/>
                    </w:rPr>
                  </w:pPr>
                  <w:r>
                    <w:rPr>
                      <w:rFonts w:hint="eastAsia" w:ascii="Microsoft JhengHei" w:eastAsia="Microsoft JhengHei"/>
                      <w:b/>
                      <w:color w:val="auto"/>
                      <w:sz w:val="18"/>
                      <w:szCs w:val="18"/>
                    </w:rPr>
                    <w:t>阶段</w:t>
                  </w:r>
                </w:p>
              </w:tc>
              <w:tc>
                <w:tcPr>
                  <w:tcW w:w="1771" w:type="dxa"/>
                  <w:tcBorders>
                    <w:tl2br w:val="nil"/>
                    <w:tr2bl w:val="nil"/>
                  </w:tcBorders>
                  <w:shd w:val="clear" w:color="auto" w:fill="FFFFFF"/>
                  <w:vAlign w:val="center"/>
                </w:tcPr>
                <w:p>
                  <w:pPr>
                    <w:pStyle w:val="55"/>
                    <w:spacing w:line="260" w:lineRule="exact"/>
                    <w:ind w:left="130" w:right="127"/>
                    <w:jc w:val="center"/>
                    <w:rPr>
                      <w:rFonts w:hint="eastAsia" w:ascii="Microsoft JhengHei" w:eastAsia="Microsoft JhengHei"/>
                      <w:b/>
                      <w:color w:val="auto"/>
                      <w:sz w:val="18"/>
                      <w:szCs w:val="18"/>
                    </w:rPr>
                  </w:pPr>
                  <w:r>
                    <w:rPr>
                      <w:rFonts w:hint="eastAsia" w:ascii="Microsoft JhengHei" w:eastAsia="Microsoft JhengHei"/>
                      <w:b/>
                      <w:color w:val="auto"/>
                      <w:sz w:val="18"/>
                      <w:szCs w:val="18"/>
                    </w:rPr>
                    <w:t>额定净</w:t>
                  </w:r>
                </w:p>
                <w:p>
                  <w:pPr>
                    <w:pStyle w:val="55"/>
                    <w:spacing w:line="260" w:lineRule="exact"/>
                    <w:ind w:left="130" w:right="127"/>
                    <w:jc w:val="center"/>
                    <w:rPr>
                      <w:rFonts w:hint="eastAsia" w:ascii="Microsoft JhengHei" w:eastAsia="Microsoft JhengHei"/>
                      <w:b/>
                      <w:color w:val="auto"/>
                      <w:sz w:val="18"/>
                      <w:szCs w:val="18"/>
                    </w:rPr>
                  </w:pPr>
                  <w:r>
                    <w:rPr>
                      <w:rFonts w:hint="eastAsia" w:ascii="Microsoft JhengHei" w:eastAsia="Microsoft JhengHei"/>
                      <w:b/>
                      <w:color w:val="auto"/>
                      <w:sz w:val="18"/>
                      <w:szCs w:val="18"/>
                    </w:rPr>
                    <w:t>功</w:t>
                  </w:r>
                  <w:r>
                    <w:rPr>
                      <w:rFonts w:hint="eastAsia" w:ascii="Microsoft JhengHei" w:eastAsia="Microsoft JhengHei"/>
                      <w:b/>
                      <w:color w:val="auto"/>
                      <w:w w:val="100"/>
                      <w:sz w:val="18"/>
                      <w:szCs w:val="18"/>
                    </w:rPr>
                    <w:t>率</w:t>
                  </w:r>
                </w:p>
              </w:tc>
              <w:tc>
                <w:tcPr>
                  <w:tcW w:w="1313" w:type="dxa"/>
                  <w:tcBorders>
                    <w:tl2br w:val="nil"/>
                    <w:tr2bl w:val="nil"/>
                  </w:tcBorders>
                  <w:shd w:val="clear" w:color="auto" w:fill="FFFFFF"/>
                  <w:vAlign w:val="center"/>
                </w:tcPr>
                <w:p>
                  <w:pPr>
                    <w:pStyle w:val="55"/>
                    <w:spacing w:before="12" w:line="209" w:lineRule="exact"/>
                    <w:ind w:left="109" w:right="98"/>
                    <w:jc w:val="center"/>
                    <w:rPr>
                      <w:rFonts w:ascii="Times New Roman"/>
                      <w:b/>
                      <w:color w:val="auto"/>
                      <w:sz w:val="18"/>
                      <w:szCs w:val="18"/>
                    </w:rPr>
                  </w:pPr>
                  <w:r>
                    <w:rPr>
                      <w:rFonts w:ascii="Times New Roman"/>
                      <w:b/>
                      <w:color w:val="auto"/>
                      <w:sz w:val="18"/>
                      <w:szCs w:val="18"/>
                    </w:rPr>
                    <w:t>CO</w:t>
                  </w:r>
                </w:p>
                <w:p>
                  <w:pPr>
                    <w:pStyle w:val="55"/>
                    <w:spacing w:line="303" w:lineRule="exact"/>
                    <w:ind w:left="109" w:right="109"/>
                    <w:jc w:val="center"/>
                    <w:rPr>
                      <w:rFonts w:hint="eastAsia" w:ascii="Microsoft JhengHei" w:eastAsia="Microsoft JhengHei"/>
                      <w:b/>
                      <w:color w:val="auto"/>
                      <w:sz w:val="18"/>
                      <w:szCs w:val="18"/>
                    </w:rPr>
                  </w:pPr>
                  <w:r>
                    <w:rPr>
                      <w:rFonts w:hint="eastAsia" w:ascii="Microsoft JhengHei" w:eastAsia="Microsoft JhengHei"/>
                      <w:b/>
                      <w:color w:val="auto"/>
                      <w:sz w:val="18"/>
                      <w:szCs w:val="18"/>
                    </w:rPr>
                    <w:t>（</w:t>
                  </w:r>
                  <w:r>
                    <w:rPr>
                      <w:rFonts w:ascii="Times New Roman" w:eastAsia="Times New Roman"/>
                      <w:b/>
                      <w:color w:val="auto"/>
                      <w:sz w:val="18"/>
                      <w:szCs w:val="18"/>
                    </w:rPr>
                    <w:t>g/kWh</w:t>
                  </w:r>
                  <w:r>
                    <w:rPr>
                      <w:rFonts w:hint="eastAsia" w:ascii="Microsoft JhengHei" w:eastAsia="Microsoft JhengHei"/>
                      <w:b/>
                      <w:color w:val="auto"/>
                      <w:sz w:val="18"/>
                      <w:szCs w:val="18"/>
                    </w:rPr>
                    <w:t>）</w:t>
                  </w:r>
                </w:p>
              </w:tc>
              <w:tc>
                <w:tcPr>
                  <w:tcW w:w="1326" w:type="dxa"/>
                  <w:tcBorders>
                    <w:tl2br w:val="nil"/>
                    <w:tr2bl w:val="nil"/>
                  </w:tcBorders>
                  <w:shd w:val="clear" w:color="auto" w:fill="FFFFFF"/>
                  <w:vAlign w:val="center"/>
                </w:tcPr>
                <w:p>
                  <w:pPr>
                    <w:pStyle w:val="55"/>
                    <w:spacing w:before="12" w:line="209" w:lineRule="exact"/>
                    <w:ind w:left="107" w:right="103"/>
                    <w:jc w:val="center"/>
                    <w:rPr>
                      <w:rFonts w:ascii="Times New Roman"/>
                      <w:b/>
                      <w:color w:val="auto"/>
                      <w:sz w:val="18"/>
                      <w:szCs w:val="18"/>
                    </w:rPr>
                  </w:pPr>
                  <w:r>
                    <w:rPr>
                      <w:rFonts w:ascii="Times New Roman"/>
                      <w:b/>
                      <w:color w:val="auto"/>
                      <w:sz w:val="18"/>
                      <w:szCs w:val="18"/>
                    </w:rPr>
                    <w:t>HC</w:t>
                  </w:r>
                </w:p>
                <w:p>
                  <w:pPr>
                    <w:pStyle w:val="55"/>
                    <w:spacing w:line="303" w:lineRule="exact"/>
                    <w:ind w:left="105" w:right="108"/>
                    <w:jc w:val="center"/>
                    <w:rPr>
                      <w:rFonts w:hint="eastAsia" w:ascii="Microsoft JhengHei" w:eastAsia="Microsoft JhengHei"/>
                      <w:b/>
                      <w:color w:val="auto"/>
                      <w:sz w:val="18"/>
                      <w:szCs w:val="18"/>
                    </w:rPr>
                  </w:pPr>
                  <w:r>
                    <w:rPr>
                      <w:rFonts w:hint="eastAsia" w:ascii="Microsoft JhengHei" w:eastAsia="Microsoft JhengHei"/>
                      <w:b/>
                      <w:color w:val="auto"/>
                      <w:sz w:val="18"/>
                      <w:szCs w:val="18"/>
                    </w:rPr>
                    <w:t>（</w:t>
                  </w:r>
                  <w:r>
                    <w:rPr>
                      <w:rFonts w:ascii="Times New Roman" w:eastAsia="Times New Roman"/>
                      <w:b/>
                      <w:color w:val="auto"/>
                      <w:sz w:val="18"/>
                      <w:szCs w:val="18"/>
                    </w:rPr>
                    <w:t>g/kWh</w:t>
                  </w:r>
                  <w:r>
                    <w:rPr>
                      <w:rFonts w:hint="eastAsia" w:ascii="Microsoft JhengHei" w:eastAsia="Microsoft JhengHei"/>
                      <w:b/>
                      <w:color w:val="auto"/>
                      <w:sz w:val="18"/>
                      <w:szCs w:val="18"/>
                    </w:rPr>
                    <w:t>）</w:t>
                  </w:r>
                </w:p>
              </w:tc>
              <w:tc>
                <w:tcPr>
                  <w:tcW w:w="1308" w:type="dxa"/>
                  <w:tcBorders>
                    <w:tl2br w:val="nil"/>
                    <w:tr2bl w:val="nil"/>
                  </w:tcBorders>
                  <w:shd w:val="clear" w:color="auto" w:fill="FFFFFF"/>
                  <w:vAlign w:val="center"/>
                </w:tcPr>
                <w:p>
                  <w:pPr>
                    <w:pStyle w:val="55"/>
                    <w:spacing w:before="11" w:line="212" w:lineRule="exact"/>
                    <w:ind w:left="107" w:right="106"/>
                    <w:jc w:val="center"/>
                    <w:rPr>
                      <w:rFonts w:ascii="Times New Roman"/>
                      <w:b/>
                      <w:color w:val="auto"/>
                      <w:sz w:val="18"/>
                      <w:szCs w:val="18"/>
                    </w:rPr>
                  </w:pPr>
                  <w:r>
                    <w:rPr>
                      <w:rFonts w:ascii="Times New Roman"/>
                      <w:b/>
                      <w:color w:val="auto"/>
                      <w:position w:val="2"/>
                      <w:sz w:val="18"/>
                      <w:szCs w:val="18"/>
                    </w:rPr>
                    <w:t>NO</w:t>
                  </w:r>
                  <w:r>
                    <w:rPr>
                      <w:rFonts w:ascii="Times New Roman"/>
                      <w:b/>
                      <w:color w:val="auto"/>
                      <w:sz w:val="18"/>
                      <w:szCs w:val="18"/>
                      <w:vertAlign w:val="subscript"/>
                    </w:rPr>
                    <w:t>X</w:t>
                  </w:r>
                </w:p>
                <w:p>
                  <w:pPr>
                    <w:pStyle w:val="55"/>
                    <w:spacing w:line="301" w:lineRule="exact"/>
                    <w:ind w:left="107" w:right="107"/>
                    <w:jc w:val="center"/>
                    <w:rPr>
                      <w:rFonts w:hint="eastAsia" w:ascii="Microsoft JhengHei" w:eastAsia="Microsoft JhengHei"/>
                      <w:b/>
                      <w:color w:val="auto"/>
                      <w:sz w:val="18"/>
                      <w:szCs w:val="18"/>
                    </w:rPr>
                  </w:pPr>
                  <w:r>
                    <w:rPr>
                      <w:rFonts w:hint="eastAsia" w:ascii="Microsoft JhengHei" w:eastAsia="Microsoft JhengHei"/>
                      <w:b/>
                      <w:color w:val="auto"/>
                      <w:sz w:val="18"/>
                      <w:szCs w:val="18"/>
                    </w:rPr>
                    <w:t>（</w:t>
                  </w:r>
                  <w:r>
                    <w:rPr>
                      <w:rFonts w:ascii="Times New Roman" w:eastAsia="Times New Roman"/>
                      <w:b/>
                      <w:color w:val="auto"/>
                      <w:sz w:val="18"/>
                      <w:szCs w:val="18"/>
                    </w:rPr>
                    <w:t>g/kWh</w:t>
                  </w:r>
                  <w:r>
                    <w:rPr>
                      <w:rFonts w:hint="eastAsia" w:ascii="Microsoft JhengHei" w:eastAsia="Microsoft JhengHei"/>
                      <w:b/>
                      <w:color w:val="auto"/>
                      <w:sz w:val="18"/>
                      <w:szCs w:val="18"/>
                    </w:rPr>
                    <w:t>）</w:t>
                  </w:r>
                </w:p>
              </w:tc>
              <w:tc>
                <w:tcPr>
                  <w:tcW w:w="1227" w:type="dxa"/>
                  <w:tcBorders>
                    <w:tl2br w:val="nil"/>
                    <w:tr2bl w:val="nil"/>
                  </w:tcBorders>
                  <w:shd w:val="clear" w:color="auto" w:fill="FFFFFF"/>
                  <w:vAlign w:val="center"/>
                </w:tcPr>
                <w:p>
                  <w:pPr>
                    <w:pStyle w:val="55"/>
                    <w:spacing w:before="11" w:line="212" w:lineRule="exact"/>
                    <w:ind w:left="176"/>
                    <w:jc w:val="center"/>
                    <w:rPr>
                      <w:rFonts w:ascii="Times New Roman"/>
                      <w:b/>
                      <w:color w:val="auto"/>
                      <w:sz w:val="18"/>
                      <w:szCs w:val="18"/>
                    </w:rPr>
                  </w:pPr>
                  <w:r>
                    <w:rPr>
                      <w:rFonts w:ascii="Times New Roman"/>
                      <w:b/>
                      <w:color w:val="auto"/>
                      <w:spacing w:val="2"/>
                      <w:position w:val="2"/>
                      <w:sz w:val="18"/>
                      <w:szCs w:val="18"/>
                    </w:rPr>
                    <w:t>HC+</w:t>
                  </w:r>
                  <w:r>
                    <w:rPr>
                      <w:rFonts w:ascii="Times New Roman"/>
                      <w:b/>
                      <w:color w:val="auto"/>
                      <w:spacing w:val="14"/>
                      <w:position w:val="2"/>
                      <w:sz w:val="18"/>
                      <w:szCs w:val="18"/>
                    </w:rPr>
                    <w:t xml:space="preserve"> </w:t>
                  </w:r>
                  <w:r>
                    <w:rPr>
                      <w:rFonts w:ascii="Times New Roman"/>
                      <w:b/>
                      <w:color w:val="auto"/>
                      <w:spacing w:val="3"/>
                      <w:position w:val="2"/>
                      <w:sz w:val="18"/>
                      <w:szCs w:val="18"/>
                    </w:rPr>
                    <w:t>NO</w:t>
                  </w:r>
                  <w:r>
                    <w:rPr>
                      <w:rFonts w:ascii="Times New Roman"/>
                      <w:b/>
                      <w:color w:val="auto"/>
                      <w:spacing w:val="3"/>
                      <w:sz w:val="18"/>
                      <w:szCs w:val="18"/>
                      <w:vertAlign w:val="subscript"/>
                    </w:rPr>
                    <w:t>X</w:t>
                  </w:r>
                </w:p>
                <w:p>
                  <w:pPr>
                    <w:pStyle w:val="55"/>
                    <w:spacing w:line="301" w:lineRule="exact"/>
                    <w:ind w:left="109"/>
                    <w:jc w:val="center"/>
                    <w:rPr>
                      <w:rFonts w:hint="eastAsia" w:ascii="Microsoft JhengHei" w:eastAsia="Microsoft JhengHei"/>
                      <w:b/>
                      <w:color w:val="auto"/>
                      <w:sz w:val="18"/>
                      <w:szCs w:val="18"/>
                    </w:rPr>
                  </w:pPr>
                  <w:r>
                    <w:rPr>
                      <w:rFonts w:hint="eastAsia" w:ascii="Microsoft JhengHei" w:eastAsia="Microsoft JhengHei"/>
                      <w:b/>
                      <w:color w:val="auto"/>
                      <w:spacing w:val="4"/>
                      <w:sz w:val="18"/>
                      <w:szCs w:val="18"/>
                    </w:rPr>
                    <w:t>（</w:t>
                  </w:r>
                  <w:r>
                    <w:rPr>
                      <w:rFonts w:ascii="Times New Roman" w:eastAsia="Times New Roman"/>
                      <w:b/>
                      <w:color w:val="auto"/>
                      <w:spacing w:val="4"/>
                      <w:sz w:val="18"/>
                      <w:szCs w:val="18"/>
                    </w:rPr>
                    <w:t>g/kWh</w:t>
                  </w:r>
                  <w:r>
                    <w:rPr>
                      <w:rFonts w:hint="eastAsia" w:ascii="Microsoft JhengHei" w:eastAsia="Microsoft JhengHei"/>
                      <w:b/>
                      <w:color w:val="auto"/>
                      <w:spacing w:val="4"/>
                      <w:sz w:val="18"/>
                      <w:szCs w:val="18"/>
                    </w:rPr>
                    <w:t>）</w:t>
                  </w:r>
                </w:p>
              </w:tc>
              <w:tc>
                <w:tcPr>
                  <w:tcW w:w="1326" w:type="dxa"/>
                  <w:tcBorders>
                    <w:tl2br w:val="nil"/>
                    <w:tr2bl w:val="nil"/>
                  </w:tcBorders>
                  <w:shd w:val="clear" w:color="auto" w:fill="FFFFFF"/>
                  <w:vAlign w:val="center"/>
                </w:tcPr>
                <w:p>
                  <w:pPr>
                    <w:pStyle w:val="55"/>
                    <w:spacing w:before="12" w:line="209" w:lineRule="exact"/>
                    <w:ind w:left="107" w:right="98"/>
                    <w:jc w:val="center"/>
                    <w:rPr>
                      <w:rFonts w:ascii="Times New Roman"/>
                      <w:b/>
                      <w:color w:val="auto"/>
                      <w:sz w:val="18"/>
                      <w:szCs w:val="18"/>
                    </w:rPr>
                  </w:pPr>
                  <w:r>
                    <w:rPr>
                      <w:rFonts w:ascii="Times New Roman"/>
                      <w:b/>
                      <w:color w:val="auto"/>
                      <w:sz w:val="18"/>
                      <w:szCs w:val="18"/>
                    </w:rPr>
                    <w:t>PM</w:t>
                  </w:r>
                </w:p>
                <w:p>
                  <w:pPr>
                    <w:pStyle w:val="55"/>
                    <w:spacing w:line="303" w:lineRule="exact"/>
                    <w:ind w:left="105" w:right="108"/>
                    <w:jc w:val="center"/>
                    <w:rPr>
                      <w:rFonts w:hint="eastAsia" w:ascii="Microsoft JhengHei" w:eastAsia="Microsoft JhengHei"/>
                      <w:b/>
                      <w:color w:val="auto"/>
                      <w:sz w:val="18"/>
                      <w:szCs w:val="18"/>
                    </w:rPr>
                  </w:pPr>
                  <w:r>
                    <w:rPr>
                      <w:rFonts w:hint="eastAsia" w:ascii="Microsoft JhengHei" w:eastAsia="Microsoft JhengHei"/>
                      <w:b/>
                      <w:color w:val="auto"/>
                      <w:sz w:val="18"/>
                      <w:szCs w:val="18"/>
                    </w:rPr>
                    <w:t>（</w:t>
                  </w:r>
                  <w:r>
                    <w:rPr>
                      <w:rFonts w:ascii="Times New Roman" w:eastAsia="Times New Roman"/>
                      <w:b/>
                      <w:color w:val="auto"/>
                      <w:sz w:val="18"/>
                      <w:szCs w:val="18"/>
                    </w:rPr>
                    <w:t>g/kWh</w:t>
                  </w:r>
                  <w:r>
                    <w:rPr>
                      <w:rFonts w:hint="eastAsia" w:ascii="Microsoft JhengHei" w:eastAsia="Microsoft JhengHei"/>
                      <w:b/>
                      <w:color w:val="auto"/>
                      <w:sz w:val="18"/>
                      <w:szCs w:val="18"/>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57" w:hRule="atLeast"/>
                <w:jc w:val="center"/>
              </w:trPr>
              <w:tc>
                <w:tcPr>
                  <w:tcW w:w="1075" w:type="dxa"/>
                  <w:tcBorders>
                    <w:tl2br w:val="nil"/>
                    <w:tr2bl w:val="nil"/>
                  </w:tcBorders>
                  <w:vAlign w:val="top"/>
                </w:tcPr>
                <w:p>
                  <w:pPr>
                    <w:pStyle w:val="55"/>
                    <w:keepNext w:val="0"/>
                    <w:keepLines w:val="0"/>
                    <w:pageBreakBefore w:val="0"/>
                    <w:widowControl w:val="0"/>
                    <w:kinsoku/>
                    <w:wordWrap/>
                    <w:overflowPunct/>
                    <w:topLinePunct w:val="0"/>
                    <w:autoSpaceDE w:val="0"/>
                    <w:autoSpaceDN w:val="0"/>
                    <w:bidi w:val="0"/>
                    <w:adjustRightInd/>
                    <w:snapToGrid/>
                    <w:spacing w:before="0" w:line="250" w:lineRule="exact"/>
                    <w:ind w:left="0" w:right="0"/>
                    <w:textAlignment w:val="auto"/>
                    <w:rPr>
                      <w:rFonts w:hint="eastAsia" w:eastAsia="宋体"/>
                      <w:color w:val="auto"/>
                      <w:sz w:val="18"/>
                      <w:szCs w:val="18"/>
                      <w:lang w:eastAsia="zh-CN"/>
                    </w:rPr>
                  </w:pPr>
                  <w:r>
                    <w:rPr>
                      <w:rFonts w:hint="eastAsia"/>
                      <w:color w:val="auto"/>
                      <w:sz w:val="18"/>
                      <w:szCs w:val="18"/>
                      <w:lang w:val="en-US" w:eastAsia="zh-CN"/>
                    </w:rPr>
                    <w:t>本项目</w:t>
                  </w:r>
                </w:p>
              </w:tc>
              <w:tc>
                <w:tcPr>
                  <w:tcW w:w="1771" w:type="dxa"/>
                  <w:tcBorders>
                    <w:tl2br w:val="nil"/>
                    <w:tr2bl w:val="nil"/>
                  </w:tcBorders>
                  <w:vAlign w:val="top"/>
                </w:tcPr>
                <w:p>
                  <w:pPr>
                    <w:pStyle w:val="55"/>
                    <w:spacing w:before="7"/>
                    <w:ind w:left="133" w:right="127"/>
                    <w:jc w:val="center"/>
                    <w:rPr>
                      <w:rFonts w:ascii="Times New Roman"/>
                      <w:color w:val="auto"/>
                      <w:sz w:val="18"/>
                      <w:szCs w:val="18"/>
                    </w:rPr>
                  </w:pPr>
                  <w:r>
                    <w:rPr>
                      <w:rFonts w:hint="eastAsia" w:ascii="Times New Roman"/>
                      <w:color w:val="auto"/>
                      <w:sz w:val="18"/>
                      <w:szCs w:val="18"/>
                      <w:lang w:val="en-US" w:eastAsia="zh-CN"/>
                    </w:rPr>
                    <w:t>2230</w:t>
                  </w:r>
                  <w:r>
                    <w:rPr>
                      <w:rFonts w:ascii="Times New Roman"/>
                      <w:color w:val="auto"/>
                      <w:sz w:val="18"/>
                      <w:szCs w:val="18"/>
                    </w:rPr>
                    <w:t>kW</w:t>
                  </w:r>
                </w:p>
              </w:tc>
              <w:tc>
                <w:tcPr>
                  <w:tcW w:w="1313" w:type="dxa"/>
                  <w:tcBorders>
                    <w:tl2br w:val="nil"/>
                    <w:tr2bl w:val="nil"/>
                  </w:tcBorders>
                  <w:vAlign w:val="top"/>
                </w:tcPr>
                <w:p>
                  <w:pPr>
                    <w:pStyle w:val="55"/>
                    <w:spacing w:before="7"/>
                    <w:ind w:left="462"/>
                    <w:jc w:val="left"/>
                    <w:rPr>
                      <w:rFonts w:hint="eastAsia" w:ascii="Times New Roman" w:eastAsia="宋体"/>
                      <w:color w:val="auto"/>
                      <w:sz w:val="18"/>
                      <w:szCs w:val="18"/>
                      <w:lang w:val="en-US" w:eastAsia="zh-CN"/>
                    </w:rPr>
                  </w:pPr>
                  <w:r>
                    <w:rPr>
                      <w:rFonts w:hint="eastAsia" w:ascii="Times New Roman"/>
                      <w:color w:val="auto"/>
                      <w:sz w:val="18"/>
                      <w:szCs w:val="18"/>
                      <w:lang w:val="en-US" w:eastAsia="zh-CN"/>
                    </w:rPr>
                    <w:t>1.18</w:t>
                  </w:r>
                </w:p>
              </w:tc>
              <w:tc>
                <w:tcPr>
                  <w:tcW w:w="1326" w:type="dxa"/>
                  <w:tcBorders>
                    <w:tl2br w:val="nil"/>
                    <w:tr2bl w:val="nil"/>
                  </w:tcBorders>
                  <w:vAlign w:val="top"/>
                </w:tcPr>
                <w:p>
                  <w:pPr>
                    <w:pStyle w:val="55"/>
                    <w:spacing w:before="7"/>
                    <w:ind w:left="107" w:right="101"/>
                    <w:jc w:val="center"/>
                    <w:rPr>
                      <w:rFonts w:hint="eastAsia" w:ascii="Times New Roman" w:eastAsia="宋体"/>
                      <w:color w:val="auto"/>
                      <w:sz w:val="18"/>
                      <w:szCs w:val="18"/>
                      <w:lang w:val="en-US" w:eastAsia="zh-CN"/>
                    </w:rPr>
                  </w:pPr>
                  <w:r>
                    <w:rPr>
                      <w:rFonts w:hint="eastAsia" w:ascii="Times New Roman"/>
                      <w:color w:val="auto"/>
                      <w:sz w:val="18"/>
                      <w:szCs w:val="18"/>
                      <w:lang w:val="en-US" w:eastAsia="zh-CN"/>
                    </w:rPr>
                    <w:t>0.37</w:t>
                  </w:r>
                </w:p>
              </w:tc>
              <w:tc>
                <w:tcPr>
                  <w:tcW w:w="1308" w:type="dxa"/>
                  <w:tcBorders>
                    <w:tl2br w:val="nil"/>
                    <w:tr2bl w:val="nil"/>
                  </w:tcBorders>
                  <w:vAlign w:val="top"/>
                </w:tcPr>
                <w:p>
                  <w:pPr>
                    <w:pStyle w:val="55"/>
                    <w:spacing w:before="7"/>
                    <w:ind w:left="107" w:right="96"/>
                    <w:jc w:val="center"/>
                    <w:rPr>
                      <w:rFonts w:hint="default" w:ascii="Times New Roman" w:eastAsia="宋体"/>
                      <w:color w:val="auto"/>
                      <w:sz w:val="18"/>
                      <w:szCs w:val="18"/>
                      <w:lang w:val="en-US" w:eastAsia="zh-CN"/>
                    </w:rPr>
                  </w:pPr>
                  <w:r>
                    <w:rPr>
                      <w:rFonts w:hint="eastAsia" w:ascii="Times New Roman"/>
                      <w:color w:val="auto"/>
                      <w:sz w:val="18"/>
                      <w:szCs w:val="18"/>
                      <w:lang w:val="en-US" w:eastAsia="zh-CN"/>
                    </w:rPr>
                    <w:t>3.60</w:t>
                  </w:r>
                </w:p>
              </w:tc>
              <w:tc>
                <w:tcPr>
                  <w:tcW w:w="1227" w:type="dxa"/>
                  <w:tcBorders>
                    <w:tl2br w:val="nil"/>
                    <w:tr2bl w:val="nil"/>
                  </w:tcBorders>
                  <w:vAlign w:val="top"/>
                </w:tcPr>
                <w:p>
                  <w:pPr>
                    <w:pStyle w:val="55"/>
                    <w:keepNext w:val="0"/>
                    <w:keepLines w:val="0"/>
                    <w:pageBreakBefore w:val="0"/>
                    <w:widowControl w:val="0"/>
                    <w:kinsoku/>
                    <w:wordWrap/>
                    <w:overflowPunct/>
                    <w:topLinePunct w:val="0"/>
                    <w:autoSpaceDE w:val="0"/>
                    <w:autoSpaceDN w:val="0"/>
                    <w:bidi w:val="0"/>
                    <w:adjustRightInd/>
                    <w:snapToGrid/>
                    <w:ind w:right="0"/>
                    <w:jc w:val="center"/>
                    <w:textAlignment w:val="auto"/>
                    <w:rPr>
                      <w:rFonts w:hint="default" w:ascii="Times New Roman" w:eastAsia="宋体"/>
                      <w:color w:val="auto"/>
                      <w:sz w:val="18"/>
                      <w:szCs w:val="18"/>
                      <w:lang w:val="en-US" w:eastAsia="zh-CN"/>
                    </w:rPr>
                  </w:pPr>
                  <w:r>
                    <w:rPr>
                      <w:rFonts w:hint="eastAsia" w:ascii="Times New Roman"/>
                      <w:color w:val="auto"/>
                      <w:sz w:val="18"/>
                      <w:szCs w:val="18"/>
                      <w:lang w:val="en-US" w:eastAsia="zh-CN"/>
                    </w:rPr>
                    <w:t>3.97</w:t>
                  </w:r>
                </w:p>
              </w:tc>
              <w:tc>
                <w:tcPr>
                  <w:tcW w:w="1326" w:type="dxa"/>
                  <w:tcBorders>
                    <w:tl2br w:val="nil"/>
                    <w:tr2bl w:val="nil"/>
                  </w:tcBorders>
                  <w:vAlign w:val="top"/>
                </w:tcPr>
                <w:p>
                  <w:pPr>
                    <w:pStyle w:val="55"/>
                    <w:spacing w:before="7"/>
                    <w:ind w:left="107" w:right="101"/>
                    <w:jc w:val="center"/>
                    <w:rPr>
                      <w:rFonts w:hint="eastAsia" w:ascii="Times New Roman" w:eastAsia="宋体"/>
                      <w:color w:val="auto"/>
                      <w:sz w:val="18"/>
                      <w:szCs w:val="18"/>
                      <w:lang w:val="en-US" w:eastAsia="zh-CN"/>
                    </w:rPr>
                  </w:pPr>
                  <w:r>
                    <w:rPr>
                      <w:rFonts w:hint="eastAsia" w:ascii="Times New Roman"/>
                      <w:color w:val="auto"/>
                      <w:sz w:val="18"/>
                      <w:szCs w:val="18"/>
                      <w:lang w:val="en-US" w:eastAsia="zh-CN"/>
                    </w:rPr>
                    <w:t>0.45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474" w:hRule="atLeast"/>
                <w:jc w:val="center"/>
              </w:trPr>
              <w:tc>
                <w:tcPr>
                  <w:tcW w:w="1075" w:type="dxa"/>
                  <w:tcBorders>
                    <w:tl2br w:val="nil"/>
                    <w:tr2bl w:val="nil"/>
                  </w:tcBorders>
                  <w:vAlign w:val="center"/>
                </w:tcPr>
                <w:p>
                  <w:pPr>
                    <w:pStyle w:val="55"/>
                    <w:keepNext w:val="0"/>
                    <w:keepLines w:val="0"/>
                    <w:pageBreakBefore w:val="0"/>
                    <w:widowControl w:val="0"/>
                    <w:kinsoku/>
                    <w:wordWrap/>
                    <w:overflowPunct/>
                    <w:topLinePunct w:val="0"/>
                    <w:autoSpaceDE w:val="0"/>
                    <w:autoSpaceDN w:val="0"/>
                    <w:bidi w:val="0"/>
                    <w:adjustRightInd/>
                    <w:snapToGrid/>
                    <w:spacing w:before="0" w:line="250" w:lineRule="exact"/>
                    <w:ind w:right="0"/>
                    <w:jc w:val="center"/>
                    <w:textAlignment w:val="auto"/>
                    <w:rPr>
                      <w:color w:val="auto"/>
                      <w:sz w:val="18"/>
                      <w:szCs w:val="18"/>
                    </w:rPr>
                  </w:pPr>
                  <w:r>
                    <w:rPr>
                      <w:color w:val="auto"/>
                      <w:sz w:val="18"/>
                      <w:szCs w:val="18"/>
                    </w:rPr>
                    <w:t>第三阶段</w:t>
                  </w:r>
                </w:p>
              </w:tc>
              <w:tc>
                <w:tcPr>
                  <w:tcW w:w="1771" w:type="dxa"/>
                  <w:tcBorders>
                    <w:tl2br w:val="nil"/>
                    <w:tr2bl w:val="nil"/>
                  </w:tcBorders>
                  <w:vAlign w:val="center"/>
                </w:tcPr>
                <w:p>
                  <w:pPr>
                    <w:pStyle w:val="55"/>
                    <w:spacing w:before="3" w:line="250" w:lineRule="exact"/>
                    <w:ind w:left="135" w:right="127"/>
                    <w:jc w:val="center"/>
                    <w:rPr>
                      <w:rFonts w:hint="default" w:ascii="Times New Roman" w:eastAsia="宋体"/>
                      <w:color w:val="auto"/>
                      <w:sz w:val="18"/>
                      <w:szCs w:val="18"/>
                      <w:lang w:val="en-US" w:eastAsia="zh-CN"/>
                    </w:rPr>
                  </w:pPr>
                  <w:r>
                    <w:rPr>
                      <w:rFonts w:ascii="Times New Roman" w:eastAsia="Times New Roman"/>
                      <w:color w:val="auto"/>
                      <w:sz w:val="18"/>
                      <w:szCs w:val="18"/>
                    </w:rPr>
                    <w:t>Pmax</w:t>
                  </w:r>
                  <w:r>
                    <w:rPr>
                      <w:rFonts w:hint="eastAsia" w:ascii="宋体" w:hAnsi="宋体" w:eastAsia="宋体" w:cs="宋体"/>
                      <w:color w:val="auto"/>
                      <w:sz w:val="18"/>
                      <w:szCs w:val="18"/>
                    </w:rPr>
                    <w:t>＞</w:t>
                  </w:r>
                  <w:r>
                    <w:rPr>
                      <w:rFonts w:hint="eastAsia" w:ascii="Times New Roman"/>
                      <w:color w:val="auto"/>
                      <w:sz w:val="18"/>
                      <w:szCs w:val="18"/>
                      <w:lang w:val="en-US" w:eastAsia="zh-CN"/>
                    </w:rPr>
                    <w:t>560</w:t>
                  </w:r>
                </w:p>
              </w:tc>
              <w:tc>
                <w:tcPr>
                  <w:tcW w:w="1313" w:type="dxa"/>
                  <w:tcBorders>
                    <w:tl2br w:val="nil"/>
                    <w:tr2bl w:val="nil"/>
                  </w:tcBorders>
                  <w:vAlign w:val="center"/>
                </w:tcPr>
                <w:p>
                  <w:pPr>
                    <w:pStyle w:val="55"/>
                    <w:spacing w:before="10"/>
                    <w:ind w:left="505"/>
                    <w:jc w:val="both"/>
                    <w:rPr>
                      <w:rFonts w:ascii="Times New Roman"/>
                      <w:color w:val="auto"/>
                      <w:sz w:val="18"/>
                      <w:szCs w:val="18"/>
                    </w:rPr>
                  </w:pPr>
                  <w:r>
                    <w:rPr>
                      <w:rFonts w:ascii="Times New Roman"/>
                      <w:color w:val="auto"/>
                      <w:sz w:val="18"/>
                      <w:szCs w:val="18"/>
                    </w:rPr>
                    <w:t>3.5</w:t>
                  </w:r>
                </w:p>
              </w:tc>
              <w:tc>
                <w:tcPr>
                  <w:tcW w:w="1326" w:type="dxa"/>
                  <w:tcBorders>
                    <w:tl2br w:val="nil"/>
                    <w:tr2bl w:val="nil"/>
                  </w:tcBorders>
                  <w:vAlign w:val="center"/>
                </w:tcPr>
                <w:p>
                  <w:pPr>
                    <w:pStyle w:val="55"/>
                    <w:spacing w:before="10"/>
                    <w:jc w:val="center"/>
                    <w:rPr>
                      <w:rFonts w:ascii="Times New Roman"/>
                      <w:color w:val="auto"/>
                      <w:sz w:val="18"/>
                      <w:szCs w:val="18"/>
                    </w:rPr>
                  </w:pPr>
                  <w:r>
                    <w:rPr>
                      <w:rFonts w:ascii="Times New Roman"/>
                      <w:color w:val="auto"/>
                      <w:w w:val="100"/>
                      <w:sz w:val="18"/>
                      <w:szCs w:val="18"/>
                    </w:rPr>
                    <w:t>/</w:t>
                  </w:r>
                </w:p>
              </w:tc>
              <w:tc>
                <w:tcPr>
                  <w:tcW w:w="1308" w:type="dxa"/>
                  <w:tcBorders>
                    <w:tl2br w:val="nil"/>
                    <w:tr2bl w:val="nil"/>
                  </w:tcBorders>
                  <w:vAlign w:val="center"/>
                </w:tcPr>
                <w:p>
                  <w:pPr>
                    <w:pStyle w:val="55"/>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ascii="Times New Roman"/>
                      <w:color w:val="auto"/>
                      <w:sz w:val="18"/>
                      <w:szCs w:val="18"/>
                    </w:rPr>
                  </w:pPr>
                  <w:r>
                    <w:rPr>
                      <w:rFonts w:ascii="Times New Roman"/>
                      <w:color w:val="auto"/>
                      <w:w w:val="100"/>
                      <w:sz w:val="18"/>
                      <w:szCs w:val="18"/>
                    </w:rPr>
                    <w:t>/</w:t>
                  </w:r>
                </w:p>
              </w:tc>
              <w:tc>
                <w:tcPr>
                  <w:tcW w:w="1227" w:type="dxa"/>
                  <w:tcBorders>
                    <w:tl2br w:val="nil"/>
                    <w:tr2bl w:val="nil"/>
                  </w:tcBorders>
                  <w:vAlign w:val="center"/>
                </w:tcPr>
                <w:p>
                  <w:pPr>
                    <w:pStyle w:val="55"/>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default" w:ascii="Times New Roman" w:eastAsia="宋体"/>
                      <w:color w:val="auto"/>
                      <w:sz w:val="18"/>
                      <w:szCs w:val="18"/>
                      <w:lang w:val="en-US" w:eastAsia="zh-CN"/>
                    </w:rPr>
                  </w:pPr>
                  <w:r>
                    <w:rPr>
                      <w:rFonts w:hint="eastAsia" w:ascii="Times New Roman"/>
                      <w:color w:val="auto"/>
                      <w:sz w:val="18"/>
                      <w:szCs w:val="18"/>
                      <w:lang w:val="en-US" w:eastAsia="zh-CN"/>
                    </w:rPr>
                    <w:t>6.4</w:t>
                  </w:r>
                </w:p>
              </w:tc>
              <w:tc>
                <w:tcPr>
                  <w:tcW w:w="1326" w:type="dxa"/>
                  <w:tcBorders>
                    <w:tl2br w:val="nil"/>
                    <w:tr2bl w:val="nil"/>
                  </w:tcBorders>
                  <w:vAlign w:val="center"/>
                </w:tcPr>
                <w:p>
                  <w:pPr>
                    <w:pStyle w:val="55"/>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ascii="Times New Roman"/>
                      <w:color w:val="auto"/>
                      <w:sz w:val="18"/>
                      <w:szCs w:val="18"/>
                    </w:rPr>
                  </w:pPr>
                  <w:r>
                    <w:rPr>
                      <w:rFonts w:ascii="Times New Roman"/>
                      <w:color w:val="auto"/>
                      <w:sz w:val="18"/>
                      <w:szCs w:val="18"/>
                    </w:rPr>
                    <w:t>0.20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483" w:hRule="atLeast"/>
                <w:jc w:val="center"/>
              </w:trPr>
              <w:tc>
                <w:tcPr>
                  <w:tcW w:w="1075" w:type="dxa"/>
                  <w:tcBorders>
                    <w:tl2br w:val="nil"/>
                    <w:tr2bl w:val="nil"/>
                  </w:tcBorders>
                  <w:vAlign w:val="center"/>
                </w:tcPr>
                <w:p>
                  <w:pPr>
                    <w:pStyle w:val="55"/>
                    <w:keepNext w:val="0"/>
                    <w:keepLines w:val="0"/>
                    <w:pageBreakBefore w:val="0"/>
                    <w:widowControl w:val="0"/>
                    <w:kinsoku/>
                    <w:wordWrap/>
                    <w:overflowPunct/>
                    <w:topLinePunct w:val="0"/>
                    <w:autoSpaceDE w:val="0"/>
                    <w:autoSpaceDN w:val="0"/>
                    <w:bidi w:val="0"/>
                    <w:adjustRightInd/>
                    <w:snapToGrid/>
                    <w:spacing w:before="0" w:line="252" w:lineRule="exact"/>
                    <w:ind w:right="0"/>
                    <w:jc w:val="center"/>
                    <w:textAlignment w:val="auto"/>
                    <w:rPr>
                      <w:color w:val="auto"/>
                      <w:sz w:val="18"/>
                      <w:szCs w:val="18"/>
                    </w:rPr>
                  </w:pPr>
                  <w:r>
                    <w:rPr>
                      <w:color w:val="auto"/>
                      <w:sz w:val="18"/>
                      <w:szCs w:val="18"/>
                    </w:rPr>
                    <w:t>第四阶段</w:t>
                  </w:r>
                </w:p>
              </w:tc>
              <w:tc>
                <w:tcPr>
                  <w:tcW w:w="1771" w:type="dxa"/>
                  <w:tcBorders>
                    <w:tl2br w:val="nil"/>
                    <w:tr2bl w:val="nil"/>
                  </w:tcBorders>
                  <w:vAlign w:val="center"/>
                </w:tcPr>
                <w:p>
                  <w:pPr>
                    <w:pStyle w:val="55"/>
                    <w:spacing w:before="1" w:line="252" w:lineRule="exact"/>
                    <w:ind w:left="135" w:right="127"/>
                    <w:jc w:val="center"/>
                    <w:rPr>
                      <w:rFonts w:ascii="Times New Roman" w:eastAsia="Times New Roman"/>
                      <w:color w:val="auto"/>
                      <w:sz w:val="18"/>
                      <w:szCs w:val="18"/>
                    </w:rPr>
                  </w:pPr>
                  <w:r>
                    <w:rPr>
                      <w:rFonts w:ascii="Times New Roman" w:eastAsia="Times New Roman"/>
                      <w:color w:val="auto"/>
                      <w:sz w:val="18"/>
                      <w:szCs w:val="18"/>
                    </w:rPr>
                    <w:t>Pmax</w:t>
                  </w:r>
                  <w:r>
                    <w:rPr>
                      <w:rFonts w:hint="eastAsia" w:ascii="宋体" w:hAnsi="宋体" w:eastAsia="宋体" w:cs="宋体"/>
                      <w:color w:val="auto"/>
                      <w:sz w:val="18"/>
                      <w:szCs w:val="18"/>
                    </w:rPr>
                    <w:t>＞</w:t>
                  </w:r>
                  <w:r>
                    <w:rPr>
                      <w:rFonts w:hint="eastAsia" w:ascii="Times New Roman"/>
                      <w:color w:val="auto"/>
                      <w:sz w:val="18"/>
                      <w:szCs w:val="18"/>
                      <w:lang w:val="en-US" w:eastAsia="zh-CN"/>
                    </w:rPr>
                    <w:t>560</w:t>
                  </w:r>
                </w:p>
              </w:tc>
              <w:tc>
                <w:tcPr>
                  <w:tcW w:w="1313" w:type="dxa"/>
                  <w:tcBorders>
                    <w:tl2br w:val="nil"/>
                    <w:tr2bl w:val="nil"/>
                  </w:tcBorders>
                  <w:vAlign w:val="center"/>
                </w:tcPr>
                <w:p>
                  <w:pPr>
                    <w:pStyle w:val="55"/>
                    <w:spacing w:before="10"/>
                    <w:ind w:left="505"/>
                    <w:jc w:val="both"/>
                    <w:rPr>
                      <w:rFonts w:ascii="Times New Roman"/>
                      <w:color w:val="auto"/>
                      <w:sz w:val="18"/>
                      <w:szCs w:val="18"/>
                    </w:rPr>
                  </w:pPr>
                  <w:r>
                    <w:rPr>
                      <w:rFonts w:ascii="Times New Roman"/>
                      <w:color w:val="auto"/>
                      <w:sz w:val="18"/>
                      <w:szCs w:val="18"/>
                    </w:rPr>
                    <w:t>3.5</w:t>
                  </w:r>
                </w:p>
              </w:tc>
              <w:tc>
                <w:tcPr>
                  <w:tcW w:w="1326" w:type="dxa"/>
                  <w:tcBorders>
                    <w:tl2br w:val="nil"/>
                    <w:tr2bl w:val="nil"/>
                  </w:tcBorders>
                  <w:vAlign w:val="center"/>
                </w:tcPr>
                <w:p>
                  <w:pPr>
                    <w:pStyle w:val="55"/>
                    <w:spacing w:before="10"/>
                    <w:ind w:left="107" w:right="101"/>
                    <w:jc w:val="center"/>
                    <w:rPr>
                      <w:rFonts w:hint="default" w:ascii="Times New Roman" w:eastAsia="宋体"/>
                      <w:color w:val="auto"/>
                      <w:sz w:val="18"/>
                      <w:szCs w:val="18"/>
                      <w:lang w:val="en-US" w:eastAsia="zh-CN"/>
                    </w:rPr>
                  </w:pPr>
                  <w:r>
                    <w:rPr>
                      <w:rFonts w:ascii="Times New Roman"/>
                      <w:color w:val="auto"/>
                      <w:sz w:val="18"/>
                      <w:szCs w:val="18"/>
                    </w:rPr>
                    <w:t>0.</w:t>
                  </w:r>
                  <w:r>
                    <w:rPr>
                      <w:rFonts w:hint="eastAsia" w:ascii="Times New Roman"/>
                      <w:color w:val="auto"/>
                      <w:sz w:val="18"/>
                      <w:szCs w:val="18"/>
                      <w:lang w:val="en-US" w:eastAsia="zh-CN"/>
                    </w:rPr>
                    <w:t>40</w:t>
                  </w:r>
                </w:p>
              </w:tc>
              <w:tc>
                <w:tcPr>
                  <w:tcW w:w="1308" w:type="dxa"/>
                  <w:tcBorders>
                    <w:tl2br w:val="nil"/>
                    <w:tr2bl w:val="nil"/>
                  </w:tcBorders>
                  <w:vAlign w:val="center"/>
                </w:tcPr>
                <w:p>
                  <w:pPr>
                    <w:pStyle w:val="55"/>
                    <w:spacing w:before="10"/>
                    <w:ind w:left="107" w:right="101"/>
                    <w:jc w:val="center"/>
                    <w:rPr>
                      <w:rFonts w:hint="default" w:ascii="Times New Roman" w:eastAsia="宋体"/>
                      <w:color w:val="auto"/>
                      <w:sz w:val="18"/>
                      <w:szCs w:val="18"/>
                      <w:lang w:val="en-US" w:eastAsia="zh-CN"/>
                    </w:rPr>
                  </w:pPr>
                  <w:r>
                    <w:rPr>
                      <w:rFonts w:hint="eastAsia" w:ascii="Times New Roman"/>
                      <w:color w:val="auto"/>
                      <w:sz w:val="18"/>
                      <w:szCs w:val="18"/>
                      <w:lang w:val="en-US" w:eastAsia="zh-CN"/>
                    </w:rPr>
                    <w:t>3.5</w:t>
                  </w:r>
                </w:p>
              </w:tc>
              <w:tc>
                <w:tcPr>
                  <w:tcW w:w="1227" w:type="dxa"/>
                  <w:tcBorders>
                    <w:tl2br w:val="nil"/>
                    <w:tr2bl w:val="nil"/>
                  </w:tcBorders>
                  <w:vAlign w:val="center"/>
                </w:tcPr>
                <w:p>
                  <w:pPr>
                    <w:pStyle w:val="55"/>
                    <w:spacing w:before="10"/>
                    <w:ind w:left="4"/>
                    <w:jc w:val="center"/>
                    <w:rPr>
                      <w:rFonts w:ascii="Times New Roman"/>
                      <w:color w:val="auto"/>
                      <w:sz w:val="18"/>
                      <w:szCs w:val="18"/>
                    </w:rPr>
                  </w:pPr>
                  <w:r>
                    <w:rPr>
                      <w:rFonts w:ascii="Times New Roman"/>
                      <w:color w:val="auto"/>
                      <w:w w:val="100"/>
                      <w:sz w:val="18"/>
                      <w:szCs w:val="18"/>
                    </w:rPr>
                    <w:t>/</w:t>
                  </w:r>
                </w:p>
              </w:tc>
              <w:tc>
                <w:tcPr>
                  <w:tcW w:w="1326" w:type="dxa"/>
                  <w:tcBorders>
                    <w:tl2br w:val="nil"/>
                    <w:tr2bl w:val="nil"/>
                  </w:tcBorders>
                  <w:vAlign w:val="center"/>
                </w:tcPr>
                <w:p>
                  <w:pPr>
                    <w:pStyle w:val="55"/>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default" w:ascii="Times New Roman" w:eastAsia="宋体"/>
                      <w:color w:val="auto"/>
                      <w:sz w:val="18"/>
                      <w:szCs w:val="18"/>
                      <w:lang w:val="en-US" w:eastAsia="zh-CN"/>
                    </w:rPr>
                  </w:pPr>
                  <w:r>
                    <w:rPr>
                      <w:rFonts w:ascii="Times New Roman"/>
                      <w:color w:val="auto"/>
                      <w:sz w:val="18"/>
                      <w:szCs w:val="18"/>
                    </w:rPr>
                    <w:t>0.</w:t>
                  </w:r>
                  <w:r>
                    <w:rPr>
                      <w:rFonts w:hint="eastAsia" w:ascii="Times New Roman"/>
                      <w:color w:val="auto"/>
                      <w:sz w:val="18"/>
                      <w:szCs w:val="18"/>
                      <w:lang w:val="en-US" w:eastAsia="zh-CN"/>
                    </w:rPr>
                    <w:t>10</w:t>
                  </w:r>
                </w:p>
              </w:tc>
            </w:tr>
          </w:tbl>
          <w:p>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80" w:firstLineChars="200"/>
              <w:jc w:val="both"/>
              <w:textAlignment w:val="auto"/>
              <w:rPr>
                <w:rFonts w:ascii="Times New Roman" w:hAnsi="宋体" w:eastAsia="Times New Roman" w:cs="宋体"/>
                <w:color w:val="auto"/>
                <w:sz w:val="24"/>
                <w:szCs w:val="24"/>
                <w:lang w:val="zh-CN" w:eastAsia="zh-CN" w:bidi="zh-CN"/>
              </w:rPr>
            </w:pPr>
            <w:r>
              <w:rPr>
                <w:rFonts w:hint="eastAsia" w:ascii="Times New Roman" w:hAnsi="宋体" w:eastAsia="Times New Roman" w:cs="宋体"/>
                <w:color w:val="auto"/>
                <w:sz w:val="24"/>
                <w:szCs w:val="24"/>
                <w:lang w:val="en-US" w:eastAsia="zh-CN" w:bidi="zh-CN"/>
              </w:rPr>
              <w:t>根据分析，满足《非道路移动机械用柴油机排气污染物排放限值及测量方法</w:t>
            </w:r>
            <w:r>
              <w:rPr>
                <w:rFonts w:hint="default" w:ascii="Times New Roman" w:hAnsi="宋体" w:eastAsia="Times New Roman" w:cs="宋体"/>
                <w:color w:val="auto"/>
                <w:sz w:val="24"/>
                <w:szCs w:val="24"/>
                <w:lang w:val="en-US" w:eastAsia="zh-CN" w:bidi="zh-CN"/>
              </w:rPr>
              <w:t>(</w:t>
            </w:r>
            <w:r>
              <w:rPr>
                <w:rFonts w:hint="eastAsia" w:ascii="Times New Roman" w:hAnsi="宋体" w:eastAsia="Times New Roman" w:cs="宋体"/>
                <w:color w:val="auto"/>
                <w:sz w:val="24"/>
                <w:szCs w:val="24"/>
                <w:lang w:val="en-US" w:eastAsia="zh-CN" w:bidi="zh-CN"/>
              </w:rPr>
              <w:t>中国第三、四阶段）》（</w:t>
            </w:r>
            <w:r>
              <w:rPr>
                <w:rFonts w:hint="default" w:ascii="Times New Roman" w:hAnsi="宋体" w:eastAsia="Times New Roman" w:cs="宋体"/>
                <w:color w:val="auto"/>
                <w:sz w:val="24"/>
                <w:szCs w:val="24"/>
                <w:lang w:val="en-US" w:eastAsia="zh-CN" w:bidi="zh-CN"/>
              </w:rPr>
              <w:t>GB 20891—2014</w:t>
            </w:r>
            <w:r>
              <w:rPr>
                <w:rFonts w:hint="eastAsia" w:ascii="Times New Roman" w:hAnsi="宋体" w:eastAsia="Times New Roman" w:cs="宋体"/>
                <w:color w:val="auto"/>
                <w:sz w:val="24"/>
                <w:szCs w:val="24"/>
                <w:lang w:val="en-US" w:eastAsia="zh-CN" w:bidi="zh-CN"/>
              </w:rPr>
              <w:t>）及其修改单中第三阶段的要求。</w:t>
            </w:r>
            <w:r>
              <w:rPr>
                <w:rFonts w:hint="default" w:ascii="Times New Roman" w:hAnsi="宋体" w:eastAsia="Times New Roman" w:cs="宋体"/>
                <w:color w:val="auto"/>
                <w:sz w:val="24"/>
                <w:szCs w:val="24"/>
                <w:lang w:val="en-US" w:eastAsia="zh-CN" w:bidi="zh-CN"/>
              </w:rPr>
              <w:t>PM</w:t>
            </w:r>
            <w:r>
              <w:rPr>
                <w:rFonts w:hint="eastAsia" w:ascii="Times New Roman" w:hAnsi="宋体" w:eastAsia="Times New Roman" w:cs="宋体"/>
                <w:color w:val="auto"/>
                <w:sz w:val="24"/>
                <w:szCs w:val="24"/>
                <w:lang w:val="en-US" w:eastAsia="zh-CN" w:bidi="zh-CN"/>
              </w:rPr>
              <w:t>略超第四阶段的要求。要求建设单位生产过程中配备先进高效机械设备，并按时保养。</w:t>
            </w:r>
          </w:p>
          <w:p>
            <w:pPr>
              <w:spacing w:line="460" w:lineRule="exact"/>
              <w:ind w:firstLine="480" w:firstLineChars="200"/>
              <w:rPr>
                <w:rFonts w:hint="eastAsia"/>
                <w:color w:val="auto"/>
                <w:sz w:val="24"/>
              </w:rPr>
            </w:pPr>
            <w:r>
              <w:rPr>
                <w:rFonts w:hint="eastAsia"/>
                <w:color w:val="auto"/>
                <w:sz w:val="24"/>
                <w:lang w:eastAsia="zh-CN"/>
              </w:rPr>
              <w:t>（</w:t>
            </w:r>
            <w:r>
              <w:rPr>
                <w:rFonts w:hint="eastAsia"/>
                <w:color w:val="auto"/>
                <w:sz w:val="24"/>
                <w:lang w:val="en-US" w:eastAsia="zh-CN"/>
              </w:rPr>
              <w:t>4）</w:t>
            </w:r>
            <w:r>
              <w:rPr>
                <w:rFonts w:hint="eastAsia"/>
                <w:color w:val="auto"/>
                <w:sz w:val="24"/>
              </w:rPr>
              <w:t>恶臭</w:t>
            </w:r>
          </w:p>
          <w:p>
            <w:pPr>
              <w:spacing w:line="460" w:lineRule="exact"/>
              <w:ind w:firstLine="480" w:firstLineChars="200"/>
              <w:rPr>
                <w:rFonts w:hint="eastAsia"/>
                <w:color w:val="auto"/>
                <w:sz w:val="24"/>
              </w:rPr>
            </w:pPr>
            <w:r>
              <w:rPr>
                <w:rFonts w:hint="eastAsia"/>
                <w:color w:val="auto"/>
                <w:sz w:val="24"/>
              </w:rPr>
              <w:t>项目恶臭污染源主要为垃圾</w:t>
            </w:r>
            <w:r>
              <w:rPr>
                <w:rFonts w:hint="eastAsia"/>
                <w:color w:val="auto"/>
                <w:sz w:val="24"/>
                <w:lang w:val="en-US" w:eastAsia="zh-CN"/>
              </w:rPr>
              <w:t>桶</w:t>
            </w:r>
            <w:r>
              <w:rPr>
                <w:rFonts w:hint="eastAsia"/>
                <w:color w:val="auto"/>
                <w:sz w:val="24"/>
              </w:rPr>
              <w:t>、园区垃圾收集点和公厕</w:t>
            </w:r>
            <w:r>
              <w:rPr>
                <w:rFonts w:hint="eastAsia"/>
                <w:color w:val="auto"/>
                <w:sz w:val="24"/>
                <w:lang w:eastAsia="zh-CN"/>
              </w:rPr>
              <w:t>。</w:t>
            </w:r>
            <w:r>
              <w:rPr>
                <w:rFonts w:hint="eastAsia"/>
                <w:color w:val="auto"/>
                <w:sz w:val="24"/>
                <w:lang w:val="en-US" w:eastAsia="zh-CN"/>
              </w:rPr>
              <w:t>根据建设单位提供，园区</w:t>
            </w:r>
            <w:r>
              <w:rPr>
                <w:rFonts w:hint="eastAsia"/>
                <w:color w:val="auto"/>
                <w:sz w:val="24"/>
              </w:rPr>
              <w:t>各卫生间将加设机械排风装置，在便</w:t>
            </w:r>
            <w:r>
              <w:rPr>
                <w:rFonts w:hint="eastAsia"/>
                <w:color w:val="auto"/>
                <w:sz w:val="24"/>
                <w:lang w:val="en-US" w:eastAsia="zh-CN"/>
              </w:rPr>
              <w:t>池</w:t>
            </w:r>
            <w:r>
              <w:rPr>
                <w:rFonts w:hint="eastAsia"/>
                <w:color w:val="auto"/>
                <w:sz w:val="24"/>
              </w:rPr>
              <w:t>内放置清洁球，</w:t>
            </w:r>
            <w:r>
              <w:rPr>
                <w:rFonts w:hint="eastAsia"/>
                <w:color w:val="auto"/>
                <w:sz w:val="24"/>
                <w:szCs w:val="24"/>
                <w:lang w:val="en-US" w:eastAsia="zh-CN"/>
              </w:rPr>
              <w:t>喷洒消毒除臭药剂，</w:t>
            </w:r>
            <w:r>
              <w:rPr>
                <w:rFonts w:hint="eastAsia"/>
                <w:color w:val="auto"/>
                <w:sz w:val="24"/>
              </w:rPr>
              <w:t>同时，在公共厕所周边会加强绿化</w:t>
            </w:r>
            <w:r>
              <w:rPr>
                <w:rFonts w:hint="eastAsia"/>
                <w:color w:val="auto"/>
                <w:sz w:val="24"/>
                <w:lang w:eastAsia="zh-CN"/>
              </w:rPr>
              <w:t>，</w:t>
            </w:r>
            <w:r>
              <w:rPr>
                <w:rFonts w:hint="eastAsia"/>
                <w:color w:val="auto"/>
                <w:sz w:val="24"/>
              </w:rPr>
              <w:t>厕所产生的恶臭对周边环境的影响</w:t>
            </w:r>
            <w:r>
              <w:rPr>
                <w:rFonts w:hint="eastAsia"/>
                <w:color w:val="auto"/>
                <w:sz w:val="24"/>
                <w:lang w:val="en-US" w:eastAsia="zh-CN"/>
              </w:rPr>
              <w:t>较小</w:t>
            </w:r>
            <w:r>
              <w:rPr>
                <w:rFonts w:hint="eastAsia"/>
                <w:color w:val="auto"/>
                <w:sz w:val="24"/>
              </w:rPr>
              <w:t>。</w:t>
            </w:r>
          </w:p>
          <w:p>
            <w:pPr>
              <w:spacing w:line="460" w:lineRule="exact"/>
              <w:ind w:firstLine="480" w:firstLineChars="200"/>
              <w:rPr>
                <w:rFonts w:hint="eastAsia"/>
                <w:color w:val="auto"/>
                <w:sz w:val="24"/>
              </w:rPr>
            </w:pPr>
            <w:r>
              <w:rPr>
                <w:rFonts w:hint="eastAsia"/>
                <w:color w:val="auto"/>
                <w:sz w:val="24"/>
              </w:rPr>
              <w:t>本项目园区内根据需要拟配置</w:t>
            </w:r>
            <w:r>
              <w:rPr>
                <w:rFonts w:hint="eastAsia"/>
                <w:color w:val="auto"/>
                <w:sz w:val="24"/>
                <w:lang w:val="en-US" w:eastAsia="zh-CN"/>
              </w:rPr>
              <w:t>120</w:t>
            </w:r>
            <w:r>
              <w:rPr>
                <w:rFonts w:hint="eastAsia"/>
                <w:color w:val="auto"/>
                <w:sz w:val="24"/>
              </w:rPr>
              <w:t>个垃圾桶，</w:t>
            </w:r>
            <w:r>
              <w:rPr>
                <w:rFonts w:hint="eastAsia"/>
                <w:color w:val="auto"/>
                <w:sz w:val="24"/>
                <w:lang w:val="en-US" w:eastAsia="zh-CN"/>
              </w:rPr>
              <w:t>10个</w:t>
            </w:r>
            <w:r>
              <w:rPr>
                <w:rFonts w:hint="eastAsia"/>
                <w:color w:val="auto"/>
                <w:sz w:val="24"/>
              </w:rPr>
              <w:t>垃圾收集点，垃圾在暂存、装卸、运输过程中均会产生恶臭，垃圾收集点及垃圾站设置排风</w:t>
            </w:r>
            <w:r>
              <w:rPr>
                <w:rFonts w:hint="eastAsia"/>
                <w:color w:val="auto"/>
                <w:sz w:val="24"/>
                <w:lang w:val="en-US" w:eastAsia="zh-CN"/>
              </w:rPr>
              <w:t>装置</w:t>
            </w:r>
            <w:r>
              <w:rPr>
                <w:rFonts w:hint="eastAsia"/>
                <w:color w:val="auto"/>
                <w:sz w:val="24"/>
              </w:rPr>
              <w:t>，并配套安装除臭喷淋装置；园区垃圾委托当地市政环卫部门统一运输处理，做到日产日清，同时，垃圾</w:t>
            </w:r>
            <w:r>
              <w:rPr>
                <w:rFonts w:hint="eastAsia"/>
                <w:color w:val="auto"/>
                <w:sz w:val="24"/>
                <w:lang w:val="en-US" w:eastAsia="zh-CN"/>
              </w:rPr>
              <w:t>收集点</w:t>
            </w:r>
            <w:r>
              <w:rPr>
                <w:rFonts w:hint="eastAsia"/>
                <w:color w:val="auto"/>
                <w:sz w:val="24"/>
              </w:rPr>
              <w:t>周边也会加强绿化。</w:t>
            </w:r>
            <w:r>
              <w:rPr>
                <w:rFonts w:hint="eastAsia"/>
                <w:color w:val="auto"/>
                <w:sz w:val="24"/>
                <w:lang w:val="en-US" w:eastAsia="zh-CN"/>
              </w:rPr>
              <w:t>因此，</w:t>
            </w:r>
            <w:r>
              <w:rPr>
                <w:rFonts w:hint="eastAsia"/>
                <w:color w:val="auto"/>
                <w:sz w:val="24"/>
              </w:rPr>
              <w:t>垃圾恶臭对周边环境的影响较小。</w:t>
            </w:r>
          </w:p>
          <w:p>
            <w:pPr>
              <w:spacing w:line="360" w:lineRule="auto"/>
              <w:ind w:firstLine="480" w:firstLineChars="200"/>
              <w:rPr>
                <w:rFonts w:hint="default"/>
                <w:color w:val="auto"/>
                <w:sz w:val="24"/>
                <w:szCs w:val="24"/>
              </w:rPr>
            </w:pPr>
            <w:r>
              <w:rPr>
                <w:rFonts w:hint="eastAsia"/>
                <w:color w:val="auto"/>
                <w:sz w:val="24"/>
                <w:szCs w:val="24"/>
                <w:lang w:eastAsia="zh-CN"/>
              </w:rPr>
              <w:t>（</w:t>
            </w:r>
            <w:r>
              <w:rPr>
                <w:rFonts w:hint="eastAsia"/>
                <w:color w:val="auto"/>
                <w:sz w:val="24"/>
                <w:szCs w:val="24"/>
                <w:lang w:val="en-US" w:eastAsia="zh-CN"/>
              </w:rPr>
              <w:t>5）</w:t>
            </w:r>
            <w:r>
              <w:rPr>
                <w:rFonts w:hint="eastAsia"/>
                <w:color w:val="auto"/>
                <w:sz w:val="24"/>
                <w:szCs w:val="24"/>
              </w:rPr>
              <w:t>非正常工况</w:t>
            </w:r>
          </w:p>
          <w:p>
            <w:pPr>
              <w:spacing w:line="360" w:lineRule="auto"/>
              <w:ind w:firstLine="480" w:firstLineChars="200"/>
              <w:rPr>
                <w:rFonts w:hint="default"/>
                <w:color w:val="auto"/>
                <w:sz w:val="24"/>
                <w:szCs w:val="24"/>
              </w:rPr>
            </w:pPr>
            <w:r>
              <w:rPr>
                <w:rFonts w:hint="eastAsia"/>
                <w:color w:val="auto"/>
                <w:sz w:val="24"/>
                <w:szCs w:val="24"/>
                <w:lang w:val="en-US" w:eastAsia="zh-CN"/>
              </w:rPr>
              <w:t>本</w:t>
            </w:r>
            <w:r>
              <w:rPr>
                <w:rFonts w:hint="eastAsia"/>
                <w:color w:val="auto"/>
                <w:sz w:val="24"/>
                <w:szCs w:val="24"/>
              </w:rPr>
              <w:t>项目的非正常工况排放主要</w:t>
            </w:r>
            <w:r>
              <w:rPr>
                <w:rFonts w:hint="eastAsia"/>
                <w:color w:val="auto"/>
                <w:sz w:val="24"/>
                <w:szCs w:val="24"/>
                <w:lang w:val="en-US" w:eastAsia="zh-CN"/>
              </w:rPr>
              <w:t>考虑</w:t>
            </w:r>
            <w:r>
              <w:rPr>
                <w:rFonts w:hint="eastAsia"/>
                <w:color w:val="auto"/>
                <w:sz w:val="24"/>
                <w:szCs w:val="24"/>
              </w:rPr>
              <w:t>废气处理设施故障</w:t>
            </w:r>
            <w:r>
              <w:rPr>
                <w:rFonts w:hint="eastAsia"/>
                <w:color w:val="auto"/>
                <w:sz w:val="24"/>
                <w:szCs w:val="24"/>
                <w:lang w:val="en-US" w:eastAsia="zh-CN"/>
              </w:rPr>
              <w:t>导致的</w:t>
            </w:r>
            <w:r>
              <w:rPr>
                <w:rFonts w:hint="eastAsia"/>
                <w:color w:val="auto"/>
                <w:sz w:val="24"/>
                <w:szCs w:val="24"/>
              </w:rPr>
              <w:t>废气治理效率下降</w:t>
            </w:r>
            <w:r>
              <w:rPr>
                <w:rFonts w:hint="eastAsia"/>
                <w:color w:val="auto"/>
                <w:sz w:val="24"/>
                <w:szCs w:val="24"/>
                <w:lang w:val="en-US" w:eastAsia="zh-CN"/>
              </w:rPr>
              <w:t>的</w:t>
            </w:r>
            <w:r>
              <w:rPr>
                <w:rFonts w:hint="eastAsia"/>
                <w:color w:val="auto"/>
                <w:sz w:val="24"/>
                <w:szCs w:val="24"/>
              </w:rPr>
              <w:t>情况，总处理效率按下降至50%考虑，非正常排放情况见表</w:t>
            </w:r>
            <w:r>
              <w:rPr>
                <w:rFonts w:hint="eastAsia"/>
                <w:color w:val="auto"/>
                <w:sz w:val="24"/>
                <w:szCs w:val="24"/>
                <w:lang w:val="en-US" w:eastAsia="zh-CN"/>
              </w:rPr>
              <w:t>27</w:t>
            </w:r>
            <w:r>
              <w:rPr>
                <w:rFonts w:hint="eastAsia"/>
                <w:color w:val="auto"/>
                <w:sz w:val="24"/>
                <w:szCs w:val="24"/>
              </w:rPr>
              <w:t>。</w:t>
            </w:r>
          </w:p>
          <w:p>
            <w:pPr>
              <w:spacing w:line="360" w:lineRule="auto"/>
              <w:ind w:firstLine="480" w:firstLineChars="200"/>
              <w:rPr>
                <w:rFonts w:hint="eastAsia" w:ascii="Cambria" w:hAnsi="Cambria" w:eastAsia="黑体" w:cs="Times New Roman"/>
                <w:color w:val="auto"/>
                <w:kern w:val="2"/>
                <w:sz w:val="24"/>
                <w:szCs w:val="24"/>
                <w:lang w:val="en-US" w:eastAsia="zh-CN" w:bidi="ar-SA"/>
              </w:rPr>
            </w:pPr>
            <w:r>
              <w:rPr>
                <w:rFonts w:hint="eastAsia" w:ascii="Cambria" w:hAnsi="Cambria" w:eastAsia="黑体" w:cs="Times New Roman"/>
                <w:color w:val="auto"/>
                <w:kern w:val="2"/>
                <w:sz w:val="24"/>
                <w:szCs w:val="24"/>
                <w:lang w:val="en-US" w:eastAsia="zh-CN" w:bidi="ar-SA"/>
              </w:rPr>
              <w:t xml:space="preserve">                </w:t>
            </w:r>
          </w:p>
          <w:p>
            <w:pPr>
              <w:spacing w:line="360" w:lineRule="auto"/>
              <w:ind w:firstLine="480" w:firstLineChars="200"/>
              <w:rPr>
                <w:rFonts w:hint="eastAsia" w:ascii="Cambria" w:hAnsi="Cambria" w:eastAsia="黑体" w:cs="Times New Roman"/>
                <w:color w:val="auto"/>
                <w:kern w:val="2"/>
                <w:sz w:val="24"/>
                <w:szCs w:val="24"/>
                <w:lang w:val="en-US" w:eastAsia="zh-CN" w:bidi="ar-SA"/>
              </w:rPr>
            </w:pPr>
            <w:r>
              <w:rPr>
                <w:rFonts w:hint="eastAsia" w:ascii="Cambria" w:hAnsi="Cambria" w:eastAsia="黑体" w:cs="Times New Roman"/>
                <w:color w:val="auto"/>
                <w:kern w:val="2"/>
                <w:sz w:val="24"/>
                <w:szCs w:val="24"/>
                <w:lang w:val="en-US" w:eastAsia="zh-CN" w:bidi="ar-SA"/>
              </w:rPr>
              <w:t xml:space="preserve">                     </w:t>
            </w:r>
            <w:r>
              <w:rPr>
                <w:rFonts w:hint="eastAsia" w:ascii="Cambria" w:hAnsi="Cambria" w:eastAsia="黑体" w:cs="Times New Roman"/>
                <w:color w:val="auto"/>
                <w:kern w:val="2"/>
                <w:sz w:val="24"/>
                <w:szCs w:val="24"/>
                <w:lang w:val="en-US" w:eastAsia="zh-CN" w:bidi="ar-SA"/>
              </w:rPr>
              <w:t xml:space="preserve"> </w:t>
            </w:r>
          </w:p>
          <w:p>
            <w:pPr>
              <w:spacing w:line="360" w:lineRule="auto"/>
              <w:ind w:firstLine="480" w:firstLineChars="200"/>
              <w:rPr>
                <w:rFonts w:hint="default" w:ascii="Cambria" w:hAnsi="Cambria" w:eastAsia="黑体" w:cs="Times New Roman"/>
                <w:color w:val="auto"/>
                <w:kern w:val="2"/>
                <w:sz w:val="24"/>
                <w:szCs w:val="24"/>
                <w:lang w:val="en-US" w:eastAsia="zh-CN" w:bidi="ar-SA"/>
              </w:rPr>
            </w:pPr>
            <w:r>
              <w:rPr>
                <w:rFonts w:hint="eastAsia" w:ascii="Cambria" w:hAnsi="Cambria" w:eastAsia="黑体" w:cs="Times New Roman"/>
                <w:color w:val="auto"/>
                <w:kern w:val="2"/>
                <w:sz w:val="24"/>
                <w:szCs w:val="24"/>
                <w:lang w:val="en-US" w:eastAsia="zh-CN" w:bidi="ar-SA"/>
              </w:rPr>
              <w:t xml:space="preserve">                    </w:t>
            </w:r>
            <w:r>
              <w:rPr>
                <w:rFonts w:hint="default" w:ascii="Cambria" w:hAnsi="Cambria" w:eastAsia="黑体" w:cs="Times New Roman"/>
                <w:color w:val="auto"/>
                <w:kern w:val="2"/>
                <w:sz w:val="24"/>
                <w:szCs w:val="24"/>
                <w:lang w:val="en-US" w:eastAsia="zh-CN" w:bidi="ar-SA"/>
              </w:rPr>
              <w:t>表</w:t>
            </w:r>
            <w:r>
              <w:rPr>
                <w:rFonts w:hint="eastAsia" w:ascii="Cambria" w:hAnsi="Cambria" w:eastAsia="黑体" w:cs="Times New Roman"/>
                <w:color w:val="auto"/>
                <w:kern w:val="2"/>
                <w:sz w:val="24"/>
                <w:szCs w:val="24"/>
                <w:lang w:val="en-US" w:eastAsia="zh-CN" w:bidi="ar-SA"/>
              </w:rPr>
              <w:t>27</w:t>
            </w:r>
            <w:r>
              <w:rPr>
                <w:rFonts w:hint="default" w:ascii="Cambria" w:hAnsi="Cambria" w:eastAsia="黑体" w:cs="Times New Roman"/>
                <w:color w:val="auto"/>
                <w:kern w:val="2"/>
                <w:sz w:val="24"/>
                <w:szCs w:val="24"/>
                <w:lang w:val="en-US" w:eastAsia="zh-CN" w:bidi="ar-SA"/>
              </w:rPr>
              <w:t xml:space="preserve">    非正常排放情况一览表</w:t>
            </w:r>
          </w:p>
          <w:tbl>
            <w:tblPr>
              <w:tblStyle w:val="24"/>
              <w:tblW w:w="9346" w:type="dxa"/>
              <w:jc w:val="center"/>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601"/>
              <w:gridCol w:w="1275"/>
              <w:gridCol w:w="1063"/>
              <w:gridCol w:w="850"/>
              <w:gridCol w:w="624"/>
              <w:gridCol w:w="1092"/>
              <w:gridCol w:w="1228"/>
              <w:gridCol w:w="980"/>
              <w:gridCol w:w="744"/>
              <w:gridCol w:w="88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39" w:hRule="atLeast"/>
                <w:jc w:val="center"/>
              </w:trPr>
              <w:tc>
                <w:tcPr>
                  <w:tcW w:w="601" w:type="dxa"/>
                  <w:tcBorders>
                    <w:tl2br w:val="nil"/>
                    <w:tr2bl w:val="nil"/>
                  </w:tcBorders>
                  <w:vAlign w:val="center"/>
                </w:tcPr>
                <w:p>
                  <w:pPr>
                    <w:autoSpaceDE w:val="0"/>
                    <w:autoSpaceDN w:val="0"/>
                    <w:adjustRightInd w:val="0"/>
                    <w:jc w:val="center"/>
                    <w:rPr>
                      <w:rFonts w:hint="eastAsia"/>
                      <w:color w:val="auto"/>
                    </w:rPr>
                  </w:pPr>
                  <w:r>
                    <w:rPr>
                      <w:rFonts w:hint="eastAsia"/>
                      <w:color w:val="auto"/>
                    </w:rPr>
                    <w:t>序号</w:t>
                  </w:r>
                </w:p>
              </w:tc>
              <w:tc>
                <w:tcPr>
                  <w:tcW w:w="1275" w:type="dxa"/>
                  <w:tcBorders>
                    <w:tl2br w:val="nil"/>
                    <w:tr2bl w:val="nil"/>
                  </w:tcBorders>
                  <w:vAlign w:val="center"/>
                </w:tcPr>
                <w:p>
                  <w:pPr>
                    <w:autoSpaceDE w:val="0"/>
                    <w:autoSpaceDN w:val="0"/>
                    <w:adjustRightInd w:val="0"/>
                    <w:jc w:val="center"/>
                    <w:rPr>
                      <w:rFonts w:hint="eastAsia" w:eastAsia="宋体"/>
                      <w:color w:val="auto"/>
                      <w:lang w:val="en-US" w:eastAsia="zh-CN"/>
                    </w:rPr>
                  </w:pPr>
                  <w:r>
                    <w:rPr>
                      <w:rFonts w:hint="eastAsia"/>
                      <w:color w:val="auto"/>
                      <w:lang w:val="en-US" w:eastAsia="zh-CN"/>
                    </w:rPr>
                    <w:t>位置</w:t>
                  </w:r>
                </w:p>
              </w:tc>
              <w:tc>
                <w:tcPr>
                  <w:tcW w:w="1063" w:type="dxa"/>
                  <w:tcBorders>
                    <w:tl2br w:val="nil"/>
                    <w:tr2bl w:val="nil"/>
                  </w:tcBorders>
                  <w:vAlign w:val="center"/>
                </w:tcPr>
                <w:p>
                  <w:pPr>
                    <w:autoSpaceDE w:val="0"/>
                    <w:autoSpaceDN w:val="0"/>
                    <w:adjustRightInd w:val="0"/>
                    <w:jc w:val="center"/>
                    <w:rPr>
                      <w:rFonts w:hint="eastAsia"/>
                      <w:color w:val="auto"/>
                    </w:rPr>
                  </w:pPr>
                  <w:r>
                    <w:rPr>
                      <w:rFonts w:hint="eastAsia"/>
                      <w:color w:val="auto"/>
                    </w:rPr>
                    <w:t>污染源</w:t>
                  </w:r>
                </w:p>
              </w:tc>
              <w:tc>
                <w:tcPr>
                  <w:tcW w:w="850" w:type="dxa"/>
                  <w:tcBorders>
                    <w:tl2br w:val="nil"/>
                    <w:tr2bl w:val="nil"/>
                  </w:tcBorders>
                  <w:vAlign w:val="top"/>
                </w:tcPr>
                <w:p>
                  <w:pPr>
                    <w:autoSpaceDE w:val="0"/>
                    <w:autoSpaceDN w:val="0"/>
                    <w:adjustRightInd w:val="0"/>
                    <w:jc w:val="center"/>
                    <w:rPr>
                      <w:rFonts w:hint="eastAsia"/>
                      <w:color w:val="auto"/>
                    </w:rPr>
                  </w:pPr>
                  <w:r>
                    <w:rPr>
                      <w:rFonts w:hint="eastAsia"/>
                      <w:color w:val="auto"/>
                    </w:rPr>
                    <w:t>污染物</w:t>
                  </w:r>
                </w:p>
              </w:tc>
              <w:tc>
                <w:tcPr>
                  <w:tcW w:w="624" w:type="dxa"/>
                  <w:tcBorders>
                    <w:tl2br w:val="nil"/>
                    <w:tr2bl w:val="nil"/>
                  </w:tcBorders>
                  <w:vAlign w:val="top"/>
                </w:tcPr>
                <w:p>
                  <w:pPr>
                    <w:autoSpaceDE w:val="0"/>
                    <w:autoSpaceDN w:val="0"/>
                    <w:adjustRightInd w:val="0"/>
                    <w:jc w:val="center"/>
                    <w:rPr>
                      <w:rFonts w:hint="eastAsia"/>
                      <w:color w:val="auto"/>
                    </w:rPr>
                  </w:pPr>
                  <w:r>
                    <w:rPr>
                      <w:rFonts w:hint="eastAsia"/>
                      <w:color w:val="auto"/>
                    </w:rPr>
                    <w:t>处理效率</w:t>
                  </w:r>
                </w:p>
              </w:tc>
              <w:tc>
                <w:tcPr>
                  <w:tcW w:w="1092" w:type="dxa"/>
                  <w:tcBorders>
                    <w:tl2br w:val="nil"/>
                    <w:tr2bl w:val="nil"/>
                  </w:tcBorders>
                  <w:vAlign w:val="top"/>
                </w:tcPr>
                <w:p>
                  <w:pPr>
                    <w:autoSpaceDE w:val="0"/>
                    <w:autoSpaceDN w:val="0"/>
                    <w:adjustRightInd w:val="0"/>
                    <w:jc w:val="center"/>
                    <w:rPr>
                      <w:rFonts w:hint="eastAsia"/>
                      <w:color w:val="auto"/>
                    </w:rPr>
                  </w:pPr>
                  <w:r>
                    <w:rPr>
                      <w:rFonts w:hint="eastAsia"/>
                      <w:color w:val="auto"/>
                    </w:rPr>
                    <w:t>排放量kg/</w:t>
                  </w:r>
                  <w:r>
                    <w:rPr>
                      <w:rFonts w:hint="eastAsia"/>
                      <w:color w:val="auto"/>
                      <w:lang w:val="en-US" w:eastAsia="zh-CN"/>
                    </w:rPr>
                    <w:t>a</w:t>
                  </w:r>
                </w:p>
              </w:tc>
              <w:tc>
                <w:tcPr>
                  <w:tcW w:w="1228" w:type="dxa"/>
                  <w:tcBorders>
                    <w:tl2br w:val="nil"/>
                    <w:tr2bl w:val="nil"/>
                  </w:tcBorders>
                  <w:vAlign w:val="top"/>
                </w:tcPr>
                <w:p>
                  <w:pPr>
                    <w:autoSpaceDE w:val="0"/>
                    <w:autoSpaceDN w:val="0"/>
                    <w:adjustRightInd w:val="0"/>
                    <w:jc w:val="center"/>
                    <w:rPr>
                      <w:rFonts w:hint="eastAsia"/>
                      <w:color w:val="auto"/>
                      <w:lang w:val="en-US" w:eastAsia="zh-CN"/>
                    </w:rPr>
                  </w:pPr>
                  <w:r>
                    <w:rPr>
                      <w:rFonts w:hint="eastAsia"/>
                      <w:color w:val="auto"/>
                      <w:lang w:val="en-US" w:eastAsia="zh-CN"/>
                    </w:rPr>
                    <w:t>排放浓度（mg/m</w:t>
                  </w:r>
                  <w:r>
                    <w:rPr>
                      <w:rFonts w:hint="eastAsia"/>
                      <w:color w:val="auto"/>
                      <w:vertAlign w:val="superscript"/>
                      <w:lang w:val="en-US" w:eastAsia="zh-CN"/>
                    </w:rPr>
                    <w:t>3</w:t>
                  </w:r>
                  <w:r>
                    <w:rPr>
                      <w:rFonts w:hint="eastAsia"/>
                      <w:color w:val="auto"/>
                      <w:lang w:val="en-US" w:eastAsia="zh-CN"/>
                    </w:rPr>
                    <w:t>）</w:t>
                  </w:r>
                </w:p>
              </w:tc>
              <w:tc>
                <w:tcPr>
                  <w:tcW w:w="980" w:type="dxa"/>
                  <w:tcBorders>
                    <w:tl2br w:val="nil"/>
                    <w:tr2bl w:val="nil"/>
                  </w:tcBorders>
                  <w:vAlign w:val="top"/>
                </w:tcPr>
                <w:p>
                  <w:pPr>
                    <w:autoSpaceDE w:val="0"/>
                    <w:autoSpaceDN w:val="0"/>
                    <w:adjustRightInd w:val="0"/>
                    <w:jc w:val="center"/>
                    <w:rPr>
                      <w:rFonts w:hint="eastAsia"/>
                      <w:color w:val="auto"/>
                    </w:rPr>
                  </w:pPr>
                  <w:r>
                    <w:rPr>
                      <w:rFonts w:hint="eastAsia"/>
                      <w:color w:val="auto"/>
                    </w:rPr>
                    <w:t>持续时间</w:t>
                  </w:r>
                </w:p>
                <w:p>
                  <w:pPr>
                    <w:autoSpaceDE w:val="0"/>
                    <w:autoSpaceDN w:val="0"/>
                    <w:adjustRightInd w:val="0"/>
                    <w:jc w:val="center"/>
                    <w:rPr>
                      <w:rFonts w:hint="eastAsia"/>
                      <w:color w:val="auto"/>
                    </w:rPr>
                  </w:pPr>
                  <w:r>
                    <w:rPr>
                      <w:rFonts w:hint="eastAsia"/>
                      <w:color w:val="auto"/>
                    </w:rPr>
                    <w:t>min</w:t>
                  </w:r>
                </w:p>
              </w:tc>
              <w:tc>
                <w:tcPr>
                  <w:tcW w:w="744" w:type="dxa"/>
                  <w:tcBorders>
                    <w:tl2br w:val="nil"/>
                    <w:tr2bl w:val="nil"/>
                  </w:tcBorders>
                  <w:vAlign w:val="top"/>
                </w:tcPr>
                <w:p>
                  <w:pPr>
                    <w:autoSpaceDE w:val="0"/>
                    <w:autoSpaceDN w:val="0"/>
                    <w:adjustRightInd w:val="0"/>
                    <w:jc w:val="center"/>
                    <w:rPr>
                      <w:rFonts w:hint="eastAsia"/>
                      <w:color w:val="auto"/>
                      <w:lang w:val="en-US" w:eastAsia="zh-CN"/>
                    </w:rPr>
                  </w:pPr>
                  <w:r>
                    <w:rPr>
                      <w:rFonts w:hint="eastAsia"/>
                      <w:color w:val="auto"/>
                      <w:lang w:val="en-US" w:eastAsia="zh-CN"/>
                    </w:rPr>
                    <w:t>频次</w:t>
                  </w:r>
                </w:p>
                <w:p>
                  <w:pPr>
                    <w:autoSpaceDE w:val="0"/>
                    <w:autoSpaceDN w:val="0"/>
                    <w:adjustRightInd w:val="0"/>
                    <w:jc w:val="center"/>
                    <w:rPr>
                      <w:rFonts w:hint="eastAsia"/>
                      <w:color w:val="auto"/>
                      <w:lang w:val="en-US" w:eastAsia="zh-CN"/>
                    </w:rPr>
                  </w:pPr>
                  <w:r>
                    <w:rPr>
                      <w:rFonts w:hint="eastAsia"/>
                      <w:color w:val="auto"/>
                      <w:lang w:val="en-US" w:eastAsia="zh-CN"/>
                    </w:rPr>
                    <w:t>(次/年)</w:t>
                  </w:r>
                </w:p>
              </w:tc>
              <w:tc>
                <w:tcPr>
                  <w:tcW w:w="889" w:type="dxa"/>
                  <w:tcBorders>
                    <w:tl2br w:val="nil"/>
                    <w:tr2bl w:val="nil"/>
                  </w:tcBorders>
                  <w:vAlign w:val="top"/>
                </w:tcPr>
                <w:p>
                  <w:pPr>
                    <w:autoSpaceDE w:val="0"/>
                    <w:autoSpaceDN w:val="0"/>
                    <w:adjustRightInd w:val="0"/>
                    <w:jc w:val="center"/>
                    <w:rPr>
                      <w:rFonts w:hint="eastAsia"/>
                      <w:color w:val="auto"/>
                      <w:lang w:val="en-US" w:eastAsia="zh-CN"/>
                    </w:rPr>
                  </w:pPr>
                  <w:r>
                    <w:rPr>
                      <w:rFonts w:hint="eastAsia"/>
                      <w:color w:val="auto"/>
                      <w:lang w:val="en-US" w:eastAsia="zh-CN"/>
                    </w:rPr>
                    <w:t>采取的措施</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jc w:val="center"/>
              </w:trPr>
              <w:tc>
                <w:tcPr>
                  <w:tcW w:w="601" w:type="dxa"/>
                  <w:tcBorders>
                    <w:tl2br w:val="nil"/>
                    <w:tr2bl w:val="nil"/>
                  </w:tcBorders>
                  <w:vAlign w:val="center"/>
                </w:tcPr>
                <w:p>
                  <w:pPr>
                    <w:autoSpaceDE w:val="0"/>
                    <w:autoSpaceDN w:val="0"/>
                    <w:adjustRightInd w:val="0"/>
                    <w:jc w:val="center"/>
                    <w:rPr>
                      <w:rFonts w:hint="eastAsia"/>
                      <w:color w:val="auto"/>
                      <w:lang w:eastAsia="zh-CN"/>
                    </w:rPr>
                  </w:pPr>
                  <w:r>
                    <w:rPr>
                      <w:rFonts w:hint="eastAsia"/>
                      <w:color w:val="auto"/>
                      <w:lang w:val="en-US" w:eastAsia="zh-CN"/>
                    </w:rPr>
                    <w:t>1</w:t>
                  </w:r>
                </w:p>
              </w:tc>
              <w:tc>
                <w:tcPr>
                  <w:tcW w:w="1275"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tLeast"/>
                    <w:ind w:left="0" w:leftChars="0" w:right="0" w:rightChars="0" w:firstLine="0" w:firstLineChars="0"/>
                    <w:jc w:val="center"/>
                    <w:textAlignment w:val="auto"/>
                    <w:outlineLvl w:val="9"/>
                    <w:rPr>
                      <w:rFonts w:hint="eastAsia"/>
                      <w:color w:val="auto"/>
                      <w:lang w:val="en-US" w:eastAsia="zh-CN"/>
                    </w:rPr>
                  </w:pPr>
                  <w:r>
                    <w:rPr>
                      <w:rFonts w:hint="eastAsia"/>
                      <w:color w:val="auto"/>
                      <w:sz w:val="21"/>
                      <w:szCs w:val="21"/>
                      <w:lang w:val="en-US" w:eastAsia="zh-CN"/>
                    </w:rPr>
                    <w:t>璀璨中华区107#单体（2层）食堂</w:t>
                  </w:r>
                </w:p>
              </w:tc>
              <w:tc>
                <w:tcPr>
                  <w:tcW w:w="1063" w:type="dxa"/>
                  <w:tcBorders>
                    <w:tl2br w:val="nil"/>
                    <w:tr2bl w:val="nil"/>
                  </w:tcBorders>
                  <w:vAlign w:val="top"/>
                </w:tcPr>
                <w:p>
                  <w:pPr>
                    <w:autoSpaceDE w:val="0"/>
                    <w:autoSpaceDN w:val="0"/>
                    <w:adjustRightInd w:val="0"/>
                    <w:jc w:val="center"/>
                    <w:rPr>
                      <w:rFonts w:hint="eastAsia"/>
                      <w:color w:val="auto"/>
                      <w:lang w:eastAsia="zh-CN"/>
                    </w:rPr>
                  </w:pPr>
                  <w:r>
                    <w:rPr>
                      <w:rFonts w:hint="eastAsia"/>
                      <w:color w:val="auto"/>
                      <w:lang w:val="en-US" w:eastAsia="zh-CN"/>
                    </w:rPr>
                    <w:t>食堂油烟</w:t>
                  </w:r>
                </w:p>
              </w:tc>
              <w:tc>
                <w:tcPr>
                  <w:tcW w:w="850" w:type="dxa"/>
                  <w:tcBorders>
                    <w:tl2br w:val="nil"/>
                    <w:tr2bl w:val="nil"/>
                  </w:tcBorders>
                  <w:vAlign w:val="center"/>
                </w:tcPr>
                <w:p>
                  <w:pPr>
                    <w:autoSpaceDE w:val="0"/>
                    <w:autoSpaceDN w:val="0"/>
                    <w:adjustRightInd w:val="0"/>
                    <w:jc w:val="center"/>
                    <w:rPr>
                      <w:rFonts w:hint="eastAsia"/>
                      <w:color w:val="auto"/>
                      <w:lang w:eastAsia="zh-CN"/>
                    </w:rPr>
                  </w:pPr>
                  <w:r>
                    <w:rPr>
                      <w:rFonts w:hint="eastAsia"/>
                      <w:color w:val="auto"/>
                      <w:lang w:val="en-US" w:eastAsia="zh-CN"/>
                    </w:rPr>
                    <w:t>油烟</w:t>
                  </w:r>
                </w:p>
              </w:tc>
              <w:tc>
                <w:tcPr>
                  <w:tcW w:w="624" w:type="dxa"/>
                  <w:tcBorders>
                    <w:tl2br w:val="nil"/>
                    <w:tr2bl w:val="nil"/>
                  </w:tcBorders>
                  <w:vAlign w:val="center"/>
                </w:tcPr>
                <w:p>
                  <w:pPr>
                    <w:autoSpaceDE w:val="0"/>
                    <w:autoSpaceDN w:val="0"/>
                    <w:adjustRightInd w:val="0"/>
                    <w:jc w:val="center"/>
                    <w:rPr>
                      <w:rFonts w:hint="eastAsia"/>
                      <w:color w:val="auto"/>
                    </w:rPr>
                  </w:pPr>
                  <w:r>
                    <w:rPr>
                      <w:rFonts w:hint="eastAsia"/>
                      <w:color w:val="auto"/>
                    </w:rPr>
                    <w:t>下降至50%</w:t>
                  </w:r>
                </w:p>
              </w:tc>
              <w:tc>
                <w:tcPr>
                  <w:tcW w:w="10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lang w:eastAsia="zh-CN"/>
                    </w:rPr>
                  </w:pPr>
                  <w:r>
                    <w:rPr>
                      <w:rFonts w:hint="eastAsia"/>
                      <w:color w:val="auto"/>
                      <w:kern w:val="0"/>
                      <w:sz w:val="21"/>
                      <w:szCs w:val="21"/>
                      <w:shd w:val="clear" w:color="auto" w:fill="FFFFFF"/>
                      <w:lang w:val="en-US" w:eastAsia="zh-CN"/>
                    </w:rPr>
                    <w:t>0.016</w:t>
                  </w:r>
                </w:p>
              </w:tc>
              <w:tc>
                <w:tcPr>
                  <w:tcW w:w="12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lang w:val="en-US" w:eastAsia="zh-CN"/>
                    </w:rPr>
                  </w:pPr>
                  <w:r>
                    <w:rPr>
                      <w:rFonts w:hint="eastAsia"/>
                      <w:color w:val="auto"/>
                      <w:kern w:val="0"/>
                      <w:sz w:val="21"/>
                      <w:szCs w:val="21"/>
                      <w:shd w:val="clear" w:color="auto" w:fill="FFFFFF"/>
                      <w:lang w:val="en-US" w:eastAsia="zh-CN"/>
                    </w:rPr>
                    <w:t>1.33</w:t>
                  </w:r>
                </w:p>
              </w:tc>
              <w:tc>
                <w:tcPr>
                  <w:tcW w:w="980" w:type="dxa"/>
                  <w:tcBorders>
                    <w:tl2br w:val="nil"/>
                    <w:tr2bl w:val="nil"/>
                  </w:tcBorders>
                  <w:vAlign w:val="center"/>
                </w:tcPr>
                <w:p>
                  <w:pPr>
                    <w:autoSpaceDE w:val="0"/>
                    <w:autoSpaceDN w:val="0"/>
                    <w:adjustRightInd w:val="0"/>
                    <w:jc w:val="center"/>
                    <w:rPr>
                      <w:rFonts w:hint="eastAsia"/>
                      <w:color w:val="auto"/>
                    </w:rPr>
                  </w:pPr>
                  <w:r>
                    <w:rPr>
                      <w:rFonts w:hint="eastAsia"/>
                      <w:color w:val="auto"/>
                    </w:rPr>
                    <w:t>60</w:t>
                  </w:r>
                </w:p>
              </w:tc>
              <w:tc>
                <w:tcPr>
                  <w:tcW w:w="744" w:type="dxa"/>
                  <w:tcBorders>
                    <w:tl2br w:val="nil"/>
                    <w:tr2bl w:val="nil"/>
                  </w:tcBorders>
                  <w:vAlign w:val="center"/>
                </w:tcPr>
                <w:p>
                  <w:pPr>
                    <w:autoSpaceDE w:val="0"/>
                    <w:autoSpaceDN w:val="0"/>
                    <w:adjustRightInd w:val="0"/>
                    <w:jc w:val="center"/>
                    <w:rPr>
                      <w:rFonts w:hint="eastAsia" w:eastAsia="宋体"/>
                      <w:color w:val="auto"/>
                      <w:lang w:val="en-US" w:eastAsia="zh-CN"/>
                    </w:rPr>
                  </w:pPr>
                  <w:r>
                    <w:rPr>
                      <w:rFonts w:hint="eastAsia"/>
                      <w:color w:val="auto"/>
                      <w:lang w:val="en-US" w:eastAsia="zh-CN"/>
                    </w:rPr>
                    <w:t>3</w:t>
                  </w:r>
                </w:p>
              </w:tc>
              <w:tc>
                <w:tcPr>
                  <w:tcW w:w="889"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正常</w:t>
                  </w:r>
                </w:p>
                <w:p>
                  <w:pPr>
                    <w:autoSpaceDE w:val="0"/>
                    <w:autoSpaceDN w:val="0"/>
                    <w:adjustRightInd w:val="0"/>
                    <w:jc w:val="center"/>
                    <w:rPr>
                      <w:rFonts w:hint="eastAsia"/>
                      <w:color w:val="auto"/>
                      <w:lang w:val="en-US" w:eastAsia="zh-CN"/>
                    </w:rPr>
                  </w:pPr>
                  <w:r>
                    <w:rPr>
                      <w:rFonts w:hint="eastAsia"/>
                      <w:color w:val="auto"/>
                      <w:lang w:val="en-US" w:eastAsia="zh-CN"/>
                    </w:rPr>
                    <w:t>生产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jc w:val="center"/>
              </w:trPr>
              <w:tc>
                <w:tcPr>
                  <w:tcW w:w="601"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2</w:t>
                  </w:r>
                </w:p>
              </w:tc>
              <w:tc>
                <w:tcPr>
                  <w:tcW w:w="1275"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tLeast"/>
                    <w:ind w:left="0" w:leftChars="0" w:right="0" w:rightChars="0" w:firstLine="0" w:firstLineChars="0"/>
                    <w:jc w:val="center"/>
                    <w:textAlignment w:val="auto"/>
                    <w:outlineLvl w:val="9"/>
                    <w:rPr>
                      <w:rFonts w:hint="eastAsia"/>
                      <w:color w:val="auto"/>
                      <w:lang w:val="en-US" w:eastAsia="zh-CN"/>
                    </w:rPr>
                  </w:pPr>
                  <w:r>
                    <w:rPr>
                      <w:rFonts w:hint="eastAsia"/>
                      <w:color w:val="auto"/>
                      <w:sz w:val="21"/>
                      <w:szCs w:val="21"/>
                      <w:lang w:val="en-US" w:eastAsia="zh-CN"/>
                    </w:rPr>
                    <w:t>璀璨中华区108#单体（2层）食堂</w:t>
                  </w:r>
                </w:p>
              </w:tc>
              <w:tc>
                <w:tcPr>
                  <w:tcW w:w="1063" w:type="dxa"/>
                  <w:tcBorders>
                    <w:tl2br w:val="nil"/>
                    <w:tr2bl w:val="nil"/>
                  </w:tcBorders>
                  <w:vAlign w:val="top"/>
                </w:tcPr>
                <w:p>
                  <w:pPr>
                    <w:autoSpaceDE w:val="0"/>
                    <w:autoSpaceDN w:val="0"/>
                    <w:adjustRightInd w:val="0"/>
                    <w:jc w:val="center"/>
                    <w:rPr>
                      <w:rFonts w:hint="eastAsia"/>
                      <w:color w:val="auto"/>
                      <w:lang w:eastAsia="zh-CN"/>
                    </w:rPr>
                  </w:pPr>
                  <w:r>
                    <w:rPr>
                      <w:rFonts w:hint="eastAsia"/>
                      <w:color w:val="auto"/>
                      <w:lang w:val="en-US" w:eastAsia="zh-CN"/>
                    </w:rPr>
                    <w:t>食堂油烟</w:t>
                  </w:r>
                </w:p>
              </w:tc>
              <w:tc>
                <w:tcPr>
                  <w:tcW w:w="850" w:type="dxa"/>
                  <w:tcBorders>
                    <w:tl2br w:val="nil"/>
                    <w:tr2bl w:val="nil"/>
                  </w:tcBorders>
                  <w:vAlign w:val="center"/>
                </w:tcPr>
                <w:p>
                  <w:pPr>
                    <w:autoSpaceDE w:val="0"/>
                    <w:autoSpaceDN w:val="0"/>
                    <w:adjustRightInd w:val="0"/>
                    <w:jc w:val="center"/>
                    <w:rPr>
                      <w:rFonts w:hint="eastAsia"/>
                      <w:color w:val="auto"/>
                      <w:lang w:eastAsia="zh-CN"/>
                    </w:rPr>
                  </w:pPr>
                  <w:r>
                    <w:rPr>
                      <w:rFonts w:hint="eastAsia"/>
                      <w:color w:val="auto"/>
                      <w:lang w:val="en-US" w:eastAsia="zh-CN"/>
                    </w:rPr>
                    <w:t>油烟</w:t>
                  </w:r>
                </w:p>
              </w:tc>
              <w:tc>
                <w:tcPr>
                  <w:tcW w:w="624" w:type="dxa"/>
                  <w:tcBorders>
                    <w:tl2br w:val="nil"/>
                    <w:tr2bl w:val="nil"/>
                  </w:tcBorders>
                  <w:vAlign w:val="center"/>
                </w:tcPr>
                <w:p>
                  <w:pPr>
                    <w:autoSpaceDE w:val="0"/>
                    <w:autoSpaceDN w:val="0"/>
                    <w:adjustRightInd w:val="0"/>
                    <w:jc w:val="center"/>
                    <w:rPr>
                      <w:rFonts w:hint="eastAsia"/>
                      <w:color w:val="auto"/>
                    </w:rPr>
                  </w:pPr>
                  <w:r>
                    <w:rPr>
                      <w:rFonts w:hint="eastAsia"/>
                      <w:color w:val="auto"/>
                    </w:rPr>
                    <w:t>下降至50%</w:t>
                  </w:r>
                </w:p>
              </w:tc>
              <w:tc>
                <w:tcPr>
                  <w:tcW w:w="10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lang w:eastAsia="zh-CN"/>
                    </w:rPr>
                  </w:pPr>
                  <w:r>
                    <w:rPr>
                      <w:rFonts w:hint="eastAsia"/>
                      <w:color w:val="auto"/>
                      <w:kern w:val="0"/>
                      <w:sz w:val="21"/>
                      <w:szCs w:val="21"/>
                      <w:shd w:val="clear" w:color="auto" w:fill="FFFFFF"/>
                      <w:lang w:val="en-US" w:eastAsia="zh-CN"/>
                    </w:rPr>
                    <w:t>0.025</w:t>
                  </w:r>
                </w:p>
              </w:tc>
              <w:tc>
                <w:tcPr>
                  <w:tcW w:w="12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lang w:val="en-US" w:eastAsia="zh-CN"/>
                    </w:rPr>
                  </w:pPr>
                  <w:r>
                    <w:rPr>
                      <w:rFonts w:hint="eastAsia"/>
                      <w:color w:val="auto"/>
                      <w:kern w:val="0"/>
                      <w:sz w:val="21"/>
                      <w:szCs w:val="21"/>
                      <w:shd w:val="clear" w:color="auto" w:fill="FFFFFF"/>
                      <w:lang w:val="en-US" w:eastAsia="zh-CN"/>
                    </w:rPr>
                    <w:t>1.57</w:t>
                  </w:r>
                </w:p>
              </w:tc>
              <w:tc>
                <w:tcPr>
                  <w:tcW w:w="980"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60</w:t>
                  </w:r>
                </w:p>
              </w:tc>
              <w:tc>
                <w:tcPr>
                  <w:tcW w:w="744"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3</w:t>
                  </w:r>
                </w:p>
              </w:tc>
              <w:tc>
                <w:tcPr>
                  <w:tcW w:w="889"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正常</w:t>
                  </w:r>
                </w:p>
                <w:p>
                  <w:pPr>
                    <w:autoSpaceDE w:val="0"/>
                    <w:autoSpaceDN w:val="0"/>
                    <w:adjustRightInd w:val="0"/>
                    <w:jc w:val="center"/>
                    <w:rPr>
                      <w:rFonts w:hint="eastAsia"/>
                      <w:color w:val="auto"/>
                      <w:lang w:val="en-US" w:eastAsia="zh-CN"/>
                    </w:rPr>
                  </w:pPr>
                  <w:r>
                    <w:rPr>
                      <w:rFonts w:hint="eastAsia"/>
                      <w:color w:val="auto"/>
                      <w:lang w:val="en-US" w:eastAsia="zh-CN"/>
                    </w:rPr>
                    <w:t>生产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jc w:val="center"/>
              </w:trPr>
              <w:tc>
                <w:tcPr>
                  <w:tcW w:w="601"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3</w:t>
                  </w:r>
                </w:p>
              </w:tc>
              <w:tc>
                <w:tcPr>
                  <w:tcW w:w="1275"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tLeast"/>
                    <w:ind w:left="0" w:leftChars="0" w:right="0" w:rightChars="0" w:firstLine="0" w:firstLineChars="0"/>
                    <w:jc w:val="center"/>
                    <w:textAlignment w:val="auto"/>
                    <w:outlineLvl w:val="9"/>
                    <w:rPr>
                      <w:rFonts w:hint="eastAsia"/>
                      <w:color w:val="auto"/>
                      <w:lang w:val="en-US" w:eastAsia="zh-CN"/>
                    </w:rPr>
                  </w:pPr>
                  <w:r>
                    <w:rPr>
                      <w:rFonts w:hint="eastAsia"/>
                      <w:color w:val="auto"/>
                      <w:sz w:val="21"/>
                      <w:szCs w:val="21"/>
                      <w:lang w:val="en-US" w:eastAsia="zh-CN"/>
                    </w:rPr>
                    <w:t>神秘古国区217#单体（2层）食堂</w:t>
                  </w:r>
                </w:p>
              </w:tc>
              <w:tc>
                <w:tcPr>
                  <w:tcW w:w="1063" w:type="dxa"/>
                  <w:tcBorders>
                    <w:tl2br w:val="nil"/>
                    <w:tr2bl w:val="nil"/>
                  </w:tcBorders>
                  <w:vAlign w:val="top"/>
                </w:tcPr>
                <w:p>
                  <w:pPr>
                    <w:autoSpaceDE w:val="0"/>
                    <w:autoSpaceDN w:val="0"/>
                    <w:adjustRightInd w:val="0"/>
                    <w:jc w:val="center"/>
                    <w:rPr>
                      <w:rFonts w:hint="eastAsia"/>
                      <w:color w:val="auto"/>
                      <w:lang w:val="en-US" w:eastAsia="zh-CN"/>
                    </w:rPr>
                  </w:pPr>
                  <w:r>
                    <w:rPr>
                      <w:rFonts w:hint="eastAsia"/>
                      <w:color w:val="auto"/>
                      <w:lang w:val="en-US" w:eastAsia="zh-CN"/>
                    </w:rPr>
                    <w:t>食堂油烟</w:t>
                  </w:r>
                </w:p>
              </w:tc>
              <w:tc>
                <w:tcPr>
                  <w:tcW w:w="850"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油烟</w:t>
                  </w:r>
                </w:p>
              </w:tc>
              <w:tc>
                <w:tcPr>
                  <w:tcW w:w="624" w:type="dxa"/>
                  <w:tcBorders>
                    <w:tl2br w:val="nil"/>
                    <w:tr2bl w:val="nil"/>
                  </w:tcBorders>
                  <w:vAlign w:val="center"/>
                </w:tcPr>
                <w:p>
                  <w:pPr>
                    <w:autoSpaceDE w:val="0"/>
                    <w:autoSpaceDN w:val="0"/>
                    <w:adjustRightInd w:val="0"/>
                    <w:jc w:val="center"/>
                    <w:rPr>
                      <w:rFonts w:hint="eastAsia" w:eastAsia="宋体"/>
                      <w:color w:val="auto"/>
                      <w:lang w:val="en-US" w:eastAsia="zh-CN"/>
                    </w:rPr>
                  </w:pPr>
                  <w:r>
                    <w:rPr>
                      <w:rFonts w:hint="eastAsia"/>
                      <w:color w:val="auto"/>
                    </w:rPr>
                    <w:t>下降至50%</w:t>
                  </w:r>
                </w:p>
              </w:tc>
              <w:tc>
                <w:tcPr>
                  <w:tcW w:w="10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lang w:val="en-US" w:eastAsia="zh-CN"/>
                    </w:rPr>
                  </w:pPr>
                  <w:r>
                    <w:rPr>
                      <w:rFonts w:hint="eastAsia"/>
                      <w:color w:val="auto"/>
                      <w:kern w:val="0"/>
                      <w:sz w:val="21"/>
                      <w:szCs w:val="21"/>
                      <w:shd w:val="clear" w:color="auto" w:fill="FFFFFF"/>
                      <w:lang w:val="en-US" w:eastAsia="zh-CN"/>
                    </w:rPr>
                    <w:t>0.030</w:t>
                  </w:r>
                </w:p>
              </w:tc>
              <w:tc>
                <w:tcPr>
                  <w:tcW w:w="12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lang w:val="en-US" w:eastAsia="zh-CN"/>
                    </w:rPr>
                  </w:pPr>
                  <w:r>
                    <w:rPr>
                      <w:rFonts w:hint="eastAsia"/>
                      <w:color w:val="auto"/>
                      <w:kern w:val="0"/>
                      <w:sz w:val="21"/>
                      <w:szCs w:val="21"/>
                      <w:shd w:val="clear" w:color="auto" w:fill="FFFFFF"/>
                      <w:lang w:val="en-US" w:eastAsia="zh-CN"/>
                    </w:rPr>
                    <w:t>3.77</w:t>
                  </w:r>
                </w:p>
              </w:tc>
              <w:tc>
                <w:tcPr>
                  <w:tcW w:w="980"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60</w:t>
                  </w:r>
                </w:p>
              </w:tc>
              <w:tc>
                <w:tcPr>
                  <w:tcW w:w="744"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3</w:t>
                  </w:r>
                </w:p>
              </w:tc>
              <w:tc>
                <w:tcPr>
                  <w:tcW w:w="889"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停产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jc w:val="center"/>
              </w:trPr>
              <w:tc>
                <w:tcPr>
                  <w:tcW w:w="601"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4</w:t>
                  </w:r>
                </w:p>
              </w:tc>
              <w:tc>
                <w:tcPr>
                  <w:tcW w:w="1275"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tLeast"/>
                    <w:ind w:left="0" w:leftChars="0" w:right="0" w:rightChars="0" w:firstLine="0" w:firstLineChars="0"/>
                    <w:jc w:val="center"/>
                    <w:textAlignment w:val="auto"/>
                    <w:outlineLvl w:val="9"/>
                    <w:rPr>
                      <w:rFonts w:hint="eastAsia"/>
                      <w:color w:val="auto"/>
                      <w:lang w:val="en-US" w:eastAsia="zh-CN"/>
                    </w:rPr>
                  </w:pPr>
                  <w:r>
                    <w:rPr>
                      <w:rFonts w:hint="eastAsia"/>
                      <w:color w:val="auto"/>
                      <w:sz w:val="21"/>
                      <w:szCs w:val="21"/>
                      <w:lang w:val="en-US" w:eastAsia="zh-CN"/>
                    </w:rPr>
                    <w:t>漫游海洋区321#单体（2层）食堂</w:t>
                  </w:r>
                </w:p>
              </w:tc>
              <w:tc>
                <w:tcPr>
                  <w:tcW w:w="1063" w:type="dxa"/>
                  <w:tcBorders>
                    <w:tl2br w:val="nil"/>
                    <w:tr2bl w:val="nil"/>
                  </w:tcBorders>
                  <w:vAlign w:val="top"/>
                </w:tcPr>
                <w:p>
                  <w:pPr>
                    <w:autoSpaceDE w:val="0"/>
                    <w:autoSpaceDN w:val="0"/>
                    <w:adjustRightInd w:val="0"/>
                    <w:jc w:val="center"/>
                    <w:rPr>
                      <w:rFonts w:hint="eastAsia"/>
                      <w:color w:val="auto"/>
                      <w:lang w:val="en-US" w:eastAsia="zh-CN"/>
                    </w:rPr>
                  </w:pPr>
                  <w:r>
                    <w:rPr>
                      <w:rFonts w:hint="eastAsia"/>
                      <w:color w:val="auto"/>
                      <w:lang w:val="en-US" w:eastAsia="zh-CN"/>
                    </w:rPr>
                    <w:t>食堂油烟</w:t>
                  </w:r>
                </w:p>
              </w:tc>
              <w:tc>
                <w:tcPr>
                  <w:tcW w:w="850"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油烟</w:t>
                  </w:r>
                </w:p>
              </w:tc>
              <w:tc>
                <w:tcPr>
                  <w:tcW w:w="624"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rPr>
                    <w:t>下降至50%</w:t>
                  </w:r>
                </w:p>
              </w:tc>
              <w:tc>
                <w:tcPr>
                  <w:tcW w:w="10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lang w:val="en-US" w:eastAsia="zh-CN"/>
                    </w:rPr>
                  </w:pPr>
                  <w:r>
                    <w:rPr>
                      <w:rFonts w:hint="eastAsia"/>
                      <w:color w:val="auto"/>
                      <w:kern w:val="0"/>
                      <w:sz w:val="21"/>
                      <w:szCs w:val="21"/>
                      <w:shd w:val="clear" w:color="auto" w:fill="FFFFFF"/>
                      <w:lang w:val="en-US" w:eastAsia="zh-CN"/>
                    </w:rPr>
                    <w:t>0.039</w:t>
                  </w:r>
                </w:p>
              </w:tc>
              <w:tc>
                <w:tcPr>
                  <w:tcW w:w="12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lang w:val="en-US" w:eastAsia="zh-CN"/>
                    </w:rPr>
                  </w:pPr>
                  <w:r>
                    <w:rPr>
                      <w:rFonts w:hint="eastAsia"/>
                      <w:color w:val="auto"/>
                      <w:kern w:val="0"/>
                      <w:sz w:val="21"/>
                      <w:szCs w:val="21"/>
                      <w:shd w:val="clear" w:color="auto" w:fill="FFFFFF"/>
                      <w:lang w:val="en-US" w:eastAsia="zh-CN"/>
                    </w:rPr>
                    <w:t>2.97</w:t>
                  </w:r>
                </w:p>
              </w:tc>
              <w:tc>
                <w:tcPr>
                  <w:tcW w:w="980"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60</w:t>
                  </w:r>
                </w:p>
              </w:tc>
              <w:tc>
                <w:tcPr>
                  <w:tcW w:w="744"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3</w:t>
                  </w:r>
                </w:p>
              </w:tc>
              <w:tc>
                <w:tcPr>
                  <w:tcW w:w="889"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停产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39" w:hRule="atLeast"/>
                <w:jc w:val="center"/>
              </w:trPr>
              <w:tc>
                <w:tcPr>
                  <w:tcW w:w="601"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5</w:t>
                  </w:r>
                </w:p>
              </w:tc>
              <w:tc>
                <w:tcPr>
                  <w:tcW w:w="1275"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tLeast"/>
                    <w:ind w:left="0" w:leftChars="0" w:right="0" w:rightChars="0" w:firstLine="0" w:firstLineChars="0"/>
                    <w:jc w:val="center"/>
                    <w:textAlignment w:val="auto"/>
                    <w:outlineLvl w:val="9"/>
                    <w:rPr>
                      <w:rFonts w:hint="eastAsia"/>
                      <w:color w:val="auto"/>
                      <w:lang w:val="en-US" w:eastAsia="zh-CN"/>
                    </w:rPr>
                  </w:pPr>
                  <w:r>
                    <w:rPr>
                      <w:rFonts w:hint="eastAsia"/>
                      <w:color w:val="auto"/>
                      <w:sz w:val="21"/>
                      <w:szCs w:val="21"/>
                      <w:lang w:val="en-US" w:eastAsia="zh-CN"/>
                    </w:rPr>
                    <w:t>漫游海洋区424#单体（2层）食堂</w:t>
                  </w:r>
                </w:p>
              </w:tc>
              <w:tc>
                <w:tcPr>
                  <w:tcW w:w="1063"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食堂油烟</w:t>
                  </w:r>
                </w:p>
              </w:tc>
              <w:tc>
                <w:tcPr>
                  <w:tcW w:w="850"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油烟</w:t>
                  </w:r>
                </w:p>
              </w:tc>
              <w:tc>
                <w:tcPr>
                  <w:tcW w:w="624" w:type="dxa"/>
                  <w:tcBorders>
                    <w:tl2br w:val="nil"/>
                    <w:tr2bl w:val="nil"/>
                  </w:tcBorders>
                  <w:vAlign w:val="center"/>
                </w:tcPr>
                <w:p>
                  <w:pPr>
                    <w:autoSpaceDE w:val="0"/>
                    <w:autoSpaceDN w:val="0"/>
                    <w:adjustRightInd w:val="0"/>
                    <w:jc w:val="center"/>
                    <w:rPr>
                      <w:rFonts w:hint="eastAsia"/>
                      <w:color w:val="auto"/>
                    </w:rPr>
                  </w:pPr>
                  <w:r>
                    <w:rPr>
                      <w:rFonts w:hint="eastAsia"/>
                      <w:color w:val="auto"/>
                    </w:rPr>
                    <w:t>下降至50%</w:t>
                  </w:r>
                </w:p>
              </w:tc>
              <w:tc>
                <w:tcPr>
                  <w:tcW w:w="10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lang w:val="en-US" w:eastAsia="zh-CN"/>
                    </w:rPr>
                  </w:pPr>
                  <w:r>
                    <w:rPr>
                      <w:rFonts w:hint="eastAsia"/>
                      <w:color w:val="auto"/>
                      <w:kern w:val="0"/>
                      <w:sz w:val="21"/>
                      <w:szCs w:val="21"/>
                      <w:shd w:val="clear" w:color="auto" w:fill="FFFFFF"/>
                      <w:lang w:val="en-US" w:eastAsia="zh-CN"/>
                    </w:rPr>
                    <w:t>0.039</w:t>
                  </w:r>
                </w:p>
              </w:tc>
              <w:tc>
                <w:tcPr>
                  <w:tcW w:w="12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lang w:val="en-US" w:eastAsia="zh-CN"/>
                    </w:rPr>
                  </w:pPr>
                  <w:r>
                    <w:rPr>
                      <w:rFonts w:hint="eastAsia"/>
                      <w:color w:val="auto"/>
                      <w:kern w:val="0"/>
                      <w:sz w:val="21"/>
                      <w:szCs w:val="21"/>
                      <w:shd w:val="clear" w:color="auto" w:fill="FFFFFF"/>
                      <w:lang w:val="en-US" w:eastAsia="zh-CN"/>
                    </w:rPr>
                    <w:t>2.97</w:t>
                  </w:r>
                </w:p>
              </w:tc>
              <w:tc>
                <w:tcPr>
                  <w:tcW w:w="980"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60</w:t>
                  </w:r>
                </w:p>
              </w:tc>
              <w:tc>
                <w:tcPr>
                  <w:tcW w:w="744"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3</w:t>
                  </w:r>
                </w:p>
              </w:tc>
              <w:tc>
                <w:tcPr>
                  <w:tcW w:w="889"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停产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39" w:hRule="atLeast"/>
                <w:jc w:val="center"/>
              </w:trPr>
              <w:tc>
                <w:tcPr>
                  <w:tcW w:w="601"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6</w:t>
                  </w:r>
                </w:p>
              </w:tc>
              <w:tc>
                <w:tcPr>
                  <w:tcW w:w="1275"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tLeast"/>
                    <w:ind w:left="0" w:leftChars="0" w:right="0" w:rightChars="0" w:firstLine="0" w:firstLineChars="0"/>
                    <w:jc w:val="center"/>
                    <w:textAlignment w:val="auto"/>
                    <w:outlineLvl w:val="9"/>
                    <w:rPr>
                      <w:rFonts w:hint="eastAsia"/>
                      <w:color w:val="auto"/>
                      <w:lang w:val="en-US" w:eastAsia="zh-CN"/>
                    </w:rPr>
                  </w:pPr>
                  <w:r>
                    <w:rPr>
                      <w:rFonts w:hint="eastAsia"/>
                      <w:color w:val="auto"/>
                      <w:sz w:val="21"/>
                      <w:szCs w:val="21"/>
                      <w:lang w:val="en-US" w:eastAsia="zh-CN"/>
                    </w:rPr>
                    <w:t>漫游海洋区633#单体（3层）食堂</w:t>
                  </w:r>
                </w:p>
              </w:tc>
              <w:tc>
                <w:tcPr>
                  <w:tcW w:w="1063"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食堂油烟</w:t>
                  </w:r>
                </w:p>
              </w:tc>
              <w:tc>
                <w:tcPr>
                  <w:tcW w:w="850"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油烟</w:t>
                  </w:r>
                </w:p>
              </w:tc>
              <w:tc>
                <w:tcPr>
                  <w:tcW w:w="624" w:type="dxa"/>
                  <w:tcBorders>
                    <w:tl2br w:val="nil"/>
                    <w:tr2bl w:val="nil"/>
                  </w:tcBorders>
                  <w:vAlign w:val="center"/>
                </w:tcPr>
                <w:p>
                  <w:pPr>
                    <w:autoSpaceDE w:val="0"/>
                    <w:autoSpaceDN w:val="0"/>
                    <w:adjustRightInd w:val="0"/>
                    <w:jc w:val="center"/>
                    <w:rPr>
                      <w:rFonts w:hint="eastAsia"/>
                      <w:color w:val="auto"/>
                    </w:rPr>
                  </w:pPr>
                  <w:r>
                    <w:rPr>
                      <w:rFonts w:hint="eastAsia"/>
                      <w:color w:val="auto"/>
                    </w:rPr>
                    <w:t>下降至50%</w:t>
                  </w:r>
                </w:p>
              </w:tc>
              <w:tc>
                <w:tcPr>
                  <w:tcW w:w="10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lang w:val="en-US" w:eastAsia="zh-CN"/>
                    </w:rPr>
                  </w:pPr>
                  <w:r>
                    <w:rPr>
                      <w:rFonts w:hint="eastAsia"/>
                      <w:color w:val="auto"/>
                      <w:kern w:val="0"/>
                      <w:sz w:val="21"/>
                      <w:szCs w:val="21"/>
                      <w:shd w:val="clear" w:color="auto" w:fill="FFFFFF"/>
                      <w:lang w:val="en-US" w:eastAsia="zh-CN"/>
                    </w:rPr>
                    <w:t>0.041</w:t>
                  </w:r>
                </w:p>
              </w:tc>
              <w:tc>
                <w:tcPr>
                  <w:tcW w:w="12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lang w:val="en-US" w:eastAsia="zh-CN"/>
                    </w:rPr>
                  </w:pPr>
                  <w:r>
                    <w:rPr>
                      <w:rFonts w:hint="eastAsia"/>
                      <w:color w:val="auto"/>
                      <w:kern w:val="0"/>
                      <w:sz w:val="21"/>
                      <w:szCs w:val="21"/>
                      <w:shd w:val="clear" w:color="auto" w:fill="FFFFFF"/>
                      <w:lang w:val="en-US" w:eastAsia="zh-CN"/>
                    </w:rPr>
                    <w:t>2.34</w:t>
                  </w:r>
                </w:p>
              </w:tc>
              <w:tc>
                <w:tcPr>
                  <w:tcW w:w="980"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60</w:t>
                  </w:r>
                </w:p>
              </w:tc>
              <w:tc>
                <w:tcPr>
                  <w:tcW w:w="744"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3</w:t>
                  </w:r>
                </w:p>
              </w:tc>
              <w:tc>
                <w:tcPr>
                  <w:tcW w:w="889"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停产</w:t>
                  </w:r>
                </w:p>
              </w:tc>
            </w:tr>
          </w:tbl>
          <w:p>
            <w:pPr>
              <w:spacing w:line="360" w:lineRule="auto"/>
              <w:rPr>
                <w:rFonts w:hint="eastAsia"/>
                <w:b/>
                <w:bCs/>
                <w:color w:val="auto"/>
                <w:sz w:val="24"/>
                <w:szCs w:val="24"/>
                <w:lang w:val="en-US" w:eastAsia="zh-CN"/>
              </w:rPr>
            </w:pPr>
            <w:r>
              <w:rPr>
                <w:rFonts w:hint="eastAsia"/>
                <w:b/>
                <w:bCs/>
                <w:color w:val="auto"/>
                <w:sz w:val="24"/>
                <w:szCs w:val="24"/>
                <w:lang w:val="en-US" w:eastAsia="zh-CN"/>
              </w:rPr>
              <w:t xml:space="preserve">  </w:t>
            </w:r>
            <w:r>
              <w:rPr>
                <w:rFonts w:hint="eastAsia"/>
                <w:b/>
                <w:bCs/>
                <w:color w:val="auto"/>
                <w:sz w:val="24"/>
                <w:szCs w:val="24"/>
                <w:lang w:val="en-US" w:eastAsia="zh-CN"/>
              </w:rPr>
              <w:t xml:space="preserve"> 3.1.3废气排放口基本情况</w:t>
            </w:r>
          </w:p>
          <w:p>
            <w:pPr>
              <w:spacing w:line="360" w:lineRule="auto"/>
              <w:rPr>
                <w:rFonts w:hint="eastAsia"/>
                <w:color w:val="auto"/>
                <w:sz w:val="24"/>
                <w:szCs w:val="24"/>
                <w:lang w:val="en-US" w:eastAsia="zh-CN"/>
              </w:rPr>
            </w:pPr>
            <w:r>
              <w:rPr>
                <w:rFonts w:hint="eastAsia"/>
                <w:color w:val="auto"/>
                <w:sz w:val="24"/>
                <w:szCs w:val="24"/>
                <w:lang w:val="en-US" w:eastAsia="zh-CN"/>
              </w:rPr>
              <w:t xml:space="preserve">    废气排放口基本情况见表28。 </w:t>
            </w:r>
          </w:p>
          <w:p>
            <w:pPr>
              <w:widowControl w:val="0"/>
              <w:adjustRightInd w:val="0"/>
              <w:snapToGrid w:val="0"/>
              <w:spacing w:line="360" w:lineRule="auto"/>
              <w:ind w:firstLine="480" w:firstLineChars="200"/>
              <w:jc w:val="both"/>
              <w:rPr>
                <w:rFonts w:hint="eastAsia" w:ascii="Cambria" w:hAnsi="Cambria" w:eastAsia="黑体" w:cs="Times New Roman"/>
                <w:color w:val="auto"/>
                <w:kern w:val="2"/>
                <w:sz w:val="24"/>
                <w:szCs w:val="24"/>
                <w:lang w:val="en-US" w:eastAsia="zh-CN" w:bidi="ar-SA"/>
              </w:rPr>
            </w:pPr>
            <w:r>
              <w:rPr>
                <w:rFonts w:hint="eastAsia" w:ascii="Cambria" w:hAnsi="Cambria" w:eastAsia="黑体" w:cs="Times New Roman"/>
                <w:color w:val="auto"/>
                <w:kern w:val="2"/>
                <w:sz w:val="24"/>
                <w:szCs w:val="24"/>
                <w:lang w:val="en-US" w:eastAsia="zh-CN" w:bidi="ar-SA"/>
              </w:rPr>
              <w:t xml:space="preserve">            表28     废气排放口相关参数情况一览表</w:t>
            </w:r>
          </w:p>
          <w:tbl>
            <w:tblPr>
              <w:tblStyle w:val="24"/>
              <w:tblW w:w="9346"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22"/>
              <w:gridCol w:w="1058"/>
              <w:gridCol w:w="920"/>
              <w:gridCol w:w="932"/>
              <w:gridCol w:w="1061"/>
              <w:gridCol w:w="1060"/>
              <w:gridCol w:w="1461"/>
              <w:gridCol w:w="83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Ex>
              <w:trPr>
                <w:trHeight w:val="90" w:hRule="atLeast"/>
                <w:tblHeader/>
                <w:jc w:val="center"/>
              </w:trPr>
              <w:tc>
                <w:tcPr>
                  <w:tcW w:w="2022" w:type="dxa"/>
                  <w:vMerge w:val="restart"/>
                  <w:tcBorders>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排放口</w:t>
                  </w:r>
                </w:p>
                <w:p>
                  <w:pPr>
                    <w:adjustRightInd w:val="0"/>
                    <w:snapToGrid w:val="0"/>
                    <w:jc w:val="center"/>
                    <w:rPr>
                      <w:rFonts w:hint="eastAsia"/>
                      <w:color w:val="auto"/>
                      <w:sz w:val="21"/>
                      <w:szCs w:val="21"/>
                      <w:lang w:val="en-US" w:eastAsia="zh-CN"/>
                    </w:rPr>
                  </w:pPr>
                  <w:r>
                    <w:rPr>
                      <w:rFonts w:hint="eastAsia"/>
                      <w:color w:val="auto"/>
                      <w:sz w:val="21"/>
                      <w:szCs w:val="21"/>
                      <w:lang w:val="en-US" w:eastAsia="zh-CN"/>
                    </w:rPr>
                    <w:t>名称及编号</w:t>
                  </w:r>
                </w:p>
              </w:tc>
              <w:tc>
                <w:tcPr>
                  <w:tcW w:w="1978" w:type="dxa"/>
                  <w:gridSpan w:val="2"/>
                  <w:vMerge w:val="restart"/>
                  <w:tcBorders>
                    <w:left w:val="single" w:color="auto" w:sz="4" w:space="0"/>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地理坐标</w:t>
                  </w:r>
                </w:p>
              </w:tc>
              <w:tc>
                <w:tcPr>
                  <w:tcW w:w="3053" w:type="dxa"/>
                  <w:gridSpan w:val="3"/>
                  <w:tcBorders>
                    <w:left w:val="single" w:color="auto" w:sz="4" w:space="0"/>
                  </w:tcBorders>
                  <w:vAlign w:val="center"/>
                </w:tcPr>
                <w:p>
                  <w:pPr>
                    <w:adjustRightInd w:val="0"/>
                    <w:snapToGrid w:val="0"/>
                    <w:jc w:val="center"/>
                    <w:rPr>
                      <w:color w:val="auto"/>
                      <w:sz w:val="21"/>
                      <w:szCs w:val="21"/>
                    </w:rPr>
                  </w:pPr>
                  <w:r>
                    <w:rPr>
                      <w:color w:val="auto"/>
                      <w:sz w:val="21"/>
                      <w:szCs w:val="21"/>
                    </w:rPr>
                    <w:t>排放源参数</w:t>
                  </w:r>
                </w:p>
              </w:tc>
              <w:tc>
                <w:tcPr>
                  <w:tcW w:w="1461" w:type="dxa"/>
                  <w:vMerge w:val="restart"/>
                  <w:tcBorders>
                    <w:right w:val="single" w:color="auto" w:sz="4" w:space="0"/>
                  </w:tcBorders>
                  <w:vAlign w:val="center"/>
                </w:tcPr>
                <w:p>
                  <w:pPr>
                    <w:adjustRightInd w:val="0"/>
                    <w:snapToGrid w:val="0"/>
                    <w:jc w:val="center"/>
                    <w:rPr>
                      <w:rFonts w:hint="eastAsia"/>
                      <w:color w:val="auto"/>
                      <w:sz w:val="21"/>
                      <w:szCs w:val="21"/>
                      <w:lang w:eastAsia="zh-CN"/>
                    </w:rPr>
                  </w:pPr>
                  <w:r>
                    <w:rPr>
                      <w:rFonts w:hint="eastAsia"/>
                      <w:color w:val="auto"/>
                      <w:sz w:val="21"/>
                      <w:szCs w:val="21"/>
                      <w:lang w:val="en-US" w:eastAsia="zh-CN"/>
                    </w:rPr>
                    <w:t>类型</w:t>
                  </w:r>
                </w:p>
              </w:tc>
              <w:tc>
                <w:tcPr>
                  <w:tcW w:w="832" w:type="dxa"/>
                  <w:vMerge w:val="restart"/>
                  <w:tcBorders>
                    <w:lef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Ex>
              <w:trPr>
                <w:trHeight w:val="312" w:hRule="atLeast"/>
                <w:tblHeader/>
                <w:jc w:val="center"/>
              </w:trPr>
              <w:tc>
                <w:tcPr>
                  <w:tcW w:w="2022" w:type="dxa"/>
                  <w:vMerge w:val="continue"/>
                  <w:tcBorders>
                    <w:right w:val="single" w:color="auto" w:sz="4" w:space="0"/>
                  </w:tcBorders>
                  <w:vAlign w:val="center"/>
                </w:tcPr>
                <w:p>
                  <w:pPr>
                    <w:adjustRightInd w:val="0"/>
                    <w:snapToGrid w:val="0"/>
                    <w:jc w:val="center"/>
                    <w:rPr>
                      <w:color w:val="auto"/>
                      <w:sz w:val="21"/>
                      <w:szCs w:val="21"/>
                    </w:rPr>
                  </w:pPr>
                </w:p>
              </w:tc>
              <w:tc>
                <w:tcPr>
                  <w:tcW w:w="1978" w:type="dxa"/>
                  <w:gridSpan w:val="2"/>
                  <w:vMerge w:val="continue"/>
                  <w:tcBorders>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p>
              </w:tc>
              <w:tc>
                <w:tcPr>
                  <w:tcW w:w="932" w:type="dxa"/>
                  <w:vMerge w:val="restart"/>
                  <w:tcBorders>
                    <w:left w:val="single" w:color="auto" w:sz="4" w:space="0"/>
                  </w:tcBorders>
                  <w:vAlign w:val="center"/>
                </w:tcPr>
                <w:p>
                  <w:pPr>
                    <w:adjustRightInd w:val="0"/>
                    <w:snapToGrid w:val="0"/>
                    <w:jc w:val="center"/>
                    <w:rPr>
                      <w:color w:val="auto"/>
                      <w:sz w:val="21"/>
                      <w:szCs w:val="21"/>
                    </w:rPr>
                  </w:pPr>
                  <w:r>
                    <w:rPr>
                      <w:color w:val="auto"/>
                      <w:sz w:val="21"/>
                      <w:szCs w:val="21"/>
                    </w:rPr>
                    <w:t>高度m</w:t>
                  </w:r>
                </w:p>
              </w:tc>
              <w:tc>
                <w:tcPr>
                  <w:tcW w:w="1061" w:type="dxa"/>
                  <w:vMerge w:val="restart"/>
                  <w:vAlign w:val="center"/>
                </w:tcPr>
                <w:p>
                  <w:pPr>
                    <w:adjustRightInd w:val="0"/>
                    <w:snapToGrid w:val="0"/>
                    <w:jc w:val="center"/>
                    <w:rPr>
                      <w:color w:val="auto"/>
                      <w:sz w:val="21"/>
                      <w:szCs w:val="21"/>
                    </w:rPr>
                  </w:pPr>
                  <w:r>
                    <w:rPr>
                      <w:color w:val="auto"/>
                      <w:sz w:val="21"/>
                      <w:szCs w:val="21"/>
                    </w:rPr>
                    <w:t>直径m</w:t>
                  </w:r>
                </w:p>
              </w:tc>
              <w:tc>
                <w:tcPr>
                  <w:tcW w:w="1060" w:type="dxa"/>
                  <w:vMerge w:val="restart"/>
                  <w:vAlign w:val="center"/>
                </w:tcPr>
                <w:p>
                  <w:pPr>
                    <w:adjustRightInd w:val="0"/>
                    <w:snapToGrid w:val="0"/>
                    <w:jc w:val="center"/>
                    <w:rPr>
                      <w:color w:val="auto"/>
                      <w:sz w:val="21"/>
                      <w:szCs w:val="21"/>
                    </w:rPr>
                  </w:pPr>
                  <w:r>
                    <w:rPr>
                      <w:color w:val="auto"/>
                      <w:sz w:val="21"/>
                      <w:szCs w:val="21"/>
                    </w:rPr>
                    <w:t>温度℃</w:t>
                  </w:r>
                </w:p>
              </w:tc>
              <w:tc>
                <w:tcPr>
                  <w:tcW w:w="1461" w:type="dxa"/>
                  <w:vMerge w:val="continue"/>
                  <w:tcBorders>
                    <w:right w:val="single" w:color="auto" w:sz="4" w:space="0"/>
                  </w:tcBorders>
                  <w:vAlign w:val="center"/>
                </w:tcPr>
                <w:p>
                  <w:pPr>
                    <w:adjustRightInd w:val="0"/>
                    <w:snapToGrid w:val="0"/>
                    <w:jc w:val="center"/>
                    <w:rPr>
                      <w:color w:val="auto"/>
                      <w:sz w:val="21"/>
                      <w:szCs w:val="21"/>
                    </w:rPr>
                  </w:pPr>
                </w:p>
              </w:tc>
              <w:tc>
                <w:tcPr>
                  <w:tcW w:w="832" w:type="dxa"/>
                  <w:vMerge w:val="continue"/>
                  <w:tcBorders>
                    <w:left w:val="single" w:color="auto" w:sz="4" w:space="0"/>
                  </w:tcBorders>
                  <w:vAlign w:val="center"/>
                </w:tcPr>
                <w:p>
                  <w:pPr>
                    <w:adjustRightInd w:val="0"/>
                    <w:snapToGrid w:val="0"/>
                    <w:jc w:val="center"/>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Ex>
              <w:trPr>
                <w:trHeight w:val="347" w:hRule="atLeast"/>
                <w:tblHeader/>
                <w:jc w:val="center"/>
              </w:trPr>
              <w:tc>
                <w:tcPr>
                  <w:tcW w:w="2022" w:type="dxa"/>
                  <w:vMerge w:val="continue"/>
                  <w:tcBorders>
                    <w:right w:val="single" w:color="auto" w:sz="4" w:space="0"/>
                  </w:tcBorders>
                  <w:vAlign w:val="center"/>
                </w:tcPr>
                <w:p>
                  <w:pPr>
                    <w:adjustRightInd w:val="0"/>
                    <w:snapToGrid w:val="0"/>
                    <w:jc w:val="center"/>
                    <w:rPr>
                      <w:color w:val="auto"/>
                      <w:sz w:val="21"/>
                      <w:szCs w:val="21"/>
                    </w:rPr>
                  </w:pPr>
                </w:p>
              </w:tc>
              <w:tc>
                <w:tcPr>
                  <w:tcW w:w="1058" w:type="dxa"/>
                  <w:tcBorders>
                    <w:top w:val="single" w:color="auto" w:sz="4" w:space="0"/>
                    <w:left w:val="single" w:color="auto" w:sz="4" w:space="0"/>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经度</w:t>
                  </w:r>
                </w:p>
              </w:tc>
              <w:tc>
                <w:tcPr>
                  <w:tcW w:w="920" w:type="dxa"/>
                  <w:tcBorders>
                    <w:top w:val="single" w:color="auto" w:sz="4" w:space="0"/>
                    <w:left w:val="single" w:color="auto" w:sz="4" w:space="0"/>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纬度</w:t>
                  </w:r>
                </w:p>
              </w:tc>
              <w:tc>
                <w:tcPr>
                  <w:tcW w:w="932" w:type="dxa"/>
                  <w:vMerge w:val="continue"/>
                  <w:tcBorders>
                    <w:left w:val="single" w:color="auto" w:sz="4" w:space="0"/>
                  </w:tcBorders>
                  <w:vAlign w:val="center"/>
                </w:tcPr>
                <w:p>
                  <w:pPr>
                    <w:adjustRightInd w:val="0"/>
                    <w:snapToGrid w:val="0"/>
                    <w:jc w:val="center"/>
                    <w:rPr>
                      <w:color w:val="auto"/>
                      <w:sz w:val="21"/>
                      <w:szCs w:val="21"/>
                    </w:rPr>
                  </w:pPr>
                </w:p>
              </w:tc>
              <w:tc>
                <w:tcPr>
                  <w:tcW w:w="1061" w:type="dxa"/>
                  <w:vMerge w:val="continue"/>
                  <w:vAlign w:val="center"/>
                </w:tcPr>
                <w:p>
                  <w:pPr>
                    <w:adjustRightInd w:val="0"/>
                    <w:snapToGrid w:val="0"/>
                    <w:jc w:val="center"/>
                    <w:rPr>
                      <w:color w:val="auto"/>
                      <w:sz w:val="21"/>
                      <w:szCs w:val="21"/>
                    </w:rPr>
                  </w:pPr>
                </w:p>
              </w:tc>
              <w:tc>
                <w:tcPr>
                  <w:tcW w:w="1060" w:type="dxa"/>
                  <w:vMerge w:val="continue"/>
                  <w:vAlign w:val="center"/>
                </w:tcPr>
                <w:p>
                  <w:pPr>
                    <w:adjustRightInd w:val="0"/>
                    <w:snapToGrid w:val="0"/>
                    <w:jc w:val="center"/>
                    <w:rPr>
                      <w:color w:val="auto"/>
                      <w:sz w:val="21"/>
                      <w:szCs w:val="21"/>
                    </w:rPr>
                  </w:pPr>
                </w:p>
              </w:tc>
              <w:tc>
                <w:tcPr>
                  <w:tcW w:w="1461" w:type="dxa"/>
                  <w:vMerge w:val="continue"/>
                  <w:tcBorders>
                    <w:right w:val="single" w:color="auto" w:sz="4" w:space="0"/>
                  </w:tcBorders>
                  <w:vAlign w:val="center"/>
                </w:tcPr>
                <w:p>
                  <w:pPr>
                    <w:adjustRightInd w:val="0"/>
                    <w:snapToGrid w:val="0"/>
                    <w:jc w:val="center"/>
                    <w:rPr>
                      <w:color w:val="auto"/>
                      <w:sz w:val="21"/>
                      <w:szCs w:val="21"/>
                    </w:rPr>
                  </w:pPr>
                </w:p>
              </w:tc>
              <w:tc>
                <w:tcPr>
                  <w:tcW w:w="832" w:type="dxa"/>
                  <w:vMerge w:val="continue"/>
                  <w:tcBorders>
                    <w:left w:val="single" w:color="auto" w:sz="4" w:space="0"/>
                  </w:tcBorders>
                  <w:vAlign w:val="center"/>
                </w:tcPr>
                <w:p>
                  <w:pPr>
                    <w:adjustRightInd w:val="0"/>
                    <w:snapToGrid w:val="0"/>
                    <w:jc w:val="center"/>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Ex>
              <w:trPr>
                <w:trHeight w:val="624" w:hRule="atLeast"/>
                <w:tblHeader/>
                <w:jc w:val="center"/>
              </w:trPr>
              <w:tc>
                <w:tcPr>
                  <w:tcW w:w="2022" w:type="dxa"/>
                  <w:tcBorders>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107#单体食堂油烟排气筒（DA001）</w:t>
                  </w:r>
                </w:p>
              </w:tc>
              <w:tc>
                <w:tcPr>
                  <w:tcW w:w="1058" w:type="dxa"/>
                  <w:tcBorders>
                    <w:left w:val="single" w:color="auto" w:sz="4" w:space="0"/>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108.847765°</w:t>
                  </w:r>
                </w:p>
              </w:tc>
              <w:tc>
                <w:tcPr>
                  <w:tcW w:w="920" w:type="dxa"/>
                  <w:tcBorders>
                    <w:left w:val="single" w:color="auto" w:sz="4" w:space="0"/>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34.476809°</w:t>
                  </w:r>
                </w:p>
              </w:tc>
              <w:tc>
                <w:tcPr>
                  <w:tcW w:w="932" w:type="dxa"/>
                  <w:tcBorders>
                    <w:lef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21</w:t>
                  </w:r>
                </w:p>
              </w:tc>
              <w:tc>
                <w:tcPr>
                  <w:tcW w:w="1061" w:type="dxa"/>
                  <w:vAlign w:val="center"/>
                </w:tcPr>
                <w:p>
                  <w:pPr>
                    <w:adjustRightInd w:val="0"/>
                    <w:snapToGrid w:val="0"/>
                    <w:jc w:val="center"/>
                    <w:rPr>
                      <w:rFonts w:hint="eastAsia" w:eastAsia="宋体"/>
                      <w:color w:val="auto"/>
                      <w:sz w:val="21"/>
                      <w:szCs w:val="21"/>
                      <w:lang w:eastAsia="zh-CN"/>
                    </w:rPr>
                  </w:pPr>
                  <w:r>
                    <w:rPr>
                      <w:rFonts w:hint="eastAsia"/>
                      <w:color w:val="auto"/>
                      <w:sz w:val="21"/>
                      <w:szCs w:val="21"/>
                      <w:lang w:val="en-US" w:eastAsia="zh-CN"/>
                    </w:rPr>
                    <w:t>0.2</w:t>
                  </w:r>
                </w:p>
              </w:tc>
              <w:tc>
                <w:tcPr>
                  <w:tcW w:w="1060" w:type="dxa"/>
                  <w:vAlign w:val="center"/>
                </w:tcPr>
                <w:p>
                  <w:pPr>
                    <w:adjustRightInd w:val="0"/>
                    <w:snapToGrid w:val="0"/>
                    <w:jc w:val="center"/>
                    <w:rPr>
                      <w:color w:val="auto"/>
                      <w:sz w:val="21"/>
                      <w:szCs w:val="21"/>
                    </w:rPr>
                  </w:pPr>
                  <w:r>
                    <w:rPr>
                      <w:color w:val="auto"/>
                      <w:sz w:val="21"/>
                      <w:szCs w:val="21"/>
                    </w:rPr>
                    <w:t>常温</w:t>
                  </w:r>
                </w:p>
              </w:tc>
              <w:tc>
                <w:tcPr>
                  <w:tcW w:w="1461" w:type="dxa"/>
                  <w:tcBorders>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一般排放口</w:t>
                  </w:r>
                </w:p>
              </w:tc>
              <w:tc>
                <w:tcPr>
                  <w:tcW w:w="832" w:type="dxa"/>
                  <w:tcBorders>
                    <w:lef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有组织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Ex>
              <w:trPr>
                <w:trHeight w:val="811" w:hRule="atLeast"/>
                <w:tblHeader/>
                <w:jc w:val="center"/>
              </w:trPr>
              <w:tc>
                <w:tcPr>
                  <w:tcW w:w="2022" w:type="dxa"/>
                  <w:tcBorders>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108#单体食堂油烟排气筒（DA002）</w:t>
                  </w:r>
                </w:p>
              </w:tc>
              <w:tc>
                <w:tcPr>
                  <w:tcW w:w="1058" w:type="dxa"/>
                  <w:tcBorders>
                    <w:left w:val="single" w:color="auto" w:sz="4" w:space="0"/>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108.848720°</w:t>
                  </w:r>
                </w:p>
              </w:tc>
              <w:tc>
                <w:tcPr>
                  <w:tcW w:w="920" w:type="dxa"/>
                  <w:tcBorders>
                    <w:left w:val="single" w:color="auto" w:sz="4" w:space="0"/>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34.478242°</w:t>
                  </w:r>
                </w:p>
              </w:tc>
              <w:tc>
                <w:tcPr>
                  <w:tcW w:w="932" w:type="dxa"/>
                  <w:tcBorders>
                    <w:lef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23</w:t>
                  </w:r>
                </w:p>
              </w:tc>
              <w:tc>
                <w:tcPr>
                  <w:tcW w:w="1061" w:type="dxa"/>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0.3</w:t>
                  </w:r>
                </w:p>
              </w:tc>
              <w:tc>
                <w:tcPr>
                  <w:tcW w:w="1060" w:type="dxa"/>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常温</w:t>
                  </w:r>
                </w:p>
              </w:tc>
              <w:tc>
                <w:tcPr>
                  <w:tcW w:w="1461" w:type="dxa"/>
                  <w:tcBorders>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一般排放口</w:t>
                  </w:r>
                </w:p>
              </w:tc>
              <w:tc>
                <w:tcPr>
                  <w:tcW w:w="832" w:type="dxa"/>
                  <w:tcBorders>
                    <w:lef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有组织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Ex>
              <w:trPr>
                <w:trHeight w:val="511" w:hRule="atLeast"/>
                <w:tblHeader/>
                <w:jc w:val="center"/>
              </w:trPr>
              <w:tc>
                <w:tcPr>
                  <w:tcW w:w="2022" w:type="dxa"/>
                  <w:tcBorders>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217#单体食堂油烟排气筒（DA003）</w:t>
                  </w:r>
                </w:p>
              </w:tc>
              <w:tc>
                <w:tcPr>
                  <w:tcW w:w="1058" w:type="dxa"/>
                  <w:tcBorders>
                    <w:left w:val="single" w:color="auto" w:sz="4" w:space="0"/>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108.843924°</w:t>
                  </w:r>
                </w:p>
              </w:tc>
              <w:tc>
                <w:tcPr>
                  <w:tcW w:w="920" w:type="dxa"/>
                  <w:tcBorders>
                    <w:left w:val="single" w:color="auto" w:sz="4" w:space="0"/>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34.483708°</w:t>
                  </w:r>
                </w:p>
              </w:tc>
              <w:tc>
                <w:tcPr>
                  <w:tcW w:w="932" w:type="dxa"/>
                  <w:tcBorders>
                    <w:lef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22</w:t>
                  </w:r>
                </w:p>
              </w:tc>
              <w:tc>
                <w:tcPr>
                  <w:tcW w:w="1061" w:type="dxa"/>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0.3</w:t>
                  </w:r>
                </w:p>
              </w:tc>
              <w:tc>
                <w:tcPr>
                  <w:tcW w:w="1060" w:type="dxa"/>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常温</w:t>
                  </w:r>
                </w:p>
              </w:tc>
              <w:tc>
                <w:tcPr>
                  <w:tcW w:w="1461" w:type="dxa"/>
                  <w:tcBorders>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一般排放口</w:t>
                  </w:r>
                </w:p>
              </w:tc>
              <w:tc>
                <w:tcPr>
                  <w:tcW w:w="832" w:type="dxa"/>
                  <w:tcBorders>
                    <w:lef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有组织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Ex>
              <w:trPr>
                <w:trHeight w:val="511" w:hRule="atLeast"/>
                <w:tblHeader/>
                <w:jc w:val="center"/>
              </w:trPr>
              <w:tc>
                <w:tcPr>
                  <w:tcW w:w="2022" w:type="dxa"/>
                  <w:tcBorders>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321#单体食堂油烟排气筒（DA004）</w:t>
                  </w:r>
                </w:p>
              </w:tc>
              <w:tc>
                <w:tcPr>
                  <w:tcW w:w="1058" w:type="dxa"/>
                  <w:tcBorders>
                    <w:left w:val="single" w:color="auto" w:sz="4" w:space="0"/>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108.843237°</w:t>
                  </w:r>
                </w:p>
              </w:tc>
              <w:tc>
                <w:tcPr>
                  <w:tcW w:w="920" w:type="dxa"/>
                  <w:tcBorders>
                    <w:left w:val="single" w:color="auto" w:sz="4" w:space="0"/>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108.843237°</w:t>
                  </w:r>
                </w:p>
              </w:tc>
              <w:tc>
                <w:tcPr>
                  <w:tcW w:w="932" w:type="dxa"/>
                  <w:tcBorders>
                    <w:lef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24</w:t>
                  </w:r>
                </w:p>
              </w:tc>
              <w:tc>
                <w:tcPr>
                  <w:tcW w:w="1061" w:type="dxa"/>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0.2</w:t>
                  </w:r>
                </w:p>
              </w:tc>
              <w:tc>
                <w:tcPr>
                  <w:tcW w:w="1060" w:type="dxa"/>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常温</w:t>
                  </w:r>
                </w:p>
              </w:tc>
              <w:tc>
                <w:tcPr>
                  <w:tcW w:w="1461" w:type="dxa"/>
                  <w:tcBorders>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一般排放口</w:t>
                  </w:r>
                </w:p>
              </w:tc>
              <w:tc>
                <w:tcPr>
                  <w:tcW w:w="832" w:type="dxa"/>
                  <w:tcBorders>
                    <w:lef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有组织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Ex>
              <w:trPr>
                <w:trHeight w:val="508" w:hRule="atLeast"/>
                <w:tblHeader/>
                <w:jc w:val="center"/>
              </w:trPr>
              <w:tc>
                <w:tcPr>
                  <w:tcW w:w="2022" w:type="dxa"/>
                  <w:tcBorders>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424#单体食堂油烟排气筒（DA005）</w:t>
                  </w:r>
                </w:p>
              </w:tc>
              <w:tc>
                <w:tcPr>
                  <w:tcW w:w="1058" w:type="dxa"/>
                  <w:tcBorders>
                    <w:left w:val="single" w:color="auto" w:sz="4" w:space="0"/>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108.840287°</w:t>
                  </w:r>
                </w:p>
              </w:tc>
              <w:tc>
                <w:tcPr>
                  <w:tcW w:w="920" w:type="dxa"/>
                  <w:tcBorders>
                    <w:left w:val="single" w:color="auto" w:sz="4" w:space="0"/>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34.482081°</w:t>
                  </w:r>
                </w:p>
              </w:tc>
              <w:tc>
                <w:tcPr>
                  <w:tcW w:w="932" w:type="dxa"/>
                  <w:tcBorders>
                    <w:lef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20</w:t>
                  </w:r>
                </w:p>
              </w:tc>
              <w:tc>
                <w:tcPr>
                  <w:tcW w:w="1061" w:type="dxa"/>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0.2</w:t>
                  </w:r>
                </w:p>
              </w:tc>
              <w:tc>
                <w:tcPr>
                  <w:tcW w:w="1060" w:type="dxa"/>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常温</w:t>
                  </w:r>
                </w:p>
              </w:tc>
              <w:tc>
                <w:tcPr>
                  <w:tcW w:w="1461" w:type="dxa"/>
                  <w:tcBorders>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一般排放口</w:t>
                  </w:r>
                </w:p>
              </w:tc>
              <w:tc>
                <w:tcPr>
                  <w:tcW w:w="832" w:type="dxa"/>
                  <w:tcBorders>
                    <w:lef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有组织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Ex>
              <w:trPr>
                <w:trHeight w:val="508" w:hRule="atLeast"/>
                <w:tblHeader/>
                <w:jc w:val="center"/>
              </w:trPr>
              <w:tc>
                <w:tcPr>
                  <w:tcW w:w="2022" w:type="dxa"/>
                  <w:tcBorders>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633#单体食堂油烟排气筒（DA006）</w:t>
                  </w:r>
                </w:p>
              </w:tc>
              <w:tc>
                <w:tcPr>
                  <w:tcW w:w="1058" w:type="dxa"/>
                  <w:tcBorders>
                    <w:left w:val="single" w:color="auto" w:sz="4" w:space="0"/>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108.841124°</w:t>
                  </w:r>
                </w:p>
              </w:tc>
              <w:tc>
                <w:tcPr>
                  <w:tcW w:w="920" w:type="dxa"/>
                  <w:tcBorders>
                    <w:left w:val="single" w:color="auto" w:sz="4" w:space="0"/>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34.477261°</w:t>
                  </w:r>
                </w:p>
              </w:tc>
              <w:tc>
                <w:tcPr>
                  <w:tcW w:w="932" w:type="dxa"/>
                  <w:tcBorders>
                    <w:lef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50</w:t>
                  </w:r>
                </w:p>
              </w:tc>
              <w:tc>
                <w:tcPr>
                  <w:tcW w:w="1061" w:type="dxa"/>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0.3</w:t>
                  </w:r>
                </w:p>
              </w:tc>
              <w:tc>
                <w:tcPr>
                  <w:tcW w:w="1060" w:type="dxa"/>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常温</w:t>
                  </w:r>
                </w:p>
              </w:tc>
              <w:tc>
                <w:tcPr>
                  <w:tcW w:w="1461" w:type="dxa"/>
                  <w:tcBorders>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一般排放口</w:t>
                  </w:r>
                </w:p>
              </w:tc>
              <w:tc>
                <w:tcPr>
                  <w:tcW w:w="832" w:type="dxa"/>
                  <w:tcBorders>
                    <w:lef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有组织</w:t>
                  </w:r>
                </w:p>
              </w:tc>
            </w:tr>
          </w:tbl>
          <w:p>
            <w:pPr>
              <w:spacing w:line="360" w:lineRule="auto"/>
              <w:rPr>
                <w:rFonts w:hint="eastAsia"/>
                <w:color w:val="auto"/>
                <w:sz w:val="24"/>
                <w:szCs w:val="24"/>
                <w:lang w:val="en-US" w:eastAsia="zh-CN"/>
              </w:rPr>
            </w:pPr>
            <w:r>
              <w:rPr>
                <w:rFonts w:hint="eastAsia"/>
                <w:b/>
                <w:bCs/>
                <w:color w:val="auto"/>
                <w:sz w:val="24"/>
                <w:szCs w:val="24"/>
                <w:lang w:val="en-US" w:eastAsia="zh-CN"/>
              </w:rPr>
              <w:t xml:space="preserve">  </w:t>
            </w:r>
            <w:r>
              <w:rPr>
                <w:rFonts w:hint="eastAsia"/>
                <w:b/>
                <w:bCs/>
                <w:color w:val="auto"/>
                <w:sz w:val="24"/>
                <w:szCs w:val="24"/>
                <w:lang w:val="en-US" w:eastAsia="zh-CN"/>
              </w:rPr>
              <w:t xml:space="preserve"> 3.1.4废气监测要求</w:t>
            </w:r>
          </w:p>
          <w:p>
            <w:pPr>
              <w:spacing w:line="360" w:lineRule="auto"/>
              <w:rPr>
                <w:rFonts w:hint="eastAsia"/>
                <w:color w:val="auto"/>
                <w:sz w:val="24"/>
                <w:szCs w:val="24"/>
                <w:lang w:val="en-US" w:eastAsia="zh-CN"/>
              </w:rPr>
            </w:pPr>
            <w:r>
              <w:rPr>
                <w:rFonts w:hint="eastAsia"/>
                <w:color w:val="auto"/>
                <w:sz w:val="24"/>
                <w:szCs w:val="24"/>
                <w:lang w:val="en-US" w:eastAsia="zh-CN"/>
              </w:rPr>
              <w:t xml:space="preserve">    运营期废气环境监测计划见表29。</w:t>
            </w:r>
          </w:p>
          <w:p>
            <w:pPr>
              <w:jc w:val="center"/>
              <w:rPr>
                <w:rFonts w:hint="eastAsia" w:ascii="Cambria" w:hAnsi="Cambria" w:eastAsia="黑体" w:cs="Times New Roman"/>
                <w:color w:val="auto"/>
                <w:kern w:val="2"/>
                <w:sz w:val="24"/>
                <w:szCs w:val="24"/>
                <w:lang w:val="en-US" w:eastAsia="zh-CN" w:bidi="ar-SA"/>
              </w:rPr>
            </w:pPr>
          </w:p>
          <w:p>
            <w:pPr>
              <w:jc w:val="center"/>
              <w:rPr>
                <w:rFonts w:hint="eastAsia" w:ascii="Cambria" w:hAnsi="Cambria" w:eastAsia="黑体" w:cs="Times New Roman"/>
                <w:color w:val="auto"/>
                <w:kern w:val="2"/>
                <w:sz w:val="24"/>
                <w:szCs w:val="24"/>
                <w:lang w:val="en-US" w:eastAsia="zh-CN" w:bidi="ar-SA"/>
              </w:rPr>
            </w:pPr>
          </w:p>
          <w:p>
            <w:pPr>
              <w:jc w:val="center"/>
              <w:rPr>
                <w:rFonts w:hint="eastAsia" w:ascii="Cambria" w:hAnsi="Cambria" w:eastAsia="黑体" w:cs="Times New Roman"/>
                <w:color w:val="auto"/>
                <w:kern w:val="2"/>
                <w:sz w:val="24"/>
                <w:szCs w:val="24"/>
                <w:lang w:val="en-US" w:eastAsia="zh-CN" w:bidi="ar-SA"/>
              </w:rPr>
            </w:pPr>
          </w:p>
          <w:p>
            <w:pPr>
              <w:jc w:val="center"/>
              <w:rPr>
                <w:rFonts w:hint="eastAsia" w:ascii="Cambria" w:hAnsi="Cambria" w:eastAsia="黑体" w:cs="Times New Roman"/>
                <w:color w:val="auto"/>
                <w:kern w:val="2"/>
                <w:sz w:val="24"/>
                <w:szCs w:val="24"/>
                <w:lang w:val="en-US" w:eastAsia="zh-CN" w:bidi="ar-SA"/>
              </w:rPr>
            </w:pPr>
            <w:r>
              <w:rPr>
                <w:rFonts w:hint="eastAsia" w:ascii="Cambria" w:hAnsi="Cambria" w:eastAsia="黑体" w:cs="Times New Roman"/>
                <w:color w:val="auto"/>
                <w:kern w:val="2"/>
                <w:sz w:val="24"/>
                <w:szCs w:val="24"/>
                <w:lang w:val="en-US" w:eastAsia="zh-CN" w:bidi="ar-SA"/>
              </w:rPr>
              <w:t xml:space="preserve">表29     运营期环境监测计划  </w:t>
            </w:r>
          </w:p>
          <w:tbl>
            <w:tblPr>
              <w:tblStyle w:val="24"/>
              <w:tblW w:w="934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68"/>
              <w:gridCol w:w="2656"/>
              <w:gridCol w:w="1417"/>
              <w:gridCol w:w="1995"/>
              <w:gridCol w:w="17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68" w:type="dxa"/>
                  <w:vAlign w:val="center"/>
                </w:tcPr>
                <w:p>
                  <w:pPr>
                    <w:jc w:val="center"/>
                    <w:rPr>
                      <w:color w:val="auto"/>
                    </w:rPr>
                  </w:pPr>
                  <w:r>
                    <w:rPr>
                      <w:color w:val="auto"/>
                    </w:rPr>
                    <w:t>污染源</w:t>
                  </w:r>
                </w:p>
              </w:tc>
              <w:tc>
                <w:tcPr>
                  <w:tcW w:w="2656" w:type="dxa"/>
                  <w:vAlign w:val="center"/>
                </w:tcPr>
                <w:p>
                  <w:pPr>
                    <w:jc w:val="center"/>
                    <w:rPr>
                      <w:color w:val="auto"/>
                    </w:rPr>
                  </w:pPr>
                  <w:r>
                    <w:rPr>
                      <w:color w:val="auto"/>
                    </w:rPr>
                    <w:t>监测</w:t>
                  </w:r>
                  <w:r>
                    <w:rPr>
                      <w:rFonts w:hint="eastAsia"/>
                      <w:color w:val="auto"/>
                      <w:lang w:val="en-US" w:eastAsia="zh-CN"/>
                    </w:rPr>
                    <w:t>点位</w:t>
                  </w:r>
                </w:p>
              </w:tc>
              <w:tc>
                <w:tcPr>
                  <w:tcW w:w="1417" w:type="dxa"/>
                  <w:vAlign w:val="center"/>
                </w:tcPr>
                <w:p>
                  <w:pPr>
                    <w:jc w:val="center"/>
                    <w:rPr>
                      <w:color w:val="auto"/>
                    </w:rPr>
                  </w:pPr>
                  <w:r>
                    <w:rPr>
                      <w:color w:val="auto"/>
                    </w:rPr>
                    <w:t>监测</w:t>
                  </w:r>
                  <w:r>
                    <w:rPr>
                      <w:rFonts w:hint="eastAsia"/>
                      <w:color w:val="auto"/>
                      <w:lang w:val="en-US" w:eastAsia="zh-CN"/>
                    </w:rPr>
                    <w:t>因子</w:t>
                  </w:r>
                </w:p>
              </w:tc>
              <w:tc>
                <w:tcPr>
                  <w:tcW w:w="1995" w:type="dxa"/>
                  <w:tcBorders>
                    <w:right w:val="single" w:color="auto" w:sz="4" w:space="0"/>
                  </w:tcBorders>
                  <w:vAlign w:val="center"/>
                </w:tcPr>
                <w:p>
                  <w:pPr>
                    <w:jc w:val="center"/>
                    <w:rPr>
                      <w:color w:val="auto"/>
                    </w:rPr>
                  </w:pPr>
                  <w:r>
                    <w:rPr>
                      <w:color w:val="auto"/>
                    </w:rPr>
                    <w:t>监测频</w:t>
                  </w:r>
                  <w:r>
                    <w:rPr>
                      <w:rFonts w:hint="eastAsia"/>
                      <w:color w:val="auto"/>
                      <w:lang w:val="en-US" w:eastAsia="zh-CN"/>
                    </w:rPr>
                    <w:t>次</w:t>
                  </w:r>
                </w:p>
              </w:tc>
              <w:tc>
                <w:tcPr>
                  <w:tcW w:w="1710" w:type="dxa"/>
                  <w:tcBorders>
                    <w:left w:val="single" w:color="auto" w:sz="4" w:space="0"/>
                  </w:tcBorders>
                  <w:vAlign w:val="center"/>
                </w:tcPr>
                <w:p>
                  <w:pPr>
                    <w:jc w:val="center"/>
                    <w:rPr>
                      <w:rFonts w:hint="eastAsia"/>
                      <w:color w:val="auto"/>
                      <w:lang w:val="en-US" w:eastAsia="zh-CN"/>
                    </w:rPr>
                  </w:pPr>
                  <w:r>
                    <w:rPr>
                      <w:rFonts w:hint="eastAsia"/>
                      <w:color w:val="auto"/>
                      <w:lang w:val="en-US" w:eastAsia="zh-CN"/>
                    </w:rPr>
                    <w:t>排放标准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8" w:hRule="atLeast"/>
                <w:jc w:val="center"/>
              </w:trPr>
              <w:tc>
                <w:tcPr>
                  <w:tcW w:w="1568" w:type="dxa"/>
                  <w:vMerge w:val="restart"/>
                  <w:vAlign w:val="center"/>
                </w:tcPr>
                <w:p>
                  <w:pPr>
                    <w:adjustRightInd w:val="0"/>
                    <w:snapToGrid w:val="0"/>
                    <w:jc w:val="center"/>
                    <w:rPr>
                      <w:rFonts w:hint="eastAsia"/>
                      <w:color w:val="auto"/>
                      <w:lang w:val="en-US" w:eastAsia="zh-CN"/>
                    </w:rPr>
                  </w:pPr>
                  <w:r>
                    <w:rPr>
                      <w:rFonts w:hint="eastAsia"/>
                      <w:color w:val="auto"/>
                      <w:lang w:val="en-US" w:eastAsia="zh-CN"/>
                    </w:rPr>
                    <w:t>职工食堂</w:t>
                  </w:r>
                </w:p>
                <w:p>
                  <w:pPr>
                    <w:adjustRightInd w:val="0"/>
                    <w:snapToGrid w:val="0"/>
                    <w:jc w:val="center"/>
                    <w:rPr>
                      <w:rFonts w:hint="eastAsia"/>
                      <w:color w:val="auto"/>
                      <w:lang w:val="en-US" w:eastAsia="zh-CN"/>
                    </w:rPr>
                  </w:pPr>
                  <w:r>
                    <w:rPr>
                      <w:rFonts w:hint="eastAsia"/>
                      <w:color w:val="auto"/>
                      <w:lang w:val="en-US" w:eastAsia="zh-CN"/>
                    </w:rPr>
                    <w:t>油烟废气</w:t>
                  </w:r>
                </w:p>
              </w:tc>
              <w:tc>
                <w:tcPr>
                  <w:tcW w:w="2656" w:type="dxa"/>
                  <w:vAlign w:val="center"/>
                </w:tcPr>
                <w:p>
                  <w:pPr>
                    <w:adjustRightInd w:val="0"/>
                    <w:snapToGrid w:val="0"/>
                    <w:jc w:val="center"/>
                    <w:rPr>
                      <w:color w:val="auto"/>
                    </w:rPr>
                  </w:pPr>
                  <w:r>
                    <w:rPr>
                      <w:rFonts w:hint="eastAsia"/>
                      <w:color w:val="auto"/>
                      <w:sz w:val="21"/>
                      <w:szCs w:val="21"/>
                      <w:lang w:val="en-US" w:eastAsia="zh-CN"/>
                    </w:rPr>
                    <w:t>107#单体食堂油烟排气筒</w:t>
                  </w:r>
                </w:p>
              </w:tc>
              <w:tc>
                <w:tcPr>
                  <w:tcW w:w="1417" w:type="dxa"/>
                  <w:vAlign w:val="center"/>
                </w:tcPr>
                <w:p>
                  <w:pPr>
                    <w:adjustRightInd w:val="0"/>
                    <w:snapToGrid w:val="0"/>
                    <w:jc w:val="center"/>
                    <w:rPr>
                      <w:rFonts w:hint="eastAsia"/>
                      <w:color w:val="auto"/>
                      <w:lang w:val="en-US" w:eastAsia="zh-CN"/>
                    </w:rPr>
                  </w:pPr>
                  <w:r>
                    <w:rPr>
                      <w:rFonts w:hint="eastAsia"/>
                      <w:color w:val="auto"/>
                      <w:lang w:val="en-US" w:eastAsia="zh-CN"/>
                    </w:rPr>
                    <w:t>油烟</w:t>
                  </w:r>
                </w:p>
              </w:tc>
              <w:tc>
                <w:tcPr>
                  <w:tcW w:w="1995" w:type="dxa"/>
                  <w:tcBorders>
                    <w:right w:val="single" w:color="auto" w:sz="4" w:space="0"/>
                  </w:tcBorders>
                  <w:vAlign w:val="center"/>
                </w:tcPr>
                <w:p>
                  <w:pPr>
                    <w:jc w:val="center"/>
                    <w:rPr>
                      <w:color w:val="auto"/>
                    </w:rPr>
                  </w:pPr>
                  <w:r>
                    <w:rPr>
                      <w:color w:val="auto"/>
                    </w:rPr>
                    <w:t>每</w:t>
                  </w:r>
                  <w:r>
                    <w:rPr>
                      <w:rFonts w:hint="eastAsia"/>
                      <w:color w:val="auto"/>
                    </w:rPr>
                    <w:t>半年</w:t>
                  </w:r>
                  <w:r>
                    <w:rPr>
                      <w:color w:val="auto"/>
                    </w:rPr>
                    <w:t>一次</w:t>
                  </w:r>
                </w:p>
              </w:tc>
              <w:tc>
                <w:tcPr>
                  <w:tcW w:w="1710" w:type="dxa"/>
                  <w:vMerge w:val="restart"/>
                  <w:tcBorders>
                    <w:left w:val="single" w:color="auto" w:sz="4" w:space="0"/>
                  </w:tcBorders>
                  <w:vAlign w:val="center"/>
                </w:tcPr>
                <w:p>
                  <w:pPr>
                    <w:jc w:val="center"/>
                    <w:rPr>
                      <w:color w:val="auto"/>
                    </w:rPr>
                  </w:pPr>
                  <w:r>
                    <w:rPr>
                      <w:rFonts w:hint="eastAsia"/>
                      <w:color w:val="auto"/>
                    </w:rPr>
                    <w:t>《饮食业油烟排放标准》限值</w:t>
                  </w:r>
                  <w:r>
                    <w:rPr>
                      <w:rFonts w:hint="eastAsia"/>
                      <w:color w:val="auto"/>
                      <w:lang w:val="en-US" w:eastAsia="zh-CN"/>
                    </w:rPr>
                    <w:t>要求（2.0mg/m</w:t>
                  </w:r>
                  <w:r>
                    <w:rPr>
                      <w:rFonts w:hint="eastAsia"/>
                      <w:color w:val="auto"/>
                      <w:vertAlign w:val="superscript"/>
                      <w:lang w:val="en-US" w:eastAsia="zh-CN"/>
                    </w:rPr>
                    <w:t>3</w:t>
                  </w:r>
                  <w:r>
                    <w:rPr>
                      <w:rFonts w:hint="eastAsia"/>
                      <w:color w:val="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3" w:hRule="atLeast"/>
                <w:jc w:val="center"/>
              </w:trPr>
              <w:tc>
                <w:tcPr>
                  <w:tcW w:w="1568" w:type="dxa"/>
                  <w:vMerge w:val="continue"/>
                  <w:vAlign w:val="center"/>
                </w:tcPr>
                <w:p>
                  <w:pPr>
                    <w:jc w:val="center"/>
                    <w:rPr>
                      <w:rFonts w:hint="eastAsia"/>
                      <w:color w:val="auto"/>
                    </w:rPr>
                  </w:pPr>
                </w:p>
              </w:tc>
              <w:tc>
                <w:tcPr>
                  <w:tcW w:w="2656" w:type="dxa"/>
                  <w:vAlign w:val="center"/>
                </w:tcPr>
                <w:p>
                  <w:pPr>
                    <w:adjustRightInd w:val="0"/>
                    <w:snapToGrid w:val="0"/>
                    <w:jc w:val="center"/>
                    <w:rPr>
                      <w:rFonts w:hint="eastAsia"/>
                      <w:color w:val="auto"/>
                      <w:lang w:val="en-US" w:eastAsia="zh-CN"/>
                    </w:rPr>
                  </w:pPr>
                  <w:r>
                    <w:rPr>
                      <w:rFonts w:hint="eastAsia"/>
                      <w:color w:val="auto"/>
                      <w:sz w:val="21"/>
                      <w:szCs w:val="21"/>
                      <w:lang w:val="en-US" w:eastAsia="zh-CN"/>
                    </w:rPr>
                    <w:t>108#单体食堂油烟排气筒</w:t>
                  </w:r>
                </w:p>
              </w:tc>
              <w:tc>
                <w:tcPr>
                  <w:tcW w:w="1417" w:type="dxa"/>
                  <w:vAlign w:val="center"/>
                </w:tcPr>
                <w:p>
                  <w:pPr>
                    <w:adjustRightInd w:val="0"/>
                    <w:snapToGrid w:val="0"/>
                    <w:jc w:val="center"/>
                    <w:rPr>
                      <w:rFonts w:hint="eastAsia"/>
                      <w:color w:val="auto"/>
                      <w:lang w:val="en-US" w:eastAsia="zh-CN"/>
                    </w:rPr>
                  </w:pPr>
                  <w:r>
                    <w:rPr>
                      <w:rFonts w:hint="eastAsia"/>
                      <w:color w:val="auto"/>
                      <w:lang w:val="en-US" w:eastAsia="zh-CN"/>
                    </w:rPr>
                    <w:t>油烟</w:t>
                  </w:r>
                </w:p>
              </w:tc>
              <w:tc>
                <w:tcPr>
                  <w:tcW w:w="1995" w:type="dxa"/>
                  <w:tcBorders>
                    <w:right w:val="single" w:color="auto" w:sz="4" w:space="0"/>
                  </w:tcBorders>
                  <w:vAlign w:val="center"/>
                </w:tcPr>
                <w:p>
                  <w:pPr>
                    <w:jc w:val="center"/>
                    <w:rPr>
                      <w:color w:val="auto"/>
                    </w:rPr>
                  </w:pPr>
                  <w:r>
                    <w:rPr>
                      <w:color w:val="auto"/>
                    </w:rPr>
                    <w:t>每</w:t>
                  </w:r>
                  <w:r>
                    <w:rPr>
                      <w:rFonts w:hint="eastAsia"/>
                      <w:color w:val="auto"/>
                    </w:rPr>
                    <w:t>半年</w:t>
                  </w:r>
                  <w:r>
                    <w:rPr>
                      <w:color w:val="auto"/>
                    </w:rPr>
                    <w:t>一次</w:t>
                  </w:r>
                </w:p>
              </w:tc>
              <w:tc>
                <w:tcPr>
                  <w:tcW w:w="1710" w:type="dxa"/>
                  <w:vMerge w:val="continue"/>
                  <w:tcBorders>
                    <w:left w:val="single" w:color="auto" w:sz="4" w:space="0"/>
                  </w:tcBorders>
                  <w:vAlign w:val="center"/>
                </w:tcPr>
                <w:p>
                  <w:pPr>
                    <w:jc w:val="center"/>
                    <w:rPr>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0" w:hRule="atLeast"/>
                <w:jc w:val="center"/>
              </w:trPr>
              <w:tc>
                <w:tcPr>
                  <w:tcW w:w="1568" w:type="dxa"/>
                  <w:vMerge w:val="continue"/>
                  <w:vAlign w:val="center"/>
                </w:tcPr>
                <w:p>
                  <w:pPr>
                    <w:adjustRightInd w:val="0"/>
                    <w:snapToGrid w:val="0"/>
                    <w:jc w:val="center"/>
                    <w:rPr>
                      <w:rFonts w:hint="eastAsia"/>
                      <w:color w:val="auto"/>
                      <w:lang w:val="en-US" w:eastAsia="zh-CN"/>
                    </w:rPr>
                  </w:pPr>
                </w:p>
              </w:tc>
              <w:tc>
                <w:tcPr>
                  <w:tcW w:w="2656" w:type="dxa"/>
                  <w:vAlign w:val="center"/>
                </w:tcPr>
                <w:p>
                  <w:pPr>
                    <w:adjustRightInd w:val="0"/>
                    <w:snapToGrid w:val="0"/>
                    <w:jc w:val="center"/>
                    <w:rPr>
                      <w:rFonts w:hint="eastAsia"/>
                      <w:color w:val="auto"/>
                      <w:lang w:val="en-US" w:eastAsia="zh-CN"/>
                    </w:rPr>
                  </w:pPr>
                  <w:r>
                    <w:rPr>
                      <w:rFonts w:hint="eastAsia"/>
                      <w:color w:val="auto"/>
                      <w:sz w:val="21"/>
                      <w:szCs w:val="21"/>
                      <w:lang w:val="en-US" w:eastAsia="zh-CN"/>
                    </w:rPr>
                    <w:t>217#单体食堂油烟排气筒</w:t>
                  </w:r>
                </w:p>
              </w:tc>
              <w:tc>
                <w:tcPr>
                  <w:tcW w:w="1417" w:type="dxa"/>
                  <w:vAlign w:val="center"/>
                </w:tcPr>
                <w:p>
                  <w:pPr>
                    <w:adjustRightInd w:val="0"/>
                    <w:snapToGrid w:val="0"/>
                    <w:jc w:val="center"/>
                    <w:rPr>
                      <w:rFonts w:hint="eastAsia"/>
                      <w:color w:val="auto"/>
                      <w:lang w:val="en-US" w:eastAsia="zh-CN"/>
                    </w:rPr>
                  </w:pPr>
                  <w:r>
                    <w:rPr>
                      <w:rFonts w:hint="eastAsia"/>
                      <w:color w:val="auto"/>
                      <w:lang w:val="en-US" w:eastAsia="zh-CN"/>
                    </w:rPr>
                    <w:t>油烟</w:t>
                  </w:r>
                </w:p>
              </w:tc>
              <w:tc>
                <w:tcPr>
                  <w:tcW w:w="1995" w:type="dxa"/>
                  <w:tcBorders>
                    <w:right w:val="single" w:color="auto" w:sz="4" w:space="0"/>
                  </w:tcBorders>
                  <w:vAlign w:val="center"/>
                </w:tcPr>
                <w:p>
                  <w:pPr>
                    <w:jc w:val="center"/>
                    <w:rPr>
                      <w:rFonts w:hint="eastAsia"/>
                      <w:color w:val="auto"/>
                      <w:lang w:val="en-US" w:eastAsia="zh-CN"/>
                    </w:rPr>
                  </w:pPr>
                  <w:r>
                    <w:rPr>
                      <w:color w:val="auto"/>
                    </w:rPr>
                    <w:t>每</w:t>
                  </w:r>
                  <w:r>
                    <w:rPr>
                      <w:rFonts w:hint="eastAsia"/>
                      <w:color w:val="auto"/>
                    </w:rPr>
                    <w:t>半年</w:t>
                  </w:r>
                  <w:r>
                    <w:rPr>
                      <w:color w:val="auto"/>
                    </w:rPr>
                    <w:t>一次</w:t>
                  </w:r>
                </w:p>
              </w:tc>
              <w:tc>
                <w:tcPr>
                  <w:tcW w:w="1710" w:type="dxa"/>
                  <w:vMerge w:val="continue"/>
                  <w:tcBorders>
                    <w:left w:val="single" w:color="auto" w:sz="4" w:space="0"/>
                  </w:tcBorders>
                  <w:vAlign w:val="center"/>
                </w:tcPr>
                <w:p>
                  <w:pPr>
                    <w:jc w:val="center"/>
                    <w:rPr>
                      <w:rFonts w:hint="eastAsia"/>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0" w:hRule="atLeast"/>
                <w:jc w:val="center"/>
              </w:trPr>
              <w:tc>
                <w:tcPr>
                  <w:tcW w:w="1568" w:type="dxa"/>
                  <w:vMerge w:val="continue"/>
                  <w:vAlign w:val="center"/>
                </w:tcPr>
                <w:p>
                  <w:pPr>
                    <w:adjustRightInd w:val="0"/>
                    <w:snapToGrid w:val="0"/>
                    <w:jc w:val="center"/>
                    <w:rPr>
                      <w:rFonts w:hint="eastAsia"/>
                      <w:color w:val="auto"/>
                      <w:lang w:val="en-US" w:eastAsia="zh-CN"/>
                    </w:rPr>
                  </w:pPr>
                </w:p>
              </w:tc>
              <w:tc>
                <w:tcPr>
                  <w:tcW w:w="2656" w:type="dxa"/>
                  <w:vAlign w:val="center"/>
                </w:tcPr>
                <w:p>
                  <w:pPr>
                    <w:adjustRightInd w:val="0"/>
                    <w:snapToGrid w:val="0"/>
                    <w:jc w:val="center"/>
                    <w:rPr>
                      <w:rFonts w:hint="eastAsia"/>
                      <w:color w:val="auto"/>
                      <w:lang w:val="en-US" w:eastAsia="zh-CN"/>
                    </w:rPr>
                  </w:pPr>
                  <w:r>
                    <w:rPr>
                      <w:rFonts w:hint="eastAsia"/>
                      <w:color w:val="auto"/>
                      <w:sz w:val="21"/>
                      <w:szCs w:val="21"/>
                      <w:lang w:val="en-US" w:eastAsia="zh-CN"/>
                    </w:rPr>
                    <w:t>321#单体食堂油烟排气筒</w:t>
                  </w:r>
                </w:p>
              </w:tc>
              <w:tc>
                <w:tcPr>
                  <w:tcW w:w="1417" w:type="dxa"/>
                  <w:vAlign w:val="center"/>
                </w:tcPr>
                <w:p>
                  <w:pPr>
                    <w:adjustRightInd w:val="0"/>
                    <w:snapToGrid w:val="0"/>
                    <w:jc w:val="center"/>
                    <w:rPr>
                      <w:rFonts w:hint="eastAsia"/>
                      <w:color w:val="auto"/>
                      <w:lang w:val="en-US" w:eastAsia="zh-CN"/>
                    </w:rPr>
                  </w:pPr>
                  <w:r>
                    <w:rPr>
                      <w:rFonts w:hint="eastAsia"/>
                      <w:color w:val="auto"/>
                      <w:lang w:val="en-US" w:eastAsia="zh-CN"/>
                    </w:rPr>
                    <w:t>油烟</w:t>
                  </w:r>
                </w:p>
              </w:tc>
              <w:tc>
                <w:tcPr>
                  <w:tcW w:w="1995" w:type="dxa"/>
                  <w:tcBorders>
                    <w:right w:val="single" w:color="auto" w:sz="4" w:space="0"/>
                  </w:tcBorders>
                  <w:vAlign w:val="center"/>
                </w:tcPr>
                <w:p>
                  <w:pPr>
                    <w:jc w:val="center"/>
                    <w:rPr>
                      <w:rFonts w:hint="eastAsia"/>
                      <w:color w:val="auto"/>
                      <w:lang w:val="en-US" w:eastAsia="zh-CN"/>
                    </w:rPr>
                  </w:pPr>
                  <w:r>
                    <w:rPr>
                      <w:color w:val="auto"/>
                    </w:rPr>
                    <w:t>每</w:t>
                  </w:r>
                  <w:r>
                    <w:rPr>
                      <w:rFonts w:hint="eastAsia"/>
                      <w:color w:val="auto"/>
                    </w:rPr>
                    <w:t>半年</w:t>
                  </w:r>
                  <w:r>
                    <w:rPr>
                      <w:color w:val="auto"/>
                    </w:rPr>
                    <w:t>一次</w:t>
                  </w:r>
                </w:p>
              </w:tc>
              <w:tc>
                <w:tcPr>
                  <w:tcW w:w="1710" w:type="dxa"/>
                  <w:vMerge w:val="continue"/>
                  <w:tcBorders>
                    <w:left w:val="single" w:color="auto" w:sz="4" w:space="0"/>
                  </w:tcBorders>
                  <w:vAlign w:val="center"/>
                </w:tcPr>
                <w:p>
                  <w:pPr>
                    <w:jc w:val="center"/>
                    <w:rPr>
                      <w:rFonts w:hint="default"/>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5" w:hRule="atLeast"/>
                <w:jc w:val="center"/>
              </w:trPr>
              <w:tc>
                <w:tcPr>
                  <w:tcW w:w="1568" w:type="dxa"/>
                  <w:vMerge w:val="continue"/>
                  <w:vAlign w:val="center"/>
                </w:tcPr>
                <w:p>
                  <w:pPr>
                    <w:adjustRightInd w:val="0"/>
                    <w:snapToGrid w:val="0"/>
                    <w:jc w:val="center"/>
                    <w:rPr>
                      <w:rFonts w:hint="eastAsia"/>
                      <w:color w:val="auto"/>
                      <w:lang w:val="en-US" w:eastAsia="zh-CN"/>
                    </w:rPr>
                  </w:pPr>
                </w:p>
              </w:tc>
              <w:tc>
                <w:tcPr>
                  <w:tcW w:w="2656" w:type="dxa"/>
                  <w:vAlign w:val="center"/>
                </w:tcPr>
                <w:p>
                  <w:pPr>
                    <w:adjustRightInd w:val="0"/>
                    <w:snapToGrid w:val="0"/>
                    <w:jc w:val="center"/>
                    <w:rPr>
                      <w:rFonts w:hint="eastAsia"/>
                      <w:color w:val="auto"/>
                      <w:lang w:val="en-US" w:eastAsia="zh-CN"/>
                    </w:rPr>
                  </w:pPr>
                  <w:r>
                    <w:rPr>
                      <w:rFonts w:hint="eastAsia"/>
                      <w:color w:val="auto"/>
                      <w:sz w:val="21"/>
                      <w:szCs w:val="21"/>
                      <w:lang w:val="en-US" w:eastAsia="zh-CN"/>
                    </w:rPr>
                    <w:t>424#单体食堂油烟排气筒</w:t>
                  </w:r>
                </w:p>
              </w:tc>
              <w:tc>
                <w:tcPr>
                  <w:tcW w:w="1417" w:type="dxa"/>
                  <w:vAlign w:val="center"/>
                </w:tcPr>
                <w:p>
                  <w:pPr>
                    <w:adjustRightInd w:val="0"/>
                    <w:snapToGrid w:val="0"/>
                    <w:jc w:val="center"/>
                    <w:rPr>
                      <w:rFonts w:hint="eastAsia"/>
                      <w:color w:val="auto"/>
                      <w:lang w:val="en-US" w:eastAsia="zh-CN"/>
                    </w:rPr>
                  </w:pPr>
                  <w:r>
                    <w:rPr>
                      <w:rFonts w:hint="eastAsia"/>
                      <w:color w:val="auto"/>
                      <w:lang w:val="en-US" w:eastAsia="zh-CN"/>
                    </w:rPr>
                    <w:t>油烟</w:t>
                  </w:r>
                </w:p>
              </w:tc>
              <w:tc>
                <w:tcPr>
                  <w:tcW w:w="1995" w:type="dxa"/>
                  <w:tcBorders>
                    <w:right w:val="single" w:color="auto" w:sz="4" w:space="0"/>
                  </w:tcBorders>
                  <w:vAlign w:val="center"/>
                </w:tcPr>
                <w:p>
                  <w:pPr>
                    <w:jc w:val="center"/>
                    <w:rPr>
                      <w:color w:val="auto"/>
                    </w:rPr>
                  </w:pPr>
                  <w:r>
                    <w:rPr>
                      <w:color w:val="auto"/>
                    </w:rPr>
                    <w:t>每</w:t>
                  </w:r>
                  <w:r>
                    <w:rPr>
                      <w:rFonts w:hint="eastAsia"/>
                      <w:color w:val="auto"/>
                    </w:rPr>
                    <w:t>半年</w:t>
                  </w:r>
                  <w:r>
                    <w:rPr>
                      <w:color w:val="auto"/>
                    </w:rPr>
                    <w:t>一次</w:t>
                  </w:r>
                </w:p>
              </w:tc>
              <w:tc>
                <w:tcPr>
                  <w:tcW w:w="1710" w:type="dxa"/>
                  <w:vMerge w:val="continue"/>
                  <w:tcBorders>
                    <w:left w:val="single" w:color="auto" w:sz="4" w:space="0"/>
                  </w:tcBorders>
                </w:tcPr>
                <w:p>
                  <w:pPr>
                    <w:jc w:val="center"/>
                    <w:rPr>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24" w:hRule="atLeast"/>
                <w:jc w:val="center"/>
              </w:trPr>
              <w:tc>
                <w:tcPr>
                  <w:tcW w:w="1568" w:type="dxa"/>
                  <w:vMerge w:val="continue"/>
                  <w:vAlign w:val="center"/>
                </w:tcPr>
                <w:p>
                  <w:pPr>
                    <w:adjustRightInd w:val="0"/>
                    <w:snapToGrid w:val="0"/>
                    <w:jc w:val="center"/>
                    <w:rPr>
                      <w:rFonts w:hint="eastAsia"/>
                      <w:color w:val="auto"/>
                      <w:lang w:val="en-US" w:eastAsia="zh-CN"/>
                    </w:rPr>
                  </w:pPr>
                </w:p>
              </w:tc>
              <w:tc>
                <w:tcPr>
                  <w:tcW w:w="2656" w:type="dxa"/>
                  <w:vAlign w:val="center"/>
                </w:tcPr>
                <w:p>
                  <w:pPr>
                    <w:adjustRightInd w:val="0"/>
                    <w:snapToGrid w:val="0"/>
                    <w:jc w:val="center"/>
                    <w:rPr>
                      <w:rFonts w:hint="eastAsia"/>
                      <w:color w:val="auto"/>
                      <w:lang w:val="en-US" w:eastAsia="zh-CN"/>
                    </w:rPr>
                  </w:pPr>
                  <w:r>
                    <w:rPr>
                      <w:rFonts w:hint="eastAsia"/>
                      <w:color w:val="auto"/>
                      <w:sz w:val="21"/>
                      <w:szCs w:val="21"/>
                      <w:lang w:val="en-US" w:eastAsia="zh-CN"/>
                    </w:rPr>
                    <w:t>633#单体食堂油烟排气筒</w:t>
                  </w:r>
                </w:p>
              </w:tc>
              <w:tc>
                <w:tcPr>
                  <w:tcW w:w="1417" w:type="dxa"/>
                  <w:vAlign w:val="center"/>
                </w:tcPr>
                <w:p>
                  <w:pPr>
                    <w:adjustRightInd w:val="0"/>
                    <w:snapToGrid w:val="0"/>
                    <w:jc w:val="center"/>
                    <w:rPr>
                      <w:rFonts w:hint="eastAsia"/>
                      <w:color w:val="auto"/>
                      <w:lang w:val="en-US" w:eastAsia="zh-CN"/>
                    </w:rPr>
                  </w:pPr>
                  <w:r>
                    <w:rPr>
                      <w:rFonts w:hint="eastAsia"/>
                      <w:color w:val="auto"/>
                      <w:lang w:val="en-US" w:eastAsia="zh-CN"/>
                    </w:rPr>
                    <w:t>油烟</w:t>
                  </w:r>
                </w:p>
              </w:tc>
              <w:tc>
                <w:tcPr>
                  <w:tcW w:w="1995" w:type="dxa"/>
                  <w:tcBorders>
                    <w:right w:val="single" w:color="auto" w:sz="4" w:space="0"/>
                  </w:tcBorders>
                  <w:vAlign w:val="center"/>
                </w:tcPr>
                <w:p>
                  <w:pPr>
                    <w:jc w:val="center"/>
                    <w:rPr>
                      <w:color w:val="auto"/>
                    </w:rPr>
                  </w:pPr>
                  <w:r>
                    <w:rPr>
                      <w:color w:val="auto"/>
                    </w:rPr>
                    <w:t>每</w:t>
                  </w:r>
                  <w:r>
                    <w:rPr>
                      <w:rFonts w:hint="eastAsia"/>
                      <w:color w:val="auto"/>
                    </w:rPr>
                    <w:t>半年</w:t>
                  </w:r>
                  <w:r>
                    <w:rPr>
                      <w:color w:val="auto"/>
                    </w:rPr>
                    <w:t>一次</w:t>
                  </w:r>
                </w:p>
              </w:tc>
              <w:tc>
                <w:tcPr>
                  <w:tcW w:w="1710" w:type="dxa"/>
                  <w:vMerge w:val="continue"/>
                  <w:tcBorders>
                    <w:left w:val="single" w:color="auto" w:sz="4" w:space="0"/>
                  </w:tcBorders>
                </w:tcPr>
                <w:p>
                  <w:pPr>
                    <w:jc w:val="center"/>
                    <w:rPr>
                      <w:rFonts w:hint="eastAsia"/>
                      <w:color w:val="auto"/>
                      <w:lang w:val="en-US" w:eastAsia="zh-CN"/>
                    </w:rPr>
                  </w:pPr>
                </w:p>
              </w:tc>
            </w:tr>
          </w:tbl>
          <w:p>
            <w:pPr>
              <w:ind w:firstLine="482" w:firstLineChars="200"/>
              <w:rPr>
                <w:b/>
                <w:bCs/>
                <w:color w:val="auto"/>
                <w:sz w:val="24"/>
              </w:rPr>
            </w:pPr>
            <w:r>
              <w:rPr>
                <w:rFonts w:hint="eastAsia"/>
                <w:b/>
                <w:bCs/>
                <w:color w:val="auto"/>
                <w:sz w:val="24"/>
                <w:lang w:val="en-US" w:eastAsia="zh-CN"/>
              </w:rPr>
              <w:t>3.2</w:t>
            </w:r>
            <w:r>
              <w:rPr>
                <w:b/>
                <w:bCs/>
                <w:color w:val="auto"/>
                <w:sz w:val="24"/>
              </w:rPr>
              <w:t>废水</w:t>
            </w:r>
          </w:p>
          <w:p>
            <w:pPr>
              <w:snapToGrid w:val="0"/>
              <w:spacing w:line="360" w:lineRule="auto"/>
              <w:ind w:firstLine="482" w:firstLineChars="200"/>
              <w:jc w:val="both"/>
              <w:rPr>
                <w:rFonts w:hint="eastAsia"/>
                <w:b/>
                <w:bCs/>
                <w:color w:val="auto"/>
                <w:sz w:val="24"/>
                <w:szCs w:val="24"/>
                <w:lang w:val="en-US" w:eastAsia="zh-CN"/>
              </w:rPr>
            </w:pPr>
            <w:r>
              <w:rPr>
                <w:rFonts w:hint="eastAsia"/>
                <w:b/>
                <w:bCs/>
                <w:color w:val="auto"/>
                <w:sz w:val="24"/>
                <w:szCs w:val="24"/>
                <w:lang w:val="en-US" w:eastAsia="zh-CN"/>
              </w:rPr>
              <w:t>3.2.1产排污环节</w:t>
            </w:r>
          </w:p>
          <w:p>
            <w:pPr>
              <w:spacing w:line="360" w:lineRule="auto"/>
              <w:ind w:firstLine="480" w:firstLineChars="200"/>
              <w:rPr>
                <w:rStyle w:val="56"/>
                <w:rFonts w:hint="eastAsia"/>
                <w:color w:val="auto"/>
                <w:lang w:eastAsia="zh-CN"/>
              </w:rPr>
            </w:pPr>
            <w:r>
              <w:rPr>
                <w:bCs/>
                <w:color w:val="auto"/>
                <w:sz w:val="24"/>
              </w:rPr>
              <w:t>本项目产生的污水主要为</w:t>
            </w:r>
            <w:r>
              <w:rPr>
                <w:rFonts w:hint="eastAsia" w:ascii="Times New Roman" w:hAnsi="Times New Roman" w:eastAsia="宋体" w:cs="Times New Roman"/>
                <w:color w:val="auto"/>
                <w:sz w:val="24"/>
                <w:szCs w:val="24"/>
              </w:rPr>
              <w:t>员工办公废水、</w:t>
            </w:r>
            <w:r>
              <w:rPr>
                <w:rFonts w:hint="eastAsia" w:ascii="Times New Roman" w:hAnsi="Times New Roman" w:eastAsia="宋体" w:cs="Times New Roman"/>
                <w:color w:val="auto"/>
                <w:sz w:val="24"/>
                <w:szCs w:val="24"/>
                <w:lang w:val="en-US" w:eastAsia="zh-CN"/>
              </w:rPr>
              <w:t>员工食堂废水、</w:t>
            </w:r>
            <w:r>
              <w:rPr>
                <w:rFonts w:hint="eastAsia" w:ascii="Times New Roman" w:hAnsi="Times New Roman" w:eastAsia="宋体" w:cs="Times New Roman"/>
                <w:color w:val="auto"/>
                <w:sz w:val="24"/>
                <w:szCs w:val="24"/>
              </w:rPr>
              <w:t>游客游览废水及游乐设备废水</w:t>
            </w:r>
            <w:r>
              <w:rPr>
                <w:rStyle w:val="56"/>
                <w:rFonts w:hint="eastAsia"/>
                <w:color w:val="auto"/>
                <w:lang w:eastAsia="zh-CN"/>
              </w:rPr>
              <w:t>。</w:t>
            </w:r>
          </w:p>
          <w:p>
            <w:pPr>
              <w:snapToGrid w:val="0"/>
              <w:spacing w:line="360" w:lineRule="auto"/>
              <w:ind w:firstLine="482" w:firstLineChars="200"/>
              <w:jc w:val="both"/>
              <w:rPr>
                <w:rFonts w:hint="eastAsia"/>
                <w:b/>
                <w:bCs/>
                <w:color w:val="auto"/>
                <w:sz w:val="24"/>
                <w:szCs w:val="24"/>
                <w:lang w:val="en-US" w:eastAsia="zh-CN"/>
              </w:rPr>
            </w:pPr>
            <w:r>
              <w:rPr>
                <w:rFonts w:hint="eastAsia"/>
                <w:b/>
                <w:bCs/>
                <w:color w:val="auto"/>
                <w:sz w:val="24"/>
                <w:szCs w:val="24"/>
                <w:lang w:val="en-US" w:eastAsia="zh-CN"/>
              </w:rPr>
              <w:t>3.2.2废水产排、治理措施情况及环境影响</w:t>
            </w:r>
          </w:p>
          <w:p>
            <w:pPr>
              <w:spacing w:line="360"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员工办公废水</w:t>
            </w:r>
            <w:r>
              <w:rPr>
                <w:rFonts w:hint="eastAsia" w:cs="Times New Roman"/>
                <w:color w:val="auto"/>
                <w:sz w:val="24"/>
                <w:szCs w:val="24"/>
                <w:lang w:eastAsia="zh-CN"/>
              </w:rPr>
              <w:t>、</w:t>
            </w:r>
            <w:r>
              <w:rPr>
                <w:rFonts w:hint="eastAsia" w:ascii="Times New Roman" w:hAnsi="Times New Roman" w:eastAsia="宋体" w:cs="Times New Roman"/>
                <w:color w:val="auto"/>
                <w:sz w:val="24"/>
                <w:szCs w:val="24"/>
              </w:rPr>
              <w:t>游客游览废水</w:t>
            </w:r>
            <w:r>
              <w:rPr>
                <w:rFonts w:hint="eastAsia" w:cs="Times New Roman"/>
                <w:color w:val="auto"/>
                <w:sz w:val="24"/>
                <w:szCs w:val="24"/>
                <w:lang w:eastAsia="zh-CN"/>
              </w:rPr>
              <w:t>、</w:t>
            </w:r>
            <w:r>
              <w:rPr>
                <w:rFonts w:hint="eastAsia" w:ascii="Times New Roman" w:hAnsi="Times New Roman" w:eastAsia="宋体" w:cs="Times New Roman"/>
                <w:color w:val="auto"/>
                <w:sz w:val="24"/>
                <w:szCs w:val="24"/>
              </w:rPr>
              <w:t>餐饮废水共计</w:t>
            </w:r>
            <w:r>
              <w:rPr>
                <w:rFonts w:hint="eastAsia" w:cs="Times New Roman"/>
                <w:color w:val="auto"/>
                <w:sz w:val="24"/>
                <w:szCs w:val="24"/>
                <w:lang w:val="en-US" w:eastAsia="zh-CN"/>
              </w:rPr>
              <w:t>108145</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/a</w:t>
            </w:r>
            <w:r>
              <w:rPr>
                <w:rFonts w:hint="eastAsia" w:ascii="Times New Roman" w:hAnsi="Times New Roman" w:eastAsia="宋体" w:cs="Times New Roman"/>
                <w:color w:val="auto"/>
                <w:sz w:val="24"/>
                <w:szCs w:val="24"/>
              </w:rPr>
              <w:t>；</w:t>
            </w:r>
            <w:r>
              <w:rPr>
                <w:rFonts w:hint="eastAsia" w:cs="Times New Roman"/>
                <w:color w:val="auto"/>
                <w:sz w:val="24"/>
                <w:szCs w:val="24"/>
                <w:lang w:val="en-US" w:eastAsia="zh-CN"/>
              </w:rPr>
              <w:t>食堂</w:t>
            </w:r>
            <w:r>
              <w:rPr>
                <w:rFonts w:hint="eastAsia" w:ascii="Times New Roman" w:hAnsi="Times New Roman" w:eastAsia="宋体" w:cs="Times New Roman"/>
                <w:color w:val="auto"/>
                <w:sz w:val="24"/>
                <w:szCs w:val="24"/>
              </w:rPr>
              <w:t>废水经过隔油池隔油后与其他生活废水一起排入化粪池，最终</w:t>
            </w:r>
            <w:r>
              <w:rPr>
                <w:rFonts w:hint="eastAsia" w:cs="Times New Roman"/>
                <w:color w:val="auto"/>
                <w:sz w:val="24"/>
                <w:szCs w:val="24"/>
                <w:lang w:val="en-US" w:eastAsia="zh-CN"/>
              </w:rPr>
              <w:t>通过</w:t>
            </w:r>
            <w:r>
              <w:rPr>
                <w:rFonts w:hint="eastAsia" w:ascii="Times New Roman" w:hAnsi="Times New Roman" w:eastAsia="宋体" w:cs="Times New Roman"/>
                <w:color w:val="auto"/>
                <w:sz w:val="24"/>
                <w:szCs w:val="24"/>
              </w:rPr>
              <w:t>市政污水管网，</w:t>
            </w:r>
            <w:r>
              <w:rPr>
                <w:rFonts w:hint="eastAsia" w:cs="Times New Roman"/>
                <w:color w:val="auto"/>
                <w:sz w:val="24"/>
                <w:szCs w:val="24"/>
                <w:lang w:val="en-US" w:eastAsia="zh-CN"/>
              </w:rPr>
              <w:t>进入泾河第三污水厂，处理后排入泾河。</w:t>
            </w:r>
          </w:p>
          <w:p>
            <w:pPr>
              <w:spacing w:line="360" w:lineRule="auto"/>
              <w:ind w:firstLine="480" w:firstLineChars="200"/>
              <w:rPr>
                <w:rFonts w:hint="eastAsia" w:ascii="Times New Roman" w:hAnsi="Times New Roman" w:eastAsia="宋体" w:cs="Times New Roman"/>
                <w:color w:val="auto"/>
                <w:sz w:val="24"/>
                <w:szCs w:val="24"/>
              </w:rPr>
            </w:pPr>
            <w:r>
              <w:rPr>
                <w:rFonts w:ascii="Times New Roman" w:hAnsi="Times New Roman" w:eastAsia="宋体" w:cs="Times New Roman"/>
                <w:color w:val="auto"/>
                <w:sz w:val="24"/>
                <w:szCs w:val="24"/>
                <w:shd w:val="clear" w:color="auto" w:fill="FFFFFF"/>
              </w:rPr>
              <w:t>项目中</w:t>
            </w:r>
            <w:r>
              <w:rPr>
                <w:rFonts w:ascii="Times New Roman" w:hAnsi="Times New Roman" w:eastAsia="宋体" w:cs="Times New Roman"/>
                <w:color w:val="auto"/>
                <w:sz w:val="24"/>
                <w:szCs w:val="24"/>
              </w:rPr>
              <w:t>娱乐用水经“</w:t>
            </w:r>
            <w:r>
              <w:rPr>
                <w:rFonts w:hint="eastAsia" w:ascii="Times New Roman" w:hAnsi="Times New Roman" w:eastAsia="宋体" w:cs="Times New Roman"/>
                <w:color w:val="auto"/>
                <w:sz w:val="24"/>
                <w:szCs w:val="24"/>
              </w:rPr>
              <w:t>循环水泵+过滤砂缸</w:t>
            </w:r>
            <w:r>
              <w:rPr>
                <w:rFonts w:ascii="Times New Roman" w:hAnsi="Times New Roman" w:eastAsia="宋体" w:cs="Times New Roman"/>
                <w:color w:val="auto"/>
                <w:sz w:val="24"/>
                <w:szCs w:val="24"/>
              </w:rPr>
              <w:t>+紫外线消毒</w:t>
            </w:r>
            <w:r>
              <w:rPr>
                <w:rFonts w:hint="eastAsia" w:ascii="Times New Roman" w:hAnsi="Times New Roman" w:eastAsia="宋体" w:cs="Times New Roman"/>
                <w:color w:val="auto"/>
                <w:sz w:val="24"/>
                <w:szCs w:val="24"/>
              </w:rPr>
              <w:t>+</w:t>
            </w:r>
            <w:r>
              <w:rPr>
                <w:rFonts w:ascii="Times New Roman" w:hAnsi="Times New Roman" w:eastAsia="宋体" w:cs="Times New Roman"/>
                <w:color w:val="auto"/>
                <w:sz w:val="24"/>
                <w:szCs w:val="24"/>
              </w:rPr>
              <w:t>消毒剂（次氯酸钠）投药”处理后循环使用</w:t>
            </w:r>
            <w:r>
              <w:rPr>
                <w:rFonts w:ascii="Times New Roman" w:hAnsi="Times New Roman" w:eastAsia="宋体" w:cs="Times New Roman"/>
                <w:color w:val="auto"/>
                <w:sz w:val="24"/>
                <w:szCs w:val="24"/>
                <w:shd w:val="clear" w:color="auto" w:fill="FFFFFF"/>
              </w:rPr>
              <w:t>。</w:t>
            </w:r>
            <w:r>
              <w:rPr>
                <w:rFonts w:hint="eastAsia" w:cs="Times New Roman"/>
                <w:color w:val="auto"/>
                <w:sz w:val="24"/>
                <w:szCs w:val="24"/>
                <w:shd w:val="clear" w:color="auto" w:fill="FFFFFF"/>
                <w:lang w:val="en-US" w:eastAsia="zh-CN"/>
              </w:rPr>
              <w:t>但</w:t>
            </w:r>
            <w:r>
              <w:rPr>
                <w:rFonts w:hint="eastAsia" w:ascii="Times New Roman" w:hAnsi="Times New Roman" w:eastAsia="宋体" w:cs="Times New Roman"/>
                <w:color w:val="auto"/>
                <w:sz w:val="24"/>
                <w:szCs w:val="24"/>
                <w:shd w:val="clear" w:color="auto" w:fill="FFFFFF"/>
              </w:rPr>
              <w:t>互动战船和情景激流勇进</w:t>
            </w:r>
            <w:r>
              <w:rPr>
                <w:rFonts w:hint="eastAsia" w:cs="Times New Roman"/>
                <w:color w:val="auto"/>
                <w:sz w:val="24"/>
                <w:szCs w:val="24"/>
                <w:shd w:val="clear" w:color="auto" w:fill="FFFFFF"/>
                <w:lang w:val="en-US" w:eastAsia="zh-CN"/>
              </w:rPr>
              <w:t>2个</w:t>
            </w:r>
            <w:r>
              <w:rPr>
                <w:rFonts w:hint="eastAsia" w:ascii="Times New Roman" w:hAnsi="Times New Roman" w:eastAsia="宋体" w:cs="Times New Roman"/>
                <w:color w:val="auto"/>
                <w:sz w:val="24"/>
                <w:szCs w:val="24"/>
              </w:rPr>
              <w:t>游乐设备</w:t>
            </w:r>
            <w:r>
              <w:rPr>
                <w:rFonts w:hint="eastAsia" w:ascii="Times New Roman" w:hAnsi="Times New Roman" w:cs="Times New Roman"/>
                <w:color w:val="auto"/>
                <w:sz w:val="24"/>
                <w:szCs w:val="24"/>
                <w:lang w:val="en-US" w:eastAsia="zh-CN"/>
              </w:rPr>
              <w:t>定期</w:t>
            </w:r>
            <w:r>
              <w:rPr>
                <w:rFonts w:hint="eastAsia" w:ascii="Times New Roman" w:hAnsi="Times New Roman" w:eastAsia="宋体" w:cs="Times New Roman"/>
                <w:color w:val="auto"/>
                <w:sz w:val="24"/>
                <w:szCs w:val="24"/>
              </w:rPr>
              <w:t>排放</w:t>
            </w:r>
            <w:r>
              <w:rPr>
                <w:rFonts w:hint="eastAsia" w:cs="Times New Roman"/>
                <w:color w:val="auto"/>
                <w:sz w:val="24"/>
                <w:szCs w:val="24"/>
                <w:lang w:val="en-US" w:eastAsia="zh-CN"/>
              </w:rPr>
              <w:t>废水</w:t>
            </w:r>
            <w:r>
              <w:rPr>
                <w:rFonts w:hint="eastAsia" w:ascii="Times New Roman" w:hAnsi="Times New Roman" w:eastAsia="宋体" w:cs="Times New Roman"/>
                <w:color w:val="auto"/>
                <w:sz w:val="24"/>
                <w:szCs w:val="24"/>
              </w:rPr>
              <w:t>量为</w:t>
            </w:r>
            <w:r>
              <w:rPr>
                <w:rFonts w:hint="eastAsia" w:cs="Times New Roman"/>
                <w:color w:val="auto"/>
                <w:sz w:val="24"/>
                <w:szCs w:val="24"/>
                <w:lang w:val="en-US" w:eastAsia="zh-CN"/>
              </w:rPr>
              <w:t>360</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/d</w:t>
            </w:r>
            <w:r>
              <w:rPr>
                <w:rFonts w:hint="eastAsia"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11</w:t>
            </w:r>
            <w:r>
              <w:rPr>
                <w:rFonts w:hint="eastAsia" w:cs="Times New Roman"/>
                <w:color w:val="auto"/>
                <w:sz w:val="24"/>
                <w:szCs w:val="24"/>
                <w:lang w:val="en-US" w:eastAsia="zh-CN"/>
              </w:rPr>
              <w:t>198.2</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/a</w:t>
            </w:r>
            <w:r>
              <w:rPr>
                <w:rFonts w:hint="eastAsia" w:ascii="Times New Roman" w:hAnsi="Times New Roman" w:eastAsia="宋体" w:cs="Times New Roman"/>
                <w:color w:val="auto"/>
                <w:sz w:val="24"/>
                <w:szCs w:val="24"/>
              </w:rPr>
              <w:t>）</w:t>
            </w:r>
            <w:r>
              <w:rPr>
                <w:rFonts w:hint="eastAsia" w:cs="Times New Roman"/>
                <w:color w:val="auto"/>
                <w:sz w:val="24"/>
                <w:szCs w:val="24"/>
                <w:lang w:eastAsia="zh-CN"/>
              </w:rPr>
              <w:t>，</w:t>
            </w:r>
            <w:r>
              <w:rPr>
                <w:rFonts w:hint="eastAsia" w:ascii="Times New Roman" w:hAnsi="Times New Roman" w:eastAsia="宋体" w:cs="Times New Roman"/>
                <w:color w:val="auto"/>
                <w:sz w:val="24"/>
                <w:szCs w:val="24"/>
              </w:rPr>
              <w:t>反冲洗废水排放量为</w:t>
            </w:r>
            <w:r>
              <w:rPr>
                <w:rFonts w:hint="eastAsia" w:cs="Times New Roman"/>
                <w:color w:val="auto"/>
                <w:sz w:val="24"/>
                <w:szCs w:val="24"/>
                <w:lang w:val="en-US" w:eastAsia="zh-CN"/>
              </w:rPr>
              <w:t>3.48</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/d</w:t>
            </w:r>
            <w:r>
              <w:rPr>
                <w:rFonts w:hint="eastAsia"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1270.2</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/a</w:t>
            </w:r>
            <w:r>
              <w:rPr>
                <w:rFonts w:hint="eastAsia" w:ascii="Times New Roman" w:hAnsi="Times New Roman" w:eastAsia="宋体" w:cs="Times New Roman"/>
                <w:color w:val="auto"/>
                <w:sz w:val="24"/>
                <w:szCs w:val="24"/>
              </w:rPr>
              <w:t>），娱乐废水共计</w:t>
            </w:r>
            <w:r>
              <w:rPr>
                <w:rFonts w:hint="eastAsia" w:cs="Times New Roman"/>
                <w:color w:val="auto"/>
                <w:sz w:val="24"/>
                <w:szCs w:val="24"/>
                <w:lang w:val="en-US" w:eastAsia="zh-CN"/>
              </w:rPr>
              <w:t>12468.4</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/a</w:t>
            </w:r>
            <w:r>
              <w:rPr>
                <w:rFonts w:hint="eastAsia" w:cs="Times New Roman"/>
                <w:color w:val="auto"/>
                <w:sz w:val="24"/>
                <w:szCs w:val="24"/>
                <w:lang w:eastAsia="zh-CN"/>
              </w:rPr>
              <w:t>，</w:t>
            </w:r>
            <w:r>
              <w:rPr>
                <w:rFonts w:hint="eastAsia" w:ascii="Times New Roman" w:hAnsi="Times New Roman" w:eastAsia="宋体" w:cs="Times New Roman"/>
                <w:color w:val="auto"/>
                <w:sz w:val="24"/>
                <w:szCs w:val="24"/>
              </w:rPr>
              <w:t>娱乐废水排入市政污水管网；</w:t>
            </w:r>
          </w:p>
          <w:p>
            <w:pPr>
              <w:spacing w:line="360" w:lineRule="auto"/>
              <w:ind w:firstLine="480" w:firstLineChars="200"/>
              <w:rPr>
                <w:rFonts w:hint="eastAsia" w:ascii="Times New Roman" w:hAnsi="Times New Roman" w:eastAsia="宋体" w:cs="Times New Roman"/>
                <w:color w:val="auto"/>
                <w:sz w:val="24"/>
                <w:szCs w:val="24"/>
                <w:shd w:val="clear" w:color="auto" w:fill="FFFFFF"/>
                <w:lang w:val="en-US" w:eastAsia="zh-CN"/>
              </w:rPr>
            </w:pPr>
            <w:r>
              <w:rPr>
                <w:rFonts w:hint="eastAsia" w:cs="Times New Roman"/>
                <w:color w:val="auto"/>
                <w:sz w:val="24"/>
                <w:szCs w:val="24"/>
                <w:shd w:val="clear" w:color="auto" w:fill="FFFFFF"/>
                <w:lang w:val="en-US" w:eastAsia="zh-CN"/>
              </w:rPr>
              <w:t>冷却塔排水量为225</w:t>
            </w:r>
            <w:r>
              <w:rPr>
                <w:rFonts w:hint="eastAsia" w:ascii="Times New Roman" w:hAnsi="Times New Roman" w:eastAsia="宋体" w:cs="Times New Roman"/>
                <w:color w:val="auto"/>
                <w:sz w:val="24"/>
                <w:szCs w:val="24"/>
                <w:shd w:val="clear" w:color="auto" w:fill="FFFFFF"/>
                <w:lang w:val="en-US" w:eastAsia="zh-CN"/>
              </w:rPr>
              <w:t>m</w:t>
            </w:r>
            <w:r>
              <w:rPr>
                <w:rFonts w:hint="eastAsia" w:ascii="Times New Roman" w:hAnsi="Times New Roman" w:eastAsia="宋体" w:cs="Times New Roman"/>
                <w:color w:val="auto"/>
                <w:sz w:val="24"/>
                <w:szCs w:val="24"/>
                <w:shd w:val="clear" w:color="auto" w:fill="FFFFFF"/>
                <w:vertAlign w:val="superscript"/>
                <w:lang w:val="en-US" w:eastAsia="zh-CN"/>
              </w:rPr>
              <w:t>3</w:t>
            </w:r>
            <w:r>
              <w:rPr>
                <w:rFonts w:hint="eastAsia" w:ascii="Times New Roman" w:hAnsi="Times New Roman" w:eastAsia="宋体" w:cs="Times New Roman"/>
                <w:color w:val="auto"/>
                <w:sz w:val="24"/>
                <w:szCs w:val="24"/>
                <w:shd w:val="clear" w:color="auto" w:fill="FFFFFF"/>
                <w:lang w:val="en-US" w:eastAsia="zh-CN"/>
              </w:rPr>
              <w:t>/d（</w:t>
            </w:r>
            <w:r>
              <w:rPr>
                <w:rFonts w:hint="eastAsia" w:cs="Times New Roman"/>
                <w:color w:val="auto"/>
                <w:sz w:val="24"/>
                <w:szCs w:val="24"/>
                <w:shd w:val="clear" w:color="auto" w:fill="FFFFFF"/>
                <w:lang w:val="en-US" w:eastAsia="zh-CN"/>
              </w:rPr>
              <w:t>27000</w:t>
            </w:r>
            <w:r>
              <w:rPr>
                <w:rFonts w:hint="eastAsia" w:ascii="Times New Roman" w:hAnsi="Times New Roman" w:eastAsia="宋体" w:cs="Times New Roman"/>
                <w:color w:val="auto"/>
                <w:sz w:val="24"/>
                <w:szCs w:val="24"/>
                <w:shd w:val="clear" w:color="auto" w:fill="FFFFFF"/>
                <w:lang w:val="en-US" w:eastAsia="zh-CN"/>
              </w:rPr>
              <w:t>m</w:t>
            </w:r>
            <w:r>
              <w:rPr>
                <w:rFonts w:hint="eastAsia" w:ascii="Times New Roman" w:hAnsi="Times New Roman" w:eastAsia="宋体" w:cs="Times New Roman"/>
                <w:color w:val="auto"/>
                <w:sz w:val="24"/>
                <w:szCs w:val="24"/>
                <w:shd w:val="clear" w:color="auto" w:fill="FFFFFF"/>
                <w:vertAlign w:val="superscript"/>
                <w:lang w:val="en-US" w:eastAsia="zh-CN"/>
              </w:rPr>
              <w:t>3</w:t>
            </w:r>
            <w:r>
              <w:rPr>
                <w:rFonts w:hint="eastAsia" w:ascii="Times New Roman" w:hAnsi="Times New Roman" w:eastAsia="宋体" w:cs="Times New Roman"/>
                <w:color w:val="auto"/>
                <w:sz w:val="24"/>
                <w:szCs w:val="24"/>
                <w:shd w:val="clear" w:color="auto" w:fill="FFFFFF"/>
                <w:lang w:val="en-US" w:eastAsia="zh-CN"/>
              </w:rPr>
              <w:t>/a）。</w:t>
            </w:r>
          </w:p>
          <w:p>
            <w:pPr>
              <w:spacing w:line="360" w:lineRule="auto"/>
              <w:ind w:firstLine="480"/>
              <w:rPr>
                <w:rFonts w:hint="eastAsia"/>
                <w:color w:val="auto"/>
                <w:sz w:val="24"/>
              </w:rPr>
            </w:pPr>
            <w:r>
              <w:rPr>
                <w:rFonts w:hint="eastAsia" w:ascii="Times New Roman" w:hAnsi="Times New Roman" w:eastAsia="宋体" w:cs="Times New Roman"/>
                <w:color w:val="auto"/>
                <w:sz w:val="24"/>
                <w:szCs w:val="24"/>
              </w:rPr>
              <w:t>类别</w:t>
            </w:r>
            <w:r>
              <w:rPr>
                <w:rFonts w:hint="eastAsia" w:cs="Times New Roman"/>
                <w:color w:val="auto"/>
                <w:sz w:val="24"/>
                <w:szCs w:val="24"/>
                <w:lang w:val="en-US" w:eastAsia="zh-CN"/>
              </w:rPr>
              <w:t>同类</w:t>
            </w:r>
            <w:r>
              <w:rPr>
                <w:rFonts w:hint="eastAsia" w:ascii="Times New Roman" w:hAnsi="Times New Roman" w:eastAsia="宋体" w:cs="Times New Roman"/>
                <w:color w:val="auto"/>
                <w:sz w:val="24"/>
                <w:szCs w:val="24"/>
              </w:rPr>
              <w:t>项目</w:t>
            </w:r>
            <w:r>
              <w:rPr>
                <w:rFonts w:hint="eastAsia" w:cs="Times New Roman"/>
                <w:color w:val="auto"/>
                <w:sz w:val="24"/>
                <w:szCs w:val="24"/>
                <w:lang w:eastAsia="zh-CN"/>
              </w:rPr>
              <w:t>，</w:t>
            </w:r>
            <w:r>
              <w:rPr>
                <w:rFonts w:hint="eastAsia" w:ascii="Times New Roman" w:hAnsi="Times New Roman" w:eastAsia="宋体" w:cs="Times New Roman"/>
                <w:color w:val="auto"/>
                <w:sz w:val="24"/>
                <w:szCs w:val="24"/>
              </w:rPr>
              <w:t>化粪池出口污水的浓度为COD≤280mg/l、BOD</w:t>
            </w:r>
            <w:r>
              <w:rPr>
                <w:rFonts w:hint="eastAsia" w:ascii="Times New Roman" w:hAnsi="Times New Roman" w:eastAsia="宋体" w:cs="Times New Roman"/>
                <w:color w:val="auto"/>
                <w:sz w:val="24"/>
                <w:szCs w:val="24"/>
                <w:vertAlign w:val="subscript"/>
              </w:rPr>
              <w:t>5</w:t>
            </w:r>
            <w:r>
              <w:rPr>
                <w:rFonts w:hint="eastAsia" w:ascii="Times New Roman" w:hAnsi="Times New Roman" w:eastAsia="宋体" w:cs="Times New Roman"/>
                <w:color w:val="auto"/>
                <w:sz w:val="24"/>
                <w:szCs w:val="24"/>
              </w:rPr>
              <w:t>≤140mg/l、氨氮≤24.3mg/l、SS≤140mg/l，动植物油≤20mg/l；根据建设单位提供资料，类比同类型乐园水质，娱乐废水水质约为COD≤60mg/l、BOD</w:t>
            </w:r>
            <w:r>
              <w:rPr>
                <w:rFonts w:hint="eastAsia" w:ascii="Times New Roman" w:hAnsi="Times New Roman" w:eastAsia="宋体" w:cs="Times New Roman"/>
                <w:color w:val="auto"/>
                <w:sz w:val="24"/>
                <w:szCs w:val="24"/>
                <w:vertAlign w:val="subscript"/>
              </w:rPr>
              <w:t>5</w:t>
            </w:r>
            <w:r>
              <w:rPr>
                <w:rFonts w:hint="eastAsia" w:ascii="Times New Roman" w:hAnsi="Times New Roman" w:eastAsia="宋体" w:cs="Times New Roman"/>
                <w:color w:val="auto"/>
                <w:sz w:val="24"/>
                <w:szCs w:val="24"/>
              </w:rPr>
              <w:t>≤20mg/l、氨氮≤8mg/l、SS≤30mg/l、磷酸盐≤0.5mg/l</w:t>
            </w:r>
            <w:r>
              <w:rPr>
                <w:rFonts w:hint="eastAsia" w:cs="Times New Roman"/>
                <w:color w:val="auto"/>
                <w:sz w:val="24"/>
                <w:szCs w:val="24"/>
                <w:lang w:eastAsia="zh-CN"/>
              </w:rPr>
              <w:t>；</w:t>
            </w:r>
            <w:r>
              <w:rPr>
                <w:rFonts w:hint="eastAsia" w:cs="Times New Roman"/>
                <w:color w:val="auto"/>
                <w:sz w:val="24"/>
                <w:szCs w:val="24"/>
                <w:lang w:val="en-US" w:eastAsia="zh-CN"/>
              </w:rPr>
              <w:t>冷却塔</w:t>
            </w:r>
            <w:r>
              <w:rPr>
                <w:rFonts w:hint="eastAsia"/>
                <w:color w:val="auto"/>
                <w:sz w:val="24"/>
              </w:rPr>
              <w:t>废水水质为</w:t>
            </w:r>
            <w:r>
              <w:rPr>
                <w:color w:val="auto"/>
                <w:sz w:val="24"/>
              </w:rPr>
              <w:t>COD</w:t>
            </w:r>
            <w:r>
              <w:rPr>
                <w:rFonts w:hint="eastAsia"/>
                <w:color w:val="auto"/>
                <w:sz w:val="24"/>
              </w:rPr>
              <w:t>：35</w:t>
            </w:r>
            <w:r>
              <w:rPr>
                <w:color w:val="auto"/>
                <w:sz w:val="24"/>
              </w:rPr>
              <w:t>mg/L</w:t>
            </w:r>
            <w:r>
              <w:rPr>
                <w:rFonts w:hint="eastAsia" w:ascii="Times New Roman" w:hAnsi="Times New Roman" w:eastAsia="宋体" w:cs="Times New Roman"/>
                <w:color w:val="auto"/>
                <w:sz w:val="24"/>
                <w:szCs w:val="24"/>
              </w:rPr>
              <w:t>、</w:t>
            </w:r>
            <w:r>
              <w:rPr>
                <w:color w:val="auto"/>
                <w:sz w:val="24"/>
              </w:rPr>
              <w:t>S</w:t>
            </w:r>
            <w:r>
              <w:rPr>
                <w:rFonts w:hint="eastAsia"/>
                <w:color w:val="auto"/>
                <w:sz w:val="24"/>
              </w:rPr>
              <w:t>S</w:t>
            </w:r>
            <w:r>
              <w:rPr>
                <w:rFonts w:hint="eastAsia"/>
                <w:color w:val="auto"/>
                <w:sz w:val="24"/>
                <w:lang w:eastAsia="zh-CN"/>
              </w:rPr>
              <w:t>：</w:t>
            </w:r>
            <w:r>
              <w:rPr>
                <w:rFonts w:hint="eastAsia"/>
                <w:color w:val="auto"/>
                <w:sz w:val="24"/>
              </w:rPr>
              <w:t>50</w:t>
            </w:r>
            <w:r>
              <w:rPr>
                <w:color w:val="auto"/>
                <w:sz w:val="24"/>
              </w:rPr>
              <w:t>mg/L</w:t>
            </w:r>
            <w:r>
              <w:rPr>
                <w:rFonts w:hint="eastAsia"/>
                <w:color w:val="auto"/>
                <w:sz w:val="24"/>
                <w:lang w:eastAsia="zh-CN"/>
              </w:rPr>
              <w:t>。</w:t>
            </w:r>
          </w:p>
          <w:p>
            <w:pPr>
              <w:spacing w:line="360" w:lineRule="auto"/>
              <w:ind w:firstLine="480"/>
              <w:rPr>
                <w:rFonts w:hint="default"/>
                <w:color w:val="auto"/>
                <w:sz w:val="24"/>
                <w:lang w:val="en-US" w:eastAsia="zh-CN"/>
              </w:rPr>
            </w:pPr>
            <w:r>
              <w:rPr>
                <w:rFonts w:hint="eastAsia" w:ascii="Times New Roman" w:hAnsi="Times New Roman" w:eastAsia="宋体" w:cs="Times New Roman"/>
                <w:color w:val="auto"/>
                <w:sz w:val="24"/>
                <w:szCs w:val="24"/>
              </w:rPr>
              <w:t>该废水经各水池配套的水循环净化系统处理后，</w:t>
            </w:r>
            <w:r>
              <w:rPr>
                <w:rFonts w:hint="eastAsia" w:cs="Times New Roman"/>
                <w:color w:val="auto"/>
                <w:sz w:val="24"/>
                <w:szCs w:val="24"/>
                <w:lang w:val="en-US" w:eastAsia="zh-CN"/>
              </w:rPr>
              <w:t>废水水质满足</w:t>
            </w:r>
            <w:r>
              <w:rPr>
                <w:rFonts w:hint="eastAsia"/>
                <w:color w:val="auto"/>
                <w:sz w:val="24"/>
                <w:lang w:val="en-GB" w:eastAsia="zh-CN"/>
              </w:rPr>
              <w:t>GB8978-1996三级标准</w:t>
            </w:r>
            <w:r>
              <w:rPr>
                <w:rFonts w:hint="eastAsia"/>
                <w:color w:val="auto"/>
                <w:sz w:val="24"/>
                <w:lang w:val="en-US" w:eastAsia="zh-CN"/>
              </w:rPr>
              <w:t>及GB/T31962-2015中的B级标准</w:t>
            </w:r>
            <w:r>
              <w:rPr>
                <w:rFonts w:hint="default"/>
                <w:color w:val="auto"/>
                <w:sz w:val="24"/>
                <w:lang w:val="en-US" w:eastAsia="zh-CN"/>
              </w:rPr>
              <w:t>要求，</w:t>
            </w:r>
            <w:r>
              <w:rPr>
                <w:rFonts w:hint="eastAsia"/>
                <w:color w:val="auto"/>
                <w:sz w:val="24"/>
                <w:lang w:val="en-US" w:eastAsia="zh-CN"/>
              </w:rPr>
              <w:t>通过9个废水排放口进入</w:t>
            </w:r>
            <w:r>
              <w:rPr>
                <w:rFonts w:hint="default"/>
                <w:color w:val="auto"/>
                <w:sz w:val="24"/>
                <w:lang w:val="en-US" w:eastAsia="zh-CN"/>
              </w:rPr>
              <w:t>市政污水管网</w:t>
            </w:r>
            <w:r>
              <w:rPr>
                <w:rFonts w:hint="eastAsia"/>
                <w:color w:val="auto"/>
                <w:sz w:val="24"/>
                <w:lang w:val="en-US" w:eastAsia="zh-CN"/>
              </w:rPr>
              <w:t>，</w:t>
            </w:r>
            <w:r>
              <w:rPr>
                <w:rFonts w:hint="default"/>
                <w:color w:val="auto"/>
                <w:sz w:val="24"/>
                <w:lang w:val="en-US" w:eastAsia="zh-CN"/>
              </w:rPr>
              <w:t>排入</w:t>
            </w:r>
            <w:r>
              <w:rPr>
                <w:rFonts w:hint="eastAsia"/>
                <w:color w:val="auto"/>
                <w:sz w:val="24"/>
                <w:lang w:val="en-US" w:eastAsia="zh-CN"/>
              </w:rPr>
              <w:t>泾河第三</w:t>
            </w:r>
            <w:r>
              <w:rPr>
                <w:rFonts w:hint="default"/>
                <w:color w:val="auto"/>
                <w:sz w:val="24"/>
                <w:lang w:val="en-US" w:eastAsia="zh-CN"/>
              </w:rPr>
              <w:t>污水厂，处理达标后排入</w:t>
            </w:r>
            <w:r>
              <w:rPr>
                <w:rFonts w:hint="eastAsia"/>
                <w:color w:val="auto"/>
                <w:sz w:val="24"/>
                <w:lang w:val="en-US" w:eastAsia="zh-CN"/>
              </w:rPr>
              <w:t>泾</w:t>
            </w:r>
            <w:r>
              <w:rPr>
                <w:rFonts w:hint="default"/>
                <w:color w:val="auto"/>
                <w:sz w:val="24"/>
                <w:lang w:val="en-US" w:eastAsia="zh-CN"/>
              </w:rPr>
              <w:t>河。废水</w:t>
            </w:r>
            <w:r>
              <w:rPr>
                <w:rFonts w:hint="eastAsia"/>
                <w:color w:val="auto"/>
                <w:sz w:val="24"/>
                <w:lang w:val="en-US" w:eastAsia="zh-CN"/>
              </w:rPr>
              <w:t>排放</w:t>
            </w:r>
            <w:r>
              <w:rPr>
                <w:rFonts w:hint="default"/>
                <w:color w:val="auto"/>
                <w:sz w:val="24"/>
                <w:lang w:val="en-US" w:eastAsia="zh-CN"/>
              </w:rPr>
              <w:t>及治理情况见表</w:t>
            </w:r>
            <w:r>
              <w:rPr>
                <w:rFonts w:hint="eastAsia"/>
                <w:color w:val="auto"/>
                <w:sz w:val="24"/>
                <w:lang w:val="en-US" w:eastAsia="zh-CN"/>
              </w:rPr>
              <w:t>30</w:t>
            </w:r>
            <w:r>
              <w:rPr>
                <w:rFonts w:hint="default"/>
                <w:color w:val="auto"/>
                <w:sz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Cambria" w:hAnsi="Cambria" w:eastAsia="黑体" w:cs="Times New Roman"/>
                <w:color w:val="auto"/>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Cambria" w:hAnsi="Cambria" w:eastAsia="黑体" w:cs="Times New Roman"/>
                <w:color w:val="auto"/>
                <w:kern w:val="2"/>
                <w:sz w:val="24"/>
                <w:szCs w:val="24"/>
                <w:lang w:val="en-US" w:eastAsia="zh-CN" w:bidi="ar-SA"/>
              </w:rPr>
            </w:pPr>
            <w:r>
              <w:rPr>
                <w:rFonts w:hint="eastAsia" w:ascii="Cambria" w:hAnsi="Cambria" w:eastAsia="黑体" w:cs="Times New Roman"/>
                <w:color w:val="auto"/>
                <w:kern w:val="2"/>
                <w:sz w:val="24"/>
                <w:szCs w:val="24"/>
                <w:lang w:val="en-US" w:eastAsia="zh-CN" w:bidi="ar-SA"/>
              </w:rPr>
              <w:t>表30   项目水污染排放情况表</w:t>
            </w:r>
          </w:p>
          <w:tbl>
            <w:tblPr>
              <w:tblStyle w:val="25"/>
              <w:tblW w:w="934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2"/>
              <w:gridCol w:w="547"/>
              <w:gridCol w:w="1404"/>
              <w:gridCol w:w="950"/>
              <w:gridCol w:w="995"/>
              <w:gridCol w:w="1"/>
              <w:gridCol w:w="1073"/>
              <w:gridCol w:w="1107"/>
              <w:gridCol w:w="1275"/>
              <w:gridCol w:w="11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2" w:type="dxa"/>
                  <w:vMerge w:val="restart"/>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生活废水</w:t>
                  </w:r>
                </w:p>
              </w:tc>
              <w:tc>
                <w:tcPr>
                  <w:tcW w:w="1951" w:type="dxa"/>
                  <w:gridSpan w:val="2"/>
                  <w:vAlign w:val="center"/>
                </w:tcPr>
                <w:p>
                  <w:pPr>
                    <w:spacing w:line="360" w:lineRule="auto"/>
                    <w:jc w:val="center"/>
                    <w:rPr>
                      <w:rFonts w:ascii="Times New Roman" w:hAnsi="Times New Roman" w:eastAsia="宋体" w:cs="Times New Roman"/>
                      <w:color w:val="auto"/>
                      <w:szCs w:val="21"/>
                      <w:lang w:bidi="ar"/>
                    </w:rPr>
                  </w:pPr>
                  <w:r>
                    <w:rPr>
                      <w:rFonts w:ascii="Times New Roman" w:hAnsi="Times New Roman" w:eastAsia="宋体" w:cs="Times New Roman"/>
                      <w:color w:val="auto"/>
                      <w:szCs w:val="21"/>
                      <w:lang w:bidi="ar"/>
                    </w:rPr>
                    <w:t>废水排放量</w:t>
                  </w:r>
                  <w:r>
                    <w:rPr>
                      <w:rFonts w:hint="eastAsia" w:ascii="Times New Roman" w:hAnsi="Times New Roman" w:eastAsia="宋体" w:cs="Times New Roman"/>
                      <w:color w:val="auto"/>
                      <w:szCs w:val="21"/>
                      <w:lang w:eastAsia="zh-CN" w:bidi="ar"/>
                    </w:rPr>
                    <w:t>（</w:t>
                  </w:r>
                  <w:r>
                    <w:rPr>
                      <w:rFonts w:ascii="Times New Roman" w:hAnsi="Times New Roman" w:eastAsia="宋体" w:cs="Times New Roman"/>
                      <w:color w:val="auto"/>
                      <w:szCs w:val="21"/>
                    </w:rPr>
                    <w:t>m</w:t>
                  </w:r>
                  <w:r>
                    <w:rPr>
                      <w:rFonts w:ascii="Times New Roman" w:hAnsi="Times New Roman" w:eastAsia="宋体" w:cs="Times New Roman"/>
                      <w:color w:val="auto"/>
                      <w:szCs w:val="21"/>
                      <w:vertAlign w:val="superscript"/>
                    </w:rPr>
                    <w:t>3</w:t>
                  </w:r>
                  <w:r>
                    <w:rPr>
                      <w:rFonts w:ascii="Times New Roman" w:hAnsi="Times New Roman" w:eastAsia="宋体" w:cs="Times New Roman"/>
                      <w:color w:val="auto"/>
                      <w:kern w:val="0"/>
                      <w:szCs w:val="21"/>
                    </w:rPr>
                    <w:t>/a</w:t>
                  </w:r>
                  <w:r>
                    <w:rPr>
                      <w:rFonts w:hint="eastAsia" w:cs="Times New Roman"/>
                      <w:color w:val="auto"/>
                      <w:kern w:val="0"/>
                      <w:szCs w:val="21"/>
                      <w:lang w:eastAsia="zh-CN"/>
                    </w:rPr>
                    <w:t>）</w:t>
                  </w:r>
                </w:p>
              </w:tc>
              <w:tc>
                <w:tcPr>
                  <w:tcW w:w="6563" w:type="dxa"/>
                  <w:gridSpan w:val="7"/>
                  <w:vAlign w:val="center"/>
                </w:tcPr>
                <w:p>
                  <w:pPr>
                    <w:spacing w:line="360" w:lineRule="auto"/>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lang w:val="en-US" w:eastAsia="zh-CN"/>
                    </w:rPr>
                    <w:t>108145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2" w:type="dxa"/>
                  <w:vMerge w:val="continue"/>
                  <w:vAlign w:val="center"/>
                </w:tcPr>
                <w:p>
                  <w:pPr>
                    <w:spacing w:line="360" w:lineRule="auto"/>
                    <w:jc w:val="center"/>
                    <w:rPr>
                      <w:rFonts w:ascii="Times New Roman" w:hAnsi="Times New Roman" w:eastAsia="宋体" w:cs="Times New Roman"/>
                      <w:color w:val="auto"/>
                      <w:kern w:val="0"/>
                      <w:szCs w:val="21"/>
                    </w:rPr>
                  </w:pPr>
                </w:p>
              </w:tc>
              <w:tc>
                <w:tcPr>
                  <w:tcW w:w="547" w:type="dxa"/>
                  <w:vMerge w:val="restart"/>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污染物</w:t>
                  </w:r>
                </w:p>
              </w:tc>
              <w:tc>
                <w:tcPr>
                  <w:tcW w:w="1404"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种类</w:t>
                  </w:r>
                </w:p>
              </w:tc>
              <w:tc>
                <w:tcPr>
                  <w:tcW w:w="950"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szCs w:val="21"/>
                      <w:lang w:bidi="ar"/>
                    </w:rPr>
                    <w:t>COD</w:t>
                  </w:r>
                </w:p>
              </w:tc>
              <w:tc>
                <w:tcPr>
                  <w:tcW w:w="995"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szCs w:val="21"/>
                      <w:lang w:bidi="ar"/>
                    </w:rPr>
                    <w:t>BOD</w:t>
                  </w:r>
                  <w:r>
                    <w:rPr>
                      <w:rFonts w:ascii="Times New Roman" w:hAnsi="Times New Roman" w:eastAsia="宋体" w:cs="Times New Roman"/>
                      <w:color w:val="auto"/>
                      <w:szCs w:val="21"/>
                      <w:vertAlign w:val="subscript"/>
                      <w:lang w:bidi="ar"/>
                    </w:rPr>
                    <w:t>5</w:t>
                  </w:r>
                </w:p>
              </w:tc>
              <w:tc>
                <w:tcPr>
                  <w:tcW w:w="1074" w:type="dxa"/>
                  <w:gridSpan w:val="2"/>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szCs w:val="21"/>
                      <w:lang w:bidi="ar"/>
                    </w:rPr>
                    <w:t>SS</w:t>
                  </w:r>
                </w:p>
              </w:tc>
              <w:tc>
                <w:tcPr>
                  <w:tcW w:w="1107"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NH</w:t>
                  </w:r>
                  <w:r>
                    <w:rPr>
                      <w:rFonts w:ascii="Times New Roman" w:hAnsi="Times New Roman" w:eastAsia="宋体" w:cs="Times New Roman"/>
                      <w:color w:val="auto"/>
                      <w:kern w:val="0"/>
                      <w:szCs w:val="21"/>
                      <w:vertAlign w:val="subscript"/>
                    </w:rPr>
                    <w:t>3</w:t>
                  </w:r>
                  <w:r>
                    <w:rPr>
                      <w:rFonts w:ascii="Times New Roman" w:hAnsi="Times New Roman" w:eastAsia="宋体" w:cs="Times New Roman"/>
                      <w:color w:val="auto"/>
                      <w:kern w:val="0"/>
                      <w:szCs w:val="21"/>
                    </w:rPr>
                    <w:t>-N</w:t>
                  </w:r>
                </w:p>
              </w:tc>
              <w:tc>
                <w:tcPr>
                  <w:tcW w:w="1275"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动植物油</w:t>
                  </w:r>
                </w:p>
              </w:tc>
              <w:tc>
                <w:tcPr>
                  <w:tcW w:w="1162"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磷酸盐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832" w:type="dxa"/>
                  <w:vMerge w:val="continue"/>
                  <w:vAlign w:val="center"/>
                </w:tcPr>
                <w:p>
                  <w:pPr>
                    <w:spacing w:line="360" w:lineRule="auto"/>
                    <w:jc w:val="center"/>
                    <w:rPr>
                      <w:rFonts w:ascii="Times New Roman" w:hAnsi="Times New Roman" w:eastAsia="宋体" w:cs="Times New Roman"/>
                      <w:color w:val="auto"/>
                      <w:kern w:val="0"/>
                      <w:szCs w:val="21"/>
                    </w:rPr>
                  </w:pPr>
                </w:p>
              </w:tc>
              <w:tc>
                <w:tcPr>
                  <w:tcW w:w="547" w:type="dxa"/>
                  <w:vMerge w:val="continue"/>
                  <w:vAlign w:val="center"/>
                </w:tcPr>
                <w:p>
                  <w:pPr>
                    <w:spacing w:line="360" w:lineRule="auto"/>
                    <w:jc w:val="center"/>
                    <w:rPr>
                      <w:rFonts w:ascii="Times New Roman" w:hAnsi="Times New Roman" w:eastAsia="宋体" w:cs="Times New Roman"/>
                      <w:color w:val="auto"/>
                      <w:kern w:val="0"/>
                      <w:szCs w:val="21"/>
                    </w:rPr>
                  </w:pPr>
                </w:p>
              </w:tc>
              <w:tc>
                <w:tcPr>
                  <w:tcW w:w="1404"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排放浓度</w:t>
                  </w:r>
                  <w:r>
                    <w:rPr>
                      <w:rFonts w:hint="eastAsia" w:ascii="Times New Roman" w:hAnsi="Times New Roman" w:eastAsia="宋体" w:cs="Times New Roman"/>
                      <w:color w:val="auto"/>
                      <w:kern w:val="0"/>
                      <w:szCs w:val="21"/>
                      <w:lang w:eastAsia="zh-CN"/>
                    </w:rPr>
                    <w:t>（</w:t>
                  </w:r>
                  <w:r>
                    <w:rPr>
                      <w:rFonts w:hint="eastAsia" w:ascii="Times New Roman" w:hAnsi="Times New Roman" w:eastAsia="宋体" w:cs="Times New Roman"/>
                      <w:color w:val="auto"/>
                      <w:kern w:val="0"/>
                      <w:szCs w:val="21"/>
                      <w:lang w:val="en-US" w:eastAsia="zh-CN"/>
                    </w:rPr>
                    <w:t>mg/L）</w:t>
                  </w:r>
                </w:p>
              </w:tc>
              <w:tc>
                <w:tcPr>
                  <w:tcW w:w="950"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280</w:t>
                  </w:r>
                </w:p>
              </w:tc>
              <w:tc>
                <w:tcPr>
                  <w:tcW w:w="995"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140</w:t>
                  </w:r>
                </w:p>
              </w:tc>
              <w:tc>
                <w:tcPr>
                  <w:tcW w:w="1074" w:type="dxa"/>
                  <w:gridSpan w:val="2"/>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140</w:t>
                  </w:r>
                </w:p>
              </w:tc>
              <w:tc>
                <w:tcPr>
                  <w:tcW w:w="1107"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24.3</w:t>
                  </w:r>
                </w:p>
              </w:tc>
              <w:tc>
                <w:tcPr>
                  <w:tcW w:w="1275"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20</w:t>
                  </w:r>
                </w:p>
              </w:tc>
              <w:tc>
                <w:tcPr>
                  <w:tcW w:w="1162"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2" w:type="dxa"/>
                  <w:vMerge w:val="continue"/>
                  <w:vAlign w:val="center"/>
                </w:tcPr>
                <w:p>
                  <w:pPr>
                    <w:spacing w:line="360" w:lineRule="auto"/>
                    <w:jc w:val="center"/>
                    <w:rPr>
                      <w:rFonts w:ascii="Times New Roman" w:hAnsi="Times New Roman" w:eastAsia="宋体" w:cs="Times New Roman"/>
                      <w:color w:val="auto"/>
                      <w:kern w:val="0"/>
                      <w:szCs w:val="21"/>
                    </w:rPr>
                  </w:pPr>
                </w:p>
              </w:tc>
              <w:tc>
                <w:tcPr>
                  <w:tcW w:w="547" w:type="dxa"/>
                  <w:vMerge w:val="continue"/>
                  <w:vAlign w:val="center"/>
                </w:tcPr>
                <w:p>
                  <w:pPr>
                    <w:spacing w:line="360" w:lineRule="auto"/>
                    <w:jc w:val="center"/>
                    <w:rPr>
                      <w:rFonts w:ascii="Times New Roman" w:hAnsi="Times New Roman" w:eastAsia="宋体" w:cs="Times New Roman"/>
                      <w:color w:val="auto"/>
                      <w:kern w:val="0"/>
                      <w:szCs w:val="21"/>
                    </w:rPr>
                  </w:pPr>
                </w:p>
              </w:tc>
              <w:tc>
                <w:tcPr>
                  <w:tcW w:w="1404"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排放量</w:t>
                  </w:r>
                  <w:r>
                    <w:rPr>
                      <w:rFonts w:hint="eastAsia" w:ascii="Times New Roman" w:hAnsi="Times New Roman" w:eastAsia="宋体" w:cs="Times New Roman"/>
                      <w:color w:val="auto"/>
                      <w:kern w:val="0"/>
                      <w:szCs w:val="21"/>
                      <w:lang w:eastAsia="zh-CN"/>
                    </w:rPr>
                    <w:t>（</w:t>
                  </w:r>
                  <w:r>
                    <w:rPr>
                      <w:rFonts w:hint="eastAsia" w:ascii="Times New Roman" w:hAnsi="Times New Roman" w:eastAsia="宋体" w:cs="Times New Roman"/>
                      <w:color w:val="auto"/>
                      <w:kern w:val="0"/>
                      <w:szCs w:val="21"/>
                      <w:lang w:val="en-US" w:eastAsia="zh-CN"/>
                    </w:rPr>
                    <w:t>t/a)</w:t>
                  </w:r>
                </w:p>
              </w:tc>
              <w:tc>
                <w:tcPr>
                  <w:tcW w:w="950" w:type="dxa"/>
                  <w:vAlign w:val="center"/>
                </w:tcPr>
                <w:p>
                  <w:pPr>
                    <w:spacing w:line="360" w:lineRule="auto"/>
                    <w:jc w:val="center"/>
                    <w:rPr>
                      <w:rFonts w:hint="eastAsia" w:ascii="Times New Roman" w:hAnsi="Times New Roman" w:eastAsia="宋体" w:cs="Times New Roman"/>
                      <w:color w:val="auto"/>
                      <w:kern w:val="0"/>
                      <w:szCs w:val="21"/>
                      <w:lang w:eastAsia="zh-CN"/>
                    </w:rPr>
                  </w:pPr>
                  <w:r>
                    <w:rPr>
                      <w:rFonts w:hint="eastAsia" w:ascii="Times New Roman" w:hAnsi="Times New Roman" w:eastAsia="宋体" w:cs="Times New Roman"/>
                      <w:color w:val="auto"/>
                      <w:kern w:val="0"/>
                      <w:szCs w:val="21"/>
                      <w:lang w:val="en-US" w:eastAsia="zh-CN"/>
                    </w:rPr>
                    <w:t>30.28</w:t>
                  </w:r>
                </w:p>
              </w:tc>
              <w:tc>
                <w:tcPr>
                  <w:tcW w:w="995" w:type="dxa"/>
                  <w:vAlign w:val="center"/>
                </w:tcPr>
                <w:p>
                  <w:pPr>
                    <w:spacing w:line="360" w:lineRule="auto"/>
                    <w:jc w:val="center"/>
                    <w:rPr>
                      <w:rFonts w:hint="eastAsia" w:ascii="Times New Roman" w:hAnsi="Times New Roman" w:eastAsia="宋体" w:cs="Times New Roman"/>
                      <w:color w:val="auto"/>
                      <w:kern w:val="0"/>
                      <w:szCs w:val="21"/>
                      <w:lang w:eastAsia="zh-CN"/>
                    </w:rPr>
                  </w:pPr>
                  <w:r>
                    <w:rPr>
                      <w:rFonts w:hint="eastAsia" w:ascii="Times New Roman" w:hAnsi="Times New Roman" w:eastAsia="宋体" w:cs="Times New Roman"/>
                      <w:color w:val="auto"/>
                      <w:kern w:val="0"/>
                      <w:szCs w:val="21"/>
                      <w:lang w:val="en-US" w:eastAsia="zh-CN"/>
                    </w:rPr>
                    <w:t>15.14</w:t>
                  </w:r>
                </w:p>
              </w:tc>
              <w:tc>
                <w:tcPr>
                  <w:tcW w:w="1074" w:type="dxa"/>
                  <w:gridSpan w:val="2"/>
                  <w:vAlign w:val="center"/>
                </w:tcPr>
                <w:p>
                  <w:pPr>
                    <w:spacing w:line="360" w:lineRule="auto"/>
                    <w:jc w:val="center"/>
                    <w:rPr>
                      <w:rFonts w:hint="eastAsia" w:ascii="Times New Roman" w:hAnsi="Times New Roman" w:eastAsia="宋体" w:cs="Times New Roman"/>
                      <w:color w:val="auto"/>
                      <w:kern w:val="0"/>
                      <w:szCs w:val="21"/>
                      <w:lang w:eastAsia="zh-CN"/>
                    </w:rPr>
                  </w:pPr>
                  <w:r>
                    <w:rPr>
                      <w:rFonts w:hint="eastAsia" w:ascii="Times New Roman" w:hAnsi="Times New Roman" w:eastAsia="宋体" w:cs="Times New Roman"/>
                      <w:color w:val="auto"/>
                      <w:kern w:val="0"/>
                      <w:szCs w:val="21"/>
                      <w:lang w:val="en-US" w:eastAsia="zh-CN"/>
                    </w:rPr>
                    <w:t>15.14</w:t>
                  </w:r>
                </w:p>
              </w:tc>
              <w:tc>
                <w:tcPr>
                  <w:tcW w:w="1107" w:type="dxa"/>
                  <w:vAlign w:val="center"/>
                </w:tcPr>
                <w:p>
                  <w:pPr>
                    <w:spacing w:line="360" w:lineRule="auto"/>
                    <w:jc w:val="center"/>
                    <w:rPr>
                      <w:rFonts w:hint="eastAsia" w:ascii="Times New Roman" w:hAnsi="Times New Roman" w:eastAsia="宋体" w:cs="Times New Roman"/>
                      <w:color w:val="auto"/>
                      <w:kern w:val="0"/>
                      <w:szCs w:val="21"/>
                      <w:lang w:eastAsia="zh-CN"/>
                    </w:rPr>
                  </w:pPr>
                  <w:r>
                    <w:rPr>
                      <w:rFonts w:hint="eastAsia" w:ascii="Times New Roman" w:hAnsi="Times New Roman" w:eastAsia="宋体" w:cs="Times New Roman"/>
                      <w:color w:val="auto"/>
                      <w:kern w:val="0"/>
                      <w:szCs w:val="21"/>
                      <w:lang w:val="en-US" w:eastAsia="zh-CN"/>
                    </w:rPr>
                    <w:t>2.63</w:t>
                  </w:r>
                </w:p>
              </w:tc>
              <w:tc>
                <w:tcPr>
                  <w:tcW w:w="1275" w:type="dxa"/>
                  <w:vAlign w:val="center"/>
                </w:tcPr>
                <w:p>
                  <w:pPr>
                    <w:spacing w:line="360" w:lineRule="auto"/>
                    <w:jc w:val="center"/>
                    <w:rPr>
                      <w:rFonts w:hint="eastAsia" w:ascii="Times New Roman" w:hAnsi="Times New Roman" w:eastAsia="宋体" w:cs="Times New Roman"/>
                      <w:color w:val="auto"/>
                      <w:kern w:val="0"/>
                      <w:szCs w:val="21"/>
                      <w:lang w:eastAsia="zh-CN"/>
                    </w:rPr>
                  </w:pPr>
                  <w:r>
                    <w:rPr>
                      <w:rFonts w:hint="eastAsia" w:ascii="Times New Roman" w:hAnsi="Times New Roman" w:eastAsia="宋体" w:cs="Times New Roman"/>
                      <w:color w:val="auto"/>
                      <w:kern w:val="0"/>
                      <w:szCs w:val="21"/>
                      <w:lang w:val="en-US" w:eastAsia="zh-CN"/>
                    </w:rPr>
                    <w:t>2.16</w:t>
                  </w:r>
                </w:p>
              </w:tc>
              <w:tc>
                <w:tcPr>
                  <w:tcW w:w="1162"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2" w:type="dxa"/>
                  <w:vMerge w:val="restart"/>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娱乐废水</w:t>
                  </w:r>
                </w:p>
              </w:tc>
              <w:tc>
                <w:tcPr>
                  <w:tcW w:w="547" w:type="dxa"/>
                  <w:vMerge w:val="restart"/>
                  <w:vAlign w:val="center"/>
                </w:tcPr>
                <w:p>
                  <w:pPr>
                    <w:spacing w:line="360" w:lineRule="auto"/>
                    <w:jc w:val="center"/>
                    <w:rPr>
                      <w:rFonts w:hint="eastAsia"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污染物</w:t>
                  </w:r>
                </w:p>
              </w:tc>
              <w:tc>
                <w:tcPr>
                  <w:tcW w:w="1404" w:type="dxa"/>
                  <w:vAlign w:val="center"/>
                </w:tcPr>
                <w:p>
                  <w:pPr>
                    <w:spacing w:line="360" w:lineRule="auto"/>
                    <w:jc w:val="center"/>
                    <w:rPr>
                      <w:rFonts w:ascii="Times New Roman" w:hAnsi="Times New Roman" w:eastAsia="宋体" w:cs="Times New Roman"/>
                      <w:color w:val="auto"/>
                      <w:szCs w:val="21"/>
                      <w:lang w:bidi="ar"/>
                    </w:rPr>
                  </w:pPr>
                  <w:r>
                    <w:rPr>
                      <w:rFonts w:ascii="Times New Roman" w:hAnsi="Times New Roman" w:eastAsia="宋体" w:cs="Times New Roman"/>
                      <w:color w:val="auto"/>
                      <w:szCs w:val="21"/>
                      <w:lang w:bidi="ar"/>
                    </w:rPr>
                    <w:t>废水排放量</w:t>
                  </w:r>
                  <w:r>
                    <w:rPr>
                      <w:rFonts w:hint="eastAsia" w:ascii="Times New Roman" w:hAnsi="Times New Roman" w:eastAsia="宋体" w:cs="Times New Roman"/>
                      <w:color w:val="auto"/>
                      <w:szCs w:val="21"/>
                      <w:lang w:eastAsia="zh-CN" w:bidi="ar"/>
                    </w:rPr>
                    <w:t>（</w:t>
                  </w:r>
                  <w:r>
                    <w:rPr>
                      <w:rFonts w:ascii="Times New Roman" w:hAnsi="Times New Roman" w:eastAsia="宋体" w:cs="Times New Roman"/>
                      <w:color w:val="auto"/>
                      <w:szCs w:val="21"/>
                    </w:rPr>
                    <w:t>m</w:t>
                  </w:r>
                  <w:r>
                    <w:rPr>
                      <w:rFonts w:ascii="Times New Roman" w:hAnsi="Times New Roman" w:eastAsia="宋体" w:cs="Times New Roman"/>
                      <w:color w:val="auto"/>
                      <w:szCs w:val="21"/>
                      <w:vertAlign w:val="superscript"/>
                    </w:rPr>
                    <w:t>3</w:t>
                  </w:r>
                  <w:r>
                    <w:rPr>
                      <w:rFonts w:ascii="Times New Roman" w:hAnsi="Times New Roman" w:eastAsia="宋体" w:cs="Times New Roman"/>
                      <w:color w:val="auto"/>
                      <w:kern w:val="0"/>
                      <w:szCs w:val="21"/>
                    </w:rPr>
                    <w:t>/a</w:t>
                  </w:r>
                  <w:r>
                    <w:rPr>
                      <w:rFonts w:hint="eastAsia" w:cs="Times New Roman"/>
                      <w:color w:val="auto"/>
                      <w:kern w:val="0"/>
                      <w:szCs w:val="21"/>
                      <w:lang w:eastAsia="zh-CN"/>
                    </w:rPr>
                    <w:t>）</w:t>
                  </w:r>
                </w:p>
              </w:tc>
              <w:tc>
                <w:tcPr>
                  <w:tcW w:w="6563" w:type="dxa"/>
                  <w:gridSpan w:val="7"/>
                  <w:vAlign w:val="center"/>
                </w:tcPr>
                <w:p>
                  <w:pPr>
                    <w:spacing w:line="360" w:lineRule="auto"/>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lang w:val="en-US" w:eastAsia="zh-CN"/>
                    </w:rPr>
                    <w:t>12468.4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2" w:type="dxa"/>
                  <w:vMerge w:val="continue"/>
                  <w:vAlign w:val="center"/>
                </w:tcPr>
                <w:p>
                  <w:pPr>
                    <w:spacing w:line="360" w:lineRule="auto"/>
                    <w:jc w:val="center"/>
                    <w:rPr>
                      <w:rFonts w:ascii="Times New Roman" w:hAnsi="Times New Roman" w:eastAsia="宋体" w:cs="Times New Roman"/>
                      <w:color w:val="auto"/>
                      <w:kern w:val="0"/>
                      <w:szCs w:val="21"/>
                    </w:rPr>
                  </w:pPr>
                </w:p>
              </w:tc>
              <w:tc>
                <w:tcPr>
                  <w:tcW w:w="547" w:type="dxa"/>
                  <w:vMerge w:val="continue"/>
                  <w:vAlign w:val="center"/>
                </w:tcPr>
                <w:p>
                  <w:pPr>
                    <w:spacing w:line="360" w:lineRule="auto"/>
                    <w:jc w:val="center"/>
                    <w:rPr>
                      <w:rFonts w:ascii="Times New Roman" w:hAnsi="Times New Roman" w:eastAsia="宋体" w:cs="Times New Roman"/>
                      <w:color w:val="auto"/>
                      <w:kern w:val="0"/>
                      <w:szCs w:val="21"/>
                    </w:rPr>
                  </w:pPr>
                </w:p>
              </w:tc>
              <w:tc>
                <w:tcPr>
                  <w:tcW w:w="1404" w:type="dxa"/>
                  <w:vAlign w:val="center"/>
                </w:tcPr>
                <w:p>
                  <w:pPr>
                    <w:spacing w:line="360" w:lineRule="auto"/>
                    <w:jc w:val="center"/>
                    <w:rPr>
                      <w:rFonts w:hint="eastAsia" w:ascii="Times New Roman" w:hAnsi="Times New Roman" w:eastAsia="宋体" w:cs="Times New Roman"/>
                      <w:color w:val="auto"/>
                      <w:kern w:val="0"/>
                      <w:szCs w:val="21"/>
                      <w:lang w:eastAsia="zh-CN"/>
                    </w:rPr>
                  </w:pPr>
                  <w:r>
                    <w:rPr>
                      <w:rFonts w:hint="eastAsia" w:cs="Times New Roman"/>
                      <w:color w:val="auto"/>
                      <w:kern w:val="0"/>
                      <w:szCs w:val="21"/>
                      <w:lang w:val="en-US" w:eastAsia="zh-CN"/>
                    </w:rPr>
                    <w:t>种类</w:t>
                  </w:r>
                </w:p>
              </w:tc>
              <w:tc>
                <w:tcPr>
                  <w:tcW w:w="950"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szCs w:val="21"/>
                      <w:lang w:bidi="ar"/>
                    </w:rPr>
                    <w:t>COD</w:t>
                  </w:r>
                </w:p>
              </w:tc>
              <w:tc>
                <w:tcPr>
                  <w:tcW w:w="996" w:type="dxa"/>
                  <w:gridSpan w:val="2"/>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szCs w:val="21"/>
                      <w:lang w:bidi="ar"/>
                    </w:rPr>
                    <w:t>BOD</w:t>
                  </w:r>
                  <w:r>
                    <w:rPr>
                      <w:rFonts w:ascii="Times New Roman" w:hAnsi="Times New Roman" w:eastAsia="宋体" w:cs="Times New Roman"/>
                      <w:color w:val="auto"/>
                      <w:szCs w:val="21"/>
                      <w:vertAlign w:val="subscript"/>
                      <w:lang w:bidi="ar"/>
                    </w:rPr>
                    <w:t>5</w:t>
                  </w:r>
                </w:p>
              </w:tc>
              <w:tc>
                <w:tcPr>
                  <w:tcW w:w="1073"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szCs w:val="21"/>
                      <w:lang w:bidi="ar"/>
                    </w:rPr>
                    <w:t>SS</w:t>
                  </w:r>
                </w:p>
              </w:tc>
              <w:tc>
                <w:tcPr>
                  <w:tcW w:w="1107"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NH</w:t>
                  </w:r>
                  <w:r>
                    <w:rPr>
                      <w:rFonts w:ascii="Times New Roman" w:hAnsi="Times New Roman" w:eastAsia="宋体" w:cs="Times New Roman"/>
                      <w:color w:val="auto"/>
                      <w:kern w:val="0"/>
                      <w:szCs w:val="21"/>
                      <w:vertAlign w:val="subscript"/>
                    </w:rPr>
                    <w:t>3</w:t>
                  </w:r>
                  <w:r>
                    <w:rPr>
                      <w:rFonts w:ascii="Times New Roman" w:hAnsi="Times New Roman" w:eastAsia="宋体" w:cs="Times New Roman"/>
                      <w:color w:val="auto"/>
                      <w:kern w:val="0"/>
                      <w:szCs w:val="21"/>
                    </w:rPr>
                    <w:t>-N</w:t>
                  </w:r>
                </w:p>
              </w:tc>
              <w:tc>
                <w:tcPr>
                  <w:tcW w:w="1275"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动植物油</w:t>
                  </w:r>
                </w:p>
              </w:tc>
              <w:tc>
                <w:tcPr>
                  <w:tcW w:w="1162"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磷酸盐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832" w:type="dxa"/>
                  <w:vMerge w:val="continue"/>
                  <w:vAlign w:val="center"/>
                </w:tcPr>
                <w:p>
                  <w:pPr>
                    <w:spacing w:line="360" w:lineRule="auto"/>
                    <w:jc w:val="center"/>
                    <w:rPr>
                      <w:rFonts w:ascii="Times New Roman" w:hAnsi="Times New Roman" w:eastAsia="宋体" w:cs="Times New Roman"/>
                      <w:color w:val="auto"/>
                      <w:kern w:val="0"/>
                      <w:szCs w:val="21"/>
                    </w:rPr>
                  </w:pPr>
                </w:p>
              </w:tc>
              <w:tc>
                <w:tcPr>
                  <w:tcW w:w="547" w:type="dxa"/>
                  <w:vMerge w:val="continue"/>
                  <w:vAlign w:val="center"/>
                </w:tcPr>
                <w:p>
                  <w:pPr>
                    <w:spacing w:line="360" w:lineRule="auto"/>
                    <w:jc w:val="center"/>
                    <w:rPr>
                      <w:rFonts w:ascii="Times New Roman" w:hAnsi="Times New Roman" w:eastAsia="宋体" w:cs="Times New Roman"/>
                      <w:color w:val="auto"/>
                      <w:kern w:val="0"/>
                      <w:szCs w:val="21"/>
                    </w:rPr>
                  </w:pPr>
                </w:p>
              </w:tc>
              <w:tc>
                <w:tcPr>
                  <w:tcW w:w="1404"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排放浓度</w:t>
                  </w:r>
                  <w:r>
                    <w:rPr>
                      <w:rFonts w:hint="eastAsia" w:cs="Times New Roman"/>
                      <w:color w:val="auto"/>
                      <w:kern w:val="0"/>
                      <w:szCs w:val="21"/>
                      <w:lang w:eastAsia="zh-CN"/>
                    </w:rPr>
                    <w:t>（</w:t>
                  </w:r>
                  <w:r>
                    <w:rPr>
                      <w:rFonts w:hint="eastAsia" w:cs="Times New Roman"/>
                      <w:color w:val="auto"/>
                      <w:kern w:val="0"/>
                      <w:szCs w:val="21"/>
                      <w:lang w:val="en-US" w:eastAsia="zh-CN"/>
                    </w:rPr>
                    <w:t>mg/L）</w:t>
                  </w:r>
                </w:p>
              </w:tc>
              <w:tc>
                <w:tcPr>
                  <w:tcW w:w="950"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60</w:t>
                  </w:r>
                </w:p>
              </w:tc>
              <w:tc>
                <w:tcPr>
                  <w:tcW w:w="996" w:type="dxa"/>
                  <w:gridSpan w:val="2"/>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20</w:t>
                  </w:r>
                </w:p>
              </w:tc>
              <w:tc>
                <w:tcPr>
                  <w:tcW w:w="1073"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30</w:t>
                  </w:r>
                </w:p>
              </w:tc>
              <w:tc>
                <w:tcPr>
                  <w:tcW w:w="1107"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9</w:t>
                  </w:r>
                </w:p>
              </w:tc>
              <w:tc>
                <w:tcPr>
                  <w:tcW w:w="1275"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w:t>
                  </w:r>
                </w:p>
              </w:tc>
              <w:tc>
                <w:tcPr>
                  <w:tcW w:w="1162"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2" w:type="dxa"/>
                  <w:vMerge w:val="continue"/>
                  <w:vAlign w:val="center"/>
                </w:tcPr>
                <w:p>
                  <w:pPr>
                    <w:spacing w:line="360" w:lineRule="auto"/>
                    <w:jc w:val="center"/>
                    <w:rPr>
                      <w:rFonts w:ascii="Times New Roman" w:hAnsi="Times New Roman" w:eastAsia="宋体" w:cs="Times New Roman"/>
                      <w:color w:val="auto"/>
                      <w:kern w:val="0"/>
                      <w:szCs w:val="21"/>
                    </w:rPr>
                  </w:pPr>
                </w:p>
              </w:tc>
              <w:tc>
                <w:tcPr>
                  <w:tcW w:w="547" w:type="dxa"/>
                  <w:vMerge w:val="continue"/>
                  <w:vAlign w:val="center"/>
                </w:tcPr>
                <w:p>
                  <w:pPr>
                    <w:spacing w:line="360" w:lineRule="auto"/>
                    <w:jc w:val="center"/>
                    <w:rPr>
                      <w:rFonts w:ascii="Times New Roman" w:hAnsi="Times New Roman" w:eastAsia="宋体" w:cs="Times New Roman"/>
                      <w:color w:val="auto"/>
                      <w:kern w:val="0"/>
                      <w:szCs w:val="21"/>
                    </w:rPr>
                  </w:pPr>
                </w:p>
              </w:tc>
              <w:tc>
                <w:tcPr>
                  <w:tcW w:w="1404"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排放量</w:t>
                  </w:r>
                  <w:r>
                    <w:rPr>
                      <w:rFonts w:hint="eastAsia" w:cs="Times New Roman"/>
                      <w:color w:val="auto"/>
                      <w:kern w:val="0"/>
                      <w:szCs w:val="21"/>
                      <w:lang w:eastAsia="zh-CN"/>
                    </w:rPr>
                    <w:t>（</w:t>
                  </w:r>
                  <w:r>
                    <w:rPr>
                      <w:rFonts w:hint="eastAsia" w:cs="Times New Roman"/>
                      <w:color w:val="auto"/>
                      <w:kern w:val="0"/>
                      <w:szCs w:val="21"/>
                      <w:lang w:val="en-US" w:eastAsia="zh-CN"/>
                    </w:rPr>
                    <w:t>t/a）</w:t>
                  </w:r>
                </w:p>
              </w:tc>
              <w:tc>
                <w:tcPr>
                  <w:tcW w:w="950" w:type="dxa"/>
                  <w:vAlign w:val="center"/>
                </w:tcPr>
                <w:p>
                  <w:pPr>
                    <w:spacing w:line="360" w:lineRule="auto"/>
                    <w:jc w:val="center"/>
                    <w:rPr>
                      <w:rFonts w:hint="eastAsia" w:ascii="Times New Roman" w:hAnsi="Times New Roman" w:eastAsia="宋体" w:cs="Times New Roman"/>
                      <w:color w:val="auto"/>
                      <w:kern w:val="0"/>
                      <w:szCs w:val="21"/>
                      <w:lang w:eastAsia="zh-CN"/>
                    </w:rPr>
                  </w:pPr>
                  <w:r>
                    <w:rPr>
                      <w:rFonts w:hint="eastAsia" w:ascii="Times New Roman" w:hAnsi="Times New Roman" w:eastAsia="宋体" w:cs="Times New Roman"/>
                      <w:color w:val="auto"/>
                      <w:kern w:val="0"/>
                      <w:szCs w:val="21"/>
                      <w:lang w:val="en-US" w:eastAsia="zh-CN"/>
                    </w:rPr>
                    <w:t>0.75</w:t>
                  </w:r>
                </w:p>
              </w:tc>
              <w:tc>
                <w:tcPr>
                  <w:tcW w:w="996" w:type="dxa"/>
                  <w:gridSpan w:val="2"/>
                  <w:vAlign w:val="center"/>
                </w:tcPr>
                <w:p>
                  <w:pPr>
                    <w:spacing w:line="360" w:lineRule="auto"/>
                    <w:jc w:val="center"/>
                    <w:rPr>
                      <w:rFonts w:hint="eastAsia" w:ascii="Times New Roman" w:hAnsi="Times New Roman" w:eastAsia="宋体" w:cs="Times New Roman"/>
                      <w:color w:val="auto"/>
                      <w:kern w:val="0"/>
                      <w:szCs w:val="21"/>
                      <w:lang w:eastAsia="zh-CN"/>
                    </w:rPr>
                  </w:pPr>
                  <w:r>
                    <w:rPr>
                      <w:rFonts w:hint="eastAsia" w:ascii="Times New Roman" w:hAnsi="Times New Roman" w:eastAsia="宋体" w:cs="Times New Roman"/>
                      <w:color w:val="auto"/>
                      <w:kern w:val="0"/>
                      <w:szCs w:val="21"/>
                      <w:lang w:val="en-US" w:eastAsia="zh-CN"/>
                    </w:rPr>
                    <w:t>0.25</w:t>
                  </w:r>
                </w:p>
              </w:tc>
              <w:tc>
                <w:tcPr>
                  <w:tcW w:w="1073" w:type="dxa"/>
                  <w:vAlign w:val="center"/>
                </w:tcPr>
                <w:p>
                  <w:pPr>
                    <w:spacing w:line="360" w:lineRule="auto"/>
                    <w:jc w:val="center"/>
                    <w:rPr>
                      <w:rFonts w:hint="eastAsia" w:ascii="Times New Roman" w:hAnsi="Times New Roman" w:eastAsia="宋体" w:cs="Times New Roman"/>
                      <w:color w:val="auto"/>
                      <w:kern w:val="0"/>
                      <w:szCs w:val="21"/>
                      <w:lang w:eastAsia="zh-CN"/>
                    </w:rPr>
                  </w:pPr>
                  <w:r>
                    <w:rPr>
                      <w:rFonts w:hint="eastAsia" w:ascii="Times New Roman" w:hAnsi="Times New Roman" w:eastAsia="宋体" w:cs="Times New Roman"/>
                      <w:color w:val="auto"/>
                      <w:kern w:val="0"/>
                      <w:szCs w:val="21"/>
                      <w:lang w:val="en-US" w:eastAsia="zh-CN"/>
                    </w:rPr>
                    <w:t>0.38</w:t>
                  </w:r>
                </w:p>
              </w:tc>
              <w:tc>
                <w:tcPr>
                  <w:tcW w:w="1107" w:type="dxa"/>
                  <w:vAlign w:val="center"/>
                </w:tcPr>
                <w:p>
                  <w:pPr>
                    <w:spacing w:line="360" w:lineRule="auto"/>
                    <w:jc w:val="center"/>
                    <w:rPr>
                      <w:rFonts w:hint="eastAsia" w:ascii="Times New Roman" w:hAnsi="Times New Roman" w:eastAsia="宋体" w:cs="Times New Roman"/>
                      <w:color w:val="auto"/>
                      <w:kern w:val="0"/>
                      <w:szCs w:val="21"/>
                      <w:lang w:eastAsia="zh-CN"/>
                    </w:rPr>
                  </w:pPr>
                  <w:r>
                    <w:rPr>
                      <w:rFonts w:hint="eastAsia" w:ascii="Times New Roman" w:hAnsi="Times New Roman" w:eastAsia="宋体" w:cs="Times New Roman"/>
                      <w:color w:val="auto"/>
                      <w:kern w:val="0"/>
                      <w:szCs w:val="21"/>
                      <w:lang w:val="en-US" w:eastAsia="zh-CN"/>
                    </w:rPr>
                    <w:t>0.11</w:t>
                  </w:r>
                </w:p>
              </w:tc>
              <w:tc>
                <w:tcPr>
                  <w:tcW w:w="1275"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w:t>
                  </w:r>
                </w:p>
              </w:tc>
              <w:tc>
                <w:tcPr>
                  <w:tcW w:w="1162" w:type="dxa"/>
                  <w:vAlign w:val="center"/>
                </w:tcPr>
                <w:p>
                  <w:pPr>
                    <w:spacing w:line="360" w:lineRule="auto"/>
                    <w:jc w:val="center"/>
                    <w:rPr>
                      <w:rFonts w:hint="eastAsia" w:ascii="Times New Roman" w:hAnsi="Times New Roman" w:eastAsia="宋体" w:cs="Times New Roman"/>
                      <w:color w:val="auto"/>
                      <w:kern w:val="0"/>
                      <w:szCs w:val="21"/>
                      <w:lang w:eastAsia="zh-CN"/>
                    </w:rPr>
                  </w:pPr>
                  <w:r>
                    <w:rPr>
                      <w:rFonts w:hint="eastAsia" w:ascii="Times New Roman" w:hAnsi="Times New Roman" w:eastAsia="宋体" w:cs="Times New Roman"/>
                      <w:color w:val="auto"/>
                      <w:kern w:val="0"/>
                      <w:szCs w:val="21"/>
                      <w:lang w:val="en-US" w:eastAsia="zh-CN"/>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2" w:type="dxa"/>
                  <w:vMerge w:val="restart"/>
                  <w:vAlign w:val="center"/>
                </w:tcPr>
                <w:p>
                  <w:pPr>
                    <w:spacing w:line="360" w:lineRule="auto"/>
                    <w:jc w:val="center"/>
                    <w:rPr>
                      <w:rFonts w:hint="eastAsia" w:ascii="Times New Roman" w:hAnsi="Times New Roman" w:eastAsia="宋体" w:cs="Times New Roman"/>
                      <w:color w:val="auto"/>
                      <w:kern w:val="0"/>
                      <w:szCs w:val="21"/>
                      <w:lang w:val="en-US" w:eastAsia="zh-CN"/>
                    </w:rPr>
                  </w:pPr>
                  <w:r>
                    <w:rPr>
                      <w:rFonts w:hint="eastAsia" w:cs="Times New Roman"/>
                      <w:color w:val="auto"/>
                      <w:kern w:val="0"/>
                      <w:szCs w:val="21"/>
                      <w:lang w:val="en-US" w:eastAsia="zh-CN"/>
                    </w:rPr>
                    <w:t>冷却塔排水</w:t>
                  </w:r>
                </w:p>
              </w:tc>
              <w:tc>
                <w:tcPr>
                  <w:tcW w:w="547" w:type="dxa"/>
                  <w:vMerge w:val="restart"/>
                  <w:vAlign w:val="center"/>
                </w:tcPr>
                <w:p>
                  <w:pPr>
                    <w:spacing w:line="360" w:lineRule="auto"/>
                    <w:jc w:val="center"/>
                    <w:rPr>
                      <w:rFonts w:hint="eastAsia" w:ascii="Times New Roman" w:hAnsi="Times New Roman" w:eastAsia="宋体" w:cs="Times New Roman"/>
                      <w:color w:val="auto"/>
                      <w:kern w:val="0"/>
                      <w:szCs w:val="21"/>
                      <w:lang w:val="en-US" w:eastAsia="zh-CN"/>
                    </w:rPr>
                  </w:pPr>
                  <w:r>
                    <w:rPr>
                      <w:rFonts w:hint="eastAsia" w:cs="Times New Roman"/>
                      <w:color w:val="auto"/>
                      <w:kern w:val="0"/>
                      <w:szCs w:val="21"/>
                      <w:lang w:val="en-US" w:eastAsia="zh-CN"/>
                    </w:rPr>
                    <w:t>污染物</w:t>
                  </w:r>
                </w:p>
              </w:tc>
              <w:tc>
                <w:tcPr>
                  <w:tcW w:w="1404" w:type="dxa"/>
                  <w:textDirection w:val="lrTb"/>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szCs w:val="21"/>
                      <w:lang w:bidi="ar"/>
                    </w:rPr>
                    <w:t>废水排放量</w:t>
                  </w:r>
                  <w:r>
                    <w:rPr>
                      <w:rFonts w:hint="eastAsia" w:ascii="Times New Roman" w:hAnsi="Times New Roman" w:eastAsia="宋体" w:cs="Times New Roman"/>
                      <w:color w:val="auto"/>
                      <w:szCs w:val="21"/>
                      <w:lang w:eastAsia="zh-CN" w:bidi="ar"/>
                    </w:rPr>
                    <w:t>（</w:t>
                  </w:r>
                  <w:r>
                    <w:rPr>
                      <w:rFonts w:ascii="Times New Roman" w:hAnsi="Times New Roman" w:eastAsia="宋体" w:cs="Times New Roman"/>
                      <w:color w:val="auto"/>
                      <w:szCs w:val="21"/>
                    </w:rPr>
                    <w:t>m</w:t>
                  </w:r>
                  <w:r>
                    <w:rPr>
                      <w:rFonts w:ascii="Times New Roman" w:hAnsi="Times New Roman" w:eastAsia="宋体" w:cs="Times New Roman"/>
                      <w:color w:val="auto"/>
                      <w:szCs w:val="21"/>
                      <w:vertAlign w:val="superscript"/>
                    </w:rPr>
                    <w:t>3</w:t>
                  </w:r>
                  <w:r>
                    <w:rPr>
                      <w:rFonts w:ascii="Times New Roman" w:hAnsi="Times New Roman" w:eastAsia="宋体" w:cs="Times New Roman"/>
                      <w:color w:val="auto"/>
                      <w:kern w:val="0"/>
                      <w:szCs w:val="21"/>
                    </w:rPr>
                    <w:t>/a</w:t>
                  </w:r>
                  <w:r>
                    <w:rPr>
                      <w:rFonts w:hint="eastAsia" w:cs="Times New Roman"/>
                      <w:color w:val="auto"/>
                      <w:kern w:val="0"/>
                      <w:szCs w:val="21"/>
                      <w:lang w:eastAsia="zh-CN"/>
                    </w:rPr>
                    <w:t>）</w:t>
                  </w:r>
                </w:p>
              </w:tc>
              <w:tc>
                <w:tcPr>
                  <w:tcW w:w="6563" w:type="dxa"/>
                  <w:gridSpan w:val="7"/>
                  <w:textDirection w:val="lrTb"/>
                  <w:vAlign w:val="center"/>
                </w:tcPr>
                <w:p>
                  <w:pPr>
                    <w:spacing w:line="360" w:lineRule="auto"/>
                    <w:jc w:val="center"/>
                    <w:rPr>
                      <w:rFonts w:hint="eastAsia" w:ascii="Times New Roman" w:hAnsi="Times New Roman" w:eastAsia="宋体" w:cs="Times New Roman"/>
                      <w:color w:val="auto"/>
                      <w:kern w:val="0"/>
                      <w:szCs w:val="21"/>
                      <w:lang w:val="en-US" w:eastAsia="zh-CN"/>
                    </w:rPr>
                  </w:pPr>
                  <w:r>
                    <w:rPr>
                      <w:rFonts w:hint="eastAsia" w:cs="Times New Roman"/>
                      <w:color w:val="auto"/>
                      <w:sz w:val="21"/>
                      <w:szCs w:val="21"/>
                      <w:shd w:val="clear" w:color="auto" w:fill="FFFFFF"/>
                      <w:lang w:val="en-US" w:eastAsia="zh-CN"/>
                    </w:rPr>
                    <w:t>27000</w:t>
                  </w:r>
                  <w:r>
                    <w:rPr>
                      <w:rFonts w:hint="eastAsia" w:ascii="Times New Roman" w:hAnsi="Times New Roman" w:eastAsia="宋体" w:cs="Times New Roman"/>
                      <w:color w:val="auto"/>
                      <w:sz w:val="21"/>
                      <w:szCs w:val="21"/>
                      <w:shd w:val="clear" w:color="auto" w:fill="FFFFFF"/>
                      <w:lang w:val="en-US" w:eastAsia="zh-CN"/>
                    </w:rPr>
                    <w:t>m</w:t>
                  </w:r>
                  <w:r>
                    <w:rPr>
                      <w:rFonts w:hint="eastAsia" w:ascii="Times New Roman" w:hAnsi="Times New Roman" w:eastAsia="宋体" w:cs="Times New Roman"/>
                      <w:color w:val="auto"/>
                      <w:sz w:val="21"/>
                      <w:szCs w:val="21"/>
                      <w:shd w:val="clear" w:color="auto" w:fill="FFFFFF"/>
                      <w:vertAlign w:val="superscript"/>
                      <w:lang w:val="en-US" w:eastAsia="zh-CN"/>
                    </w:rPr>
                    <w:t>3</w:t>
                  </w:r>
                  <w:r>
                    <w:rPr>
                      <w:rFonts w:hint="eastAsia" w:ascii="Times New Roman" w:hAnsi="Times New Roman" w:eastAsia="宋体" w:cs="Times New Roman"/>
                      <w:color w:val="auto"/>
                      <w:sz w:val="21"/>
                      <w:szCs w:val="21"/>
                      <w:shd w:val="clear" w:color="auto" w:fill="FFFFFF"/>
                      <w:lang w:val="en-US" w:eastAsia="zh-CN"/>
                    </w:rPr>
                    <w: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2" w:type="dxa"/>
                  <w:vMerge w:val="continue"/>
                  <w:vAlign w:val="center"/>
                </w:tcPr>
                <w:p>
                  <w:pPr>
                    <w:spacing w:line="360" w:lineRule="auto"/>
                    <w:jc w:val="center"/>
                    <w:rPr>
                      <w:rFonts w:hint="eastAsia" w:cs="Times New Roman"/>
                      <w:color w:val="auto"/>
                      <w:kern w:val="0"/>
                      <w:szCs w:val="21"/>
                      <w:lang w:val="en-US" w:eastAsia="zh-CN"/>
                    </w:rPr>
                  </w:pPr>
                </w:p>
              </w:tc>
              <w:tc>
                <w:tcPr>
                  <w:tcW w:w="547" w:type="dxa"/>
                  <w:vMerge w:val="continue"/>
                  <w:vAlign w:val="center"/>
                </w:tcPr>
                <w:p>
                  <w:pPr>
                    <w:spacing w:line="360" w:lineRule="auto"/>
                    <w:jc w:val="center"/>
                    <w:rPr>
                      <w:rFonts w:hint="eastAsia" w:cs="Times New Roman"/>
                      <w:color w:val="auto"/>
                      <w:kern w:val="0"/>
                      <w:szCs w:val="21"/>
                      <w:lang w:val="en-US" w:eastAsia="zh-CN"/>
                    </w:rPr>
                  </w:pPr>
                </w:p>
              </w:tc>
              <w:tc>
                <w:tcPr>
                  <w:tcW w:w="1404" w:type="dxa"/>
                  <w:textDirection w:val="lrTb"/>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种类</w:t>
                  </w:r>
                </w:p>
              </w:tc>
              <w:tc>
                <w:tcPr>
                  <w:tcW w:w="950" w:type="dxa"/>
                  <w:textDirection w:val="lrTb"/>
                  <w:vAlign w:val="center"/>
                </w:tcPr>
                <w:p>
                  <w:pPr>
                    <w:spacing w:line="360" w:lineRule="auto"/>
                    <w:jc w:val="center"/>
                    <w:rPr>
                      <w:rFonts w:ascii="Times New Roman" w:hAnsi="Times New Roman" w:eastAsia="宋体" w:cs="Times New Roman"/>
                      <w:color w:val="auto"/>
                      <w:szCs w:val="21"/>
                      <w:lang w:bidi="ar"/>
                    </w:rPr>
                  </w:pPr>
                  <w:r>
                    <w:rPr>
                      <w:rFonts w:ascii="Times New Roman" w:hAnsi="Times New Roman" w:eastAsia="宋体" w:cs="Times New Roman"/>
                      <w:color w:val="auto"/>
                      <w:szCs w:val="21"/>
                      <w:lang w:bidi="ar"/>
                    </w:rPr>
                    <w:t>COD</w:t>
                  </w:r>
                </w:p>
              </w:tc>
              <w:tc>
                <w:tcPr>
                  <w:tcW w:w="996" w:type="dxa"/>
                  <w:gridSpan w:val="2"/>
                  <w:textDirection w:val="lrTb"/>
                  <w:vAlign w:val="center"/>
                </w:tcPr>
                <w:p>
                  <w:pPr>
                    <w:spacing w:line="360" w:lineRule="auto"/>
                    <w:jc w:val="center"/>
                    <w:rPr>
                      <w:rFonts w:ascii="Times New Roman" w:hAnsi="Times New Roman" w:eastAsia="宋体" w:cs="Times New Roman"/>
                      <w:color w:val="auto"/>
                      <w:szCs w:val="21"/>
                      <w:lang w:bidi="ar"/>
                    </w:rPr>
                  </w:pPr>
                  <w:r>
                    <w:rPr>
                      <w:rFonts w:ascii="Times New Roman" w:hAnsi="Times New Roman" w:eastAsia="宋体" w:cs="Times New Roman"/>
                      <w:color w:val="auto"/>
                      <w:szCs w:val="21"/>
                      <w:lang w:bidi="ar"/>
                    </w:rPr>
                    <w:t>BOD</w:t>
                  </w:r>
                  <w:r>
                    <w:rPr>
                      <w:rFonts w:ascii="Times New Roman" w:hAnsi="Times New Roman" w:eastAsia="宋体" w:cs="Times New Roman"/>
                      <w:color w:val="auto"/>
                      <w:szCs w:val="21"/>
                      <w:vertAlign w:val="subscript"/>
                      <w:lang w:bidi="ar"/>
                    </w:rPr>
                    <w:t>5</w:t>
                  </w:r>
                </w:p>
              </w:tc>
              <w:tc>
                <w:tcPr>
                  <w:tcW w:w="1073" w:type="dxa"/>
                  <w:textDirection w:val="lrTb"/>
                  <w:vAlign w:val="center"/>
                </w:tcPr>
                <w:p>
                  <w:pPr>
                    <w:spacing w:line="360" w:lineRule="auto"/>
                    <w:jc w:val="center"/>
                    <w:rPr>
                      <w:rFonts w:ascii="Times New Roman" w:hAnsi="Times New Roman" w:eastAsia="宋体" w:cs="Times New Roman"/>
                      <w:color w:val="auto"/>
                      <w:szCs w:val="21"/>
                      <w:lang w:bidi="ar"/>
                    </w:rPr>
                  </w:pPr>
                  <w:r>
                    <w:rPr>
                      <w:rFonts w:ascii="Times New Roman" w:hAnsi="Times New Roman" w:eastAsia="宋体" w:cs="Times New Roman"/>
                      <w:color w:val="auto"/>
                      <w:szCs w:val="21"/>
                      <w:lang w:bidi="ar"/>
                    </w:rPr>
                    <w:t>SS</w:t>
                  </w:r>
                </w:p>
              </w:tc>
              <w:tc>
                <w:tcPr>
                  <w:tcW w:w="1107" w:type="dxa"/>
                  <w:textDirection w:val="lrTb"/>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NH</w:t>
                  </w:r>
                  <w:r>
                    <w:rPr>
                      <w:rFonts w:ascii="Times New Roman" w:hAnsi="Times New Roman" w:eastAsia="宋体" w:cs="Times New Roman"/>
                      <w:color w:val="auto"/>
                      <w:kern w:val="0"/>
                      <w:szCs w:val="21"/>
                      <w:vertAlign w:val="subscript"/>
                    </w:rPr>
                    <w:t>3</w:t>
                  </w:r>
                  <w:r>
                    <w:rPr>
                      <w:rFonts w:ascii="Times New Roman" w:hAnsi="Times New Roman" w:eastAsia="宋体" w:cs="Times New Roman"/>
                      <w:color w:val="auto"/>
                      <w:kern w:val="0"/>
                      <w:szCs w:val="21"/>
                    </w:rPr>
                    <w:t>-N</w:t>
                  </w:r>
                </w:p>
              </w:tc>
              <w:tc>
                <w:tcPr>
                  <w:tcW w:w="1275" w:type="dxa"/>
                  <w:textDirection w:val="lrTb"/>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动植物油</w:t>
                  </w:r>
                </w:p>
              </w:tc>
              <w:tc>
                <w:tcPr>
                  <w:tcW w:w="1162" w:type="dxa"/>
                  <w:textDirection w:val="lrTb"/>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磷酸盐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2" w:type="dxa"/>
                  <w:vMerge w:val="continue"/>
                  <w:vAlign w:val="center"/>
                </w:tcPr>
                <w:p>
                  <w:pPr>
                    <w:spacing w:line="360" w:lineRule="auto"/>
                    <w:jc w:val="center"/>
                    <w:rPr>
                      <w:rFonts w:ascii="Times New Roman" w:hAnsi="Times New Roman" w:eastAsia="宋体" w:cs="Times New Roman"/>
                      <w:color w:val="auto"/>
                      <w:kern w:val="0"/>
                      <w:szCs w:val="21"/>
                    </w:rPr>
                  </w:pPr>
                </w:p>
              </w:tc>
              <w:tc>
                <w:tcPr>
                  <w:tcW w:w="547" w:type="dxa"/>
                  <w:vMerge w:val="continue"/>
                  <w:vAlign w:val="center"/>
                </w:tcPr>
                <w:p>
                  <w:pPr>
                    <w:spacing w:line="360" w:lineRule="auto"/>
                    <w:jc w:val="center"/>
                    <w:rPr>
                      <w:rFonts w:ascii="Times New Roman" w:hAnsi="Times New Roman" w:eastAsia="宋体" w:cs="Times New Roman"/>
                      <w:color w:val="auto"/>
                      <w:kern w:val="0"/>
                      <w:szCs w:val="21"/>
                    </w:rPr>
                  </w:pPr>
                </w:p>
              </w:tc>
              <w:tc>
                <w:tcPr>
                  <w:tcW w:w="1404" w:type="dxa"/>
                  <w:textDirection w:val="lrTb"/>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排放浓度</w:t>
                  </w:r>
                  <w:r>
                    <w:rPr>
                      <w:rFonts w:hint="eastAsia" w:ascii="Times New Roman" w:hAnsi="Times New Roman" w:eastAsia="宋体" w:cs="Times New Roman"/>
                      <w:color w:val="auto"/>
                      <w:kern w:val="0"/>
                      <w:szCs w:val="21"/>
                      <w:lang w:eastAsia="zh-CN"/>
                    </w:rPr>
                    <w:t>（</w:t>
                  </w:r>
                  <w:r>
                    <w:rPr>
                      <w:rFonts w:hint="eastAsia" w:ascii="Times New Roman" w:hAnsi="Times New Roman" w:eastAsia="宋体" w:cs="Times New Roman"/>
                      <w:color w:val="auto"/>
                      <w:kern w:val="0"/>
                      <w:szCs w:val="21"/>
                      <w:lang w:val="en-US" w:eastAsia="zh-CN"/>
                    </w:rPr>
                    <w:t>mg/L）</w:t>
                  </w:r>
                </w:p>
              </w:tc>
              <w:tc>
                <w:tcPr>
                  <w:tcW w:w="950" w:type="dxa"/>
                  <w:textDirection w:val="lrTb"/>
                  <w:vAlign w:val="center"/>
                </w:tcPr>
                <w:p>
                  <w:pPr>
                    <w:spacing w:line="360" w:lineRule="auto"/>
                    <w:jc w:val="center"/>
                    <w:rPr>
                      <w:rFonts w:hint="eastAsia" w:ascii="Times New Roman" w:hAnsi="Times New Roman" w:eastAsia="宋体" w:cs="Times New Roman"/>
                      <w:color w:val="auto"/>
                      <w:kern w:val="0"/>
                      <w:szCs w:val="21"/>
                      <w:lang w:val="en-US" w:eastAsia="zh-CN"/>
                    </w:rPr>
                  </w:pPr>
                  <w:r>
                    <w:rPr>
                      <w:rFonts w:hint="eastAsia" w:ascii="Times New Roman" w:hAnsi="Times New Roman" w:cs="Times New Roman"/>
                      <w:color w:val="auto"/>
                      <w:kern w:val="0"/>
                      <w:szCs w:val="21"/>
                      <w:lang w:val="en-US" w:eastAsia="zh-CN"/>
                    </w:rPr>
                    <w:t>35</w:t>
                  </w:r>
                </w:p>
              </w:tc>
              <w:tc>
                <w:tcPr>
                  <w:tcW w:w="996" w:type="dxa"/>
                  <w:gridSpan w:val="2"/>
                  <w:textDirection w:val="lrTb"/>
                  <w:vAlign w:val="center"/>
                </w:tcPr>
                <w:p>
                  <w:pPr>
                    <w:spacing w:line="360" w:lineRule="auto"/>
                    <w:jc w:val="center"/>
                    <w:rPr>
                      <w:rFonts w:hint="eastAsia" w:ascii="Times New Roman" w:hAnsi="Times New Roman" w:eastAsia="宋体" w:cs="Times New Roman"/>
                      <w:color w:val="auto"/>
                      <w:kern w:val="0"/>
                      <w:szCs w:val="21"/>
                      <w:lang w:val="en-US" w:eastAsia="zh-CN"/>
                    </w:rPr>
                  </w:pPr>
                  <w:r>
                    <w:rPr>
                      <w:rFonts w:hint="eastAsia" w:ascii="Times New Roman" w:hAnsi="Times New Roman" w:cs="Times New Roman"/>
                      <w:color w:val="auto"/>
                      <w:kern w:val="0"/>
                      <w:szCs w:val="21"/>
                      <w:lang w:val="en-US" w:eastAsia="zh-CN"/>
                    </w:rPr>
                    <w:t>/</w:t>
                  </w:r>
                </w:p>
              </w:tc>
              <w:tc>
                <w:tcPr>
                  <w:tcW w:w="1073" w:type="dxa"/>
                  <w:textDirection w:val="lrTb"/>
                  <w:vAlign w:val="center"/>
                </w:tcPr>
                <w:p>
                  <w:pPr>
                    <w:spacing w:line="360" w:lineRule="auto"/>
                    <w:jc w:val="center"/>
                    <w:rPr>
                      <w:rFonts w:hint="eastAsia" w:ascii="Times New Roman" w:hAnsi="Times New Roman" w:eastAsia="宋体" w:cs="Times New Roman"/>
                      <w:color w:val="auto"/>
                      <w:kern w:val="0"/>
                      <w:szCs w:val="21"/>
                      <w:lang w:val="en-US" w:eastAsia="zh-CN"/>
                    </w:rPr>
                  </w:pPr>
                  <w:r>
                    <w:rPr>
                      <w:rFonts w:hint="eastAsia" w:ascii="Times New Roman" w:hAnsi="Times New Roman" w:cs="Times New Roman"/>
                      <w:color w:val="auto"/>
                      <w:kern w:val="0"/>
                      <w:szCs w:val="21"/>
                      <w:lang w:val="en-US" w:eastAsia="zh-CN"/>
                    </w:rPr>
                    <w:t>50</w:t>
                  </w:r>
                </w:p>
              </w:tc>
              <w:tc>
                <w:tcPr>
                  <w:tcW w:w="1107" w:type="dxa"/>
                  <w:textDirection w:val="lrTb"/>
                  <w:vAlign w:val="center"/>
                </w:tcPr>
                <w:p>
                  <w:pPr>
                    <w:spacing w:line="360" w:lineRule="auto"/>
                    <w:jc w:val="center"/>
                    <w:rPr>
                      <w:rFonts w:hint="eastAsia" w:ascii="Times New Roman" w:hAnsi="Times New Roman" w:eastAsia="宋体" w:cs="Times New Roman"/>
                      <w:color w:val="auto"/>
                      <w:kern w:val="0"/>
                      <w:szCs w:val="21"/>
                      <w:lang w:val="en-US" w:eastAsia="zh-CN"/>
                    </w:rPr>
                  </w:pPr>
                  <w:r>
                    <w:rPr>
                      <w:rFonts w:hint="eastAsia" w:ascii="Times New Roman" w:hAnsi="Times New Roman" w:cs="Times New Roman"/>
                      <w:color w:val="auto"/>
                      <w:kern w:val="0"/>
                      <w:szCs w:val="21"/>
                      <w:lang w:val="en-US" w:eastAsia="zh-CN"/>
                    </w:rPr>
                    <w:t>/</w:t>
                  </w:r>
                </w:p>
              </w:tc>
              <w:tc>
                <w:tcPr>
                  <w:tcW w:w="1275" w:type="dxa"/>
                  <w:textDirection w:val="lrTb"/>
                  <w:vAlign w:val="center"/>
                </w:tcPr>
                <w:p>
                  <w:pPr>
                    <w:spacing w:line="360" w:lineRule="auto"/>
                    <w:jc w:val="center"/>
                    <w:rPr>
                      <w:rFonts w:hint="eastAsia" w:ascii="Times New Roman" w:hAnsi="Times New Roman" w:eastAsia="宋体" w:cs="Times New Roman"/>
                      <w:color w:val="auto"/>
                      <w:kern w:val="0"/>
                      <w:szCs w:val="21"/>
                      <w:lang w:eastAsia="zh-CN"/>
                    </w:rPr>
                  </w:pPr>
                  <w:r>
                    <w:rPr>
                      <w:rFonts w:hint="eastAsia" w:ascii="Times New Roman" w:hAnsi="Times New Roman" w:cs="Times New Roman"/>
                      <w:color w:val="auto"/>
                      <w:kern w:val="0"/>
                      <w:szCs w:val="21"/>
                      <w:lang w:val="en-US" w:eastAsia="zh-CN"/>
                    </w:rPr>
                    <w:t>/</w:t>
                  </w:r>
                </w:p>
              </w:tc>
              <w:tc>
                <w:tcPr>
                  <w:tcW w:w="1162" w:type="dxa"/>
                  <w:textDirection w:val="lrTb"/>
                  <w:vAlign w:val="center"/>
                </w:tcPr>
                <w:p>
                  <w:pPr>
                    <w:spacing w:line="360" w:lineRule="auto"/>
                    <w:jc w:val="center"/>
                    <w:rPr>
                      <w:rFonts w:hint="eastAsia" w:ascii="Times New Roman" w:hAnsi="Times New Roman" w:eastAsia="宋体" w:cs="Times New Roman"/>
                      <w:color w:val="auto"/>
                      <w:kern w:val="0"/>
                      <w:szCs w:val="21"/>
                      <w:lang w:val="en-US" w:eastAsia="zh-CN"/>
                    </w:rPr>
                  </w:pPr>
                  <w:r>
                    <w:rPr>
                      <w:rFonts w:ascii="Times New Roman" w:hAnsi="Times New Roman" w:eastAsia="宋体" w:cs="Times New Roman"/>
                      <w:color w:val="auto"/>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2" w:type="dxa"/>
                  <w:vMerge w:val="continue"/>
                  <w:vAlign w:val="center"/>
                </w:tcPr>
                <w:p>
                  <w:pPr>
                    <w:spacing w:line="360" w:lineRule="auto"/>
                    <w:jc w:val="center"/>
                    <w:rPr>
                      <w:rFonts w:ascii="Times New Roman" w:hAnsi="Times New Roman" w:eastAsia="宋体" w:cs="Times New Roman"/>
                      <w:color w:val="auto"/>
                      <w:kern w:val="0"/>
                      <w:szCs w:val="21"/>
                    </w:rPr>
                  </w:pPr>
                </w:p>
              </w:tc>
              <w:tc>
                <w:tcPr>
                  <w:tcW w:w="547" w:type="dxa"/>
                  <w:vMerge w:val="continue"/>
                  <w:vAlign w:val="center"/>
                </w:tcPr>
                <w:p>
                  <w:pPr>
                    <w:spacing w:line="360" w:lineRule="auto"/>
                    <w:jc w:val="center"/>
                    <w:rPr>
                      <w:rFonts w:ascii="Times New Roman" w:hAnsi="Times New Roman" w:eastAsia="宋体" w:cs="Times New Roman"/>
                      <w:color w:val="auto"/>
                      <w:kern w:val="0"/>
                      <w:szCs w:val="21"/>
                    </w:rPr>
                  </w:pPr>
                </w:p>
              </w:tc>
              <w:tc>
                <w:tcPr>
                  <w:tcW w:w="1404" w:type="dxa"/>
                  <w:textDirection w:val="lrTb"/>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排放量</w:t>
                  </w:r>
                  <w:r>
                    <w:rPr>
                      <w:rFonts w:hint="eastAsia" w:ascii="Times New Roman" w:hAnsi="Times New Roman" w:eastAsia="宋体" w:cs="Times New Roman"/>
                      <w:color w:val="auto"/>
                      <w:kern w:val="0"/>
                      <w:szCs w:val="21"/>
                      <w:lang w:eastAsia="zh-CN"/>
                    </w:rPr>
                    <w:t>（</w:t>
                  </w:r>
                  <w:r>
                    <w:rPr>
                      <w:rFonts w:hint="eastAsia" w:ascii="Times New Roman" w:hAnsi="Times New Roman" w:eastAsia="宋体" w:cs="Times New Roman"/>
                      <w:color w:val="auto"/>
                      <w:kern w:val="0"/>
                      <w:szCs w:val="21"/>
                      <w:lang w:val="en-US" w:eastAsia="zh-CN"/>
                    </w:rPr>
                    <w:t>t/a)</w:t>
                  </w:r>
                </w:p>
              </w:tc>
              <w:tc>
                <w:tcPr>
                  <w:tcW w:w="950" w:type="dxa"/>
                  <w:textDirection w:val="lrTb"/>
                  <w:vAlign w:val="center"/>
                </w:tcPr>
                <w:p>
                  <w:pPr>
                    <w:spacing w:line="360" w:lineRule="auto"/>
                    <w:jc w:val="center"/>
                    <w:rPr>
                      <w:rFonts w:hint="eastAsia" w:ascii="Times New Roman" w:hAnsi="Times New Roman" w:eastAsia="宋体" w:cs="Times New Roman"/>
                      <w:color w:val="auto"/>
                      <w:kern w:val="0"/>
                      <w:szCs w:val="21"/>
                      <w:lang w:val="en-US" w:eastAsia="zh-CN"/>
                    </w:rPr>
                  </w:pPr>
                  <w:r>
                    <w:rPr>
                      <w:rFonts w:hint="eastAsia" w:ascii="Times New Roman" w:hAnsi="Times New Roman" w:cs="Times New Roman"/>
                      <w:color w:val="auto"/>
                      <w:kern w:val="0"/>
                      <w:szCs w:val="21"/>
                      <w:lang w:val="en-US" w:eastAsia="zh-CN"/>
                    </w:rPr>
                    <w:t>0.945</w:t>
                  </w:r>
                </w:p>
              </w:tc>
              <w:tc>
                <w:tcPr>
                  <w:tcW w:w="996" w:type="dxa"/>
                  <w:gridSpan w:val="2"/>
                  <w:textDirection w:val="lrTb"/>
                  <w:vAlign w:val="center"/>
                </w:tcPr>
                <w:p>
                  <w:pPr>
                    <w:spacing w:line="360" w:lineRule="auto"/>
                    <w:jc w:val="center"/>
                    <w:rPr>
                      <w:rFonts w:hint="eastAsia" w:ascii="Times New Roman" w:hAnsi="Times New Roman" w:eastAsia="宋体" w:cs="Times New Roman"/>
                      <w:color w:val="auto"/>
                      <w:kern w:val="0"/>
                      <w:szCs w:val="21"/>
                      <w:lang w:val="en-US" w:eastAsia="zh-CN"/>
                    </w:rPr>
                  </w:pPr>
                  <w:r>
                    <w:rPr>
                      <w:rFonts w:hint="eastAsia" w:ascii="Times New Roman" w:hAnsi="Times New Roman" w:cs="Times New Roman"/>
                      <w:color w:val="auto"/>
                      <w:kern w:val="0"/>
                      <w:szCs w:val="21"/>
                      <w:lang w:val="en-US" w:eastAsia="zh-CN"/>
                    </w:rPr>
                    <w:t>/</w:t>
                  </w:r>
                </w:p>
              </w:tc>
              <w:tc>
                <w:tcPr>
                  <w:tcW w:w="1073" w:type="dxa"/>
                  <w:textDirection w:val="lrTb"/>
                  <w:vAlign w:val="center"/>
                </w:tcPr>
                <w:p>
                  <w:pPr>
                    <w:spacing w:line="360" w:lineRule="auto"/>
                    <w:jc w:val="center"/>
                    <w:rPr>
                      <w:rFonts w:hint="eastAsia" w:ascii="Times New Roman" w:hAnsi="Times New Roman" w:eastAsia="宋体" w:cs="Times New Roman"/>
                      <w:color w:val="auto"/>
                      <w:kern w:val="0"/>
                      <w:szCs w:val="21"/>
                      <w:lang w:val="en-US" w:eastAsia="zh-CN"/>
                    </w:rPr>
                  </w:pPr>
                  <w:r>
                    <w:rPr>
                      <w:rFonts w:hint="eastAsia" w:ascii="Times New Roman" w:hAnsi="Times New Roman" w:cs="Times New Roman"/>
                      <w:color w:val="auto"/>
                      <w:kern w:val="0"/>
                      <w:szCs w:val="21"/>
                      <w:lang w:val="en-US" w:eastAsia="zh-CN"/>
                    </w:rPr>
                    <w:t>1.35</w:t>
                  </w:r>
                </w:p>
              </w:tc>
              <w:tc>
                <w:tcPr>
                  <w:tcW w:w="1107" w:type="dxa"/>
                  <w:textDirection w:val="lrTb"/>
                  <w:vAlign w:val="center"/>
                </w:tcPr>
                <w:p>
                  <w:pPr>
                    <w:spacing w:line="360" w:lineRule="auto"/>
                    <w:jc w:val="center"/>
                    <w:rPr>
                      <w:rFonts w:hint="eastAsia" w:ascii="Times New Roman" w:hAnsi="Times New Roman" w:eastAsia="宋体" w:cs="Times New Roman"/>
                      <w:color w:val="auto"/>
                      <w:kern w:val="0"/>
                      <w:szCs w:val="21"/>
                      <w:lang w:val="en-US" w:eastAsia="zh-CN"/>
                    </w:rPr>
                  </w:pPr>
                  <w:r>
                    <w:rPr>
                      <w:rFonts w:hint="eastAsia" w:ascii="Times New Roman" w:hAnsi="Times New Roman" w:cs="Times New Roman"/>
                      <w:color w:val="auto"/>
                      <w:kern w:val="0"/>
                      <w:szCs w:val="21"/>
                      <w:lang w:val="en-US" w:eastAsia="zh-CN"/>
                    </w:rPr>
                    <w:t>/</w:t>
                  </w:r>
                </w:p>
              </w:tc>
              <w:tc>
                <w:tcPr>
                  <w:tcW w:w="1275" w:type="dxa"/>
                  <w:textDirection w:val="lrTb"/>
                  <w:vAlign w:val="center"/>
                </w:tcPr>
                <w:p>
                  <w:pPr>
                    <w:spacing w:line="360" w:lineRule="auto"/>
                    <w:jc w:val="center"/>
                    <w:rPr>
                      <w:rFonts w:ascii="Times New Roman" w:hAnsi="Times New Roman" w:eastAsia="宋体" w:cs="Times New Roman"/>
                      <w:color w:val="auto"/>
                      <w:kern w:val="0"/>
                      <w:szCs w:val="21"/>
                    </w:rPr>
                  </w:pPr>
                  <w:r>
                    <w:rPr>
                      <w:rFonts w:hint="eastAsia" w:ascii="Times New Roman" w:hAnsi="Times New Roman" w:cs="Times New Roman"/>
                      <w:color w:val="auto"/>
                      <w:kern w:val="0"/>
                      <w:szCs w:val="21"/>
                      <w:lang w:val="en-US" w:eastAsia="zh-CN"/>
                    </w:rPr>
                    <w:t>/</w:t>
                  </w:r>
                </w:p>
              </w:tc>
              <w:tc>
                <w:tcPr>
                  <w:tcW w:w="1162" w:type="dxa"/>
                  <w:textDirection w:val="lrTb"/>
                  <w:vAlign w:val="center"/>
                </w:tcPr>
                <w:p>
                  <w:pPr>
                    <w:spacing w:line="360" w:lineRule="auto"/>
                    <w:jc w:val="center"/>
                    <w:rPr>
                      <w:rFonts w:hint="eastAsia" w:ascii="Times New Roman" w:hAnsi="Times New Roman" w:eastAsia="宋体" w:cs="Times New Roman"/>
                      <w:color w:val="auto"/>
                      <w:kern w:val="0"/>
                      <w:szCs w:val="21"/>
                      <w:lang w:val="en-US" w:eastAsia="zh-CN"/>
                    </w:rPr>
                  </w:pPr>
                  <w:r>
                    <w:rPr>
                      <w:rFonts w:ascii="Times New Roman" w:hAnsi="Times New Roman" w:eastAsia="宋体" w:cs="Times New Roman"/>
                      <w:color w:val="auto"/>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832" w:type="dxa"/>
                  <w:vMerge w:val="restart"/>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废水</w:t>
                  </w:r>
                  <w:r>
                    <w:rPr>
                      <w:rFonts w:hint="eastAsia" w:ascii="Times New Roman" w:hAnsi="Times New Roman" w:eastAsia="宋体" w:cs="Times New Roman"/>
                      <w:color w:val="auto"/>
                      <w:kern w:val="0"/>
                      <w:szCs w:val="21"/>
                      <w:lang w:val="en-US" w:eastAsia="zh-CN"/>
                    </w:rPr>
                    <w:t>合计</w:t>
                  </w:r>
                </w:p>
              </w:tc>
              <w:tc>
                <w:tcPr>
                  <w:tcW w:w="1951" w:type="dxa"/>
                  <w:gridSpan w:val="2"/>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szCs w:val="21"/>
                      <w:lang w:bidi="ar"/>
                    </w:rPr>
                    <w:t>废水排放量</w:t>
                  </w:r>
                  <w:r>
                    <w:rPr>
                      <w:rFonts w:hint="eastAsia" w:ascii="Times New Roman" w:hAnsi="Times New Roman" w:eastAsia="宋体" w:cs="Times New Roman"/>
                      <w:color w:val="auto"/>
                      <w:szCs w:val="21"/>
                      <w:lang w:eastAsia="zh-CN" w:bidi="ar"/>
                    </w:rPr>
                    <w:t>（</w:t>
                  </w:r>
                  <w:r>
                    <w:rPr>
                      <w:rFonts w:ascii="Times New Roman" w:hAnsi="Times New Roman" w:eastAsia="宋体" w:cs="Times New Roman"/>
                      <w:color w:val="auto"/>
                      <w:szCs w:val="21"/>
                    </w:rPr>
                    <w:t>m</w:t>
                  </w:r>
                  <w:r>
                    <w:rPr>
                      <w:rFonts w:ascii="Times New Roman" w:hAnsi="Times New Roman" w:eastAsia="宋体" w:cs="Times New Roman"/>
                      <w:color w:val="auto"/>
                      <w:szCs w:val="21"/>
                      <w:vertAlign w:val="superscript"/>
                    </w:rPr>
                    <w:t>3</w:t>
                  </w:r>
                  <w:r>
                    <w:rPr>
                      <w:rFonts w:ascii="Times New Roman" w:hAnsi="Times New Roman" w:eastAsia="宋体" w:cs="Times New Roman"/>
                      <w:color w:val="auto"/>
                      <w:kern w:val="0"/>
                      <w:szCs w:val="21"/>
                    </w:rPr>
                    <w:t>/a</w:t>
                  </w:r>
                  <w:r>
                    <w:rPr>
                      <w:rFonts w:hint="eastAsia" w:cs="Times New Roman"/>
                      <w:color w:val="auto"/>
                      <w:kern w:val="0"/>
                      <w:szCs w:val="21"/>
                      <w:lang w:eastAsia="zh-CN"/>
                    </w:rPr>
                    <w:t>）</w:t>
                  </w:r>
                </w:p>
              </w:tc>
              <w:tc>
                <w:tcPr>
                  <w:tcW w:w="6563" w:type="dxa"/>
                  <w:gridSpan w:val="7"/>
                  <w:vAlign w:val="center"/>
                </w:tcPr>
                <w:p>
                  <w:pPr>
                    <w:spacing w:line="360" w:lineRule="auto"/>
                    <w:jc w:val="center"/>
                    <w:rPr>
                      <w:rFonts w:ascii="Times New Roman" w:hAnsi="Times New Roman" w:eastAsia="宋体" w:cs="Times New Roman"/>
                      <w:color w:val="auto"/>
                      <w:kern w:val="0"/>
                      <w:szCs w:val="21"/>
                    </w:rPr>
                  </w:pPr>
                  <w:r>
                    <w:rPr>
                      <w:rFonts w:hint="eastAsia" w:cs="Times New Roman"/>
                      <w:color w:val="auto"/>
                      <w:szCs w:val="21"/>
                      <w:lang w:val="en-US" w:eastAsia="zh-CN"/>
                    </w:rPr>
                    <w:t>147613.4</w:t>
                  </w:r>
                  <w:r>
                    <w:rPr>
                      <w:rFonts w:ascii="Times New Roman" w:hAnsi="Times New Roman" w:eastAsia="宋体" w:cs="Times New Roman"/>
                      <w:color w:val="auto"/>
                      <w:szCs w:val="21"/>
                    </w:rPr>
                    <w:t>m</w:t>
                  </w:r>
                  <w:r>
                    <w:rPr>
                      <w:rFonts w:ascii="Times New Roman" w:hAnsi="Times New Roman" w:eastAsia="宋体" w:cs="Times New Roman"/>
                      <w:color w:val="auto"/>
                      <w:szCs w:val="21"/>
                      <w:vertAlign w:val="superscript"/>
                    </w:rPr>
                    <w:t>3</w:t>
                  </w:r>
                  <w:r>
                    <w:rPr>
                      <w:rFonts w:ascii="Times New Roman" w:hAnsi="Times New Roman" w:eastAsia="宋体" w:cs="Times New Roman"/>
                      <w:color w:val="auto"/>
                      <w:szCs w:val="21"/>
                    </w:rPr>
                    <w: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2" w:type="dxa"/>
                  <w:vMerge w:val="continue"/>
                  <w:vAlign w:val="center"/>
                </w:tcPr>
                <w:p>
                  <w:pPr>
                    <w:spacing w:line="360" w:lineRule="auto"/>
                    <w:jc w:val="center"/>
                    <w:rPr>
                      <w:rFonts w:ascii="Times New Roman" w:hAnsi="Times New Roman" w:eastAsia="宋体" w:cs="Times New Roman"/>
                      <w:color w:val="auto"/>
                      <w:kern w:val="0"/>
                      <w:szCs w:val="21"/>
                    </w:rPr>
                  </w:pPr>
                </w:p>
              </w:tc>
              <w:tc>
                <w:tcPr>
                  <w:tcW w:w="547" w:type="dxa"/>
                  <w:vMerge w:val="restart"/>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污染物</w:t>
                  </w:r>
                </w:p>
              </w:tc>
              <w:tc>
                <w:tcPr>
                  <w:tcW w:w="1404"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种类</w:t>
                  </w:r>
                </w:p>
              </w:tc>
              <w:tc>
                <w:tcPr>
                  <w:tcW w:w="950"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szCs w:val="21"/>
                      <w:lang w:bidi="ar"/>
                    </w:rPr>
                    <w:t>COD</w:t>
                  </w:r>
                </w:p>
              </w:tc>
              <w:tc>
                <w:tcPr>
                  <w:tcW w:w="995"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szCs w:val="21"/>
                      <w:lang w:bidi="ar"/>
                    </w:rPr>
                    <w:t>BOD</w:t>
                  </w:r>
                  <w:r>
                    <w:rPr>
                      <w:rFonts w:ascii="Times New Roman" w:hAnsi="Times New Roman" w:eastAsia="宋体" w:cs="Times New Roman"/>
                      <w:color w:val="auto"/>
                      <w:szCs w:val="21"/>
                      <w:vertAlign w:val="subscript"/>
                      <w:lang w:bidi="ar"/>
                    </w:rPr>
                    <w:t>5</w:t>
                  </w:r>
                </w:p>
              </w:tc>
              <w:tc>
                <w:tcPr>
                  <w:tcW w:w="1074" w:type="dxa"/>
                  <w:gridSpan w:val="2"/>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szCs w:val="21"/>
                      <w:lang w:bidi="ar"/>
                    </w:rPr>
                    <w:t>SS</w:t>
                  </w:r>
                </w:p>
              </w:tc>
              <w:tc>
                <w:tcPr>
                  <w:tcW w:w="1107"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NH</w:t>
                  </w:r>
                  <w:r>
                    <w:rPr>
                      <w:rFonts w:ascii="Times New Roman" w:hAnsi="Times New Roman" w:eastAsia="宋体" w:cs="Times New Roman"/>
                      <w:color w:val="auto"/>
                      <w:kern w:val="0"/>
                      <w:szCs w:val="21"/>
                      <w:vertAlign w:val="subscript"/>
                    </w:rPr>
                    <w:t>3</w:t>
                  </w:r>
                  <w:r>
                    <w:rPr>
                      <w:rFonts w:ascii="Times New Roman" w:hAnsi="Times New Roman" w:eastAsia="宋体" w:cs="Times New Roman"/>
                      <w:color w:val="auto"/>
                      <w:kern w:val="0"/>
                      <w:szCs w:val="21"/>
                    </w:rPr>
                    <w:t>-N</w:t>
                  </w:r>
                </w:p>
              </w:tc>
              <w:tc>
                <w:tcPr>
                  <w:tcW w:w="1275"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动植物油</w:t>
                  </w:r>
                </w:p>
              </w:tc>
              <w:tc>
                <w:tcPr>
                  <w:tcW w:w="1162"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磷酸盐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2" w:type="dxa"/>
                  <w:vMerge w:val="continue"/>
                  <w:vAlign w:val="center"/>
                </w:tcPr>
                <w:p>
                  <w:pPr>
                    <w:spacing w:line="360" w:lineRule="auto"/>
                    <w:jc w:val="center"/>
                    <w:rPr>
                      <w:rFonts w:ascii="Times New Roman" w:hAnsi="Times New Roman" w:eastAsia="宋体" w:cs="Times New Roman"/>
                      <w:color w:val="auto"/>
                      <w:kern w:val="0"/>
                      <w:szCs w:val="21"/>
                    </w:rPr>
                  </w:pPr>
                </w:p>
              </w:tc>
              <w:tc>
                <w:tcPr>
                  <w:tcW w:w="547" w:type="dxa"/>
                  <w:vMerge w:val="continue"/>
                  <w:vAlign w:val="center"/>
                </w:tcPr>
                <w:p>
                  <w:pPr>
                    <w:spacing w:line="360" w:lineRule="auto"/>
                    <w:jc w:val="center"/>
                    <w:rPr>
                      <w:rFonts w:ascii="Times New Roman" w:hAnsi="Times New Roman" w:eastAsia="宋体" w:cs="Times New Roman"/>
                      <w:color w:val="auto"/>
                      <w:kern w:val="0"/>
                      <w:szCs w:val="21"/>
                    </w:rPr>
                  </w:pPr>
                </w:p>
              </w:tc>
              <w:tc>
                <w:tcPr>
                  <w:tcW w:w="1404"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排放浓度</w:t>
                  </w:r>
                  <w:r>
                    <w:rPr>
                      <w:rFonts w:hint="eastAsia" w:cs="Times New Roman"/>
                      <w:color w:val="auto"/>
                      <w:kern w:val="0"/>
                      <w:szCs w:val="21"/>
                      <w:lang w:eastAsia="zh-CN"/>
                    </w:rPr>
                    <w:t>（</w:t>
                  </w:r>
                  <w:r>
                    <w:rPr>
                      <w:rFonts w:hint="eastAsia" w:cs="Times New Roman"/>
                      <w:color w:val="auto"/>
                      <w:kern w:val="0"/>
                      <w:szCs w:val="21"/>
                      <w:lang w:val="en-US" w:eastAsia="zh-CN"/>
                    </w:rPr>
                    <w:t>mg/L）</w:t>
                  </w:r>
                </w:p>
              </w:tc>
              <w:tc>
                <w:tcPr>
                  <w:tcW w:w="950" w:type="dxa"/>
                  <w:vAlign w:val="center"/>
                </w:tcPr>
                <w:p>
                  <w:pPr>
                    <w:spacing w:line="360" w:lineRule="auto"/>
                    <w:jc w:val="center"/>
                    <w:rPr>
                      <w:rFonts w:hint="eastAsia" w:ascii="Times New Roman" w:hAnsi="Times New Roman" w:eastAsia="宋体" w:cs="Times New Roman"/>
                      <w:color w:val="auto"/>
                      <w:kern w:val="0"/>
                      <w:szCs w:val="21"/>
                      <w:lang w:eastAsia="zh-CN"/>
                    </w:rPr>
                  </w:pPr>
                  <w:r>
                    <w:rPr>
                      <w:rFonts w:hint="eastAsia" w:cs="Times New Roman"/>
                      <w:color w:val="auto"/>
                      <w:kern w:val="0"/>
                      <w:szCs w:val="21"/>
                      <w:lang w:val="en-US" w:eastAsia="zh-CN"/>
                    </w:rPr>
                    <w:t>216.6</w:t>
                  </w:r>
                </w:p>
              </w:tc>
              <w:tc>
                <w:tcPr>
                  <w:tcW w:w="995" w:type="dxa"/>
                  <w:vAlign w:val="center"/>
                </w:tcPr>
                <w:p>
                  <w:pPr>
                    <w:spacing w:line="360" w:lineRule="auto"/>
                    <w:jc w:val="center"/>
                    <w:rPr>
                      <w:rFonts w:hint="eastAsia" w:ascii="Times New Roman" w:hAnsi="Times New Roman" w:eastAsia="宋体" w:cs="Times New Roman"/>
                      <w:color w:val="auto"/>
                      <w:kern w:val="0"/>
                      <w:szCs w:val="21"/>
                      <w:lang w:eastAsia="zh-CN"/>
                    </w:rPr>
                  </w:pPr>
                  <w:r>
                    <w:rPr>
                      <w:rFonts w:hint="eastAsia" w:cs="Times New Roman"/>
                      <w:color w:val="auto"/>
                      <w:kern w:val="0"/>
                      <w:szCs w:val="21"/>
                      <w:lang w:val="en-US" w:eastAsia="zh-CN"/>
                    </w:rPr>
                    <w:t>104.26</w:t>
                  </w:r>
                </w:p>
              </w:tc>
              <w:tc>
                <w:tcPr>
                  <w:tcW w:w="1074" w:type="dxa"/>
                  <w:gridSpan w:val="2"/>
                  <w:vAlign w:val="center"/>
                </w:tcPr>
                <w:p>
                  <w:pPr>
                    <w:spacing w:line="360" w:lineRule="auto"/>
                    <w:jc w:val="center"/>
                    <w:rPr>
                      <w:rFonts w:hint="eastAsia" w:ascii="Times New Roman" w:hAnsi="Times New Roman" w:eastAsia="宋体" w:cs="Times New Roman"/>
                      <w:color w:val="auto"/>
                      <w:kern w:val="0"/>
                      <w:szCs w:val="21"/>
                      <w:lang w:eastAsia="zh-CN"/>
                    </w:rPr>
                  </w:pPr>
                  <w:r>
                    <w:rPr>
                      <w:rFonts w:hint="eastAsia" w:cs="Times New Roman"/>
                      <w:color w:val="auto"/>
                      <w:kern w:val="0"/>
                      <w:szCs w:val="21"/>
                      <w:lang w:val="en-US" w:eastAsia="zh-CN"/>
                    </w:rPr>
                    <w:t>114.29</w:t>
                  </w:r>
                </w:p>
              </w:tc>
              <w:tc>
                <w:tcPr>
                  <w:tcW w:w="1107" w:type="dxa"/>
                  <w:vAlign w:val="center"/>
                </w:tcPr>
                <w:p>
                  <w:pPr>
                    <w:spacing w:line="360" w:lineRule="auto"/>
                    <w:jc w:val="center"/>
                    <w:rPr>
                      <w:rFonts w:hint="eastAsia" w:ascii="Times New Roman" w:hAnsi="Times New Roman" w:eastAsia="宋体" w:cs="Times New Roman"/>
                      <w:color w:val="auto"/>
                      <w:kern w:val="0"/>
                      <w:szCs w:val="21"/>
                      <w:lang w:eastAsia="zh-CN"/>
                    </w:rPr>
                  </w:pPr>
                  <w:r>
                    <w:rPr>
                      <w:rFonts w:hint="eastAsia" w:cs="Times New Roman"/>
                      <w:color w:val="auto"/>
                      <w:kern w:val="0"/>
                      <w:szCs w:val="21"/>
                      <w:lang w:val="en-US" w:eastAsia="zh-CN"/>
                    </w:rPr>
                    <w:t>18.56</w:t>
                  </w:r>
                </w:p>
              </w:tc>
              <w:tc>
                <w:tcPr>
                  <w:tcW w:w="1275" w:type="dxa"/>
                  <w:vAlign w:val="center"/>
                </w:tcPr>
                <w:p>
                  <w:pPr>
                    <w:spacing w:line="360" w:lineRule="auto"/>
                    <w:jc w:val="center"/>
                    <w:rPr>
                      <w:rFonts w:hint="eastAsia" w:ascii="Times New Roman" w:hAnsi="Times New Roman" w:eastAsia="宋体" w:cs="Times New Roman"/>
                      <w:color w:val="auto"/>
                      <w:kern w:val="0"/>
                      <w:szCs w:val="21"/>
                      <w:lang w:eastAsia="zh-CN"/>
                    </w:rPr>
                  </w:pPr>
                  <w:r>
                    <w:rPr>
                      <w:rFonts w:hint="eastAsia" w:cs="Times New Roman"/>
                      <w:color w:val="auto"/>
                      <w:kern w:val="0"/>
                      <w:szCs w:val="21"/>
                      <w:lang w:val="en-US" w:eastAsia="zh-CN"/>
                    </w:rPr>
                    <w:t>14.63</w:t>
                  </w:r>
                </w:p>
              </w:tc>
              <w:tc>
                <w:tcPr>
                  <w:tcW w:w="1162" w:type="dxa"/>
                  <w:vAlign w:val="center"/>
                </w:tcPr>
                <w:p>
                  <w:pPr>
                    <w:spacing w:line="360" w:lineRule="auto"/>
                    <w:jc w:val="center"/>
                    <w:rPr>
                      <w:rFonts w:hint="eastAsia" w:ascii="Times New Roman" w:hAnsi="Times New Roman" w:eastAsia="宋体" w:cs="Times New Roman"/>
                      <w:color w:val="auto"/>
                      <w:kern w:val="0"/>
                      <w:szCs w:val="21"/>
                      <w:lang w:eastAsia="zh-CN"/>
                    </w:rPr>
                  </w:pPr>
                  <w:r>
                    <w:rPr>
                      <w:rFonts w:hint="eastAsia" w:ascii="Times New Roman" w:hAnsi="Times New Roman" w:eastAsia="宋体" w:cs="Times New Roman"/>
                      <w:color w:val="auto"/>
                      <w:kern w:val="0"/>
                      <w:szCs w:val="21"/>
                      <w:lang w:val="en-US" w:eastAsia="zh-CN"/>
                    </w:rPr>
                    <w:t>0.</w:t>
                  </w:r>
                  <w:r>
                    <w:rPr>
                      <w:rFonts w:hint="eastAsia" w:cs="Times New Roman"/>
                      <w:color w:val="auto"/>
                      <w:kern w:val="0"/>
                      <w:szCs w:val="21"/>
                      <w:lang w:val="en-US" w:eastAsia="zh-CN"/>
                    </w:rPr>
                    <w:t>041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2" w:type="dxa"/>
                  <w:vMerge w:val="continue"/>
                  <w:vAlign w:val="center"/>
                </w:tcPr>
                <w:p>
                  <w:pPr>
                    <w:spacing w:line="360" w:lineRule="auto"/>
                    <w:jc w:val="center"/>
                    <w:rPr>
                      <w:rFonts w:ascii="Times New Roman" w:hAnsi="Times New Roman" w:eastAsia="宋体" w:cs="Times New Roman"/>
                      <w:color w:val="auto"/>
                      <w:kern w:val="0"/>
                      <w:szCs w:val="21"/>
                    </w:rPr>
                  </w:pPr>
                </w:p>
              </w:tc>
              <w:tc>
                <w:tcPr>
                  <w:tcW w:w="547" w:type="dxa"/>
                  <w:vMerge w:val="continue"/>
                  <w:vAlign w:val="center"/>
                </w:tcPr>
                <w:p>
                  <w:pPr>
                    <w:spacing w:line="360" w:lineRule="auto"/>
                    <w:jc w:val="center"/>
                    <w:rPr>
                      <w:rFonts w:ascii="Times New Roman" w:hAnsi="Times New Roman" w:eastAsia="宋体" w:cs="Times New Roman"/>
                      <w:color w:val="auto"/>
                      <w:kern w:val="0"/>
                      <w:szCs w:val="21"/>
                    </w:rPr>
                  </w:pPr>
                </w:p>
              </w:tc>
              <w:tc>
                <w:tcPr>
                  <w:tcW w:w="1404"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排放量</w:t>
                  </w:r>
                  <w:r>
                    <w:rPr>
                      <w:rFonts w:hint="eastAsia" w:cs="Times New Roman"/>
                      <w:color w:val="auto"/>
                      <w:kern w:val="0"/>
                      <w:szCs w:val="21"/>
                      <w:lang w:eastAsia="zh-CN"/>
                    </w:rPr>
                    <w:t>（</w:t>
                  </w:r>
                  <w:r>
                    <w:rPr>
                      <w:rFonts w:hint="eastAsia" w:cs="Times New Roman"/>
                      <w:color w:val="auto"/>
                      <w:kern w:val="0"/>
                      <w:szCs w:val="21"/>
                      <w:lang w:val="en-US" w:eastAsia="zh-CN"/>
                    </w:rPr>
                    <w:t>t/a）</w:t>
                  </w:r>
                </w:p>
              </w:tc>
              <w:tc>
                <w:tcPr>
                  <w:tcW w:w="950" w:type="dxa"/>
                  <w:vAlign w:val="center"/>
                </w:tcPr>
                <w:p>
                  <w:pPr>
                    <w:spacing w:line="360" w:lineRule="auto"/>
                    <w:jc w:val="center"/>
                    <w:rPr>
                      <w:rFonts w:hint="eastAsia" w:ascii="Times New Roman" w:hAnsi="Times New Roman" w:eastAsia="宋体" w:cs="Times New Roman"/>
                      <w:color w:val="auto"/>
                      <w:kern w:val="0"/>
                      <w:szCs w:val="21"/>
                      <w:lang w:eastAsia="zh-CN"/>
                    </w:rPr>
                  </w:pPr>
                  <w:r>
                    <w:rPr>
                      <w:rFonts w:hint="eastAsia" w:cs="Times New Roman"/>
                      <w:color w:val="auto"/>
                      <w:kern w:val="0"/>
                      <w:szCs w:val="21"/>
                      <w:lang w:val="en-US" w:eastAsia="zh-CN"/>
                    </w:rPr>
                    <w:t>31.975</w:t>
                  </w:r>
                </w:p>
              </w:tc>
              <w:tc>
                <w:tcPr>
                  <w:tcW w:w="995" w:type="dxa"/>
                  <w:vAlign w:val="center"/>
                </w:tcPr>
                <w:p>
                  <w:pPr>
                    <w:spacing w:line="360" w:lineRule="auto"/>
                    <w:jc w:val="center"/>
                    <w:rPr>
                      <w:rFonts w:hint="eastAsia" w:ascii="Times New Roman" w:hAnsi="Times New Roman" w:eastAsia="宋体" w:cs="Times New Roman"/>
                      <w:color w:val="auto"/>
                      <w:kern w:val="0"/>
                      <w:szCs w:val="21"/>
                      <w:lang w:eastAsia="zh-CN"/>
                    </w:rPr>
                  </w:pPr>
                  <w:r>
                    <w:rPr>
                      <w:rFonts w:hint="eastAsia" w:ascii="Times New Roman" w:hAnsi="Times New Roman" w:eastAsia="宋体" w:cs="Times New Roman"/>
                      <w:color w:val="auto"/>
                      <w:kern w:val="0"/>
                      <w:szCs w:val="21"/>
                      <w:lang w:val="en-US" w:eastAsia="zh-CN"/>
                    </w:rPr>
                    <w:t>15.39</w:t>
                  </w:r>
                </w:p>
              </w:tc>
              <w:tc>
                <w:tcPr>
                  <w:tcW w:w="1074" w:type="dxa"/>
                  <w:gridSpan w:val="2"/>
                  <w:vAlign w:val="center"/>
                </w:tcPr>
                <w:p>
                  <w:pPr>
                    <w:spacing w:line="360" w:lineRule="auto"/>
                    <w:jc w:val="center"/>
                    <w:rPr>
                      <w:rFonts w:hint="eastAsia" w:ascii="Times New Roman" w:hAnsi="Times New Roman" w:eastAsia="宋体" w:cs="Times New Roman"/>
                      <w:color w:val="auto"/>
                      <w:kern w:val="0"/>
                      <w:szCs w:val="21"/>
                      <w:lang w:eastAsia="zh-CN"/>
                    </w:rPr>
                  </w:pPr>
                  <w:r>
                    <w:rPr>
                      <w:rFonts w:hint="eastAsia" w:cs="Times New Roman"/>
                      <w:color w:val="auto"/>
                      <w:kern w:val="0"/>
                      <w:szCs w:val="21"/>
                      <w:lang w:val="en-US" w:eastAsia="zh-CN"/>
                    </w:rPr>
                    <w:t>16.87</w:t>
                  </w:r>
                </w:p>
              </w:tc>
              <w:tc>
                <w:tcPr>
                  <w:tcW w:w="1107" w:type="dxa"/>
                  <w:vAlign w:val="center"/>
                </w:tcPr>
                <w:p>
                  <w:pPr>
                    <w:spacing w:line="360" w:lineRule="auto"/>
                    <w:jc w:val="center"/>
                    <w:rPr>
                      <w:rFonts w:hint="eastAsia" w:ascii="Times New Roman" w:hAnsi="Times New Roman" w:eastAsia="宋体" w:cs="Times New Roman"/>
                      <w:color w:val="auto"/>
                      <w:kern w:val="0"/>
                      <w:szCs w:val="21"/>
                      <w:lang w:eastAsia="zh-CN"/>
                    </w:rPr>
                  </w:pPr>
                  <w:r>
                    <w:rPr>
                      <w:rFonts w:hint="eastAsia" w:ascii="Times New Roman" w:hAnsi="Times New Roman" w:eastAsia="宋体" w:cs="Times New Roman"/>
                      <w:color w:val="auto"/>
                      <w:kern w:val="0"/>
                      <w:szCs w:val="21"/>
                      <w:lang w:val="en-US" w:eastAsia="zh-CN"/>
                    </w:rPr>
                    <w:t>2.74</w:t>
                  </w:r>
                </w:p>
              </w:tc>
              <w:tc>
                <w:tcPr>
                  <w:tcW w:w="1275" w:type="dxa"/>
                  <w:vAlign w:val="center"/>
                </w:tcPr>
                <w:p>
                  <w:pPr>
                    <w:spacing w:line="360" w:lineRule="auto"/>
                    <w:jc w:val="center"/>
                    <w:rPr>
                      <w:rFonts w:hint="eastAsia" w:ascii="Times New Roman" w:hAnsi="Times New Roman" w:eastAsia="宋体" w:cs="Times New Roman"/>
                      <w:color w:val="auto"/>
                      <w:kern w:val="0"/>
                      <w:szCs w:val="21"/>
                      <w:lang w:eastAsia="zh-CN"/>
                    </w:rPr>
                  </w:pPr>
                  <w:r>
                    <w:rPr>
                      <w:rFonts w:hint="eastAsia" w:ascii="Times New Roman" w:hAnsi="Times New Roman" w:eastAsia="宋体" w:cs="Times New Roman"/>
                      <w:color w:val="auto"/>
                      <w:kern w:val="0"/>
                      <w:szCs w:val="21"/>
                      <w:lang w:val="en-US" w:eastAsia="zh-CN"/>
                    </w:rPr>
                    <w:t>2.16</w:t>
                  </w:r>
                </w:p>
              </w:tc>
              <w:tc>
                <w:tcPr>
                  <w:tcW w:w="1162"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0.0</w:t>
                  </w:r>
                  <w:r>
                    <w:rPr>
                      <w:rFonts w:hint="eastAsia" w:ascii="Times New Roman" w:hAnsi="Times New Roman" w:eastAsia="宋体" w:cs="Times New Roman"/>
                      <w:color w:val="auto"/>
                      <w:kern w:val="0"/>
                      <w:szCs w:val="21"/>
                      <w:lang w:val="en-US" w:eastAsia="zh-CN"/>
                    </w:rPr>
                    <w:t>06</w:t>
                  </w:r>
                </w:p>
              </w:tc>
            </w:tr>
          </w:tbl>
          <w:p>
            <w:pPr>
              <w:widowControl w:val="0"/>
              <w:adjustRightInd w:val="0"/>
              <w:snapToGrid w:val="0"/>
              <w:spacing w:line="360" w:lineRule="auto"/>
              <w:ind w:firstLine="482" w:firstLineChars="200"/>
              <w:jc w:val="both"/>
              <w:rPr>
                <w:rFonts w:hint="eastAsia"/>
                <w:b/>
                <w:bCs/>
                <w:color w:val="auto"/>
                <w:sz w:val="24"/>
                <w:szCs w:val="24"/>
                <w:lang w:val="en-US" w:eastAsia="zh-CN"/>
              </w:rPr>
            </w:pPr>
            <w:r>
              <w:rPr>
                <w:rFonts w:hint="eastAsia"/>
                <w:b/>
                <w:bCs/>
                <w:color w:val="auto"/>
                <w:sz w:val="24"/>
                <w:szCs w:val="24"/>
                <w:lang w:val="en-US" w:eastAsia="zh-CN"/>
              </w:rPr>
              <w:t>3.2.3废水排放口情况</w:t>
            </w:r>
          </w:p>
          <w:p>
            <w:pPr>
              <w:widowControl w:val="0"/>
              <w:adjustRightInd w:val="0"/>
              <w:snapToGrid w:val="0"/>
              <w:spacing w:line="360" w:lineRule="auto"/>
              <w:ind w:firstLine="480" w:firstLineChars="200"/>
              <w:jc w:val="both"/>
              <w:rPr>
                <w:rFonts w:hint="eastAsia" w:ascii="Cambria" w:hAnsi="Cambria" w:eastAsia="黑体" w:cs="Times New Roman"/>
                <w:color w:val="auto"/>
                <w:kern w:val="2"/>
                <w:sz w:val="24"/>
                <w:szCs w:val="24"/>
                <w:lang w:val="en-US" w:eastAsia="zh-CN" w:bidi="ar-SA"/>
              </w:rPr>
            </w:pPr>
            <w:r>
              <w:rPr>
                <w:rFonts w:hint="eastAsia"/>
                <w:color w:val="auto"/>
                <w:sz w:val="24"/>
                <w:szCs w:val="24"/>
                <w:lang w:val="en-US" w:eastAsia="zh-CN"/>
              </w:rPr>
              <w:t>本项目废水排放口情况见表31。</w:t>
            </w:r>
          </w:p>
          <w:p>
            <w:pPr>
              <w:spacing w:line="360" w:lineRule="auto"/>
              <w:jc w:val="center"/>
              <w:rPr>
                <w:rFonts w:hint="eastAsia" w:ascii="Cambria" w:hAnsi="Cambria" w:eastAsia="黑体" w:cs="Times New Roman"/>
                <w:color w:val="auto"/>
                <w:kern w:val="2"/>
                <w:sz w:val="24"/>
                <w:szCs w:val="24"/>
                <w:lang w:val="en-US" w:eastAsia="zh-CN" w:bidi="ar-SA"/>
              </w:rPr>
            </w:pPr>
            <w:r>
              <w:rPr>
                <w:rFonts w:hint="eastAsia" w:ascii="Cambria" w:hAnsi="Cambria" w:eastAsia="黑体" w:cs="Times New Roman"/>
                <w:color w:val="auto"/>
                <w:kern w:val="2"/>
                <w:sz w:val="24"/>
                <w:szCs w:val="24"/>
                <w:lang w:val="en-US" w:eastAsia="zh-CN" w:bidi="ar-SA"/>
              </w:rPr>
              <w:t>表31    项目废水排放口情况一览表</w:t>
            </w:r>
          </w:p>
          <w:tbl>
            <w:tblPr>
              <w:tblStyle w:val="24"/>
              <w:tblW w:w="934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92"/>
              <w:gridCol w:w="1294"/>
              <w:gridCol w:w="1095"/>
              <w:gridCol w:w="1674"/>
              <w:gridCol w:w="996"/>
              <w:gridCol w:w="979"/>
              <w:gridCol w:w="1175"/>
              <w:gridCol w:w="124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7" w:hRule="atLeast"/>
                <w:jc w:val="center"/>
              </w:trPr>
              <w:tc>
                <w:tcPr>
                  <w:tcW w:w="892" w:type="dxa"/>
                  <w:vMerge w:val="restart"/>
                  <w:vAlign w:val="center"/>
                </w:tcPr>
                <w:p>
                  <w:pPr>
                    <w:snapToGrid w:val="0"/>
                    <w:jc w:val="center"/>
                    <w:rPr>
                      <w:color w:val="auto"/>
                    </w:rPr>
                  </w:pPr>
                  <w:r>
                    <w:rPr>
                      <w:color w:val="auto"/>
                    </w:rPr>
                    <w:t>污染源</w:t>
                  </w:r>
                </w:p>
              </w:tc>
              <w:tc>
                <w:tcPr>
                  <w:tcW w:w="1294" w:type="dxa"/>
                  <w:vMerge w:val="restart"/>
                  <w:vAlign w:val="center"/>
                </w:tcPr>
                <w:p>
                  <w:pPr>
                    <w:snapToGrid w:val="0"/>
                    <w:jc w:val="center"/>
                    <w:rPr>
                      <w:rFonts w:hint="eastAsia"/>
                      <w:color w:val="auto"/>
                      <w:lang w:val="en-US" w:eastAsia="zh-CN"/>
                    </w:rPr>
                  </w:pPr>
                  <w:r>
                    <w:rPr>
                      <w:rFonts w:hint="eastAsia"/>
                      <w:color w:val="auto"/>
                      <w:lang w:val="en-US" w:eastAsia="zh-CN"/>
                    </w:rPr>
                    <w:t>排放</w:t>
                  </w:r>
                </w:p>
                <w:p>
                  <w:pPr>
                    <w:snapToGrid w:val="0"/>
                    <w:jc w:val="center"/>
                    <w:rPr>
                      <w:rFonts w:hint="eastAsia"/>
                      <w:color w:val="auto"/>
                      <w:lang w:eastAsia="zh-CN"/>
                    </w:rPr>
                  </w:pPr>
                  <w:r>
                    <w:rPr>
                      <w:rFonts w:hint="eastAsia"/>
                      <w:color w:val="auto"/>
                      <w:lang w:val="en-US" w:eastAsia="zh-CN"/>
                    </w:rPr>
                    <w:t>方式</w:t>
                  </w:r>
                </w:p>
              </w:tc>
              <w:tc>
                <w:tcPr>
                  <w:tcW w:w="3765" w:type="dxa"/>
                  <w:gridSpan w:val="3"/>
                  <w:vAlign w:val="center"/>
                </w:tcPr>
                <w:p>
                  <w:pPr>
                    <w:snapToGrid w:val="0"/>
                    <w:jc w:val="center"/>
                    <w:rPr>
                      <w:rFonts w:hint="eastAsia"/>
                      <w:color w:val="auto"/>
                      <w:lang w:val="en-US" w:eastAsia="zh-CN"/>
                    </w:rPr>
                  </w:pPr>
                  <w:r>
                    <w:rPr>
                      <w:rFonts w:hint="eastAsia"/>
                      <w:color w:val="auto"/>
                      <w:lang w:val="en-US" w:eastAsia="zh-CN"/>
                    </w:rPr>
                    <w:t>排放口基本情况</w:t>
                  </w:r>
                </w:p>
              </w:tc>
              <w:tc>
                <w:tcPr>
                  <w:tcW w:w="979" w:type="dxa"/>
                  <w:vMerge w:val="restart"/>
                  <w:vAlign w:val="center"/>
                </w:tcPr>
                <w:p>
                  <w:pPr>
                    <w:snapToGrid w:val="0"/>
                    <w:jc w:val="center"/>
                    <w:rPr>
                      <w:color w:val="auto"/>
                    </w:rPr>
                  </w:pPr>
                  <w:r>
                    <w:rPr>
                      <w:color w:val="auto"/>
                    </w:rPr>
                    <w:t>排放</w:t>
                  </w:r>
                  <w:r>
                    <w:rPr>
                      <w:rFonts w:hint="eastAsia"/>
                      <w:color w:val="auto"/>
                      <w:lang w:val="en-US" w:eastAsia="zh-CN"/>
                    </w:rPr>
                    <w:t>去向</w:t>
                  </w:r>
                </w:p>
              </w:tc>
              <w:tc>
                <w:tcPr>
                  <w:tcW w:w="1175" w:type="dxa"/>
                  <w:vMerge w:val="restart"/>
                  <w:vAlign w:val="center"/>
                </w:tcPr>
                <w:p>
                  <w:pPr>
                    <w:snapToGrid w:val="0"/>
                    <w:jc w:val="center"/>
                    <w:rPr>
                      <w:color w:val="auto"/>
                    </w:rPr>
                  </w:pPr>
                  <w:r>
                    <w:rPr>
                      <w:color w:val="auto"/>
                    </w:rPr>
                    <w:t>排放</w:t>
                  </w:r>
                  <w:r>
                    <w:rPr>
                      <w:rFonts w:hint="eastAsia"/>
                      <w:color w:val="auto"/>
                      <w:lang w:val="en-US" w:eastAsia="zh-CN"/>
                    </w:rPr>
                    <w:t>规律</w:t>
                  </w:r>
                </w:p>
              </w:tc>
              <w:tc>
                <w:tcPr>
                  <w:tcW w:w="1241" w:type="dxa"/>
                  <w:vMerge w:val="restart"/>
                  <w:vAlign w:val="center"/>
                </w:tcPr>
                <w:p>
                  <w:pPr>
                    <w:snapToGrid w:val="0"/>
                    <w:jc w:val="center"/>
                    <w:rPr>
                      <w:color w:val="auto"/>
                    </w:rPr>
                  </w:pPr>
                  <w:r>
                    <w:rPr>
                      <w:color w:val="auto"/>
                    </w:rPr>
                    <w:t>执行标准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7" w:hRule="atLeast"/>
                <w:jc w:val="center"/>
              </w:trPr>
              <w:tc>
                <w:tcPr>
                  <w:tcW w:w="892" w:type="dxa"/>
                  <w:vMerge w:val="continue"/>
                  <w:vAlign w:val="center"/>
                </w:tcPr>
                <w:p>
                  <w:pPr>
                    <w:snapToGrid w:val="0"/>
                    <w:jc w:val="center"/>
                    <w:rPr>
                      <w:color w:val="auto"/>
                    </w:rPr>
                  </w:pPr>
                </w:p>
              </w:tc>
              <w:tc>
                <w:tcPr>
                  <w:tcW w:w="1294" w:type="dxa"/>
                  <w:vMerge w:val="continue"/>
                  <w:vAlign w:val="center"/>
                </w:tcPr>
                <w:p>
                  <w:pPr>
                    <w:snapToGrid w:val="0"/>
                    <w:jc w:val="center"/>
                    <w:rPr>
                      <w:color w:val="auto"/>
                    </w:rPr>
                  </w:pPr>
                </w:p>
              </w:tc>
              <w:tc>
                <w:tcPr>
                  <w:tcW w:w="1095" w:type="dxa"/>
                  <w:vAlign w:val="center"/>
                </w:tcPr>
                <w:p>
                  <w:pPr>
                    <w:snapToGrid w:val="0"/>
                    <w:jc w:val="center"/>
                    <w:rPr>
                      <w:rFonts w:hint="eastAsia"/>
                      <w:color w:val="auto"/>
                      <w:lang w:val="en-US" w:eastAsia="zh-CN"/>
                    </w:rPr>
                  </w:pPr>
                  <w:r>
                    <w:rPr>
                      <w:rFonts w:hint="eastAsia"/>
                      <w:color w:val="auto"/>
                      <w:lang w:val="en-US" w:eastAsia="zh-CN"/>
                    </w:rPr>
                    <w:t>名称</w:t>
                  </w:r>
                </w:p>
              </w:tc>
              <w:tc>
                <w:tcPr>
                  <w:tcW w:w="1674" w:type="dxa"/>
                  <w:vAlign w:val="center"/>
                </w:tcPr>
                <w:p>
                  <w:pPr>
                    <w:snapToGrid w:val="0"/>
                    <w:jc w:val="center"/>
                    <w:rPr>
                      <w:rFonts w:hint="eastAsia"/>
                      <w:color w:val="auto"/>
                      <w:lang w:val="en-US" w:eastAsia="zh-CN"/>
                    </w:rPr>
                  </w:pPr>
                  <w:r>
                    <w:rPr>
                      <w:rFonts w:hint="eastAsia"/>
                      <w:color w:val="auto"/>
                      <w:lang w:val="en-US" w:eastAsia="zh-CN"/>
                    </w:rPr>
                    <w:t>编号</w:t>
                  </w:r>
                </w:p>
              </w:tc>
              <w:tc>
                <w:tcPr>
                  <w:tcW w:w="996" w:type="dxa"/>
                  <w:vAlign w:val="center"/>
                </w:tcPr>
                <w:p>
                  <w:pPr>
                    <w:snapToGrid w:val="0"/>
                    <w:jc w:val="center"/>
                    <w:rPr>
                      <w:rFonts w:hint="eastAsia"/>
                      <w:color w:val="auto"/>
                      <w:lang w:val="en-US" w:eastAsia="zh-CN"/>
                    </w:rPr>
                  </w:pPr>
                  <w:r>
                    <w:rPr>
                      <w:rFonts w:hint="eastAsia"/>
                      <w:color w:val="auto"/>
                      <w:lang w:val="en-US" w:eastAsia="zh-CN"/>
                    </w:rPr>
                    <w:t>类型</w:t>
                  </w:r>
                </w:p>
              </w:tc>
              <w:tc>
                <w:tcPr>
                  <w:tcW w:w="979" w:type="dxa"/>
                  <w:vMerge w:val="continue"/>
                  <w:vAlign w:val="center"/>
                </w:tcPr>
                <w:p>
                  <w:pPr>
                    <w:snapToGrid w:val="0"/>
                    <w:jc w:val="center"/>
                    <w:rPr>
                      <w:rFonts w:hint="eastAsia"/>
                      <w:color w:val="auto"/>
                      <w:lang w:val="en-US" w:eastAsia="zh-CN"/>
                    </w:rPr>
                  </w:pPr>
                </w:p>
              </w:tc>
              <w:tc>
                <w:tcPr>
                  <w:tcW w:w="1175" w:type="dxa"/>
                  <w:vMerge w:val="continue"/>
                  <w:vAlign w:val="center"/>
                </w:tcPr>
                <w:p>
                  <w:pPr>
                    <w:snapToGrid w:val="0"/>
                    <w:jc w:val="center"/>
                    <w:rPr>
                      <w:rFonts w:hint="eastAsia"/>
                      <w:color w:val="auto"/>
                      <w:lang w:val="en-US" w:eastAsia="zh-CN"/>
                    </w:rPr>
                  </w:pPr>
                </w:p>
              </w:tc>
              <w:tc>
                <w:tcPr>
                  <w:tcW w:w="1241" w:type="dxa"/>
                  <w:vMerge w:val="continue"/>
                  <w:vAlign w:val="center"/>
                </w:tcPr>
                <w:p>
                  <w:pPr>
                    <w:snapToGrid w:val="0"/>
                    <w:jc w:val="center"/>
                    <w:rPr>
                      <w:rFonts w:hint="eastAsia"/>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892" w:type="dxa"/>
                  <w:vMerge w:val="restart"/>
                  <w:vAlign w:val="center"/>
                </w:tcPr>
                <w:p>
                  <w:pPr>
                    <w:snapToGrid w:val="0"/>
                    <w:jc w:val="center"/>
                    <w:rPr>
                      <w:color w:val="auto"/>
                    </w:rPr>
                  </w:pPr>
                  <w:r>
                    <w:rPr>
                      <w:rFonts w:hint="eastAsia"/>
                      <w:color w:val="auto"/>
                      <w:lang w:val="en-US" w:eastAsia="zh-CN"/>
                    </w:rPr>
                    <w:t>游乐废水与生活污水</w:t>
                  </w:r>
                </w:p>
              </w:tc>
              <w:tc>
                <w:tcPr>
                  <w:tcW w:w="1294" w:type="dxa"/>
                  <w:vMerge w:val="restart"/>
                  <w:vAlign w:val="center"/>
                </w:tcPr>
                <w:p>
                  <w:pPr>
                    <w:snapToGrid w:val="0"/>
                    <w:jc w:val="center"/>
                    <w:rPr>
                      <w:rFonts w:hint="eastAsia"/>
                      <w:color w:val="auto"/>
                      <w:lang w:val="en-US" w:eastAsia="zh-CN"/>
                    </w:rPr>
                  </w:pPr>
                  <w:r>
                    <w:rPr>
                      <w:rFonts w:hint="eastAsia"/>
                      <w:color w:val="auto"/>
                      <w:lang w:val="en-US" w:eastAsia="zh-CN"/>
                    </w:rPr>
                    <w:t>间接</w:t>
                  </w:r>
                </w:p>
                <w:p>
                  <w:pPr>
                    <w:snapToGrid w:val="0"/>
                    <w:jc w:val="center"/>
                    <w:rPr>
                      <w:rFonts w:hint="eastAsia" w:eastAsia="宋体"/>
                      <w:color w:val="auto"/>
                      <w:lang w:eastAsia="zh-CN"/>
                    </w:rPr>
                  </w:pPr>
                  <w:r>
                    <w:rPr>
                      <w:rFonts w:hint="eastAsia"/>
                      <w:color w:val="auto"/>
                      <w:lang w:val="en-US" w:eastAsia="zh-CN"/>
                    </w:rPr>
                    <w:t>排放</w:t>
                  </w:r>
                </w:p>
              </w:tc>
              <w:tc>
                <w:tcPr>
                  <w:tcW w:w="1095" w:type="dxa"/>
                  <w:vMerge w:val="restart"/>
                  <w:vAlign w:val="center"/>
                </w:tcPr>
                <w:p>
                  <w:pPr>
                    <w:snapToGrid w:val="0"/>
                    <w:jc w:val="center"/>
                    <w:rPr>
                      <w:rFonts w:hint="eastAsia" w:eastAsia="宋体"/>
                      <w:color w:val="auto"/>
                      <w:lang w:val="en-US" w:eastAsia="zh-CN"/>
                    </w:rPr>
                  </w:pPr>
                  <w:r>
                    <w:rPr>
                      <w:rFonts w:hint="eastAsia"/>
                      <w:snapToGrid w:val="0"/>
                      <w:color w:val="auto"/>
                      <w:kern w:val="0"/>
                      <w:sz w:val="21"/>
                      <w:szCs w:val="21"/>
                      <w:lang w:val="en-US" w:eastAsia="zh-CN"/>
                    </w:rPr>
                    <w:t>游乐设施与生活污水排放口</w:t>
                  </w:r>
                </w:p>
              </w:tc>
              <w:tc>
                <w:tcPr>
                  <w:tcW w:w="1674" w:type="dxa"/>
                  <w:vAlign w:val="center"/>
                </w:tcPr>
                <w:p>
                  <w:pPr>
                    <w:snapToGrid w:val="0"/>
                    <w:jc w:val="center"/>
                    <w:rPr>
                      <w:rFonts w:hint="eastAsia"/>
                      <w:color w:val="auto"/>
                      <w:lang w:val="en-US" w:eastAsia="zh-CN"/>
                    </w:rPr>
                  </w:pPr>
                  <w:r>
                    <w:rPr>
                      <w:rFonts w:hint="eastAsia"/>
                      <w:color w:val="auto"/>
                      <w:lang w:val="en-US" w:eastAsia="zh-CN"/>
                    </w:rPr>
                    <w:t>DW001</w:t>
                  </w:r>
                </w:p>
              </w:tc>
              <w:tc>
                <w:tcPr>
                  <w:tcW w:w="996" w:type="dxa"/>
                  <w:vMerge w:val="restart"/>
                  <w:vAlign w:val="center"/>
                </w:tcPr>
                <w:p>
                  <w:pPr>
                    <w:snapToGrid w:val="0"/>
                    <w:jc w:val="center"/>
                    <w:rPr>
                      <w:rFonts w:hint="eastAsia"/>
                      <w:color w:val="auto"/>
                      <w:lang w:val="en-US" w:eastAsia="zh-CN"/>
                    </w:rPr>
                  </w:pPr>
                  <w:r>
                    <w:rPr>
                      <w:rFonts w:hint="eastAsia"/>
                      <w:color w:val="auto"/>
                      <w:lang w:val="en-US" w:eastAsia="zh-CN"/>
                    </w:rPr>
                    <w:t>一般排放口</w:t>
                  </w:r>
                </w:p>
              </w:tc>
              <w:tc>
                <w:tcPr>
                  <w:tcW w:w="979" w:type="dxa"/>
                  <w:vMerge w:val="restart"/>
                  <w:vAlign w:val="center"/>
                </w:tcPr>
                <w:p>
                  <w:pPr>
                    <w:snapToGrid w:val="0"/>
                    <w:jc w:val="center"/>
                    <w:rPr>
                      <w:color w:val="auto"/>
                    </w:rPr>
                  </w:pPr>
                  <w:r>
                    <w:rPr>
                      <w:rFonts w:hint="eastAsia"/>
                      <w:color w:val="auto"/>
                      <w:lang w:val="en-US" w:eastAsia="zh-CN"/>
                    </w:rPr>
                    <w:t>市政</w:t>
                  </w:r>
                  <w:r>
                    <w:rPr>
                      <w:color w:val="auto"/>
                    </w:rPr>
                    <w:t>污水</w:t>
                  </w:r>
                </w:p>
                <w:p>
                  <w:pPr>
                    <w:snapToGrid w:val="0"/>
                    <w:jc w:val="center"/>
                    <w:rPr>
                      <w:color w:val="auto"/>
                    </w:rPr>
                  </w:pPr>
                  <w:r>
                    <w:rPr>
                      <w:color w:val="auto"/>
                    </w:rPr>
                    <w:t>管网</w:t>
                  </w:r>
                  <w:r>
                    <w:rPr>
                      <w:rFonts w:hint="eastAsia"/>
                      <w:color w:val="auto"/>
                      <w:lang w:val="en-US" w:eastAsia="zh-CN"/>
                    </w:rPr>
                    <w:t>排入泾河第三污水厂</w:t>
                  </w:r>
                </w:p>
              </w:tc>
              <w:tc>
                <w:tcPr>
                  <w:tcW w:w="1175" w:type="dxa"/>
                  <w:vMerge w:val="restart"/>
                  <w:vAlign w:val="center"/>
                </w:tcPr>
                <w:p>
                  <w:pPr>
                    <w:snapToGrid w:val="0"/>
                    <w:jc w:val="center"/>
                    <w:rPr>
                      <w:rFonts w:hint="eastAsia"/>
                      <w:color w:val="auto"/>
                      <w:lang w:val="en-US" w:eastAsia="zh-CN"/>
                    </w:rPr>
                  </w:pPr>
                  <w:r>
                    <w:rPr>
                      <w:rFonts w:hint="eastAsia"/>
                      <w:color w:val="auto"/>
                      <w:lang w:val="en-US" w:eastAsia="zh-CN"/>
                    </w:rPr>
                    <w:t>连续排放</w:t>
                  </w:r>
                </w:p>
              </w:tc>
              <w:tc>
                <w:tcPr>
                  <w:tcW w:w="1241" w:type="dxa"/>
                  <w:vMerge w:val="restart"/>
                  <w:vAlign w:val="center"/>
                </w:tcPr>
                <w:p>
                  <w:pPr>
                    <w:snapToGrid w:val="0"/>
                    <w:jc w:val="center"/>
                    <w:rPr>
                      <w:color w:val="auto"/>
                    </w:rPr>
                  </w:pPr>
                  <w:r>
                    <w:rPr>
                      <w:rFonts w:ascii="Times New Roman" w:hAnsi="Times New Roman" w:eastAsia="宋体" w:cs="Times New Roman"/>
                      <w:color w:val="auto"/>
                      <w:sz w:val="21"/>
                      <w:szCs w:val="21"/>
                      <w:shd w:val="clear" w:color="auto" w:fill="FFFFFF"/>
                    </w:rPr>
                    <w:t>GB8978-1996）三级标准</w:t>
                  </w:r>
                  <w:r>
                    <w:rPr>
                      <w:rFonts w:hint="eastAsia" w:cs="Times New Roman"/>
                      <w:color w:val="auto"/>
                      <w:sz w:val="21"/>
                      <w:szCs w:val="21"/>
                      <w:shd w:val="clear" w:color="auto" w:fill="FFFFFF"/>
                      <w:lang w:val="en-US" w:eastAsia="zh-CN"/>
                    </w:rPr>
                    <w:t>与</w:t>
                  </w:r>
                  <w:r>
                    <w:rPr>
                      <w:color w:val="auto"/>
                      <w:sz w:val="21"/>
                      <w:szCs w:val="21"/>
                    </w:rPr>
                    <w:t>(GB</w:t>
                  </w:r>
                  <w:r>
                    <w:rPr>
                      <w:rFonts w:hint="eastAsia"/>
                      <w:color w:val="auto"/>
                      <w:sz w:val="21"/>
                      <w:szCs w:val="21"/>
                    </w:rPr>
                    <w:t>/T31962-2015</w:t>
                  </w:r>
                  <w:r>
                    <w:rPr>
                      <w:color w:val="auto"/>
                      <w:sz w:val="21"/>
                      <w:szCs w:val="21"/>
                    </w:rPr>
                    <w:t>)</w:t>
                  </w:r>
                  <w:r>
                    <w:rPr>
                      <w:rFonts w:hint="eastAsia"/>
                      <w:color w:val="auto"/>
                      <w:sz w:val="21"/>
                      <w:szCs w:val="21"/>
                      <w:lang w:val="en-US" w:eastAsia="zh-CN"/>
                    </w:rPr>
                    <w:t>B</w:t>
                  </w:r>
                  <w:r>
                    <w:rPr>
                      <w:color w:val="auto"/>
                      <w:sz w:val="21"/>
                      <w:szCs w:val="21"/>
                    </w:rPr>
                    <w:t>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892" w:type="dxa"/>
                  <w:vMerge w:val="continue"/>
                  <w:vAlign w:val="center"/>
                </w:tcPr>
                <w:p>
                  <w:pPr>
                    <w:snapToGrid w:val="0"/>
                    <w:jc w:val="center"/>
                    <w:rPr>
                      <w:rFonts w:hint="eastAsia"/>
                      <w:color w:val="auto"/>
                    </w:rPr>
                  </w:pPr>
                </w:p>
              </w:tc>
              <w:tc>
                <w:tcPr>
                  <w:tcW w:w="1294" w:type="dxa"/>
                  <w:vMerge w:val="continue"/>
                  <w:vAlign w:val="center"/>
                </w:tcPr>
                <w:p>
                  <w:pPr>
                    <w:snapToGrid w:val="0"/>
                    <w:jc w:val="center"/>
                    <w:rPr>
                      <w:rFonts w:hint="eastAsia"/>
                      <w:color w:val="auto"/>
                      <w:lang w:val="en-US" w:eastAsia="zh-CN"/>
                    </w:rPr>
                  </w:pPr>
                </w:p>
              </w:tc>
              <w:tc>
                <w:tcPr>
                  <w:tcW w:w="1095" w:type="dxa"/>
                  <w:vMerge w:val="continue"/>
                  <w:vAlign w:val="center"/>
                </w:tcPr>
                <w:p>
                  <w:pPr>
                    <w:snapToGrid w:val="0"/>
                    <w:jc w:val="center"/>
                    <w:rPr>
                      <w:rFonts w:hint="eastAsia"/>
                      <w:color w:val="auto"/>
                      <w:lang w:val="en-US" w:eastAsia="zh-CN"/>
                    </w:rPr>
                  </w:pPr>
                </w:p>
              </w:tc>
              <w:tc>
                <w:tcPr>
                  <w:tcW w:w="1674" w:type="dxa"/>
                  <w:vAlign w:val="center"/>
                </w:tcPr>
                <w:p>
                  <w:pPr>
                    <w:snapToGrid w:val="0"/>
                    <w:jc w:val="center"/>
                    <w:rPr>
                      <w:rFonts w:hint="eastAsia"/>
                      <w:color w:val="auto"/>
                      <w:lang w:val="en-US" w:eastAsia="zh-CN"/>
                    </w:rPr>
                  </w:pPr>
                  <w:r>
                    <w:rPr>
                      <w:rFonts w:hint="eastAsia"/>
                      <w:color w:val="auto"/>
                      <w:lang w:val="en-US" w:eastAsia="zh-CN"/>
                    </w:rPr>
                    <w:t>DW002</w:t>
                  </w:r>
                </w:p>
              </w:tc>
              <w:tc>
                <w:tcPr>
                  <w:tcW w:w="996" w:type="dxa"/>
                  <w:vMerge w:val="continue"/>
                  <w:vAlign w:val="center"/>
                </w:tcPr>
                <w:p>
                  <w:pPr>
                    <w:snapToGrid w:val="0"/>
                    <w:jc w:val="center"/>
                    <w:rPr>
                      <w:rFonts w:hint="eastAsia"/>
                      <w:color w:val="auto"/>
                      <w:lang w:val="en-US" w:eastAsia="zh-CN"/>
                    </w:rPr>
                  </w:pPr>
                </w:p>
              </w:tc>
              <w:tc>
                <w:tcPr>
                  <w:tcW w:w="979" w:type="dxa"/>
                  <w:vMerge w:val="continue"/>
                  <w:vAlign w:val="center"/>
                </w:tcPr>
                <w:p>
                  <w:pPr>
                    <w:snapToGrid w:val="0"/>
                    <w:jc w:val="center"/>
                    <w:rPr>
                      <w:color w:val="auto"/>
                    </w:rPr>
                  </w:pPr>
                </w:p>
              </w:tc>
              <w:tc>
                <w:tcPr>
                  <w:tcW w:w="1175" w:type="dxa"/>
                  <w:vMerge w:val="continue"/>
                  <w:vAlign w:val="center"/>
                </w:tcPr>
                <w:p>
                  <w:pPr>
                    <w:snapToGrid w:val="0"/>
                    <w:jc w:val="center"/>
                    <w:rPr>
                      <w:rFonts w:hint="eastAsia"/>
                      <w:color w:val="auto"/>
                      <w:lang w:val="en-US" w:eastAsia="zh-CN"/>
                    </w:rPr>
                  </w:pPr>
                </w:p>
              </w:tc>
              <w:tc>
                <w:tcPr>
                  <w:tcW w:w="1241" w:type="dxa"/>
                  <w:vMerge w:val="continue"/>
                  <w:vAlign w:val="center"/>
                </w:tcPr>
                <w:p>
                  <w:pPr>
                    <w:snapToGrid w:val="0"/>
                    <w:jc w:val="center"/>
                    <w:rPr>
                      <w:rFonts w:hint="eastAsia"/>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892" w:type="dxa"/>
                  <w:vMerge w:val="continue"/>
                  <w:vAlign w:val="center"/>
                </w:tcPr>
                <w:p>
                  <w:pPr>
                    <w:snapToGrid w:val="0"/>
                    <w:jc w:val="center"/>
                    <w:rPr>
                      <w:rFonts w:hint="eastAsia"/>
                      <w:color w:val="auto"/>
                    </w:rPr>
                  </w:pPr>
                </w:p>
              </w:tc>
              <w:tc>
                <w:tcPr>
                  <w:tcW w:w="1294" w:type="dxa"/>
                  <w:vMerge w:val="continue"/>
                  <w:vAlign w:val="center"/>
                </w:tcPr>
                <w:p>
                  <w:pPr>
                    <w:snapToGrid w:val="0"/>
                    <w:jc w:val="center"/>
                    <w:rPr>
                      <w:rFonts w:hint="eastAsia"/>
                      <w:color w:val="auto"/>
                      <w:lang w:val="en-US" w:eastAsia="zh-CN"/>
                    </w:rPr>
                  </w:pPr>
                </w:p>
              </w:tc>
              <w:tc>
                <w:tcPr>
                  <w:tcW w:w="1095" w:type="dxa"/>
                  <w:vMerge w:val="continue"/>
                  <w:vAlign w:val="center"/>
                </w:tcPr>
                <w:p>
                  <w:pPr>
                    <w:snapToGrid w:val="0"/>
                    <w:jc w:val="center"/>
                    <w:rPr>
                      <w:rFonts w:hint="eastAsia"/>
                      <w:color w:val="auto"/>
                      <w:lang w:val="en-US" w:eastAsia="zh-CN"/>
                    </w:rPr>
                  </w:pPr>
                </w:p>
              </w:tc>
              <w:tc>
                <w:tcPr>
                  <w:tcW w:w="1674" w:type="dxa"/>
                  <w:vAlign w:val="center"/>
                </w:tcPr>
                <w:p>
                  <w:pPr>
                    <w:snapToGrid w:val="0"/>
                    <w:jc w:val="center"/>
                    <w:rPr>
                      <w:rFonts w:hint="eastAsia"/>
                      <w:color w:val="auto"/>
                      <w:lang w:val="en-US" w:eastAsia="zh-CN"/>
                    </w:rPr>
                  </w:pPr>
                  <w:r>
                    <w:rPr>
                      <w:rFonts w:hint="eastAsia"/>
                      <w:color w:val="auto"/>
                      <w:lang w:val="en-US" w:eastAsia="zh-CN"/>
                    </w:rPr>
                    <w:t>DW003</w:t>
                  </w:r>
                </w:p>
              </w:tc>
              <w:tc>
                <w:tcPr>
                  <w:tcW w:w="996" w:type="dxa"/>
                  <w:vMerge w:val="continue"/>
                  <w:vAlign w:val="center"/>
                </w:tcPr>
                <w:p>
                  <w:pPr>
                    <w:snapToGrid w:val="0"/>
                    <w:jc w:val="center"/>
                    <w:rPr>
                      <w:rFonts w:hint="eastAsia"/>
                      <w:color w:val="auto"/>
                      <w:lang w:val="en-US" w:eastAsia="zh-CN"/>
                    </w:rPr>
                  </w:pPr>
                </w:p>
              </w:tc>
              <w:tc>
                <w:tcPr>
                  <w:tcW w:w="979" w:type="dxa"/>
                  <w:vMerge w:val="continue"/>
                  <w:vAlign w:val="center"/>
                </w:tcPr>
                <w:p>
                  <w:pPr>
                    <w:snapToGrid w:val="0"/>
                    <w:jc w:val="center"/>
                    <w:rPr>
                      <w:color w:val="auto"/>
                    </w:rPr>
                  </w:pPr>
                </w:p>
              </w:tc>
              <w:tc>
                <w:tcPr>
                  <w:tcW w:w="1175" w:type="dxa"/>
                  <w:vMerge w:val="continue"/>
                  <w:vAlign w:val="center"/>
                </w:tcPr>
                <w:p>
                  <w:pPr>
                    <w:snapToGrid w:val="0"/>
                    <w:jc w:val="center"/>
                    <w:rPr>
                      <w:rFonts w:hint="eastAsia"/>
                      <w:color w:val="auto"/>
                      <w:lang w:val="en-US" w:eastAsia="zh-CN"/>
                    </w:rPr>
                  </w:pPr>
                </w:p>
              </w:tc>
              <w:tc>
                <w:tcPr>
                  <w:tcW w:w="1241" w:type="dxa"/>
                  <w:vMerge w:val="continue"/>
                  <w:vAlign w:val="center"/>
                </w:tcPr>
                <w:p>
                  <w:pPr>
                    <w:snapToGrid w:val="0"/>
                    <w:jc w:val="center"/>
                    <w:rPr>
                      <w:rFonts w:hint="eastAsia"/>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892" w:type="dxa"/>
                  <w:vMerge w:val="continue"/>
                  <w:vAlign w:val="center"/>
                </w:tcPr>
                <w:p>
                  <w:pPr>
                    <w:snapToGrid w:val="0"/>
                    <w:jc w:val="center"/>
                    <w:rPr>
                      <w:rFonts w:hint="eastAsia"/>
                      <w:color w:val="auto"/>
                    </w:rPr>
                  </w:pPr>
                </w:p>
              </w:tc>
              <w:tc>
                <w:tcPr>
                  <w:tcW w:w="1294" w:type="dxa"/>
                  <w:vMerge w:val="continue"/>
                  <w:vAlign w:val="center"/>
                </w:tcPr>
                <w:p>
                  <w:pPr>
                    <w:snapToGrid w:val="0"/>
                    <w:jc w:val="center"/>
                    <w:rPr>
                      <w:rFonts w:hint="eastAsia"/>
                      <w:color w:val="auto"/>
                      <w:lang w:val="en-US" w:eastAsia="zh-CN"/>
                    </w:rPr>
                  </w:pPr>
                </w:p>
              </w:tc>
              <w:tc>
                <w:tcPr>
                  <w:tcW w:w="1095" w:type="dxa"/>
                  <w:vMerge w:val="continue"/>
                  <w:vAlign w:val="center"/>
                </w:tcPr>
                <w:p>
                  <w:pPr>
                    <w:snapToGrid w:val="0"/>
                    <w:jc w:val="center"/>
                    <w:rPr>
                      <w:rFonts w:hint="eastAsia"/>
                      <w:color w:val="auto"/>
                      <w:lang w:val="en-US" w:eastAsia="zh-CN"/>
                    </w:rPr>
                  </w:pPr>
                </w:p>
              </w:tc>
              <w:tc>
                <w:tcPr>
                  <w:tcW w:w="1674" w:type="dxa"/>
                  <w:vAlign w:val="center"/>
                </w:tcPr>
                <w:p>
                  <w:pPr>
                    <w:snapToGrid w:val="0"/>
                    <w:jc w:val="center"/>
                    <w:rPr>
                      <w:rFonts w:hint="eastAsia"/>
                      <w:color w:val="auto"/>
                      <w:lang w:val="en-US" w:eastAsia="zh-CN"/>
                    </w:rPr>
                  </w:pPr>
                  <w:r>
                    <w:rPr>
                      <w:rFonts w:hint="eastAsia"/>
                      <w:color w:val="auto"/>
                      <w:lang w:val="en-US" w:eastAsia="zh-CN"/>
                    </w:rPr>
                    <w:t>DW004</w:t>
                  </w:r>
                </w:p>
              </w:tc>
              <w:tc>
                <w:tcPr>
                  <w:tcW w:w="996" w:type="dxa"/>
                  <w:vMerge w:val="continue"/>
                  <w:vAlign w:val="center"/>
                </w:tcPr>
                <w:p>
                  <w:pPr>
                    <w:snapToGrid w:val="0"/>
                    <w:jc w:val="center"/>
                    <w:rPr>
                      <w:rFonts w:hint="eastAsia"/>
                      <w:color w:val="auto"/>
                      <w:lang w:val="en-US" w:eastAsia="zh-CN"/>
                    </w:rPr>
                  </w:pPr>
                </w:p>
              </w:tc>
              <w:tc>
                <w:tcPr>
                  <w:tcW w:w="979" w:type="dxa"/>
                  <w:vMerge w:val="continue"/>
                  <w:vAlign w:val="center"/>
                </w:tcPr>
                <w:p>
                  <w:pPr>
                    <w:snapToGrid w:val="0"/>
                    <w:jc w:val="center"/>
                    <w:rPr>
                      <w:color w:val="auto"/>
                    </w:rPr>
                  </w:pPr>
                </w:p>
              </w:tc>
              <w:tc>
                <w:tcPr>
                  <w:tcW w:w="1175" w:type="dxa"/>
                  <w:vMerge w:val="continue"/>
                  <w:vAlign w:val="center"/>
                </w:tcPr>
                <w:p>
                  <w:pPr>
                    <w:snapToGrid w:val="0"/>
                    <w:jc w:val="center"/>
                    <w:rPr>
                      <w:rFonts w:hint="eastAsia"/>
                      <w:color w:val="auto"/>
                      <w:lang w:val="en-US" w:eastAsia="zh-CN"/>
                    </w:rPr>
                  </w:pPr>
                </w:p>
              </w:tc>
              <w:tc>
                <w:tcPr>
                  <w:tcW w:w="1241" w:type="dxa"/>
                  <w:vMerge w:val="continue"/>
                  <w:vAlign w:val="center"/>
                </w:tcPr>
                <w:p>
                  <w:pPr>
                    <w:snapToGrid w:val="0"/>
                    <w:jc w:val="center"/>
                    <w:rPr>
                      <w:rFonts w:hint="eastAsia"/>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892" w:type="dxa"/>
                  <w:vMerge w:val="continue"/>
                  <w:vAlign w:val="center"/>
                </w:tcPr>
                <w:p>
                  <w:pPr>
                    <w:snapToGrid w:val="0"/>
                    <w:jc w:val="center"/>
                    <w:rPr>
                      <w:rFonts w:hint="eastAsia"/>
                      <w:color w:val="auto"/>
                    </w:rPr>
                  </w:pPr>
                </w:p>
              </w:tc>
              <w:tc>
                <w:tcPr>
                  <w:tcW w:w="1294" w:type="dxa"/>
                  <w:vMerge w:val="continue"/>
                  <w:vAlign w:val="center"/>
                </w:tcPr>
                <w:p>
                  <w:pPr>
                    <w:snapToGrid w:val="0"/>
                    <w:jc w:val="center"/>
                    <w:rPr>
                      <w:rFonts w:hint="eastAsia"/>
                      <w:color w:val="auto"/>
                      <w:lang w:val="en-US" w:eastAsia="zh-CN"/>
                    </w:rPr>
                  </w:pPr>
                </w:p>
              </w:tc>
              <w:tc>
                <w:tcPr>
                  <w:tcW w:w="1095" w:type="dxa"/>
                  <w:vMerge w:val="continue"/>
                  <w:vAlign w:val="center"/>
                </w:tcPr>
                <w:p>
                  <w:pPr>
                    <w:snapToGrid w:val="0"/>
                    <w:jc w:val="center"/>
                    <w:rPr>
                      <w:rFonts w:hint="eastAsia"/>
                      <w:color w:val="auto"/>
                      <w:lang w:val="en-US" w:eastAsia="zh-CN"/>
                    </w:rPr>
                  </w:pPr>
                </w:p>
              </w:tc>
              <w:tc>
                <w:tcPr>
                  <w:tcW w:w="1674" w:type="dxa"/>
                  <w:vAlign w:val="center"/>
                </w:tcPr>
                <w:p>
                  <w:pPr>
                    <w:snapToGrid w:val="0"/>
                    <w:jc w:val="center"/>
                    <w:rPr>
                      <w:rFonts w:hint="eastAsia"/>
                      <w:color w:val="auto"/>
                      <w:lang w:val="en-US" w:eastAsia="zh-CN"/>
                    </w:rPr>
                  </w:pPr>
                  <w:r>
                    <w:rPr>
                      <w:rFonts w:hint="eastAsia"/>
                      <w:color w:val="auto"/>
                      <w:lang w:val="en-US" w:eastAsia="zh-CN"/>
                    </w:rPr>
                    <w:t>DW005</w:t>
                  </w:r>
                </w:p>
              </w:tc>
              <w:tc>
                <w:tcPr>
                  <w:tcW w:w="996" w:type="dxa"/>
                  <w:vMerge w:val="continue"/>
                  <w:vAlign w:val="center"/>
                </w:tcPr>
                <w:p>
                  <w:pPr>
                    <w:snapToGrid w:val="0"/>
                    <w:jc w:val="center"/>
                    <w:rPr>
                      <w:rFonts w:hint="eastAsia"/>
                      <w:color w:val="auto"/>
                      <w:lang w:val="en-US" w:eastAsia="zh-CN"/>
                    </w:rPr>
                  </w:pPr>
                </w:p>
              </w:tc>
              <w:tc>
                <w:tcPr>
                  <w:tcW w:w="979" w:type="dxa"/>
                  <w:vMerge w:val="continue"/>
                  <w:vAlign w:val="center"/>
                </w:tcPr>
                <w:p>
                  <w:pPr>
                    <w:snapToGrid w:val="0"/>
                    <w:jc w:val="center"/>
                    <w:rPr>
                      <w:color w:val="auto"/>
                    </w:rPr>
                  </w:pPr>
                </w:p>
              </w:tc>
              <w:tc>
                <w:tcPr>
                  <w:tcW w:w="1175" w:type="dxa"/>
                  <w:vMerge w:val="continue"/>
                  <w:vAlign w:val="center"/>
                </w:tcPr>
                <w:p>
                  <w:pPr>
                    <w:snapToGrid w:val="0"/>
                    <w:jc w:val="center"/>
                    <w:rPr>
                      <w:rFonts w:hint="eastAsia"/>
                      <w:color w:val="auto"/>
                      <w:lang w:val="en-US" w:eastAsia="zh-CN"/>
                    </w:rPr>
                  </w:pPr>
                </w:p>
              </w:tc>
              <w:tc>
                <w:tcPr>
                  <w:tcW w:w="1241" w:type="dxa"/>
                  <w:vMerge w:val="continue"/>
                  <w:vAlign w:val="center"/>
                </w:tcPr>
                <w:p>
                  <w:pPr>
                    <w:snapToGrid w:val="0"/>
                    <w:jc w:val="center"/>
                    <w:rPr>
                      <w:rFonts w:hint="eastAsia"/>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892" w:type="dxa"/>
                  <w:vMerge w:val="continue"/>
                  <w:vAlign w:val="center"/>
                </w:tcPr>
                <w:p>
                  <w:pPr>
                    <w:snapToGrid w:val="0"/>
                    <w:jc w:val="center"/>
                    <w:rPr>
                      <w:rFonts w:hint="eastAsia"/>
                      <w:color w:val="auto"/>
                    </w:rPr>
                  </w:pPr>
                </w:p>
              </w:tc>
              <w:tc>
                <w:tcPr>
                  <w:tcW w:w="1294" w:type="dxa"/>
                  <w:vMerge w:val="continue"/>
                  <w:vAlign w:val="center"/>
                </w:tcPr>
                <w:p>
                  <w:pPr>
                    <w:snapToGrid w:val="0"/>
                    <w:jc w:val="center"/>
                    <w:rPr>
                      <w:rFonts w:hint="eastAsia"/>
                      <w:color w:val="auto"/>
                      <w:lang w:val="en-US" w:eastAsia="zh-CN"/>
                    </w:rPr>
                  </w:pPr>
                </w:p>
              </w:tc>
              <w:tc>
                <w:tcPr>
                  <w:tcW w:w="1095" w:type="dxa"/>
                  <w:vMerge w:val="continue"/>
                  <w:vAlign w:val="center"/>
                </w:tcPr>
                <w:p>
                  <w:pPr>
                    <w:snapToGrid w:val="0"/>
                    <w:jc w:val="center"/>
                    <w:rPr>
                      <w:rFonts w:hint="eastAsia"/>
                      <w:color w:val="auto"/>
                      <w:lang w:val="en-US" w:eastAsia="zh-CN"/>
                    </w:rPr>
                  </w:pPr>
                </w:p>
              </w:tc>
              <w:tc>
                <w:tcPr>
                  <w:tcW w:w="1674" w:type="dxa"/>
                  <w:vAlign w:val="center"/>
                </w:tcPr>
                <w:p>
                  <w:pPr>
                    <w:snapToGrid w:val="0"/>
                    <w:jc w:val="center"/>
                    <w:rPr>
                      <w:rFonts w:hint="eastAsia"/>
                      <w:color w:val="auto"/>
                      <w:lang w:val="en-US" w:eastAsia="zh-CN"/>
                    </w:rPr>
                  </w:pPr>
                  <w:r>
                    <w:rPr>
                      <w:rFonts w:hint="eastAsia"/>
                      <w:color w:val="auto"/>
                      <w:lang w:val="en-US" w:eastAsia="zh-CN"/>
                    </w:rPr>
                    <w:t>DW006</w:t>
                  </w:r>
                </w:p>
              </w:tc>
              <w:tc>
                <w:tcPr>
                  <w:tcW w:w="996" w:type="dxa"/>
                  <w:vMerge w:val="continue"/>
                  <w:vAlign w:val="center"/>
                </w:tcPr>
                <w:p>
                  <w:pPr>
                    <w:snapToGrid w:val="0"/>
                    <w:jc w:val="center"/>
                    <w:rPr>
                      <w:rFonts w:hint="eastAsia"/>
                      <w:color w:val="auto"/>
                      <w:lang w:val="en-US" w:eastAsia="zh-CN"/>
                    </w:rPr>
                  </w:pPr>
                </w:p>
              </w:tc>
              <w:tc>
                <w:tcPr>
                  <w:tcW w:w="979" w:type="dxa"/>
                  <w:vMerge w:val="continue"/>
                  <w:vAlign w:val="center"/>
                </w:tcPr>
                <w:p>
                  <w:pPr>
                    <w:snapToGrid w:val="0"/>
                    <w:jc w:val="center"/>
                    <w:rPr>
                      <w:color w:val="auto"/>
                    </w:rPr>
                  </w:pPr>
                </w:p>
              </w:tc>
              <w:tc>
                <w:tcPr>
                  <w:tcW w:w="1175" w:type="dxa"/>
                  <w:vMerge w:val="continue"/>
                  <w:vAlign w:val="center"/>
                </w:tcPr>
                <w:p>
                  <w:pPr>
                    <w:snapToGrid w:val="0"/>
                    <w:jc w:val="center"/>
                    <w:rPr>
                      <w:rFonts w:hint="eastAsia"/>
                      <w:color w:val="auto"/>
                      <w:lang w:val="en-US" w:eastAsia="zh-CN"/>
                    </w:rPr>
                  </w:pPr>
                </w:p>
              </w:tc>
              <w:tc>
                <w:tcPr>
                  <w:tcW w:w="1241" w:type="dxa"/>
                  <w:vMerge w:val="continue"/>
                  <w:vAlign w:val="center"/>
                </w:tcPr>
                <w:p>
                  <w:pPr>
                    <w:snapToGrid w:val="0"/>
                    <w:jc w:val="center"/>
                    <w:rPr>
                      <w:rFonts w:hint="eastAsia"/>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892" w:type="dxa"/>
                  <w:vMerge w:val="continue"/>
                  <w:vAlign w:val="center"/>
                </w:tcPr>
                <w:p>
                  <w:pPr>
                    <w:snapToGrid w:val="0"/>
                    <w:jc w:val="center"/>
                    <w:rPr>
                      <w:rFonts w:hint="eastAsia"/>
                      <w:color w:val="auto"/>
                    </w:rPr>
                  </w:pPr>
                </w:p>
              </w:tc>
              <w:tc>
                <w:tcPr>
                  <w:tcW w:w="1294" w:type="dxa"/>
                  <w:vMerge w:val="continue"/>
                  <w:vAlign w:val="center"/>
                </w:tcPr>
                <w:p>
                  <w:pPr>
                    <w:snapToGrid w:val="0"/>
                    <w:jc w:val="center"/>
                    <w:rPr>
                      <w:rFonts w:hint="eastAsia"/>
                      <w:color w:val="auto"/>
                      <w:lang w:val="en-US" w:eastAsia="zh-CN"/>
                    </w:rPr>
                  </w:pPr>
                </w:p>
              </w:tc>
              <w:tc>
                <w:tcPr>
                  <w:tcW w:w="1095" w:type="dxa"/>
                  <w:vMerge w:val="continue"/>
                  <w:vAlign w:val="center"/>
                </w:tcPr>
                <w:p>
                  <w:pPr>
                    <w:snapToGrid w:val="0"/>
                    <w:jc w:val="center"/>
                    <w:rPr>
                      <w:rFonts w:hint="eastAsia"/>
                      <w:color w:val="auto"/>
                      <w:lang w:val="en-US" w:eastAsia="zh-CN"/>
                    </w:rPr>
                  </w:pPr>
                </w:p>
              </w:tc>
              <w:tc>
                <w:tcPr>
                  <w:tcW w:w="1674" w:type="dxa"/>
                  <w:vAlign w:val="center"/>
                </w:tcPr>
                <w:p>
                  <w:pPr>
                    <w:snapToGrid w:val="0"/>
                    <w:jc w:val="center"/>
                    <w:rPr>
                      <w:rFonts w:hint="eastAsia"/>
                      <w:color w:val="auto"/>
                      <w:lang w:val="en-US" w:eastAsia="zh-CN"/>
                    </w:rPr>
                  </w:pPr>
                  <w:r>
                    <w:rPr>
                      <w:rFonts w:hint="eastAsia"/>
                      <w:color w:val="auto"/>
                      <w:lang w:val="en-US" w:eastAsia="zh-CN"/>
                    </w:rPr>
                    <w:t>DW007</w:t>
                  </w:r>
                </w:p>
              </w:tc>
              <w:tc>
                <w:tcPr>
                  <w:tcW w:w="996" w:type="dxa"/>
                  <w:vMerge w:val="continue"/>
                  <w:vAlign w:val="center"/>
                </w:tcPr>
                <w:p>
                  <w:pPr>
                    <w:snapToGrid w:val="0"/>
                    <w:jc w:val="center"/>
                    <w:rPr>
                      <w:rFonts w:hint="eastAsia"/>
                      <w:color w:val="auto"/>
                      <w:lang w:val="en-US" w:eastAsia="zh-CN"/>
                    </w:rPr>
                  </w:pPr>
                </w:p>
              </w:tc>
              <w:tc>
                <w:tcPr>
                  <w:tcW w:w="979" w:type="dxa"/>
                  <w:vMerge w:val="continue"/>
                  <w:vAlign w:val="center"/>
                </w:tcPr>
                <w:p>
                  <w:pPr>
                    <w:snapToGrid w:val="0"/>
                    <w:jc w:val="center"/>
                    <w:rPr>
                      <w:color w:val="auto"/>
                    </w:rPr>
                  </w:pPr>
                </w:p>
              </w:tc>
              <w:tc>
                <w:tcPr>
                  <w:tcW w:w="1175" w:type="dxa"/>
                  <w:vMerge w:val="continue"/>
                  <w:vAlign w:val="center"/>
                </w:tcPr>
                <w:p>
                  <w:pPr>
                    <w:snapToGrid w:val="0"/>
                    <w:jc w:val="center"/>
                    <w:rPr>
                      <w:rFonts w:hint="eastAsia"/>
                      <w:color w:val="auto"/>
                      <w:lang w:val="en-US" w:eastAsia="zh-CN"/>
                    </w:rPr>
                  </w:pPr>
                </w:p>
              </w:tc>
              <w:tc>
                <w:tcPr>
                  <w:tcW w:w="1241" w:type="dxa"/>
                  <w:vMerge w:val="continue"/>
                  <w:vAlign w:val="center"/>
                </w:tcPr>
                <w:p>
                  <w:pPr>
                    <w:snapToGrid w:val="0"/>
                    <w:jc w:val="center"/>
                    <w:rPr>
                      <w:rFonts w:hint="eastAsia"/>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892" w:type="dxa"/>
                  <w:vMerge w:val="continue"/>
                  <w:vAlign w:val="center"/>
                </w:tcPr>
                <w:p>
                  <w:pPr>
                    <w:snapToGrid w:val="0"/>
                    <w:jc w:val="center"/>
                    <w:rPr>
                      <w:rFonts w:hint="eastAsia"/>
                      <w:color w:val="auto"/>
                    </w:rPr>
                  </w:pPr>
                </w:p>
              </w:tc>
              <w:tc>
                <w:tcPr>
                  <w:tcW w:w="1294" w:type="dxa"/>
                  <w:vMerge w:val="continue"/>
                  <w:vAlign w:val="center"/>
                </w:tcPr>
                <w:p>
                  <w:pPr>
                    <w:snapToGrid w:val="0"/>
                    <w:jc w:val="center"/>
                    <w:rPr>
                      <w:rFonts w:hint="eastAsia"/>
                      <w:color w:val="auto"/>
                      <w:lang w:val="en-US" w:eastAsia="zh-CN"/>
                    </w:rPr>
                  </w:pPr>
                </w:p>
              </w:tc>
              <w:tc>
                <w:tcPr>
                  <w:tcW w:w="1095" w:type="dxa"/>
                  <w:vMerge w:val="continue"/>
                  <w:vAlign w:val="center"/>
                </w:tcPr>
                <w:p>
                  <w:pPr>
                    <w:snapToGrid w:val="0"/>
                    <w:jc w:val="center"/>
                    <w:rPr>
                      <w:rFonts w:hint="eastAsia"/>
                      <w:color w:val="auto"/>
                      <w:lang w:val="en-US" w:eastAsia="zh-CN"/>
                    </w:rPr>
                  </w:pPr>
                </w:p>
              </w:tc>
              <w:tc>
                <w:tcPr>
                  <w:tcW w:w="1674" w:type="dxa"/>
                  <w:vAlign w:val="center"/>
                </w:tcPr>
                <w:p>
                  <w:pPr>
                    <w:snapToGrid w:val="0"/>
                    <w:jc w:val="center"/>
                    <w:rPr>
                      <w:rFonts w:hint="eastAsia"/>
                      <w:color w:val="auto"/>
                      <w:lang w:val="en-US" w:eastAsia="zh-CN"/>
                    </w:rPr>
                  </w:pPr>
                  <w:r>
                    <w:rPr>
                      <w:rFonts w:hint="eastAsia"/>
                      <w:color w:val="auto"/>
                      <w:lang w:val="en-US" w:eastAsia="zh-CN"/>
                    </w:rPr>
                    <w:t>DW008</w:t>
                  </w:r>
                </w:p>
              </w:tc>
              <w:tc>
                <w:tcPr>
                  <w:tcW w:w="996" w:type="dxa"/>
                  <w:vMerge w:val="continue"/>
                  <w:vAlign w:val="center"/>
                </w:tcPr>
                <w:p>
                  <w:pPr>
                    <w:snapToGrid w:val="0"/>
                    <w:jc w:val="center"/>
                    <w:rPr>
                      <w:rFonts w:hint="eastAsia"/>
                      <w:color w:val="auto"/>
                      <w:lang w:val="en-US" w:eastAsia="zh-CN"/>
                    </w:rPr>
                  </w:pPr>
                </w:p>
              </w:tc>
              <w:tc>
                <w:tcPr>
                  <w:tcW w:w="979" w:type="dxa"/>
                  <w:vMerge w:val="continue"/>
                  <w:vAlign w:val="center"/>
                </w:tcPr>
                <w:p>
                  <w:pPr>
                    <w:snapToGrid w:val="0"/>
                    <w:jc w:val="center"/>
                    <w:rPr>
                      <w:color w:val="auto"/>
                    </w:rPr>
                  </w:pPr>
                </w:p>
              </w:tc>
              <w:tc>
                <w:tcPr>
                  <w:tcW w:w="1175" w:type="dxa"/>
                  <w:vMerge w:val="continue"/>
                  <w:vAlign w:val="center"/>
                </w:tcPr>
                <w:p>
                  <w:pPr>
                    <w:snapToGrid w:val="0"/>
                    <w:jc w:val="center"/>
                    <w:rPr>
                      <w:rFonts w:hint="eastAsia"/>
                      <w:color w:val="auto"/>
                      <w:lang w:val="en-US" w:eastAsia="zh-CN"/>
                    </w:rPr>
                  </w:pPr>
                </w:p>
              </w:tc>
              <w:tc>
                <w:tcPr>
                  <w:tcW w:w="1241" w:type="dxa"/>
                  <w:vMerge w:val="continue"/>
                  <w:vAlign w:val="center"/>
                </w:tcPr>
                <w:p>
                  <w:pPr>
                    <w:snapToGrid w:val="0"/>
                    <w:jc w:val="center"/>
                    <w:rPr>
                      <w:rFonts w:hint="eastAsia"/>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892" w:type="dxa"/>
                  <w:vMerge w:val="continue"/>
                  <w:vAlign w:val="center"/>
                </w:tcPr>
                <w:p>
                  <w:pPr>
                    <w:snapToGrid w:val="0"/>
                    <w:jc w:val="center"/>
                    <w:rPr>
                      <w:rFonts w:hint="eastAsia"/>
                      <w:color w:val="auto"/>
                    </w:rPr>
                  </w:pPr>
                </w:p>
              </w:tc>
              <w:tc>
                <w:tcPr>
                  <w:tcW w:w="1294" w:type="dxa"/>
                  <w:vMerge w:val="continue"/>
                  <w:vAlign w:val="center"/>
                </w:tcPr>
                <w:p>
                  <w:pPr>
                    <w:snapToGrid w:val="0"/>
                    <w:jc w:val="center"/>
                    <w:rPr>
                      <w:rFonts w:hint="eastAsia"/>
                      <w:color w:val="auto"/>
                      <w:lang w:val="en-US" w:eastAsia="zh-CN"/>
                    </w:rPr>
                  </w:pPr>
                </w:p>
              </w:tc>
              <w:tc>
                <w:tcPr>
                  <w:tcW w:w="1095" w:type="dxa"/>
                  <w:vMerge w:val="continue"/>
                  <w:vAlign w:val="center"/>
                </w:tcPr>
                <w:p>
                  <w:pPr>
                    <w:snapToGrid w:val="0"/>
                    <w:jc w:val="center"/>
                    <w:rPr>
                      <w:rFonts w:hint="eastAsia"/>
                      <w:color w:val="auto"/>
                      <w:lang w:val="en-US" w:eastAsia="zh-CN"/>
                    </w:rPr>
                  </w:pPr>
                </w:p>
              </w:tc>
              <w:tc>
                <w:tcPr>
                  <w:tcW w:w="1674" w:type="dxa"/>
                  <w:vAlign w:val="center"/>
                </w:tcPr>
                <w:p>
                  <w:pPr>
                    <w:snapToGrid w:val="0"/>
                    <w:jc w:val="center"/>
                    <w:rPr>
                      <w:rFonts w:hint="eastAsia"/>
                      <w:color w:val="auto"/>
                      <w:lang w:val="en-US" w:eastAsia="zh-CN"/>
                    </w:rPr>
                  </w:pPr>
                  <w:r>
                    <w:rPr>
                      <w:rFonts w:hint="eastAsia"/>
                      <w:color w:val="auto"/>
                      <w:lang w:val="en-US" w:eastAsia="zh-CN"/>
                    </w:rPr>
                    <w:t>DW009</w:t>
                  </w:r>
                </w:p>
              </w:tc>
              <w:tc>
                <w:tcPr>
                  <w:tcW w:w="996" w:type="dxa"/>
                  <w:vMerge w:val="continue"/>
                  <w:vAlign w:val="center"/>
                </w:tcPr>
                <w:p>
                  <w:pPr>
                    <w:snapToGrid w:val="0"/>
                    <w:jc w:val="center"/>
                    <w:rPr>
                      <w:rFonts w:hint="eastAsia"/>
                      <w:color w:val="auto"/>
                      <w:lang w:val="en-US" w:eastAsia="zh-CN"/>
                    </w:rPr>
                  </w:pPr>
                </w:p>
              </w:tc>
              <w:tc>
                <w:tcPr>
                  <w:tcW w:w="979" w:type="dxa"/>
                  <w:vMerge w:val="continue"/>
                  <w:vAlign w:val="center"/>
                </w:tcPr>
                <w:p>
                  <w:pPr>
                    <w:snapToGrid w:val="0"/>
                    <w:jc w:val="center"/>
                    <w:rPr>
                      <w:color w:val="auto"/>
                    </w:rPr>
                  </w:pPr>
                </w:p>
              </w:tc>
              <w:tc>
                <w:tcPr>
                  <w:tcW w:w="1175" w:type="dxa"/>
                  <w:vMerge w:val="continue"/>
                  <w:vAlign w:val="center"/>
                </w:tcPr>
                <w:p>
                  <w:pPr>
                    <w:snapToGrid w:val="0"/>
                    <w:jc w:val="center"/>
                    <w:rPr>
                      <w:rFonts w:hint="eastAsia"/>
                      <w:color w:val="auto"/>
                      <w:lang w:val="en-US" w:eastAsia="zh-CN"/>
                    </w:rPr>
                  </w:pPr>
                </w:p>
              </w:tc>
              <w:tc>
                <w:tcPr>
                  <w:tcW w:w="1241" w:type="dxa"/>
                  <w:vMerge w:val="continue"/>
                  <w:vAlign w:val="center"/>
                </w:tcPr>
                <w:p>
                  <w:pPr>
                    <w:snapToGrid w:val="0"/>
                    <w:jc w:val="center"/>
                    <w:rPr>
                      <w:rFonts w:hint="eastAsia"/>
                      <w:color w:val="auto"/>
                    </w:rPr>
                  </w:pPr>
                </w:p>
              </w:tc>
            </w:tr>
          </w:tbl>
          <w:p>
            <w:pPr>
              <w:widowControl w:val="0"/>
              <w:adjustRightInd w:val="0"/>
              <w:snapToGrid w:val="0"/>
              <w:spacing w:line="360" w:lineRule="auto"/>
              <w:ind w:firstLine="482" w:firstLineChars="200"/>
              <w:jc w:val="both"/>
              <w:rPr>
                <w:rFonts w:hint="eastAsia"/>
                <w:b/>
                <w:bCs/>
                <w:color w:val="auto"/>
                <w:sz w:val="24"/>
                <w:szCs w:val="24"/>
                <w:lang w:val="en-US" w:eastAsia="zh-CN"/>
              </w:rPr>
            </w:pPr>
            <w:r>
              <w:rPr>
                <w:rFonts w:hint="eastAsia"/>
                <w:b/>
                <w:bCs/>
                <w:color w:val="auto"/>
                <w:sz w:val="24"/>
                <w:szCs w:val="24"/>
                <w:lang w:val="en-US" w:eastAsia="zh-CN"/>
              </w:rPr>
              <w:t>3.2.4废水监测要求</w:t>
            </w:r>
          </w:p>
          <w:p>
            <w:pPr>
              <w:widowControl w:val="0"/>
              <w:adjustRightInd w:val="0"/>
              <w:snapToGrid w:val="0"/>
              <w:spacing w:line="360" w:lineRule="auto"/>
              <w:ind w:firstLine="480" w:firstLineChars="200"/>
              <w:jc w:val="both"/>
              <w:rPr>
                <w:rFonts w:hint="eastAsia"/>
                <w:color w:val="auto"/>
                <w:sz w:val="24"/>
                <w:szCs w:val="24"/>
                <w:lang w:val="en-GB" w:eastAsia="zh-CN"/>
              </w:rPr>
            </w:pPr>
            <w:r>
              <w:rPr>
                <w:rFonts w:hint="eastAsia"/>
                <w:color w:val="auto"/>
                <w:sz w:val="24"/>
                <w:szCs w:val="24"/>
                <w:lang w:val="en-GB" w:eastAsia="zh-CN"/>
              </w:rPr>
              <w:t>运营期环境监测计划见表</w:t>
            </w:r>
            <w:r>
              <w:rPr>
                <w:rFonts w:hint="eastAsia"/>
                <w:color w:val="auto"/>
                <w:sz w:val="24"/>
                <w:szCs w:val="24"/>
                <w:lang w:val="en-US" w:eastAsia="zh-CN"/>
              </w:rPr>
              <w:t>32</w:t>
            </w:r>
            <w:r>
              <w:rPr>
                <w:rFonts w:hint="eastAsia"/>
                <w:color w:val="auto"/>
                <w:sz w:val="24"/>
                <w:szCs w:val="24"/>
                <w:lang w:val="en-GB" w:eastAsia="zh-CN"/>
              </w:rPr>
              <w:t>。</w:t>
            </w:r>
          </w:p>
          <w:p>
            <w:pPr>
              <w:spacing w:line="360" w:lineRule="auto"/>
              <w:jc w:val="center"/>
              <w:rPr>
                <w:rFonts w:hint="eastAsia" w:ascii="Cambria" w:hAnsi="Cambria" w:eastAsia="黑体" w:cs="Times New Roman"/>
                <w:color w:val="auto"/>
                <w:kern w:val="2"/>
                <w:sz w:val="24"/>
                <w:szCs w:val="24"/>
                <w:lang w:val="en-US" w:eastAsia="zh-CN" w:bidi="ar-SA"/>
              </w:rPr>
            </w:pPr>
            <w:r>
              <w:rPr>
                <w:rFonts w:hint="eastAsia" w:ascii="Cambria" w:hAnsi="Cambria" w:eastAsia="黑体" w:cs="Times New Roman"/>
                <w:color w:val="auto"/>
                <w:kern w:val="2"/>
                <w:sz w:val="24"/>
                <w:szCs w:val="24"/>
                <w:lang w:val="en-US" w:eastAsia="zh-CN" w:bidi="ar-SA"/>
              </w:rPr>
              <w:t xml:space="preserve">表32     运营期环境监测计划  </w:t>
            </w:r>
          </w:p>
          <w:tbl>
            <w:tblPr>
              <w:tblStyle w:val="24"/>
              <w:tblW w:w="934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90"/>
              <w:gridCol w:w="2841"/>
              <w:gridCol w:w="2264"/>
              <w:gridCol w:w="17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2490" w:type="dxa"/>
                  <w:vAlign w:val="center"/>
                </w:tcPr>
                <w:p>
                  <w:pPr>
                    <w:jc w:val="center"/>
                    <w:rPr>
                      <w:color w:val="auto"/>
                    </w:rPr>
                  </w:pPr>
                  <w:r>
                    <w:rPr>
                      <w:color w:val="auto"/>
                    </w:rPr>
                    <w:t>污染源</w:t>
                  </w:r>
                </w:p>
              </w:tc>
              <w:tc>
                <w:tcPr>
                  <w:tcW w:w="2841" w:type="dxa"/>
                  <w:tcBorders>
                    <w:right w:val="single" w:color="auto" w:sz="4" w:space="0"/>
                  </w:tcBorders>
                  <w:vAlign w:val="center"/>
                </w:tcPr>
                <w:p>
                  <w:pPr>
                    <w:jc w:val="center"/>
                    <w:rPr>
                      <w:color w:val="auto"/>
                    </w:rPr>
                  </w:pPr>
                  <w:r>
                    <w:rPr>
                      <w:color w:val="auto"/>
                    </w:rPr>
                    <w:t>监测位置</w:t>
                  </w:r>
                </w:p>
              </w:tc>
              <w:tc>
                <w:tcPr>
                  <w:tcW w:w="2264" w:type="dxa"/>
                  <w:vAlign w:val="center"/>
                </w:tcPr>
                <w:p>
                  <w:pPr>
                    <w:jc w:val="center"/>
                    <w:rPr>
                      <w:color w:val="auto"/>
                    </w:rPr>
                  </w:pPr>
                  <w:r>
                    <w:rPr>
                      <w:color w:val="auto"/>
                    </w:rPr>
                    <w:t>监测项目</w:t>
                  </w:r>
                </w:p>
              </w:tc>
              <w:tc>
                <w:tcPr>
                  <w:tcW w:w="1751" w:type="dxa"/>
                  <w:vAlign w:val="center"/>
                </w:tcPr>
                <w:p>
                  <w:pPr>
                    <w:jc w:val="center"/>
                    <w:rPr>
                      <w:color w:val="auto"/>
                    </w:rPr>
                  </w:pPr>
                  <w:r>
                    <w:rPr>
                      <w:color w:val="auto"/>
                    </w:rPr>
                    <w:t>监测频率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4" w:hRule="atLeast"/>
                <w:jc w:val="center"/>
              </w:trPr>
              <w:tc>
                <w:tcPr>
                  <w:tcW w:w="2490" w:type="dxa"/>
                  <w:vMerge w:val="restart"/>
                  <w:vAlign w:val="center"/>
                </w:tcPr>
                <w:p>
                  <w:pPr>
                    <w:jc w:val="center"/>
                    <w:rPr>
                      <w:color w:val="auto"/>
                    </w:rPr>
                  </w:pPr>
                  <w:r>
                    <w:rPr>
                      <w:rFonts w:hint="eastAsia"/>
                      <w:color w:val="auto"/>
                      <w:lang w:val="en-US" w:eastAsia="zh-CN"/>
                    </w:rPr>
                    <w:t>游乐废水与生活污水</w:t>
                  </w:r>
                </w:p>
              </w:tc>
              <w:tc>
                <w:tcPr>
                  <w:tcW w:w="2841" w:type="dxa"/>
                  <w:tcBorders>
                    <w:right w:val="single" w:color="auto" w:sz="4" w:space="0"/>
                  </w:tcBorders>
                  <w:vAlign w:val="center"/>
                </w:tcPr>
                <w:p>
                  <w:pPr>
                    <w:snapToGrid w:val="0"/>
                    <w:jc w:val="center"/>
                    <w:rPr>
                      <w:color w:val="auto"/>
                    </w:rPr>
                  </w:pPr>
                  <w:r>
                    <w:rPr>
                      <w:rFonts w:hint="eastAsia"/>
                      <w:color w:val="auto"/>
                      <w:lang w:val="en-US" w:eastAsia="zh-CN"/>
                    </w:rPr>
                    <w:t>DW001排放口前</w:t>
                  </w:r>
                </w:p>
              </w:tc>
              <w:tc>
                <w:tcPr>
                  <w:tcW w:w="2264" w:type="dxa"/>
                  <w:vMerge w:val="restart"/>
                  <w:vAlign w:val="center"/>
                </w:tcPr>
                <w:p>
                  <w:pPr>
                    <w:adjustRightInd w:val="0"/>
                    <w:snapToGrid w:val="0"/>
                    <w:jc w:val="center"/>
                    <w:rPr>
                      <w:color w:val="auto"/>
                    </w:rPr>
                  </w:pPr>
                  <w:r>
                    <w:rPr>
                      <w:color w:val="auto"/>
                    </w:rPr>
                    <w:t>COD、NH</w:t>
                  </w:r>
                  <w:r>
                    <w:rPr>
                      <w:color w:val="auto"/>
                      <w:vertAlign w:val="subscript"/>
                    </w:rPr>
                    <w:t>3</w:t>
                  </w:r>
                  <w:r>
                    <w:rPr>
                      <w:color w:val="auto"/>
                    </w:rPr>
                    <w:t>-N、BOD</w:t>
                  </w:r>
                  <w:r>
                    <w:rPr>
                      <w:color w:val="auto"/>
                      <w:vertAlign w:val="subscript"/>
                    </w:rPr>
                    <w:t>5</w:t>
                  </w:r>
                  <w:r>
                    <w:rPr>
                      <w:color w:val="auto"/>
                    </w:rPr>
                    <w:t>、SS</w:t>
                  </w:r>
                  <w:r>
                    <w:rPr>
                      <w:rFonts w:hint="eastAsia"/>
                      <w:color w:val="auto"/>
                      <w:lang w:eastAsia="zh-CN"/>
                    </w:rPr>
                    <w:t>、</w:t>
                  </w:r>
                  <w:r>
                    <w:rPr>
                      <w:rFonts w:hint="eastAsia"/>
                      <w:color w:val="auto"/>
                      <w:lang w:val="en-US" w:eastAsia="zh-CN"/>
                    </w:rPr>
                    <w:t>动植物油</w:t>
                  </w:r>
                </w:p>
              </w:tc>
              <w:tc>
                <w:tcPr>
                  <w:tcW w:w="1751" w:type="dxa"/>
                  <w:vMerge w:val="restart"/>
                  <w:vAlign w:val="center"/>
                </w:tcPr>
                <w:p>
                  <w:pPr>
                    <w:jc w:val="center"/>
                    <w:rPr>
                      <w:rFonts w:hint="eastAsia"/>
                      <w:color w:val="auto"/>
                      <w:lang w:eastAsia="zh-CN"/>
                    </w:rPr>
                  </w:pPr>
                  <w:r>
                    <w:rPr>
                      <w:rFonts w:hint="eastAsia"/>
                      <w:color w:val="auto"/>
                      <w:lang w:val="en-US" w:eastAsia="zh-CN"/>
                    </w:rPr>
                    <w:t>每季度一次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4" w:hRule="atLeast"/>
                <w:jc w:val="center"/>
              </w:trPr>
              <w:tc>
                <w:tcPr>
                  <w:tcW w:w="2490" w:type="dxa"/>
                  <w:vMerge w:val="continue"/>
                  <w:vAlign w:val="center"/>
                </w:tcPr>
                <w:p>
                  <w:pPr>
                    <w:jc w:val="center"/>
                    <w:rPr>
                      <w:rFonts w:hint="eastAsia"/>
                      <w:color w:val="auto"/>
                      <w:lang w:val="en-US" w:eastAsia="zh-CN"/>
                    </w:rPr>
                  </w:pPr>
                </w:p>
              </w:tc>
              <w:tc>
                <w:tcPr>
                  <w:tcW w:w="2841" w:type="dxa"/>
                  <w:tcBorders>
                    <w:right w:val="single" w:color="auto" w:sz="4" w:space="0"/>
                  </w:tcBorders>
                  <w:vAlign w:val="center"/>
                </w:tcPr>
                <w:p>
                  <w:pPr>
                    <w:snapToGrid w:val="0"/>
                    <w:jc w:val="center"/>
                    <w:rPr>
                      <w:rFonts w:hint="eastAsia"/>
                      <w:color w:val="auto"/>
                      <w:lang w:val="en-US" w:eastAsia="zh-CN"/>
                    </w:rPr>
                  </w:pPr>
                  <w:r>
                    <w:rPr>
                      <w:rFonts w:hint="eastAsia"/>
                      <w:color w:val="auto"/>
                      <w:lang w:val="en-US" w:eastAsia="zh-CN"/>
                    </w:rPr>
                    <w:t>DW002排放口前</w:t>
                  </w:r>
                </w:p>
              </w:tc>
              <w:tc>
                <w:tcPr>
                  <w:tcW w:w="2264" w:type="dxa"/>
                  <w:vMerge w:val="continue"/>
                  <w:vAlign w:val="center"/>
                </w:tcPr>
                <w:p>
                  <w:pPr>
                    <w:adjustRightInd w:val="0"/>
                    <w:snapToGrid w:val="0"/>
                    <w:jc w:val="center"/>
                    <w:rPr>
                      <w:color w:val="auto"/>
                    </w:rPr>
                  </w:pPr>
                </w:p>
              </w:tc>
              <w:tc>
                <w:tcPr>
                  <w:tcW w:w="1751" w:type="dxa"/>
                  <w:vMerge w:val="continue"/>
                  <w:vAlign w:val="center"/>
                </w:tcPr>
                <w:p>
                  <w:pPr>
                    <w:jc w:val="center"/>
                    <w:rPr>
                      <w:rFonts w:hint="eastAsia"/>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4" w:hRule="atLeast"/>
                <w:jc w:val="center"/>
              </w:trPr>
              <w:tc>
                <w:tcPr>
                  <w:tcW w:w="2490" w:type="dxa"/>
                  <w:vMerge w:val="continue"/>
                  <w:vAlign w:val="center"/>
                </w:tcPr>
                <w:p>
                  <w:pPr>
                    <w:jc w:val="center"/>
                    <w:rPr>
                      <w:rFonts w:hint="eastAsia"/>
                      <w:color w:val="auto"/>
                      <w:lang w:val="en-US" w:eastAsia="zh-CN"/>
                    </w:rPr>
                  </w:pPr>
                </w:p>
              </w:tc>
              <w:tc>
                <w:tcPr>
                  <w:tcW w:w="2841" w:type="dxa"/>
                  <w:tcBorders>
                    <w:right w:val="single" w:color="auto" w:sz="4" w:space="0"/>
                  </w:tcBorders>
                  <w:vAlign w:val="center"/>
                </w:tcPr>
                <w:p>
                  <w:pPr>
                    <w:snapToGrid w:val="0"/>
                    <w:jc w:val="center"/>
                    <w:rPr>
                      <w:rFonts w:hint="eastAsia"/>
                      <w:color w:val="auto"/>
                      <w:lang w:val="en-US" w:eastAsia="zh-CN"/>
                    </w:rPr>
                  </w:pPr>
                  <w:r>
                    <w:rPr>
                      <w:rFonts w:hint="eastAsia"/>
                      <w:color w:val="auto"/>
                      <w:lang w:val="en-US" w:eastAsia="zh-CN"/>
                    </w:rPr>
                    <w:t>DW003排放口前</w:t>
                  </w:r>
                </w:p>
              </w:tc>
              <w:tc>
                <w:tcPr>
                  <w:tcW w:w="2264" w:type="dxa"/>
                  <w:vMerge w:val="continue"/>
                  <w:vAlign w:val="center"/>
                </w:tcPr>
                <w:p>
                  <w:pPr>
                    <w:adjustRightInd w:val="0"/>
                    <w:snapToGrid w:val="0"/>
                    <w:jc w:val="center"/>
                    <w:rPr>
                      <w:color w:val="auto"/>
                    </w:rPr>
                  </w:pPr>
                </w:p>
              </w:tc>
              <w:tc>
                <w:tcPr>
                  <w:tcW w:w="1751" w:type="dxa"/>
                  <w:vMerge w:val="continue"/>
                  <w:vAlign w:val="center"/>
                </w:tcPr>
                <w:p>
                  <w:pPr>
                    <w:jc w:val="center"/>
                    <w:rPr>
                      <w:rFonts w:hint="eastAsia"/>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4" w:hRule="atLeast"/>
                <w:jc w:val="center"/>
              </w:trPr>
              <w:tc>
                <w:tcPr>
                  <w:tcW w:w="2490" w:type="dxa"/>
                  <w:vMerge w:val="continue"/>
                  <w:vAlign w:val="center"/>
                </w:tcPr>
                <w:p>
                  <w:pPr>
                    <w:jc w:val="center"/>
                    <w:rPr>
                      <w:rFonts w:hint="eastAsia"/>
                      <w:color w:val="auto"/>
                      <w:lang w:val="en-US" w:eastAsia="zh-CN"/>
                    </w:rPr>
                  </w:pPr>
                </w:p>
              </w:tc>
              <w:tc>
                <w:tcPr>
                  <w:tcW w:w="2841" w:type="dxa"/>
                  <w:tcBorders>
                    <w:right w:val="single" w:color="auto" w:sz="4" w:space="0"/>
                  </w:tcBorders>
                  <w:vAlign w:val="center"/>
                </w:tcPr>
                <w:p>
                  <w:pPr>
                    <w:snapToGrid w:val="0"/>
                    <w:jc w:val="center"/>
                    <w:rPr>
                      <w:rFonts w:hint="eastAsia"/>
                      <w:color w:val="auto"/>
                      <w:lang w:val="en-US" w:eastAsia="zh-CN"/>
                    </w:rPr>
                  </w:pPr>
                  <w:r>
                    <w:rPr>
                      <w:rFonts w:hint="eastAsia"/>
                      <w:color w:val="auto"/>
                      <w:lang w:val="en-US" w:eastAsia="zh-CN"/>
                    </w:rPr>
                    <w:t>DW004排放口前</w:t>
                  </w:r>
                </w:p>
              </w:tc>
              <w:tc>
                <w:tcPr>
                  <w:tcW w:w="2264" w:type="dxa"/>
                  <w:vMerge w:val="continue"/>
                  <w:vAlign w:val="center"/>
                </w:tcPr>
                <w:p>
                  <w:pPr>
                    <w:adjustRightInd w:val="0"/>
                    <w:snapToGrid w:val="0"/>
                    <w:jc w:val="center"/>
                    <w:rPr>
                      <w:color w:val="auto"/>
                    </w:rPr>
                  </w:pPr>
                </w:p>
              </w:tc>
              <w:tc>
                <w:tcPr>
                  <w:tcW w:w="1751" w:type="dxa"/>
                  <w:vMerge w:val="continue"/>
                  <w:vAlign w:val="center"/>
                </w:tcPr>
                <w:p>
                  <w:pPr>
                    <w:jc w:val="center"/>
                    <w:rPr>
                      <w:rFonts w:hint="eastAsia"/>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4" w:hRule="atLeast"/>
                <w:jc w:val="center"/>
              </w:trPr>
              <w:tc>
                <w:tcPr>
                  <w:tcW w:w="2490" w:type="dxa"/>
                  <w:vMerge w:val="continue"/>
                  <w:vAlign w:val="center"/>
                </w:tcPr>
                <w:p>
                  <w:pPr>
                    <w:jc w:val="center"/>
                    <w:rPr>
                      <w:rFonts w:hint="eastAsia"/>
                      <w:color w:val="auto"/>
                      <w:lang w:val="en-US" w:eastAsia="zh-CN"/>
                    </w:rPr>
                  </w:pPr>
                </w:p>
              </w:tc>
              <w:tc>
                <w:tcPr>
                  <w:tcW w:w="2841" w:type="dxa"/>
                  <w:tcBorders>
                    <w:right w:val="single" w:color="auto" w:sz="4" w:space="0"/>
                  </w:tcBorders>
                  <w:vAlign w:val="center"/>
                </w:tcPr>
                <w:p>
                  <w:pPr>
                    <w:snapToGrid w:val="0"/>
                    <w:jc w:val="center"/>
                    <w:rPr>
                      <w:rFonts w:hint="eastAsia"/>
                      <w:color w:val="auto"/>
                      <w:lang w:val="en-US" w:eastAsia="zh-CN"/>
                    </w:rPr>
                  </w:pPr>
                  <w:r>
                    <w:rPr>
                      <w:rFonts w:hint="eastAsia"/>
                      <w:color w:val="auto"/>
                      <w:lang w:val="en-US" w:eastAsia="zh-CN"/>
                    </w:rPr>
                    <w:t>DW005排放口前</w:t>
                  </w:r>
                </w:p>
              </w:tc>
              <w:tc>
                <w:tcPr>
                  <w:tcW w:w="2264" w:type="dxa"/>
                  <w:vMerge w:val="continue"/>
                  <w:vAlign w:val="center"/>
                </w:tcPr>
                <w:p>
                  <w:pPr>
                    <w:adjustRightInd w:val="0"/>
                    <w:snapToGrid w:val="0"/>
                    <w:jc w:val="center"/>
                    <w:rPr>
                      <w:color w:val="auto"/>
                    </w:rPr>
                  </w:pPr>
                </w:p>
              </w:tc>
              <w:tc>
                <w:tcPr>
                  <w:tcW w:w="1751" w:type="dxa"/>
                  <w:vMerge w:val="continue"/>
                  <w:vAlign w:val="center"/>
                </w:tcPr>
                <w:p>
                  <w:pPr>
                    <w:jc w:val="center"/>
                    <w:rPr>
                      <w:rFonts w:hint="eastAsia"/>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4" w:hRule="atLeast"/>
                <w:jc w:val="center"/>
              </w:trPr>
              <w:tc>
                <w:tcPr>
                  <w:tcW w:w="2490" w:type="dxa"/>
                  <w:vMerge w:val="continue"/>
                  <w:vAlign w:val="center"/>
                </w:tcPr>
                <w:p>
                  <w:pPr>
                    <w:jc w:val="center"/>
                    <w:rPr>
                      <w:rFonts w:hint="eastAsia"/>
                      <w:color w:val="auto"/>
                      <w:lang w:val="en-US" w:eastAsia="zh-CN"/>
                    </w:rPr>
                  </w:pPr>
                </w:p>
              </w:tc>
              <w:tc>
                <w:tcPr>
                  <w:tcW w:w="2841" w:type="dxa"/>
                  <w:tcBorders>
                    <w:right w:val="single" w:color="auto" w:sz="4" w:space="0"/>
                  </w:tcBorders>
                  <w:vAlign w:val="center"/>
                </w:tcPr>
                <w:p>
                  <w:pPr>
                    <w:snapToGrid w:val="0"/>
                    <w:jc w:val="center"/>
                    <w:rPr>
                      <w:rFonts w:hint="eastAsia"/>
                      <w:color w:val="auto"/>
                      <w:lang w:val="en-US" w:eastAsia="zh-CN"/>
                    </w:rPr>
                  </w:pPr>
                  <w:r>
                    <w:rPr>
                      <w:rFonts w:hint="eastAsia"/>
                      <w:color w:val="auto"/>
                      <w:lang w:val="en-US" w:eastAsia="zh-CN"/>
                    </w:rPr>
                    <w:t>DW006排放口前</w:t>
                  </w:r>
                </w:p>
              </w:tc>
              <w:tc>
                <w:tcPr>
                  <w:tcW w:w="2264" w:type="dxa"/>
                  <w:vMerge w:val="continue"/>
                  <w:vAlign w:val="center"/>
                </w:tcPr>
                <w:p>
                  <w:pPr>
                    <w:adjustRightInd w:val="0"/>
                    <w:snapToGrid w:val="0"/>
                    <w:jc w:val="center"/>
                    <w:rPr>
                      <w:color w:val="auto"/>
                    </w:rPr>
                  </w:pPr>
                </w:p>
              </w:tc>
              <w:tc>
                <w:tcPr>
                  <w:tcW w:w="1751" w:type="dxa"/>
                  <w:vMerge w:val="continue"/>
                  <w:vAlign w:val="center"/>
                </w:tcPr>
                <w:p>
                  <w:pPr>
                    <w:jc w:val="center"/>
                    <w:rPr>
                      <w:rFonts w:hint="eastAsia"/>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4" w:hRule="atLeast"/>
                <w:jc w:val="center"/>
              </w:trPr>
              <w:tc>
                <w:tcPr>
                  <w:tcW w:w="2490" w:type="dxa"/>
                  <w:vMerge w:val="continue"/>
                  <w:vAlign w:val="center"/>
                </w:tcPr>
                <w:p>
                  <w:pPr>
                    <w:jc w:val="center"/>
                    <w:rPr>
                      <w:rFonts w:hint="eastAsia"/>
                      <w:color w:val="auto"/>
                      <w:lang w:val="en-US" w:eastAsia="zh-CN"/>
                    </w:rPr>
                  </w:pPr>
                </w:p>
              </w:tc>
              <w:tc>
                <w:tcPr>
                  <w:tcW w:w="2841" w:type="dxa"/>
                  <w:tcBorders>
                    <w:right w:val="single" w:color="auto" w:sz="4" w:space="0"/>
                  </w:tcBorders>
                  <w:vAlign w:val="center"/>
                </w:tcPr>
                <w:p>
                  <w:pPr>
                    <w:snapToGrid w:val="0"/>
                    <w:jc w:val="center"/>
                    <w:rPr>
                      <w:rFonts w:hint="eastAsia"/>
                      <w:color w:val="auto"/>
                      <w:lang w:val="en-US" w:eastAsia="zh-CN"/>
                    </w:rPr>
                  </w:pPr>
                  <w:r>
                    <w:rPr>
                      <w:rFonts w:hint="eastAsia"/>
                      <w:color w:val="auto"/>
                      <w:lang w:val="en-US" w:eastAsia="zh-CN"/>
                    </w:rPr>
                    <w:t>DW007排放口前</w:t>
                  </w:r>
                </w:p>
              </w:tc>
              <w:tc>
                <w:tcPr>
                  <w:tcW w:w="2264" w:type="dxa"/>
                  <w:vMerge w:val="continue"/>
                  <w:vAlign w:val="center"/>
                </w:tcPr>
                <w:p>
                  <w:pPr>
                    <w:adjustRightInd w:val="0"/>
                    <w:snapToGrid w:val="0"/>
                    <w:jc w:val="center"/>
                    <w:rPr>
                      <w:color w:val="auto"/>
                    </w:rPr>
                  </w:pPr>
                </w:p>
              </w:tc>
              <w:tc>
                <w:tcPr>
                  <w:tcW w:w="1751" w:type="dxa"/>
                  <w:vMerge w:val="continue"/>
                  <w:vAlign w:val="center"/>
                </w:tcPr>
                <w:p>
                  <w:pPr>
                    <w:jc w:val="center"/>
                    <w:rPr>
                      <w:rFonts w:hint="eastAsia"/>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4" w:hRule="atLeast"/>
                <w:jc w:val="center"/>
              </w:trPr>
              <w:tc>
                <w:tcPr>
                  <w:tcW w:w="2490" w:type="dxa"/>
                  <w:vMerge w:val="continue"/>
                  <w:vAlign w:val="center"/>
                </w:tcPr>
                <w:p>
                  <w:pPr>
                    <w:jc w:val="center"/>
                    <w:rPr>
                      <w:rFonts w:hint="eastAsia"/>
                      <w:color w:val="auto"/>
                      <w:lang w:val="en-US" w:eastAsia="zh-CN"/>
                    </w:rPr>
                  </w:pPr>
                </w:p>
              </w:tc>
              <w:tc>
                <w:tcPr>
                  <w:tcW w:w="2841" w:type="dxa"/>
                  <w:tcBorders>
                    <w:right w:val="single" w:color="auto" w:sz="4" w:space="0"/>
                  </w:tcBorders>
                  <w:vAlign w:val="center"/>
                </w:tcPr>
                <w:p>
                  <w:pPr>
                    <w:snapToGrid w:val="0"/>
                    <w:jc w:val="center"/>
                    <w:rPr>
                      <w:rFonts w:hint="eastAsia"/>
                      <w:color w:val="auto"/>
                      <w:lang w:val="en-US" w:eastAsia="zh-CN"/>
                    </w:rPr>
                  </w:pPr>
                  <w:r>
                    <w:rPr>
                      <w:rFonts w:hint="eastAsia"/>
                      <w:color w:val="auto"/>
                      <w:lang w:val="en-US" w:eastAsia="zh-CN"/>
                    </w:rPr>
                    <w:t>DW008排放口前</w:t>
                  </w:r>
                </w:p>
              </w:tc>
              <w:tc>
                <w:tcPr>
                  <w:tcW w:w="2264" w:type="dxa"/>
                  <w:vMerge w:val="continue"/>
                  <w:vAlign w:val="center"/>
                </w:tcPr>
                <w:p>
                  <w:pPr>
                    <w:adjustRightInd w:val="0"/>
                    <w:snapToGrid w:val="0"/>
                    <w:jc w:val="center"/>
                    <w:rPr>
                      <w:color w:val="auto"/>
                    </w:rPr>
                  </w:pPr>
                </w:p>
              </w:tc>
              <w:tc>
                <w:tcPr>
                  <w:tcW w:w="1751" w:type="dxa"/>
                  <w:vMerge w:val="continue"/>
                  <w:vAlign w:val="center"/>
                </w:tcPr>
                <w:p>
                  <w:pPr>
                    <w:jc w:val="center"/>
                    <w:rPr>
                      <w:rFonts w:hint="eastAsia"/>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4" w:hRule="atLeast"/>
                <w:jc w:val="center"/>
              </w:trPr>
              <w:tc>
                <w:tcPr>
                  <w:tcW w:w="2490" w:type="dxa"/>
                  <w:vMerge w:val="continue"/>
                  <w:vAlign w:val="center"/>
                </w:tcPr>
                <w:p>
                  <w:pPr>
                    <w:jc w:val="center"/>
                    <w:rPr>
                      <w:rFonts w:hint="eastAsia"/>
                      <w:color w:val="auto"/>
                      <w:lang w:val="en-US" w:eastAsia="zh-CN"/>
                    </w:rPr>
                  </w:pPr>
                </w:p>
              </w:tc>
              <w:tc>
                <w:tcPr>
                  <w:tcW w:w="2841" w:type="dxa"/>
                  <w:tcBorders>
                    <w:right w:val="single" w:color="auto" w:sz="4" w:space="0"/>
                  </w:tcBorders>
                  <w:vAlign w:val="center"/>
                </w:tcPr>
                <w:p>
                  <w:pPr>
                    <w:snapToGrid w:val="0"/>
                    <w:jc w:val="center"/>
                    <w:rPr>
                      <w:rFonts w:hint="eastAsia"/>
                      <w:color w:val="auto"/>
                      <w:lang w:val="en-US" w:eastAsia="zh-CN"/>
                    </w:rPr>
                  </w:pPr>
                  <w:r>
                    <w:rPr>
                      <w:rFonts w:hint="eastAsia"/>
                      <w:color w:val="auto"/>
                      <w:lang w:val="en-US" w:eastAsia="zh-CN"/>
                    </w:rPr>
                    <w:t>DW009排放口前</w:t>
                  </w:r>
                </w:p>
              </w:tc>
              <w:tc>
                <w:tcPr>
                  <w:tcW w:w="2264" w:type="dxa"/>
                  <w:vMerge w:val="continue"/>
                  <w:vAlign w:val="center"/>
                </w:tcPr>
                <w:p>
                  <w:pPr>
                    <w:adjustRightInd w:val="0"/>
                    <w:snapToGrid w:val="0"/>
                    <w:jc w:val="center"/>
                    <w:rPr>
                      <w:color w:val="auto"/>
                    </w:rPr>
                  </w:pPr>
                </w:p>
              </w:tc>
              <w:tc>
                <w:tcPr>
                  <w:tcW w:w="1751" w:type="dxa"/>
                  <w:vMerge w:val="continue"/>
                  <w:vAlign w:val="center"/>
                </w:tcPr>
                <w:p>
                  <w:pPr>
                    <w:jc w:val="center"/>
                    <w:rPr>
                      <w:rFonts w:hint="eastAsia"/>
                      <w:color w:val="auto"/>
                      <w:lang w:val="en-US" w:eastAsia="zh-CN"/>
                    </w:rPr>
                  </w:pPr>
                </w:p>
              </w:tc>
            </w:tr>
          </w:tbl>
          <w:p>
            <w:pPr>
              <w:ind w:firstLine="482" w:firstLineChars="200"/>
              <w:rPr>
                <w:b/>
                <w:bCs/>
                <w:color w:val="auto"/>
                <w:sz w:val="24"/>
              </w:rPr>
            </w:pPr>
            <w:r>
              <w:rPr>
                <w:rFonts w:hint="eastAsia"/>
                <w:b/>
                <w:bCs/>
                <w:color w:val="auto"/>
                <w:sz w:val="24"/>
                <w:lang w:val="en-US" w:eastAsia="zh-CN"/>
              </w:rPr>
              <w:t>3.3</w:t>
            </w:r>
            <w:r>
              <w:rPr>
                <w:b/>
                <w:bCs/>
                <w:color w:val="auto"/>
                <w:sz w:val="24"/>
              </w:rPr>
              <w:t>噪声</w:t>
            </w:r>
          </w:p>
          <w:p>
            <w:pPr>
              <w:widowControl w:val="0"/>
              <w:adjustRightInd w:val="0"/>
              <w:snapToGrid w:val="0"/>
              <w:spacing w:line="360" w:lineRule="auto"/>
              <w:ind w:firstLine="482" w:firstLineChars="200"/>
              <w:jc w:val="both"/>
              <w:rPr>
                <w:rFonts w:hint="default" w:ascii="Times New Roman" w:hAnsi="Times New Roman" w:eastAsia="宋体" w:cs="Times New Roman"/>
                <w:b/>
                <w:bCs/>
                <w:color w:val="auto"/>
                <w:sz w:val="24"/>
                <w:szCs w:val="24"/>
                <w:shd w:val="clear" w:color="auto" w:fill="FFFFFF"/>
                <w:lang w:val="en-US" w:eastAsia="zh-CN"/>
              </w:rPr>
            </w:pPr>
            <w:r>
              <w:rPr>
                <w:rFonts w:hint="eastAsia" w:ascii="Times New Roman" w:hAnsi="Times New Roman" w:eastAsia="宋体" w:cs="Times New Roman"/>
                <w:b/>
                <w:bCs/>
                <w:color w:val="auto"/>
                <w:sz w:val="24"/>
                <w:szCs w:val="24"/>
                <w:shd w:val="clear" w:color="auto" w:fill="FFFFFF"/>
                <w:lang w:val="en-US" w:eastAsia="zh-CN"/>
              </w:rPr>
              <w:t>3.3.1</w:t>
            </w:r>
            <w:r>
              <w:rPr>
                <w:rFonts w:hint="default" w:ascii="Times New Roman" w:hAnsi="Times New Roman" w:eastAsia="宋体" w:cs="Times New Roman"/>
                <w:b/>
                <w:bCs/>
                <w:color w:val="auto"/>
                <w:sz w:val="24"/>
                <w:szCs w:val="24"/>
                <w:shd w:val="clear" w:color="auto" w:fill="FFFFFF"/>
                <w:lang w:val="en-US" w:eastAsia="zh-CN"/>
              </w:rPr>
              <w:t>噪声源强</w:t>
            </w:r>
          </w:p>
          <w:p>
            <w:pPr>
              <w:widowControl w:val="0"/>
              <w:adjustRightInd w:val="0"/>
              <w:snapToGrid w:val="0"/>
              <w:spacing w:line="360" w:lineRule="auto"/>
              <w:ind w:firstLine="480" w:firstLineChars="200"/>
              <w:jc w:val="both"/>
              <w:rPr>
                <w:rFonts w:hint="default" w:ascii="Times New Roman" w:hAnsi="Times New Roman" w:eastAsia="宋体" w:cs="Times New Roman"/>
                <w:color w:val="auto"/>
                <w:sz w:val="24"/>
                <w:szCs w:val="24"/>
                <w:shd w:val="clear" w:color="auto" w:fill="FFFFFF"/>
                <w:lang w:val="en-US" w:eastAsia="zh-CN"/>
              </w:rPr>
            </w:pPr>
            <w:r>
              <w:rPr>
                <w:rFonts w:hint="default" w:ascii="Times New Roman" w:hAnsi="Times New Roman" w:eastAsia="宋体" w:cs="Times New Roman"/>
                <w:color w:val="auto"/>
                <w:sz w:val="24"/>
                <w:szCs w:val="24"/>
                <w:shd w:val="clear" w:color="auto" w:fill="FFFFFF"/>
                <w:lang w:val="en-US" w:eastAsia="zh-CN"/>
              </w:rPr>
              <w:t>项目运营期的主要噪声源包括游客的娱乐噪声、游乐项目及配套设备的运转噪声。</w:t>
            </w:r>
          </w:p>
          <w:p>
            <w:pPr>
              <w:spacing w:line="360" w:lineRule="auto"/>
              <w:ind w:firstLine="480" w:firstLineChars="200"/>
              <w:rPr>
                <w:rFonts w:hint="default" w:ascii="Times New Roman" w:hAnsi="Times New Roman" w:cs="Times New Roman"/>
                <w:color w:val="auto"/>
                <w:kern w:val="0"/>
                <w:sz w:val="24"/>
                <w:lang w:val="en-US" w:eastAsia="zh-CN"/>
              </w:rPr>
            </w:pPr>
            <w:r>
              <w:rPr>
                <w:rFonts w:hint="default" w:ascii="Times New Roman" w:hAnsi="Times New Roman" w:cs="Times New Roman"/>
                <w:color w:val="auto"/>
                <w:kern w:val="0"/>
                <w:sz w:val="24"/>
                <w:lang w:val="en-US" w:eastAsia="zh-CN"/>
              </w:rPr>
              <w:t>①游客的娱乐噪声</w:t>
            </w:r>
          </w:p>
          <w:p>
            <w:pPr>
              <w:spacing w:line="360" w:lineRule="auto"/>
              <w:ind w:firstLine="480" w:firstLineChars="200"/>
              <w:rPr>
                <w:rFonts w:hint="default" w:ascii="Times New Roman" w:hAnsi="Times New Roman" w:cs="Times New Roman"/>
                <w:color w:val="auto"/>
                <w:kern w:val="0"/>
                <w:sz w:val="24"/>
                <w:lang w:val="en-US" w:eastAsia="zh-CN"/>
              </w:rPr>
            </w:pPr>
            <w:r>
              <w:rPr>
                <w:rFonts w:hint="default" w:ascii="Times New Roman" w:hAnsi="Times New Roman" w:cs="Times New Roman"/>
                <w:color w:val="auto"/>
                <w:kern w:val="0"/>
                <w:sz w:val="24"/>
                <w:lang w:val="en-US" w:eastAsia="zh-CN"/>
              </w:rPr>
              <w:t>项目作为儿童主题公园，本身作为一个需要热闹的环境来增加游客的游玩气氛。类比</w:t>
            </w:r>
            <w:r>
              <w:rPr>
                <w:rFonts w:hint="eastAsia" w:ascii="Times New Roman" w:hAnsi="Times New Roman" w:cs="Times New Roman"/>
                <w:color w:val="auto"/>
                <w:kern w:val="0"/>
                <w:sz w:val="24"/>
                <w:lang w:val="en-US" w:eastAsia="zh-CN"/>
              </w:rPr>
              <w:t>“</w:t>
            </w:r>
            <w:r>
              <w:rPr>
                <w:rFonts w:hint="default" w:ascii="Times New Roman" w:hAnsi="Times New Roman" w:cs="Times New Roman"/>
                <w:color w:val="auto"/>
                <w:kern w:val="0"/>
                <w:sz w:val="24"/>
                <w:lang w:val="en-US" w:eastAsia="zh-CN"/>
              </w:rPr>
              <w:t>开封童世界发展有限公司开封恒大童世界乐园项目</w:t>
            </w:r>
            <w:r>
              <w:rPr>
                <w:rFonts w:hint="eastAsia" w:ascii="Times New Roman" w:hAnsi="Times New Roman" w:cs="Times New Roman"/>
                <w:color w:val="auto"/>
                <w:kern w:val="0"/>
                <w:sz w:val="24"/>
                <w:lang w:val="en-US" w:eastAsia="zh-CN"/>
              </w:rPr>
              <w:t>环评报告书”可知，</w:t>
            </w:r>
            <w:r>
              <w:rPr>
                <w:rFonts w:hint="default" w:ascii="Times New Roman" w:hAnsi="Times New Roman" w:cs="Times New Roman"/>
                <w:color w:val="auto"/>
                <w:kern w:val="0"/>
                <w:sz w:val="24"/>
                <w:lang w:val="en-US" w:eastAsia="zh-CN"/>
              </w:rPr>
              <w:t>，游客在此环境下的娱乐噪声源强可达65~70dB（A）。</w:t>
            </w:r>
          </w:p>
          <w:p>
            <w:pPr>
              <w:spacing w:line="360" w:lineRule="auto"/>
              <w:ind w:firstLine="480" w:firstLineChars="200"/>
              <w:rPr>
                <w:rFonts w:hint="default" w:ascii="Times New Roman" w:hAnsi="Times New Roman" w:cs="Times New Roman"/>
                <w:color w:val="auto"/>
                <w:kern w:val="0"/>
                <w:sz w:val="24"/>
                <w:lang w:val="en-US" w:eastAsia="zh-CN"/>
              </w:rPr>
            </w:pPr>
            <w:r>
              <w:rPr>
                <w:rFonts w:hint="default" w:ascii="Times New Roman" w:hAnsi="Times New Roman" w:cs="Times New Roman"/>
                <w:color w:val="auto"/>
                <w:kern w:val="0"/>
                <w:sz w:val="24"/>
                <w:lang w:val="en-US" w:eastAsia="zh-CN"/>
              </w:rPr>
              <w:t>②游乐项目运转噪声</w:t>
            </w:r>
          </w:p>
          <w:p>
            <w:pPr>
              <w:spacing w:line="360" w:lineRule="auto"/>
              <w:ind w:firstLine="480" w:firstLineChars="200"/>
              <w:rPr>
                <w:rFonts w:hint="default" w:ascii="Times New Roman" w:hAnsi="Times New Roman" w:cs="Times New Roman"/>
                <w:color w:val="auto"/>
                <w:kern w:val="0"/>
                <w:sz w:val="24"/>
                <w:lang w:val="en-US" w:eastAsia="zh-CN"/>
              </w:rPr>
            </w:pPr>
            <w:r>
              <w:rPr>
                <w:rFonts w:hint="default" w:ascii="Times New Roman" w:hAnsi="Times New Roman" w:cs="Times New Roman"/>
                <w:color w:val="auto"/>
                <w:kern w:val="0"/>
                <w:sz w:val="24"/>
                <w:lang w:val="en-US" w:eastAsia="zh-CN"/>
              </w:rPr>
              <w:t>游乐设备噪声源强类比</w:t>
            </w:r>
            <w:r>
              <w:rPr>
                <w:rFonts w:hint="eastAsia" w:ascii="Times New Roman" w:hAnsi="Times New Roman" w:cs="Times New Roman"/>
                <w:color w:val="auto"/>
                <w:kern w:val="0"/>
                <w:sz w:val="24"/>
                <w:lang w:val="en-US" w:eastAsia="zh-CN"/>
              </w:rPr>
              <w:t>“</w:t>
            </w:r>
            <w:r>
              <w:rPr>
                <w:rFonts w:hint="default" w:ascii="Times New Roman" w:hAnsi="Times New Roman" w:cs="Times New Roman"/>
                <w:color w:val="auto"/>
                <w:kern w:val="0"/>
                <w:sz w:val="24"/>
                <w:lang w:val="en-US" w:eastAsia="zh-CN"/>
              </w:rPr>
              <w:t>开封童世界发展有限公司开封恒大童世界乐园项目</w:t>
            </w:r>
            <w:r>
              <w:rPr>
                <w:rFonts w:hint="eastAsia" w:ascii="Times New Roman" w:hAnsi="Times New Roman" w:cs="Times New Roman"/>
                <w:color w:val="auto"/>
                <w:kern w:val="0"/>
                <w:sz w:val="24"/>
                <w:lang w:val="en-US" w:eastAsia="zh-CN"/>
              </w:rPr>
              <w:t>环评报告书”可知，</w:t>
            </w:r>
            <w:r>
              <w:rPr>
                <w:rFonts w:hint="default" w:ascii="Times New Roman" w:hAnsi="Times New Roman" w:cs="Times New Roman"/>
                <w:color w:val="auto"/>
                <w:kern w:val="0"/>
                <w:sz w:val="24"/>
                <w:lang w:val="en-US" w:eastAsia="zh-CN"/>
              </w:rPr>
              <w:t>一般在</w:t>
            </w:r>
            <w:r>
              <w:rPr>
                <w:rFonts w:hint="eastAsia" w:ascii="Times New Roman" w:hAnsi="Times New Roman" w:cs="Times New Roman"/>
                <w:color w:val="auto"/>
                <w:kern w:val="0"/>
                <w:sz w:val="24"/>
                <w:lang w:val="en-US" w:eastAsia="zh-CN"/>
              </w:rPr>
              <w:t>60</w:t>
            </w:r>
            <w:r>
              <w:rPr>
                <w:rFonts w:hint="default" w:ascii="Times New Roman" w:hAnsi="Times New Roman" w:cs="Times New Roman"/>
                <w:color w:val="auto"/>
                <w:kern w:val="0"/>
                <w:sz w:val="24"/>
                <w:lang w:val="en-US" w:eastAsia="zh-CN"/>
              </w:rPr>
              <w:t>~</w:t>
            </w:r>
            <w:r>
              <w:rPr>
                <w:rFonts w:hint="eastAsia" w:ascii="Times New Roman" w:hAnsi="Times New Roman" w:cs="Times New Roman"/>
                <w:color w:val="auto"/>
                <w:kern w:val="0"/>
                <w:sz w:val="24"/>
                <w:lang w:val="en-US" w:eastAsia="zh-CN"/>
              </w:rPr>
              <w:t>74</w:t>
            </w:r>
            <w:r>
              <w:rPr>
                <w:rFonts w:hint="default" w:ascii="Times New Roman" w:hAnsi="Times New Roman" w:cs="Times New Roman"/>
                <w:color w:val="auto"/>
                <w:kern w:val="0"/>
                <w:sz w:val="24"/>
                <w:lang w:val="en-US" w:eastAsia="zh-CN"/>
              </w:rPr>
              <w:t>dB</w:t>
            </w:r>
            <w:r>
              <w:rPr>
                <w:rFonts w:hint="eastAsia" w:ascii="Times New Roman" w:hAnsi="Times New Roman" w:cs="Times New Roman"/>
                <w:color w:val="auto"/>
                <w:kern w:val="0"/>
                <w:sz w:val="24"/>
                <w:lang w:val="en-US" w:eastAsia="zh-CN"/>
              </w:rPr>
              <w:t>（A）</w:t>
            </w:r>
            <w:r>
              <w:rPr>
                <w:rFonts w:hint="default" w:ascii="Times New Roman" w:hAnsi="Times New Roman" w:cs="Times New Roman"/>
                <w:color w:val="auto"/>
                <w:kern w:val="0"/>
                <w:sz w:val="24"/>
                <w:lang w:val="en-US" w:eastAsia="zh-CN"/>
              </w:rPr>
              <w:t>之间，主要采取</w:t>
            </w:r>
            <w:r>
              <w:rPr>
                <w:rFonts w:hint="eastAsia" w:ascii="Times New Roman" w:hAnsi="Times New Roman" w:cs="Times New Roman"/>
                <w:color w:val="auto"/>
                <w:kern w:val="0"/>
                <w:sz w:val="24"/>
                <w:lang w:val="en-US" w:eastAsia="zh-CN"/>
              </w:rPr>
              <w:t>低噪声设备</w:t>
            </w:r>
            <w:r>
              <w:rPr>
                <w:rFonts w:hint="default" w:ascii="Times New Roman" w:hAnsi="Times New Roman" w:cs="Times New Roman"/>
                <w:color w:val="auto"/>
                <w:kern w:val="0"/>
                <w:sz w:val="24"/>
                <w:lang w:val="en-US" w:eastAsia="zh-CN"/>
              </w:rPr>
              <w:t>、减振、合理布局、远离用地边界、控制营业时间等措施避免对周围环境造成影响。</w:t>
            </w:r>
          </w:p>
          <w:p>
            <w:pPr>
              <w:spacing w:line="360" w:lineRule="auto"/>
              <w:ind w:firstLine="480" w:firstLineChars="200"/>
              <w:rPr>
                <w:rFonts w:hint="default" w:ascii="Times New Roman" w:hAnsi="Times New Roman" w:cs="Times New Roman"/>
                <w:color w:val="auto"/>
                <w:kern w:val="0"/>
                <w:sz w:val="24"/>
                <w:lang w:val="en-US" w:eastAsia="zh-CN"/>
              </w:rPr>
            </w:pPr>
            <w:r>
              <w:rPr>
                <w:rFonts w:hint="default" w:ascii="Times New Roman" w:hAnsi="Times New Roman" w:cs="Times New Roman"/>
                <w:color w:val="auto"/>
                <w:kern w:val="0"/>
                <w:sz w:val="24"/>
                <w:lang w:val="en-US" w:eastAsia="zh-CN"/>
              </w:rPr>
              <w:t>③多媒体音响系统噪声</w:t>
            </w:r>
          </w:p>
          <w:p>
            <w:pPr>
              <w:spacing w:line="360" w:lineRule="auto"/>
              <w:ind w:firstLine="480" w:firstLineChars="200"/>
              <w:rPr>
                <w:rFonts w:hint="default" w:ascii="Times New Roman" w:hAnsi="Times New Roman" w:cs="Times New Roman"/>
                <w:color w:val="auto"/>
                <w:kern w:val="0"/>
                <w:sz w:val="24"/>
                <w:lang w:val="en-US" w:eastAsia="zh-CN"/>
              </w:rPr>
            </w:pPr>
            <w:r>
              <w:rPr>
                <w:rFonts w:hint="default" w:ascii="Times New Roman" w:hAnsi="Times New Roman" w:cs="Times New Roman"/>
                <w:color w:val="auto"/>
                <w:kern w:val="0"/>
                <w:sz w:val="24"/>
                <w:lang w:val="en-US" w:eastAsia="zh-CN"/>
              </w:rPr>
              <w:t>项目秀场、影院、广场设置的多媒体音响为主要的噪声源，噪声源强一般在80~90dB</w:t>
            </w:r>
            <w:r>
              <w:rPr>
                <w:rFonts w:hint="eastAsia" w:ascii="Times New Roman" w:hAnsi="Times New Roman" w:cs="Times New Roman"/>
                <w:color w:val="auto"/>
                <w:kern w:val="0"/>
                <w:sz w:val="24"/>
                <w:lang w:val="en-US" w:eastAsia="zh-CN"/>
              </w:rPr>
              <w:t>（A）</w:t>
            </w:r>
            <w:r>
              <w:rPr>
                <w:rFonts w:hint="default" w:ascii="Times New Roman" w:hAnsi="Times New Roman" w:cs="Times New Roman"/>
                <w:color w:val="auto"/>
                <w:kern w:val="0"/>
                <w:sz w:val="24"/>
                <w:lang w:val="en-US" w:eastAsia="zh-CN"/>
              </w:rPr>
              <w:t>之间，主要用于表演、音乐，建筑均设置有专业的隔声材料降噪。</w:t>
            </w:r>
          </w:p>
          <w:p>
            <w:pPr>
              <w:spacing w:line="360" w:lineRule="auto"/>
              <w:ind w:firstLine="480" w:firstLineChars="200"/>
              <w:rPr>
                <w:rFonts w:hint="default" w:ascii="Times New Roman" w:hAnsi="Times New Roman" w:cs="Times New Roman"/>
                <w:color w:val="auto"/>
                <w:kern w:val="0"/>
                <w:sz w:val="24"/>
                <w:lang w:val="en-US" w:eastAsia="zh-CN"/>
              </w:rPr>
            </w:pPr>
            <w:r>
              <w:rPr>
                <w:rFonts w:hint="default" w:ascii="Times New Roman" w:hAnsi="Times New Roman" w:cs="Times New Roman"/>
                <w:color w:val="auto"/>
                <w:kern w:val="0"/>
                <w:sz w:val="24"/>
                <w:lang w:val="en-US" w:eastAsia="zh-CN"/>
              </w:rPr>
              <w:t>④配套噪声</w:t>
            </w:r>
          </w:p>
          <w:p>
            <w:pPr>
              <w:spacing w:line="360" w:lineRule="auto"/>
              <w:ind w:firstLine="480" w:firstLineChars="200"/>
              <w:rPr>
                <w:rFonts w:hint="default" w:ascii="Times New Roman" w:hAnsi="Times New Roman" w:cs="Times New Roman"/>
                <w:color w:val="auto"/>
                <w:kern w:val="0"/>
                <w:sz w:val="24"/>
              </w:rPr>
            </w:pPr>
            <w:r>
              <w:rPr>
                <w:rFonts w:hint="default" w:ascii="Times New Roman" w:hAnsi="Times New Roman" w:cs="Times New Roman"/>
                <w:color w:val="auto"/>
                <w:kern w:val="0"/>
                <w:sz w:val="24"/>
                <w:lang w:val="en-US" w:eastAsia="zh-CN"/>
              </w:rPr>
              <w:t>项目区配套的设备主要有水泵、</w:t>
            </w:r>
            <w:r>
              <w:rPr>
                <w:rFonts w:hint="eastAsia" w:ascii="Times New Roman" w:hAnsi="Times New Roman" w:eastAsia="宋体" w:cs="Times New Roman"/>
                <w:bCs/>
                <w:color w:val="auto"/>
                <w:sz w:val="24"/>
                <w:szCs w:val="24"/>
                <w:lang w:val="en-US" w:eastAsia="zh-CN"/>
              </w:rPr>
              <w:t>冷水离心机组</w:t>
            </w:r>
            <w:r>
              <w:rPr>
                <w:rFonts w:hint="eastAsia" w:cs="Times New Roman"/>
                <w:bCs/>
                <w:color w:val="auto"/>
                <w:sz w:val="24"/>
                <w:szCs w:val="24"/>
                <w:lang w:val="en-US" w:eastAsia="zh-CN"/>
              </w:rPr>
              <w:t>、换热器、</w:t>
            </w:r>
            <w:r>
              <w:rPr>
                <w:rFonts w:hint="default" w:ascii="Times New Roman" w:hAnsi="Times New Roman" w:cs="Times New Roman"/>
                <w:color w:val="auto"/>
                <w:kern w:val="0"/>
                <w:sz w:val="24"/>
                <w:lang w:val="en-US" w:eastAsia="zh-CN"/>
              </w:rPr>
              <w:t>冷却塔等。配套设备主要噪声源强</w:t>
            </w:r>
            <w:r>
              <w:rPr>
                <w:rFonts w:hint="eastAsia" w:ascii="Times New Roman" w:hAnsi="Times New Roman" w:cs="Times New Roman"/>
                <w:color w:val="auto"/>
                <w:kern w:val="0"/>
                <w:sz w:val="24"/>
                <w:lang w:val="en-US" w:eastAsia="zh-CN"/>
              </w:rPr>
              <w:t>75</w:t>
            </w:r>
            <w:r>
              <w:rPr>
                <w:rFonts w:hint="default" w:ascii="Times New Roman" w:hAnsi="Times New Roman" w:cs="Times New Roman"/>
                <w:color w:val="auto"/>
                <w:kern w:val="0"/>
                <w:sz w:val="24"/>
                <w:lang w:val="en-US" w:eastAsia="zh-CN"/>
              </w:rPr>
              <w:t>~8</w:t>
            </w:r>
            <w:r>
              <w:rPr>
                <w:rFonts w:hint="eastAsia" w:ascii="Times New Roman" w:hAnsi="Times New Roman" w:cs="Times New Roman"/>
                <w:color w:val="auto"/>
                <w:kern w:val="0"/>
                <w:sz w:val="24"/>
                <w:lang w:val="en-US" w:eastAsia="zh-CN"/>
              </w:rPr>
              <w:t>5</w:t>
            </w:r>
            <w:r>
              <w:rPr>
                <w:rFonts w:hint="default" w:ascii="Times New Roman" w:hAnsi="Times New Roman" w:cs="Times New Roman"/>
                <w:color w:val="auto"/>
                <w:kern w:val="0"/>
                <w:sz w:val="24"/>
                <w:lang w:val="en-US" w:eastAsia="zh-CN"/>
              </w:rPr>
              <w:t>dB</w:t>
            </w:r>
            <w:r>
              <w:rPr>
                <w:rFonts w:hint="eastAsia" w:ascii="Times New Roman" w:hAnsi="Times New Roman" w:cs="Times New Roman"/>
                <w:color w:val="auto"/>
                <w:kern w:val="0"/>
                <w:sz w:val="24"/>
                <w:lang w:val="en-US" w:eastAsia="zh-CN"/>
              </w:rPr>
              <w:t>（A）</w:t>
            </w:r>
            <w:r>
              <w:rPr>
                <w:rFonts w:hint="default" w:ascii="Times New Roman" w:hAnsi="Times New Roman" w:cs="Times New Roman"/>
                <w:color w:val="auto"/>
                <w:kern w:val="0"/>
                <w:sz w:val="24"/>
                <w:lang w:val="en-US" w:eastAsia="zh-CN"/>
              </w:rPr>
              <w:t>之间。主要采取低噪声设备</w:t>
            </w:r>
            <w:r>
              <w:rPr>
                <w:rFonts w:hint="eastAsia" w:ascii="Times New Roman" w:hAnsi="Times New Roman" w:cs="Times New Roman"/>
                <w:color w:val="auto"/>
                <w:kern w:val="0"/>
                <w:sz w:val="24"/>
                <w:lang w:val="en-US" w:eastAsia="zh-CN"/>
              </w:rPr>
              <w:t>、</w:t>
            </w:r>
            <w:r>
              <w:rPr>
                <w:rFonts w:hint="default" w:ascii="Times New Roman" w:hAnsi="Times New Roman" w:cs="Times New Roman"/>
                <w:color w:val="auto"/>
                <w:kern w:val="0"/>
                <w:sz w:val="24"/>
                <w:lang w:val="en-US" w:eastAsia="zh-CN"/>
              </w:rPr>
              <w:t>房间隔声</w:t>
            </w:r>
            <w:r>
              <w:rPr>
                <w:rFonts w:hint="eastAsia" w:ascii="Times New Roman" w:hAnsi="Times New Roman" w:cs="Times New Roman"/>
                <w:color w:val="auto"/>
                <w:kern w:val="0"/>
                <w:sz w:val="24"/>
                <w:lang w:val="en-US" w:eastAsia="zh-CN"/>
              </w:rPr>
              <w:t>、</w:t>
            </w:r>
            <w:r>
              <w:rPr>
                <w:rFonts w:hint="default" w:ascii="Times New Roman" w:hAnsi="Times New Roman" w:cs="Times New Roman"/>
                <w:color w:val="auto"/>
                <w:kern w:val="0"/>
                <w:sz w:val="24"/>
                <w:lang w:val="en-US" w:eastAsia="zh-CN"/>
              </w:rPr>
              <w:t>减振、消声等措施。本项目</w:t>
            </w:r>
            <w:r>
              <w:rPr>
                <w:rFonts w:hint="default" w:ascii="Times New Roman" w:hAnsi="Times New Roman" w:cs="Times New Roman"/>
                <w:color w:val="auto"/>
                <w:kern w:val="0"/>
                <w:sz w:val="24"/>
              </w:rPr>
              <w:t>噪声源</w:t>
            </w:r>
            <w:r>
              <w:rPr>
                <w:rFonts w:hint="default" w:ascii="Times New Roman" w:hAnsi="Times New Roman" w:cs="Times New Roman"/>
                <w:color w:val="auto"/>
                <w:kern w:val="0"/>
                <w:sz w:val="24"/>
                <w:lang w:val="en-US" w:eastAsia="zh-CN"/>
              </w:rPr>
              <w:t>源强</w:t>
            </w:r>
            <w:r>
              <w:rPr>
                <w:rFonts w:hint="default" w:ascii="Times New Roman" w:hAnsi="Times New Roman" w:cs="Times New Roman"/>
                <w:color w:val="auto"/>
                <w:kern w:val="0"/>
                <w:sz w:val="24"/>
              </w:rPr>
              <w:t>见下表</w:t>
            </w:r>
            <w:r>
              <w:rPr>
                <w:rFonts w:hint="default" w:ascii="Times New Roman" w:hAnsi="Times New Roman" w:cs="Times New Roman"/>
                <w:color w:val="auto"/>
                <w:kern w:val="0"/>
                <w:sz w:val="24"/>
                <w:lang w:val="en-US" w:eastAsia="zh-CN"/>
              </w:rPr>
              <w:t>3</w:t>
            </w:r>
            <w:r>
              <w:rPr>
                <w:rFonts w:hint="eastAsia" w:cs="Times New Roman"/>
                <w:color w:val="auto"/>
                <w:kern w:val="0"/>
                <w:sz w:val="24"/>
                <w:lang w:val="en-US" w:eastAsia="zh-CN"/>
              </w:rPr>
              <w:t>3</w:t>
            </w:r>
            <w:r>
              <w:rPr>
                <w:rFonts w:hint="default" w:ascii="Times New Roman" w:hAnsi="Times New Roman" w:cs="Times New Roman"/>
                <w:color w:val="auto"/>
                <w:kern w:val="0"/>
                <w:sz w:val="24"/>
              </w:rPr>
              <w:t>。</w:t>
            </w:r>
          </w:p>
          <w:p>
            <w:pPr>
              <w:spacing w:line="360" w:lineRule="auto"/>
              <w:jc w:val="center"/>
              <w:rPr>
                <w:rFonts w:hint="eastAsia" w:ascii="Cambria" w:hAnsi="Cambria" w:eastAsia="黑体" w:cs="Times New Roman"/>
                <w:color w:val="auto"/>
                <w:kern w:val="2"/>
                <w:sz w:val="24"/>
                <w:szCs w:val="24"/>
                <w:lang w:val="en-US" w:eastAsia="zh-CN" w:bidi="ar-SA"/>
              </w:rPr>
            </w:pPr>
            <w:r>
              <w:rPr>
                <w:rFonts w:hint="eastAsia" w:ascii="Cambria" w:hAnsi="Cambria" w:eastAsia="黑体" w:cs="Times New Roman"/>
                <w:color w:val="auto"/>
                <w:kern w:val="2"/>
                <w:sz w:val="24"/>
                <w:szCs w:val="24"/>
                <w:lang w:val="en-US" w:eastAsia="zh-CN" w:bidi="ar-SA"/>
              </w:rPr>
              <w:t>表33      运营期主要噪声源及治理措施情况一览表</w:t>
            </w:r>
          </w:p>
          <w:tbl>
            <w:tblPr>
              <w:tblStyle w:val="25"/>
              <w:tblW w:w="934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6"/>
              <w:gridCol w:w="925"/>
              <w:gridCol w:w="2195"/>
              <w:gridCol w:w="908"/>
              <w:gridCol w:w="1148"/>
              <w:gridCol w:w="2473"/>
              <w:gridCol w:w="9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6"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序号</w:t>
                  </w:r>
                </w:p>
              </w:tc>
              <w:tc>
                <w:tcPr>
                  <w:tcW w:w="92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声源</w:t>
                  </w:r>
                </w:p>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位置</w:t>
                  </w:r>
                </w:p>
              </w:tc>
              <w:tc>
                <w:tcPr>
                  <w:tcW w:w="219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噪声源</w:t>
                  </w:r>
                </w:p>
              </w:tc>
              <w:tc>
                <w:tcPr>
                  <w:tcW w:w="908"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数量（台/套）</w:t>
                  </w:r>
                </w:p>
              </w:tc>
              <w:tc>
                <w:tcPr>
                  <w:tcW w:w="1148"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单台</w:t>
                  </w:r>
                  <w:r>
                    <w:rPr>
                      <w:rFonts w:hint="eastAsia" w:ascii="Times New Roman" w:hAnsi="Times New Roman" w:eastAsia="宋体" w:cs="Times New Roman"/>
                      <w:bCs/>
                      <w:color w:val="auto"/>
                      <w:szCs w:val="21"/>
                    </w:rPr>
                    <w:t>声源源强（dB）</w:t>
                  </w:r>
                </w:p>
              </w:tc>
              <w:tc>
                <w:tcPr>
                  <w:tcW w:w="2473"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治理措施</w:t>
                  </w:r>
                </w:p>
              </w:tc>
              <w:tc>
                <w:tcPr>
                  <w:tcW w:w="991" w:type="dxa"/>
                  <w:tcBorders>
                    <w:tl2br w:val="nil"/>
                    <w:tr2bl w:val="nil"/>
                  </w:tcBorders>
                  <w:vAlign w:val="center"/>
                </w:tcPr>
                <w:p>
                  <w:pPr>
                    <w:jc w:val="center"/>
                    <w:rPr>
                      <w:rFonts w:hint="eastAsia" w:ascii="Times New Roman" w:hAnsi="Times New Roman" w:eastAsia="宋体" w:cs="Times New Roman"/>
                      <w:bCs/>
                      <w:color w:val="auto"/>
                      <w:szCs w:val="21"/>
                    </w:rPr>
                  </w:pPr>
                  <w:r>
                    <w:rPr>
                      <w:rFonts w:hint="eastAsia" w:ascii="Times New Roman" w:hAnsi="Times New Roman" w:eastAsia="宋体" w:cs="Times New Roman"/>
                      <w:bCs/>
                      <w:color w:val="auto"/>
                      <w:szCs w:val="21"/>
                    </w:rPr>
                    <w:t>治理后</w:t>
                  </w:r>
                </w:p>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rPr>
                    <w:t>声级dB(A)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6"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w:t>
                  </w:r>
                </w:p>
              </w:tc>
              <w:tc>
                <w:tcPr>
                  <w:tcW w:w="925" w:type="dxa"/>
                  <w:vMerge w:val="restart"/>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璀璨中华区</w:t>
                  </w:r>
                </w:p>
              </w:tc>
              <w:tc>
                <w:tcPr>
                  <w:tcW w:w="219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 xml:space="preserve">多媒体互动战船 </w:t>
                  </w:r>
                </w:p>
              </w:tc>
              <w:tc>
                <w:tcPr>
                  <w:tcW w:w="908"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1</w:t>
                  </w:r>
                </w:p>
              </w:tc>
              <w:tc>
                <w:tcPr>
                  <w:tcW w:w="1148"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7</w:t>
                  </w:r>
                  <w:r>
                    <w:rPr>
                      <w:rFonts w:hint="eastAsia" w:cs="Times New Roman"/>
                      <w:bCs/>
                      <w:color w:val="auto"/>
                      <w:szCs w:val="21"/>
                      <w:lang w:val="en-US" w:eastAsia="zh-CN"/>
                    </w:rPr>
                    <w:t>4</w:t>
                  </w:r>
                </w:p>
              </w:tc>
              <w:tc>
                <w:tcPr>
                  <w:tcW w:w="2473" w:type="dxa"/>
                  <w:vMerge w:val="restart"/>
                  <w:tcBorders>
                    <w:tl2br w:val="nil"/>
                    <w:tr2bl w:val="nil"/>
                  </w:tcBorders>
                  <w:vAlign w:val="center"/>
                </w:tcPr>
                <w:p>
                  <w:pPr>
                    <w:jc w:val="center"/>
                    <w:rPr>
                      <w:rFonts w:hint="eastAsia"/>
                      <w:color w:val="auto"/>
                      <w:lang w:val="en-US" w:eastAsia="zh-CN"/>
                    </w:rPr>
                  </w:pPr>
                </w:p>
              </w:tc>
              <w:tc>
                <w:tcPr>
                  <w:tcW w:w="991"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6"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2</w:t>
                  </w:r>
                </w:p>
              </w:tc>
              <w:tc>
                <w:tcPr>
                  <w:tcW w:w="925"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219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转转杯</w:t>
                  </w:r>
                </w:p>
              </w:tc>
              <w:tc>
                <w:tcPr>
                  <w:tcW w:w="908"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w:t>
                  </w:r>
                </w:p>
              </w:tc>
              <w:tc>
                <w:tcPr>
                  <w:tcW w:w="1148"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65</w:t>
                  </w:r>
                </w:p>
              </w:tc>
              <w:tc>
                <w:tcPr>
                  <w:tcW w:w="2473"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991"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6"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3</w:t>
                  </w:r>
                </w:p>
              </w:tc>
              <w:tc>
                <w:tcPr>
                  <w:tcW w:w="925"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219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动感穿越</w:t>
                  </w:r>
                </w:p>
              </w:tc>
              <w:tc>
                <w:tcPr>
                  <w:tcW w:w="908"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w:t>
                  </w:r>
                </w:p>
              </w:tc>
              <w:tc>
                <w:tcPr>
                  <w:tcW w:w="1148"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68</w:t>
                  </w:r>
                </w:p>
              </w:tc>
              <w:tc>
                <w:tcPr>
                  <w:tcW w:w="2473"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991"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6"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4</w:t>
                  </w:r>
                </w:p>
              </w:tc>
              <w:tc>
                <w:tcPr>
                  <w:tcW w:w="925"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219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互动黑暗乘骑</w:t>
                  </w:r>
                </w:p>
              </w:tc>
              <w:tc>
                <w:tcPr>
                  <w:tcW w:w="908"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w:t>
                  </w:r>
                </w:p>
              </w:tc>
              <w:tc>
                <w:tcPr>
                  <w:tcW w:w="1148"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70</w:t>
                  </w:r>
                </w:p>
              </w:tc>
              <w:tc>
                <w:tcPr>
                  <w:tcW w:w="2473"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991"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6"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5</w:t>
                  </w:r>
                </w:p>
              </w:tc>
              <w:tc>
                <w:tcPr>
                  <w:tcW w:w="925"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219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悬挂飞行乘骑</w:t>
                  </w:r>
                </w:p>
              </w:tc>
              <w:tc>
                <w:tcPr>
                  <w:tcW w:w="908"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w:t>
                  </w:r>
                </w:p>
              </w:tc>
              <w:tc>
                <w:tcPr>
                  <w:tcW w:w="1148"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68</w:t>
                  </w:r>
                </w:p>
              </w:tc>
              <w:tc>
                <w:tcPr>
                  <w:tcW w:w="2473"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991"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6"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w:t>
                  </w:r>
                </w:p>
              </w:tc>
              <w:tc>
                <w:tcPr>
                  <w:tcW w:w="925"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219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自控飞机</w:t>
                  </w:r>
                </w:p>
              </w:tc>
              <w:tc>
                <w:tcPr>
                  <w:tcW w:w="908"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w:t>
                  </w:r>
                </w:p>
              </w:tc>
              <w:tc>
                <w:tcPr>
                  <w:tcW w:w="1148"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70</w:t>
                  </w:r>
                </w:p>
              </w:tc>
              <w:tc>
                <w:tcPr>
                  <w:tcW w:w="2473"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991"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6"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7</w:t>
                  </w:r>
                </w:p>
              </w:tc>
              <w:tc>
                <w:tcPr>
                  <w:tcW w:w="925" w:type="dxa"/>
                  <w:vMerge w:val="restart"/>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神秘古国区</w:t>
                  </w:r>
                </w:p>
              </w:tc>
              <w:tc>
                <w:tcPr>
                  <w:tcW w:w="219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多媒体情景互动过山车</w:t>
                  </w:r>
                </w:p>
              </w:tc>
              <w:tc>
                <w:tcPr>
                  <w:tcW w:w="908"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w:t>
                  </w:r>
                </w:p>
              </w:tc>
              <w:tc>
                <w:tcPr>
                  <w:tcW w:w="1148"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68</w:t>
                  </w:r>
                </w:p>
              </w:tc>
              <w:tc>
                <w:tcPr>
                  <w:tcW w:w="2473"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991"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6"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8</w:t>
                  </w:r>
                </w:p>
              </w:tc>
              <w:tc>
                <w:tcPr>
                  <w:tcW w:w="925"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219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迷宫步行场景</w:t>
                  </w:r>
                </w:p>
              </w:tc>
              <w:tc>
                <w:tcPr>
                  <w:tcW w:w="908"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w:t>
                  </w:r>
                </w:p>
              </w:tc>
              <w:tc>
                <w:tcPr>
                  <w:tcW w:w="1148"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60</w:t>
                  </w:r>
                </w:p>
              </w:tc>
              <w:tc>
                <w:tcPr>
                  <w:tcW w:w="2473"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991"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6"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9</w:t>
                  </w:r>
                </w:p>
              </w:tc>
              <w:tc>
                <w:tcPr>
                  <w:tcW w:w="925"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219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轨道互动射击</w:t>
                  </w:r>
                </w:p>
              </w:tc>
              <w:tc>
                <w:tcPr>
                  <w:tcW w:w="908"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w:t>
                  </w:r>
                </w:p>
              </w:tc>
              <w:tc>
                <w:tcPr>
                  <w:tcW w:w="1148"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68</w:t>
                  </w:r>
                </w:p>
              </w:tc>
              <w:tc>
                <w:tcPr>
                  <w:tcW w:w="2473"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991"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6"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10</w:t>
                  </w:r>
                </w:p>
              </w:tc>
              <w:tc>
                <w:tcPr>
                  <w:tcW w:w="925"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219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机械翻滚</w:t>
                  </w:r>
                </w:p>
              </w:tc>
              <w:tc>
                <w:tcPr>
                  <w:tcW w:w="908"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w:t>
                  </w:r>
                </w:p>
              </w:tc>
              <w:tc>
                <w:tcPr>
                  <w:tcW w:w="1148"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65</w:t>
                  </w:r>
                </w:p>
              </w:tc>
              <w:tc>
                <w:tcPr>
                  <w:tcW w:w="2473"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991"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6"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1</w:t>
                  </w:r>
                  <w:r>
                    <w:rPr>
                      <w:rFonts w:hint="eastAsia" w:cs="Times New Roman"/>
                      <w:bCs/>
                      <w:color w:val="auto"/>
                      <w:szCs w:val="21"/>
                      <w:lang w:val="en-US" w:eastAsia="zh-CN"/>
                    </w:rPr>
                    <w:t>1</w:t>
                  </w:r>
                </w:p>
              </w:tc>
              <w:tc>
                <w:tcPr>
                  <w:tcW w:w="92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探险</w:t>
                  </w:r>
                </w:p>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南美区</w:t>
                  </w:r>
                </w:p>
              </w:tc>
              <w:tc>
                <w:tcPr>
                  <w:tcW w:w="219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情景激流勇进</w:t>
                  </w:r>
                </w:p>
              </w:tc>
              <w:tc>
                <w:tcPr>
                  <w:tcW w:w="908"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w:t>
                  </w:r>
                </w:p>
              </w:tc>
              <w:tc>
                <w:tcPr>
                  <w:tcW w:w="1148"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68</w:t>
                  </w:r>
                </w:p>
              </w:tc>
              <w:tc>
                <w:tcPr>
                  <w:tcW w:w="2473"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991"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6"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1</w:t>
                  </w:r>
                  <w:r>
                    <w:rPr>
                      <w:rFonts w:hint="eastAsia" w:cs="Times New Roman"/>
                      <w:bCs/>
                      <w:color w:val="auto"/>
                      <w:szCs w:val="21"/>
                      <w:lang w:val="en-US" w:eastAsia="zh-CN"/>
                    </w:rPr>
                    <w:t>2</w:t>
                  </w:r>
                </w:p>
              </w:tc>
              <w:tc>
                <w:tcPr>
                  <w:tcW w:w="925" w:type="dxa"/>
                  <w:vMerge w:val="restart"/>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穿越</w:t>
                  </w:r>
                </w:p>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太空</w:t>
                  </w:r>
                </w:p>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区</w:t>
                  </w:r>
                </w:p>
              </w:tc>
              <w:tc>
                <w:tcPr>
                  <w:tcW w:w="219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三自由度体验</w:t>
                  </w:r>
                </w:p>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式互动射击</w:t>
                  </w:r>
                </w:p>
              </w:tc>
              <w:tc>
                <w:tcPr>
                  <w:tcW w:w="908"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w:t>
                  </w:r>
                </w:p>
              </w:tc>
              <w:tc>
                <w:tcPr>
                  <w:tcW w:w="1148"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65</w:t>
                  </w:r>
                </w:p>
              </w:tc>
              <w:tc>
                <w:tcPr>
                  <w:tcW w:w="2473"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991"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6"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1</w:t>
                  </w:r>
                  <w:r>
                    <w:rPr>
                      <w:rFonts w:hint="eastAsia" w:cs="Times New Roman"/>
                      <w:bCs/>
                      <w:color w:val="auto"/>
                      <w:szCs w:val="21"/>
                      <w:lang w:val="en-US" w:eastAsia="zh-CN"/>
                    </w:rPr>
                    <w:t>3</w:t>
                  </w:r>
                </w:p>
              </w:tc>
              <w:tc>
                <w:tcPr>
                  <w:tcW w:w="925"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219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循环链骑乘</w:t>
                  </w:r>
                </w:p>
              </w:tc>
              <w:tc>
                <w:tcPr>
                  <w:tcW w:w="908"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w:t>
                  </w:r>
                </w:p>
              </w:tc>
              <w:tc>
                <w:tcPr>
                  <w:tcW w:w="1148"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68</w:t>
                  </w:r>
                </w:p>
              </w:tc>
              <w:tc>
                <w:tcPr>
                  <w:tcW w:w="2473"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991"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6"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14</w:t>
                  </w:r>
                </w:p>
              </w:tc>
              <w:tc>
                <w:tcPr>
                  <w:tcW w:w="925" w:type="dxa"/>
                  <w:vMerge w:val="restart"/>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漫游</w:t>
                  </w:r>
                </w:p>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海洋</w:t>
                  </w:r>
                </w:p>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区</w:t>
                  </w:r>
                </w:p>
              </w:tc>
              <w:tc>
                <w:tcPr>
                  <w:tcW w:w="219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电磁弹射式家</w:t>
                  </w:r>
                </w:p>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庭过山车</w:t>
                  </w:r>
                </w:p>
              </w:tc>
              <w:tc>
                <w:tcPr>
                  <w:tcW w:w="908"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w:t>
                  </w:r>
                </w:p>
              </w:tc>
              <w:tc>
                <w:tcPr>
                  <w:tcW w:w="1148"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68</w:t>
                  </w:r>
                </w:p>
              </w:tc>
              <w:tc>
                <w:tcPr>
                  <w:tcW w:w="2473"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991"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6"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15</w:t>
                  </w:r>
                </w:p>
              </w:tc>
              <w:tc>
                <w:tcPr>
                  <w:tcW w:w="925"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219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空中竞技</w:t>
                  </w:r>
                </w:p>
              </w:tc>
              <w:tc>
                <w:tcPr>
                  <w:tcW w:w="908"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w:t>
                  </w:r>
                </w:p>
              </w:tc>
              <w:tc>
                <w:tcPr>
                  <w:tcW w:w="1148"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65</w:t>
                  </w:r>
                </w:p>
              </w:tc>
              <w:tc>
                <w:tcPr>
                  <w:tcW w:w="2473"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991"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6"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16</w:t>
                  </w:r>
                </w:p>
              </w:tc>
              <w:tc>
                <w:tcPr>
                  <w:tcW w:w="925" w:type="dxa"/>
                  <w:vMerge w:val="restart"/>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魔幻西欧区</w:t>
                  </w:r>
                </w:p>
              </w:tc>
              <w:tc>
                <w:tcPr>
                  <w:tcW w:w="219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悬挂式特效过山车</w:t>
                  </w:r>
                </w:p>
              </w:tc>
              <w:tc>
                <w:tcPr>
                  <w:tcW w:w="908"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w:t>
                  </w:r>
                </w:p>
              </w:tc>
              <w:tc>
                <w:tcPr>
                  <w:tcW w:w="1148"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68</w:t>
                  </w:r>
                </w:p>
              </w:tc>
              <w:tc>
                <w:tcPr>
                  <w:tcW w:w="2473"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991"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6"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17</w:t>
                  </w:r>
                </w:p>
              </w:tc>
              <w:tc>
                <w:tcPr>
                  <w:tcW w:w="925"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219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旋转木马</w:t>
                  </w:r>
                </w:p>
              </w:tc>
              <w:tc>
                <w:tcPr>
                  <w:tcW w:w="908"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w:t>
                  </w:r>
                </w:p>
              </w:tc>
              <w:tc>
                <w:tcPr>
                  <w:tcW w:w="1148"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65</w:t>
                  </w:r>
                </w:p>
              </w:tc>
              <w:tc>
                <w:tcPr>
                  <w:tcW w:w="2473"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991"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6"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18</w:t>
                  </w:r>
                </w:p>
              </w:tc>
              <w:tc>
                <w:tcPr>
                  <w:tcW w:w="925"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219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多媒体跳楼机</w:t>
                  </w:r>
                </w:p>
              </w:tc>
              <w:tc>
                <w:tcPr>
                  <w:tcW w:w="908"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w:t>
                  </w:r>
                </w:p>
              </w:tc>
              <w:tc>
                <w:tcPr>
                  <w:tcW w:w="1148"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68</w:t>
                  </w:r>
                </w:p>
              </w:tc>
              <w:tc>
                <w:tcPr>
                  <w:tcW w:w="2473"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991"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6"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19</w:t>
                  </w:r>
                </w:p>
              </w:tc>
              <w:tc>
                <w:tcPr>
                  <w:tcW w:w="925"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219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旋转舞车</w:t>
                  </w:r>
                </w:p>
              </w:tc>
              <w:tc>
                <w:tcPr>
                  <w:tcW w:w="908"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w:t>
                  </w:r>
                </w:p>
              </w:tc>
              <w:tc>
                <w:tcPr>
                  <w:tcW w:w="1148"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70</w:t>
                  </w:r>
                </w:p>
              </w:tc>
              <w:tc>
                <w:tcPr>
                  <w:tcW w:w="2473"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991"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6"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二</w:t>
                  </w:r>
                </w:p>
              </w:tc>
              <w:tc>
                <w:tcPr>
                  <w:tcW w:w="8640" w:type="dxa"/>
                  <w:gridSpan w:val="6"/>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配套设施噪声源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6"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2</w:t>
                  </w:r>
                  <w:r>
                    <w:rPr>
                      <w:rFonts w:hint="eastAsia" w:cs="Times New Roman"/>
                      <w:bCs/>
                      <w:color w:val="auto"/>
                      <w:szCs w:val="21"/>
                      <w:lang w:val="en-US" w:eastAsia="zh-CN"/>
                    </w:rPr>
                    <w:t>0</w:t>
                  </w:r>
                </w:p>
              </w:tc>
              <w:tc>
                <w:tcPr>
                  <w:tcW w:w="925" w:type="dxa"/>
                  <w:vMerge w:val="restart"/>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803C动力中心</w:t>
                  </w:r>
                </w:p>
              </w:tc>
              <w:tc>
                <w:tcPr>
                  <w:tcW w:w="219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冷却塔</w:t>
                  </w:r>
                </w:p>
              </w:tc>
              <w:tc>
                <w:tcPr>
                  <w:tcW w:w="908"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7</w:t>
                  </w:r>
                </w:p>
              </w:tc>
              <w:tc>
                <w:tcPr>
                  <w:tcW w:w="1148"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85</w:t>
                  </w:r>
                </w:p>
              </w:tc>
              <w:tc>
                <w:tcPr>
                  <w:tcW w:w="2473" w:type="dxa"/>
                  <w:tcBorders>
                    <w:tl2br w:val="nil"/>
                    <w:tr2bl w:val="nil"/>
                  </w:tcBorders>
                  <w:vAlign w:val="center"/>
                </w:tcPr>
                <w:p>
                  <w:pPr>
                    <w:jc w:val="center"/>
                    <w:rPr>
                      <w:rFonts w:hint="eastAsia" w:ascii="Times New Roman" w:hAnsi="Times New Roman" w:eastAsia="宋体" w:cs="Times New Roman"/>
                      <w:bCs/>
                      <w:color w:val="auto"/>
                      <w:sz w:val="21"/>
                      <w:szCs w:val="21"/>
                      <w:lang w:val="en-US" w:eastAsia="zh-CN"/>
                    </w:rPr>
                  </w:pPr>
                  <w:r>
                    <w:rPr>
                      <w:rFonts w:hint="default" w:ascii="Times New Roman" w:hAnsi="Times New Roman" w:cs="Times New Roman"/>
                      <w:color w:val="auto"/>
                      <w:kern w:val="0"/>
                      <w:sz w:val="21"/>
                      <w:szCs w:val="21"/>
                      <w:lang w:val="en-US" w:eastAsia="zh-CN"/>
                    </w:rPr>
                    <w:t>低噪声设备、减振、消声</w:t>
                  </w:r>
                  <w:r>
                    <w:rPr>
                      <w:rFonts w:hint="eastAsia" w:cs="Times New Roman"/>
                      <w:color w:val="auto"/>
                      <w:kern w:val="0"/>
                      <w:sz w:val="21"/>
                      <w:szCs w:val="21"/>
                      <w:lang w:val="en-US" w:eastAsia="zh-CN"/>
                    </w:rPr>
                    <w:t>、室内</w:t>
                  </w:r>
                  <w:r>
                    <w:rPr>
                      <w:rFonts w:hint="default" w:ascii="Times New Roman" w:hAnsi="Times New Roman" w:cs="Times New Roman"/>
                      <w:color w:val="auto"/>
                      <w:kern w:val="0"/>
                      <w:sz w:val="21"/>
                      <w:szCs w:val="21"/>
                      <w:lang w:val="en-US" w:eastAsia="zh-CN"/>
                    </w:rPr>
                    <w:t>隔声</w:t>
                  </w:r>
                </w:p>
              </w:tc>
              <w:tc>
                <w:tcPr>
                  <w:tcW w:w="991"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6"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2</w:t>
                  </w:r>
                  <w:r>
                    <w:rPr>
                      <w:rFonts w:hint="eastAsia" w:cs="Times New Roman"/>
                      <w:bCs/>
                      <w:color w:val="auto"/>
                      <w:szCs w:val="21"/>
                      <w:lang w:val="en-US" w:eastAsia="zh-CN"/>
                    </w:rPr>
                    <w:t>1</w:t>
                  </w:r>
                </w:p>
              </w:tc>
              <w:tc>
                <w:tcPr>
                  <w:tcW w:w="925"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219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水泵</w:t>
                  </w:r>
                </w:p>
              </w:tc>
              <w:tc>
                <w:tcPr>
                  <w:tcW w:w="908"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6</w:t>
                  </w:r>
                </w:p>
              </w:tc>
              <w:tc>
                <w:tcPr>
                  <w:tcW w:w="1148"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75</w:t>
                  </w:r>
                </w:p>
              </w:tc>
              <w:tc>
                <w:tcPr>
                  <w:tcW w:w="2473" w:type="dxa"/>
                  <w:tcBorders>
                    <w:tl2br w:val="nil"/>
                    <w:tr2bl w:val="nil"/>
                  </w:tcBorders>
                  <w:vAlign w:val="center"/>
                </w:tcPr>
                <w:p>
                  <w:pPr>
                    <w:jc w:val="center"/>
                    <w:rPr>
                      <w:rFonts w:hint="eastAsia" w:ascii="Times New Roman" w:hAnsi="Times New Roman" w:eastAsia="宋体" w:cs="Times New Roman"/>
                      <w:bCs/>
                      <w:color w:val="auto"/>
                      <w:sz w:val="21"/>
                      <w:szCs w:val="21"/>
                      <w:lang w:val="en-US" w:eastAsia="zh-CN"/>
                    </w:rPr>
                  </w:pPr>
                  <w:r>
                    <w:rPr>
                      <w:rFonts w:hint="eastAsia"/>
                      <w:color w:val="auto"/>
                      <w:lang w:val="en-US" w:eastAsia="zh-CN"/>
                    </w:rPr>
                    <w:t>低噪声设备、</w:t>
                  </w:r>
                  <w:r>
                    <w:rPr>
                      <w:color w:val="auto"/>
                    </w:rPr>
                    <w:t>厂房隔声、减振</w:t>
                  </w:r>
                  <w:r>
                    <w:rPr>
                      <w:rFonts w:hint="eastAsia"/>
                      <w:color w:val="auto"/>
                      <w:lang w:eastAsia="zh-CN"/>
                    </w:rPr>
                    <w:t>、</w:t>
                  </w:r>
                  <w:r>
                    <w:rPr>
                      <w:color w:val="auto"/>
                    </w:rPr>
                    <w:t>消声</w:t>
                  </w:r>
                </w:p>
              </w:tc>
              <w:tc>
                <w:tcPr>
                  <w:tcW w:w="991"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6"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2</w:t>
                  </w:r>
                  <w:r>
                    <w:rPr>
                      <w:rFonts w:hint="eastAsia" w:cs="Times New Roman"/>
                      <w:bCs/>
                      <w:color w:val="auto"/>
                      <w:szCs w:val="21"/>
                      <w:lang w:val="en-US" w:eastAsia="zh-CN"/>
                    </w:rPr>
                    <w:t>2</w:t>
                  </w:r>
                </w:p>
              </w:tc>
              <w:tc>
                <w:tcPr>
                  <w:tcW w:w="925"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219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冷水离心机组</w:t>
                  </w:r>
                </w:p>
              </w:tc>
              <w:tc>
                <w:tcPr>
                  <w:tcW w:w="908"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3</w:t>
                  </w:r>
                </w:p>
              </w:tc>
              <w:tc>
                <w:tcPr>
                  <w:tcW w:w="1148"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80</w:t>
                  </w:r>
                </w:p>
              </w:tc>
              <w:tc>
                <w:tcPr>
                  <w:tcW w:w="2473" w:type="dxa"/>
                  <w:tcBorders>
                    <w:tl2br w:val="nil"/>
                    <w:tr2bl w:val="nil"/>
                  </w:tcBorders>
                  <w:vAlign w:val="center"/>
                </w:tcPr>
                <w:p>
                  <w:pPr>
                    <w:jc w:val="center"/>
                    <w:rPr>
                      <w:rFonts w:hint="eastAsia" w:ascii="Times New Roman" w:hAnsi="Times New Roman" w:eastAsia="宋体" w:cs="Times New Roman"/>
                      <w:bCs/>
                      <w:color w:val="auto"/>
                      <w:sz w:val="21"/>
                      <w:szCs w:val="21"/>
                      <w:lang w:val="en-US" w:eastAsia="zh-CN"/>
                    </w:rPr>
                  </w:pPr>
                  <w:r>
                    <w:rPr>
                      <w:rFonts w:hint="eastAsia"/>
                      <w:color w:val="auto"/>
                      <w:lang w:val="en-US" w:eastAsia="zh-CN"/>
                    </w:rPr>
                    <w:t>低噪声设备、</w:t>
                  </w:r>
                  <w:r>
                    <w:rPr>
                      <w:color w:val="auto"/>
                    </w:rPr>
                    <w:t>厂房隔声</w:t>
                  </w:r>
                </w:p>
              </w:tc>
              <w:tc>
                <w:tcPr>
                  <w:tcW w:w="991"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6"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2</w:t>
                  </w:r>
                  <w:r>
                    <w:rPr>
                      <w:rFonts w:hint="eastAsia" w:cs="Times New Roman"/>
                      <w:bCs/>
                      <w:color w:val="auto"/>
                      <w:szCs w:val="21"/>
                      <w:lang w:val="en-US" w:eastAsia="zh-CN"/>
                    </w:rPr>
                    <w:t>3</w:t>
                  </w:r>
                </w:p>
              </w:tc>
              <w:tc>
                <w:tcPr>
                  <w:tcW w:w="925" w:type="dxa"/>
                  <w:vMerge w:val="restart"/>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803A动力中心</w:t>
                  </w:r>
                </w:p>
              </w:tc>
              <w:tc>
                <w:tcPr>
                  <w:tcW w:w="219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冷却塔</w:t>
                  </w:r>
                </w:p>
              </w:tc>
              <w:tc>
                <w:tcPr>
                  <w:tcW w:w="908"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3</w:t>
                  </w:r>
                </w:p>
              </w:tc>
              <w:tc>
                <w:tcPr>
                  <w:tcW w:w="1148"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85</w:t>
                  </w:r>
                </w:p>
              </w:tc>
              <w:tc>
                <w:tcPr>
                  <w:tcW w:w="2473" w:type="dxa"/>
                  <w:tcBorders>
                    <w:tl2br w:val="nil"/>
                    <w:tr2bl w:val="nil"/>
                  </w:tcBorders>
                  <w:vAlign w:val="center"/>
                </w:tcPr>
                <w:p>
                  <w:pPr>
                    <w:jc w:val="center"/>
                    <w:rPr>
                      <w:rFonts w:hint="eastAsia" w:ascii="Times New Roman" w:hAnsi="Times New Roman" w:eastAsia="宋体" w:cs="Times New Roman"/>
                      <w:bCs/>
                      <w:color w:val="auto"/>
                      <w:sz w:val="21"/>
                      <w:szCs w:val="21"/>
                      <w:lang w:val="en-US" w:eastAsia="zh-CN"/>
                    </w:rPr>
                  </w:pPr>
                  <w:r>
                    <w:rPr>
                      <w:rFonts w:hint="default" w:ascii="Times New Roman" w:hAnsi="Times New Roman" w:cs="Times New Roman"/>
                      <w:color w:val="auto"/>
                      <w:kern w:val="0"/>
                      <w:sz w:val="21"/>
                      <w:szCs w:val="21"/>
                      <w:lang w:val="en-US" w:eastAsia="zh-CN"/>
                    </w:rPr>
                    <w:t>低噪声设备、减振、消声</w:t>
                  </w:r>
                  <w:r>
                    <w:rPr>
                      <w:rFonts w:hint="eastAsia" w:cs="Times New Roman"/>
                      <w:color w:val="auto"/>
                      <w:kern w:val="0"/>
                      <w:sz w:val="21"/>
                      <w:szCs w:val="21"/>
                      <w:lang w:val="en-US" w:eastAsia="zh-CN"/>
                    </w:rPr>
                    <w:t>、室内</w:t>
                  </w:r>
                  <w:r>
                    <w:rPr>
                      <w:rFonts w:hint="default" w:ascii="Times New Roman" w:hAnsi="Times New Roman" w:cs="Times New Roman"/>
                      <w:color w:val="auto"/>
                      <w:kern w:val="0"/>
                      <w:sz w:val="21"/>
                      <w:szCs w:val="21"/>
                      <w:lang w:val="en-US" w:eastAsia="zh-CN"/>
                    </w:rPr>
                    <w:t>隔声</w:t>
                  </w:r>
                </w:p>
              </w:tc>
              <w:tc>
                <w:tcPr>
                  <w:tcW w:w="991"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6"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24</w:t>
                  </w:r>
                </w:p>
              </w:tc>
              <w:tc>
                <w:tcPr>
                  <w:tcW w:w="925"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219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水泵</w:t>
                  </w:r>
                </w:p>
              </w:tc>
              <w:tc>
                <w:tcPr>
                  <w:tcW w:w="908"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7</w:t>
                  </w:r>
                </w:p>
              </w:tc>
              <w:tc>
                <w:tcPr>
                  <w:tcW w:w="1148"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75</w:t>
                  </w:r>
                </w:p>
              </w:tc>
              <w:tc>
                <w:tcPr>
                  <w:tcW w:w="2473" w:type="dxa"/>
                  <w:tcBorders>
                    <w:tl2br w:val="nil"/>
                    <w:tr2bl w:val="nil"/>
                  </w:tcBorders>
                  <w:vAlign w:val="center"/>
                </w:tcPr>
                <w:p>
                  <w:pPr>
                    <w:jc w:val="center"/>
                    <w:rPr>
                      <w:rFonts w:hint="eastAsia" w:ascii="Times New Roman" w:hAnsi="Times New Roman" w:eastAsia="宋体" w:cs="Times New Roman"/>
                      <w:bCs/>
                      <w:color w:val="auto"/>
                      <w:sz w:val="21"/>
                      <w:szCs w:val="21"/>
                      <w:lang w:val="en-US" w:eastAsia="zh-CN"/>
                    </w:rPr>
                  </w:pPr>
                  <w:r>
                    <w:rPr>
                      <w:rFonts w:hint="eastAsia"/>
                      <w:color w:val="auto"/>
                      <w:lang w:val="en-US" w:eastAsia="zh-CN"/>
                    </w:rPr>
                    <w:t>低噪声设备、</w:t>
                  </w:r>
                  <w:r>
                    <w:rPr>
                      <w:color w:val="auto"/>
                    </w:rPr>
                    <w:t>厂房隔声、减振</w:t>
                  </w:r>
                  <w:r>
                    <w:rPr>
                      <w:rFonts w:hint="eastAsia"/>
                      <w:color w:val="auto"/>
                      <w:lang w:eastAsia="zh-CN"/>
                    </w:rPr>
                    <w:t>、</w:t>
                  </w:r>
                  <w:r>
                    <w:rPr>
                      <w:color w:val="auto"/>
                    </w:rPr>
                    <w:t>消声</w:t>
                  </w:r>
                </w:p>
              </w:tc>
              <w:tc>
                <w:tcPr>
                  <w:tcW w:w="991"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6"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25</w:t>
                  </w:r>
                </w:p>
              </w:tc>
              <w:tc>
                <w:tcPr>
                  <w:tcW w:w="925"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219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冷水离心机组</w:t>
                  </w:r>
                </w:p>
              </w:tc>
              <w:tc>
                <w:tcPr>
                  <w:tcW w:w="908"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2</w:t>
                  </w:r>
                </w:p>
              </w:tc>
              <w:tc>
                <w:tcPr>
                  <w:tcW w:w="1148"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80</w:t>
                  </w:r>
                </w:p>
              </w:tc>
              <w:tc>
                <w:tcPr>
                  <w:tcW w:w="2473" w:type="dxa"/>
                  <w:tcBorders>
                    <w:tl2br w:val="nil"/>
                    <w:tr2bl w:val="nil"/>
                  </w:tcBorders>
                  <w:vAlign w:val="center"/>
                </w:tcPr>
                <w:p>
                  <w:pPr>
                    <w:jc w:val="center"/>
                    <w:rPr>
                      <w:rFonts w:hint="eastAsia" w:ascii="Times New Roman" w:hAnsi="Times New Roman" w:eastAsia="宋体" w:cs="Times New Roman"/>
                      <w:bCs/>
                      <w:color w:val="auto"/>
                      <w:sz w:val="21"/>
                      <w:szCs w:val="21"/>
                      <w:lang w:val="en-US" w:eastAsia="zh-CN"/>
                    </w:rPr>
                  </w:pPr>
                  <w:r>
                    <w:rPr>
                      <w:rFonts w:hint="eastAsia"/>
                      <w:color w:val="auto"/>
                      <w:lang w:val="en-US" w:eastAsia="zh-CN"/>
                    </w:rPr>
                    <w:t>低噪声设备、</w:t>
                  </w:r>
                  <w:r>
                    <w:rPr>
                      <w:color w:val="auto"/>
                    </w:rPr>
                    <w:t>厂房隔声</w:t>
                  </w:r>
                </w:p>
              </w:tc>
              <w:tc>
                <w:tcPr>
                  <w:tcW w:w="991"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6"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26</w:t>
                  </w:r>
                </w:p>
              </w:tc>
              <w:tc>
                <w:tcPr>
                  <w:tcW w:w="925"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219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换热器</w:t>
                  </w:r>
                </w:p>
              </w:tc>
              <w:tc>
                <w:tcPr>
                  <w:tcW w:w="908"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3</w:t>
                  </w:r>
                </w:p>
              </w:tc>
              <w:tc>
                <w:tcPr>
                  <w:tcW w:w="1148"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80</w:t>
                  </w:r>
                </w:p>
              </w:tc>
              <w:tc>
                <w:tcPr>
                  <w:tcW w:w="2473" w:type="dxa"/>
                  <w:tcBorders>
                    <w:tl2br w:val="nil"/>
                    <w:tr2bl w:val="nil"/>
                  </w:tcBorders>
                  <w:vAlign w:val="center"/>
                </w:tcPr>
                <w:p>
                  <w:pPr>
                    <w:jc w:val="center"/>
                    <w:rPr>
                      <w:rFonts w:hint="eastAsia" w:ascii="Times New Roman" w:hAnsi="Times New Roman" w:eastAsia="宋体" w:cs="Times New Roman"/>
                      <w:bCs/>
                      <w:color w:val="auto"/>
                      <w:sz w:val="21"/>
                      <w:szCs w:val="21"/>
                      <w:lang w:val="en-US" w:eastAsia="zh-CN"/>
                    </w:rPr>
                  </w:pPr>
                  <w:r>
                    <w:rPr>
                      <w:rFonts w:hint="eastAsia"/>
                      <w:color w:val="auto"/>
                      <w:lang w:val="en-US" w:eastAsia="zh-CN"/>
                    </w:rPr>
                    <w:t>低噪声设备、</w:t>
                  </w:r>
                  <w:r>
                    <w:rPr>
                      <w:color w:val="auto"/>
                    </w:rPr>
                    <w:t>厂房隔声</w:t>
                  </w:r>
                </w:p>
              </w:tc>
              <w:tc>
                <w:tcPr>
                  <w:tcW w:w="991"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6"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27</w:t>
                  </w:r>
                </w:p>
              </w:tc>
              <w:tc>
                <w:tcPr>
                  <w:tcW w:w="925" w:type="dxa"/>
                  <w:vMerge w:val="restart"/>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803B动力中心</w:t>
                  </w:r>
                </w:p>
              </w:tc>
              <w:tc>
                <w:tcPr>
                  <w:tcW w:w="219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冷却塔</w:t>
                  </w:r>
                </w:p>
              </w:tc>
              <w:tc>
                <w:tcPr>
                  <w:tcW w:w="908"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7</w:t>
                  </w:r>
                </w:p>
              </w:tc>
              <w:tc>
                <w:tcPr>
                  <w:tcW w:w="1148"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85</w:t>
                  </w:r>
                </w:p>
              </w:tc>
              <w:tc>
                <w:tcPr>
                  <w:tcW w:w="2473" w:type="dxa"/>
                  <w:tcBorders>
                    <w:tl2br w:val="nil"/>
                    <w:tr2bl w:val="nil"/>
                  </w:tcBorders>
                  <w:vAlign w:val="center"/>
                </w:tcPr>
                <w:p>
                  <w:pPr>
                    <w:jc w:val="center"/>
                    <w:rPr>
                      <w:rFonts w:hint="eastAsia" w:ascii="Times New Roman" w:hAnsi="Times New Roman" w:eastAsia="宋体" w:cs="Times New Roman"/>
                      <w:bCs/>
                      <w:color w:val="auto"/>
                      <w:sz w:val="21"/>
                      <w:szCs w:val="21"/>
                      <w:lang w:val="en-US" w:eastAsia="zh-CN"/>
                    </w:rPr>
                  </w:pPr>
                  <w:r>
                    <w:rPr>
                      <w:rFonts w:hint="default" w:ascii="Times New Roman" w:hAnsi="Times New Roman" w:cs="Times New Roman"/>
                      <w:color w:val="auto"/>
                      <w:kern w:val="0"/>
                      <w:sz w:val="21"/>
                      <w:szCs w:val="21"/>
                      <w:lang w:val="en-US" w:eastAsia="zh-CN"/>
                    </w:rPr>
                    <w:t>低噪声设备、减振、消声</w:t>
                  </w:r>
                  <w:r>
                    <w:rPr>
                      <w:rFonts w:hint="eastAsia" w:cs="Times New Roman"/>
                      <w:color w:val="auto"/>
                      <w:kern w:val="0"/>
                      <w:sz w:val="21"/>
                      <w:szCs w:val="21"/>
                      <w:lang w:val="en-US" w:eastAsia="zh-CN"/>
                    </w:rPr>
                    <w:t>、室内</w:t>
                  </w:r>
                  <w:r>
                    <w:rPr>
                      <w:rFonts w:hint="default" w:ascii="Times New Roman" w:hAnsi="Times New Roman" w:cs="Times New Roman"/>
                      <w:color w:val="auto"/>
                      <w:kern w:val="0"/>
                      <w:sz w:val="21"/>
                      <w:szCs w:val="21"/>
                      <w:lang w:val="en-US" w:eastAsia="zh-CN"/>
                    </w:rPr>
                    <w:t>隔声</w:t>
                  </w:r>
                </w:p>
              </w:tc>
              <w:tc>
                <w:tcPr>
                  <w:tcW w:w="991"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6"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28</w:t>
                  </w:r>
                </w:p>
              </w:tc>
              <w:tc>
                <w:tcPr>
                  <w:tcW w:w="925"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219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水泵</w:t>
                  </w:r>
                </w:p>
              </w:tc>
              <w:tc>
                <w:tcPr>
                  <w:tcW w:w="908"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6</w:t>
                  </w:r>
                </w:p>
              </w:tc>
              <w:tc>
                <w:tcPr>
                  <w:tcW w:w="1148"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75</w:t>
                  </w:r>
                </w:p>
              </w:tc>
              <w:tc>
                <w:tcPr>
                  <w:tcW w:w="2473"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olor w:val="auto"/>
                      <w:lang w:val="en-US" w:eastAsia="zh-CN"/>
                    </w:rPr>
                    <w:t>低噪声设备、</w:t>
                  </w:r>
                  <w:r>
                    <w:rPr>
                      <w:color w:val="auto"/>
                    </w:rPr>
                    <w:t>厂房隔声、减振</w:t>
                  </w:r>
                  <w:r>
                    <w:rPr>
                      <w:rFonts w:hint="eastAsia"/>
                      <w:color w:val="auto"/>
                      <w:lang w:eastAsia="zh-CN"/>
                    </w:rPr>
                    <w:t>、</w:t>
                  </w:r>
                  <w:r>
                    <w:rPr>
                      <w:color w:val="auto"/>
                    </w:rPr>
                    <w:t>消声</w:t>
                  </w:r>
                </w:p>
              </w:tc>
              <w:tc>
                <w:tcPr>
                  <w:tcW w:w="991"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6"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29</w:t>
                  </w:r>
                </w:p>
              </w:tc>
              <w:tc>
                <w:tcPr>
                  <w:tcW w:w="925"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219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冷水离心机组</w:t>
                  </w:r>
                </w:p>
              </w:tc>
              <w:tc>
                <w:tcPr>
                  <w:tcW w:w="908"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3</w:t>
                  </w:r>
                </w:p>
              </w:tc>
              <w:tc>
                <w:tcPr>
                  <w:tcW w:w="1148"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80</w:t>
                  </w:r>
                </w:p>
              </w:tc>
              <w:tc>
                <w:tcPr>
                  <w:tcW w:w="2473"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olor w:val="auto"/>
                      <w:lang w:val="en-US" w:eastAsia="zh-CN"/>
                    </w:rPr>
                    <w:t>低噪声设备、</w:t>
                  </w:r>
                  <w:r>
                    <w:rPr>
                      <w:color w:val="auto"/>
                    </w:rPr>
                    <w:t>厂房隔声</w:t>
                  </w:r>
                </w:p>
              </w:tc>
              <w:tc>
                <w:tcPr>
                  <w:tcW w:w="991"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6" w:type="dxa"/>
                  <w:tcBorders>
                    <w:tl2br w:val="nil"/>
                    <w:tr2bl w:val="nil"/>
                  </w:tcBorders>
                  <w:vAlign w:val="center"/>
                </w:tcPr>
                <w:p>
                  <w:pPr>
                    <w:jc w:val="center"/>
                    <w:rPr>
                      <w:rFonts w:hint="eastAsia" w:cs="Times New Roman"/>
                      <w:bCs/>
                      <w:color w:val="auto"/>
                      <w:szCs w:val="21"/>
                      <w:lang w:val="en-US" w:eastAsia="zh-CN"/>
                    </w:rPr>
                  </w:pPr>
                  <w:r>
                    <w:rPr>
                      <w:rFonts w:hint="eastAsia" w:cs="Times New Roman"/>
                      <w:bCs/>
                      <w:color w:val="auto"/>
                      <w:szCs w:val="21"/>
                      <w:lang w:val="en-US" w:eastAsia="zh-CN"/>
                    </w:rPr>
                    <w:t>30</w:t>
                  </w:r>
                </w:p>
              </w:tc>
              <w:tc>
                <w:tcPr>
                  <w:tcW w:w="92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发电机房</w:t>
                  </w:r>
                </w:p>
              </w:tc>
              <w:tc>
                <w:tcPr>
                  <w:tcW w:w="219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备用柴油发电机</w:t>
                  </w:r>
                </w:p>
              </w:tc>
              <w:tc>
                <w:tcPr>
                  <w:tcW w:w="908"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5</w:t>
                  </w:r>
                </w:p>
              </w:tc>
              <w:tc>
                <w:tcPr>
                  <w:tcW w:w="1148"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85</w:t>
                  </w:r>
                </w:p>
              </w:tc>
              <w:tc>
                <w:tcPr>
                  <w:tcW w:w="2473"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地下</w:t>
                  </w:r>
                  <w:r>
                    <w:rPr>
                      <w:rFonts w:hint="eastAsia" w:ascii="Times New Roman" w:hAnsi="Times New Roman" w:eastAsia="宋体" w:cs="Times New Roman"/>
                      <w:bCs/>
                      <w:color w:val="auto"/>
                      <w:szCs w:val="21"/>
                      <w:lang w:val="en-US" w:eastAsia="zh-CN"/>
                    </w:rPr>
                    <w:t>设备间存放、室内吸声、进出口消声</w:t>
                  </w:r>
                </w:p>
              </w:tc>
              <w:tc>
                <w:tcPr>
                  <w:tcW w:w="991"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6" w:type="dxa"/>
                  <w:tcBorders>
                    <w:tl2br w:val="nil"/>
                    <w:tr2bl w:val="nil"/>
                  </w:tcBorders>
                  <w:vAlign w:val="center"/>
                </w:tcPr>
                <w:p>
                  <w:pPr>
                    <w:jc w:val="center"/>
                    <w:rPr>
                      <w:rFonts w:hint="eastAsia" w:cs="Times New Roman"/>
                      <w:bCs/>
                      <w:color w:val="auto"/>
                      <w:szCs w:val="21"/>
                      <w:lang w:val="en-US" w:eastAsia="zh-CN"/>
                    </w:rPr>
                  </w:pPr>
                  <w:r>
                    <w:rPr>
                      <w:rFonts w:hint="eastAsia" w:cs="Times New Roman"/>
                      <w:bCs/>
                      <w:color w:val="auto"/>
                      <w:szCs w:val="21"/>
                      <w:lang w:val="en-US" w:eastAsia="zh-CN"/>
                    </w:rPr>
                    <w:t>31</w:t>
                  </w:r>
                </w:p>
              </w:tc>
              <w:tc>
                <w:tcPr>
                  <w:tcW w:w="92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主城堡地下车场</w:t>
                  </w:r>
                </w:p>
              </w:tc>
              <w:tc>
                <w:tcPr>
                  <w:tcW w:w="2195" w:type="dxa"/>
                  <w:tcBorders>
                    <w:tl2br w:val="nil"/>
                    <w:tr2bl w:val="nil"/>
                  </w:tcBorders>
                  <w:vAlign w:val="center"/>
                </w:tcPr>
                <w:p>
                  <w:pPr>
                    <w:jc w:val="center"/>
                    <w:rPr>
                      <w:rFonts w:hint="eastAsia" w:cs="Times New Roman"/>
                      <w:bCs/>
                      <w:color w:val="auto"/>
                      <w:szCs w:val="21"/>
                      <w:lang w:val="en-US" w:eastAsia="zh-CN"/>
                    </w:rPr>
                  </w:pPr>
                  <w:r>
                    <w:rPr>
                      <w:rFonts w:hint="eastAsia" w:cs="Times New Roman"/>
                      <w:bCs/>
                      <w:color w:val="auto"/>
                      <w:szCs w:val="21"/>
                      <w:lang w:val="en-US" w:eastAsia="zh-CN"/>
                    </w:rPr>
                    <w:t>机械排风风机</w:t>
                  </w:r>
                </w:p>
              </w:tc>
              <w:tc>
                <w:tcPr>
                  <w:tcW w:w="908"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17</w:t>
                  </w:r>
                </w:p>
              </w:tc>
              <w:tc>
                <w:tcPr>
                  <w:tcW w:w="1148" w:type="dxa"/>
                  <w:tcBorders>
                    <w:tl2br w:val="nil"/>
                    <w:tr2bl w:val="nil"/>
                  </w:tcBorders>
                  <w:vAlign w:val="center"/>
                </w:tcPr>
                <w:p>
                  <w:pPr>
                    <w:jc w:val="center"/>
                    <w:rPr>
                      <w:rFonts w:hint="eastAsia" w:cs="Times New Roman"/>
                      <w:bCs/>
                      <w:color w:val="auto"/>
                      <w:szCs w:val="21"/>
                      <w:lang w:val="en-US" w:eastAsia="zh-CN"/>
                    </w:rPr>
                  </w:pPr>
                  <w:r>
                    <w:rPr>
                      <w:rFonts w:hint="eastAsia" w:cs="Times New Roman"/>
                      <w:bCs/>
                      <w:color w:val="auto"/>
                      <w:szCs w:val="21"/>
                      <w:lang w:val="en-US" w:eastAsia="zh-CN"/>
                    </w:rPr>
                    <w:t>85</w:t>
                  </w:r>
                </w:p>
              </w:tc>
              <w:tc>
                <w:tcPr>
                  <w:tcW w:w="2473" w:type="dxa"/>
                  <w:tcBorders>
                    <w:tl2br w:val="nil"/>
                    <w:tr2bl w:val="nil"/>
                  </w:tcBorders>
                  <w:vAlign w:val="center"/>
                </w:tcPr>
                <w:p>
                  <w:pPr>
                    <w:jc w:val="center"/>
                    <w:rPr>
                      <w:rFonts w:hint="eastAsia" w:cs="Times New Roman"/>
                      <w:bCs/>
                      <w:color w:val="auto"/>
                      <w:szCs w:val="21"/>
                      <w:lang w:val="en-US" w:eastAsia="zh-CN"/>
                    </w:rPr>
                  </w:pPr>
                  <w:r>
                    <w:rPr>
                      <w:rFonts w:hint="eastAsia" w:cs="Times New Roman"/>
                      <w:bCs/>
                      <w:color w:val="auto"/>
                      <w:szCs w:val="21"/>
                      <w:lang w:val="en-US" w:eastAsia="zh-CN"/>
                    </w:rPr>
                    <w:t>地下</w:t>
                  </w:r>
                  <w:r>
                    <w:rPr>
                      <w:rFonts w:hint="eastAsia" w:ascii="Times New Roman" w:hAnsi="Times New Roman" w:eastAsia="宋体" w:cs="Times New Roman"/>
                      <w:bCs/>
                      <w:color w:val="auto"/>
                      <w:szCs w:val="21"/>
                      <w:lang w:val="en-US" w:eastAsia="zh-CN"/>
                    </w:rPr>
                    <w:t>设备间存放、室内吸声、进出口消声</w:t>
                  </w:r>
                </w:p>
              </w:tc>
              <w:tc>
                <w:tcPr>
                  <w:tcW w:w="991" w:type="dxa"/>
                  <w:tcBorders>
                    <w:tl2br w:val="nil"/>
                    <w:tr2bl w:val="nil"/>
                  </w:tcBorders>
                  <w:vAlign w:val="center"/>
                </w:tcPr>
                <w:p>
                  <w:pPr>
                    <w:jc w:val="center"/>
                    <w:rPr>
                      <w:rFonts w:hint="eastAsia" w:cs="Times New Roman"/>
                      <w:bCs/>
                      <w:color w:val="auto"/>
                      <w:szCs w:val="21"/>
                      <w:lang w:val="en-US" w:eastAsia="zh-CN"/>
                    </w:rPr>
                  </w:pPr>
                  <w:r>
                    <w:rPr>
                      <w:rFonts w:hint="eastAsia" w:cs="Times New Roman"/>
                      <w:bCs/>
                      <w:color w:val="auto"/>
                      <w:szCs w:val="21"/>
                      <w:lang w:val="en-US" w:eastAsia="zh-CN"/>
                    </w:rPr>
                    <w:t>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6" w:type="dxa"/>
                  <w:tcBorders>
                    <w:tl2br w:val="nil"/>
                    <w:tr2bl w:val="nil"/>
                  </w:tcBorders>
                  <w:vAlign w:val="center"/>
                </w:tcPr>
                <w:p>
                  <w:pPr>
                    <w:jc w:val="center"/>
                    <w:rPr>
                      <w:rFonts w:hint="eastAsia" w:cs="Times New Roman"/>
                      <w:bCs/>
                      <w:color w:val="auto"/>
                      <w:szCs w:val="21"/>
                      <w:lang w:val="en-US" w:eastAsia="zh-CN"/>
                    </w:rPr>
                  </w:pPr>
                  <w:r>
                    <w:rPr>
                      <w:rFonts w:hint="eastAsia" w:cs="Times New Roman"/>
                      <w:bCs/>
                      <w:color w:val="auto"/>
                      <w:szCs w:val="21"/>
                      <w:lang w:val="en-US" w:eastAsia="zh-CN"/>
                    </w:rPr>
                    <w:t>32</w:t>
                  </w:r>
                </w:p>
              </w:tc>
              <w:tc>
                <w:tcPr>
                  <w:tcW w:w="92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634#单体消防水泵房</w:t>
                  </w:r>
                </w:p>
              </w:tc>
              <w:tc>
                <w:tcPr>
                  <w:tcW w:w="2195" w:type="dxa"/>
                  <w:tcBorders>
                    <w:tl2br w:val="nil"/>
                    <w:tr2bl w:val="nil"/>
                  </w:tcBorders>
                  <w:vAlign w:val="center"/>
                </w:tcPr>
                <w:p>
                  <w:pPr>
                    <w:jc w:val="center"/>
                    <w:rPr>
                      <w:rFonts w:hint="eastAsia" w:cs="Times New Roman"/>
                      <w:bCs/>
                      <w:color w:val="auto"/>
                      <w:szCs w:val="21"/>
                      <w:lang w:val="en-US" w:eastAsia="zh-CN"/>
                    </w:rPr>
                  </w:pPr>
                  <w:r>
                    <w:rPr>
                      <w:rFonts w:hint="eastAsia" w:ascii="Times New Roman" w:hAnsi="Times New Roman" w:eastAsia="宋体" w:cs="Times New Roman"/>
                      <w:bCs/>
                      <w:color w:val="auto"/>
                      <w:szCs w:val="21"/>
                      <w:lang w:val="en-US" w:eastAsia="zh-CN"/>
                    </w:rPr>
                    <w:t>水泵</w:t>
                  </w:r>
                </w:p>
              </w:tc>
              <w:tc>
                <w:tcPr>
                  <w:tcW w:w="908"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8</w:t>
                  </w:r>
                </w:p>
              </w:tc>
              <w:tc>
                <w:tcPr>
                  <w:tcW w:w="1148" w:type="dxa"/>
                  <w:tcBorders>
                    <w:tl2br w:val="nil"/>
                    <w:tr2bl w:val="nil"/>
                  </w:tcBorders>
                  <w:vAlign w:val="center"/>
                </w:tcPr>
                <w:p>
                  <w:pPr>
                    <w:jc w:val="center"/>
                    <w:rPr>
                      <w:rFonts w:hint="eastAsia" w:cs="Times New Roman"/>
                      <w:bCs/>
                      <w:color w:val="auto"/>
                      <w:szCs w:val="21"/>
                      <w:lang w:val="en-US" w:eastAsia="zh-CN"/>
                    </w:rPr>
                  </w:pPr>
                  <w:r>
                    <w:rPr>
                      <w:rFonts w:hint="eastAsia" w:cs="Times New Roman"/>
                      <w:bCs/>
                      <w:color w:val="auto"/>
                      <w:szCs w:val="21"/>
                      <w:lang w:val="en-US" w:eastAsia="zh-CN"/>
                    </w:rPr>
                    <w:t>75</w:t>
                  </w:r>
                </w:p>
              </w:tc>
              <w:tc>
                <w:tcPr>
                  <w:tcW w:w="2473" w:type="dxa"/>
                  <w:tcBorders>
                    <w:tl2br w:val="nil"/>
                    <w:tr2bl w:val="nil"/>
                  </w:tcBorders>
                  <w:vAlign w:val="center"/>
                </w:tcPr>
                <w:p>
                  <w:pPr>
                    <w:jc w:val="center"/>
                    <w:rPr>
                      <w:rFonts w:hint="eastAsia" w:cs="Times New Roman"/>
                      <w:bCs/>
                      <w:color w:val="auto"/>
                      <w:szCs w:val="21"/>
                      <w:lang w:val="en-US" w:eastAsia="zh-CN"/>
                    </w:rPr>
                  </w:pPr>
                  <w:r>
                    <w:rPr>
                      <w:rFonts w:hint="eastAsia"/>
                      <w:color w:val="auto"/>
                      <w:lang w:val="en-US" w:eastAsia="zh-CN"/>
                    </w:rPr>
                    <w:t>低噪声设备、</w:t>
                  </w:r>
                  <w:r>
                    <w:rPr>
                      <w:color w:val="auto"/>
                    </w:rPr>
                    <w:t>厂房隔声、减振</w:t>
                  </w:r>
                  <w:r>
                    <w:rPr>
                      <w:rFonts w:hint="eastAsia"/>
                      <w:color w:val="auto"/>
                      <w:lang w:eastAsia="zh-CN"/>
                    </w:rPr>
                    <w:t>、</w:t>
                  </w:r>
                  <w:r>
                    <w:rPr>
                      <w:color w:val="auto"/>
                    </w:rPr>
                    <w:t>消声</w:t>
                  </w:r>
                </w:p>
              </w:tc>
              <w:tc>
                <w:tcPr>
                  <w:tcW w:w="991" w:type="dxa"/>
                  <w:tcBorders>
                    <w:tl2br w:val="nil"/>
                    <w:tr2bl w:val="nil"/>
                  </w:tcBorders>
                  <w:vAlign w:val="center"/>
                </w:tcPr>
                <w:p>
                  <w:pPr>
                    <w:jc w:val="center"/>
                    <w:rPr>
                      <w:rFonts w:hint="eastAsia" w:cs="Times New Roman"/>
                      <w:bCs/>
                      <w:color w:val="auto"/>
                      <w:szCs w:val="21"/>
                      <w:lang w:val="en-US" w:eastAsia="zh-CN"/>
                    </w:rPr>
                  </w:pPr>
                  <w:r>
                    <w:rPr>
                      <w:rFonts w:hint="eastAsia" w:cs="Times New Roman"/>
                      <w:bCs/>
                      <w:color w:val="auto"/>
                      <w:szCs w:val="21"/>
                      <w:lang w:val="en-US" w:eastAsia="zh-CN"/>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6" w:type="dxa"/>
                  <w:tcBorders>
                    <w:tl2br w:val="nil"/>
                    <w:tr2bl w:val="nil"/>
                  </w:tcBorders>
                  <w:vAlign w:val="center"/>
                </w:tcPr>
                <w:p>
                  <w:pPr>
                    <w:jc w:val="center"/>
                    <w:rPr>
                      <w:rFonts w:hint="eastAsia" w:cs="Times New Roman"/>
                      <w:bCs/>
                      <w:color w:val="auto"/>
                      <w:szCs w:val="21"/>
                      <w:lang w:val="en-US" w:eastAsia="zh-CN"/>
                    </w:rPr>
                  </w:pPr>
                  <w:r>
                    <w:rPr>
                      <w:rFonts w:hint="eastAsia" w:cs="Times New Roman"/>
                      <w:bCs/>
                      <w:color w:val="auto"/>
                      <w:szCs w:val="21"/>
                      <w:lang w:val="en-US" w:eastAsia="zh-CN"/>
                    </w:rPr>
                    <w:t>33</w:t>
                  </w:r>
                </w:p>
              </w:tc>
              <w:tc>
                <w:tcPr>
                  <w:tcW w:w="92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634#单体加压水泵房</w:t>
                  </w:r>
                </w:p>
              </w:tc>
              <w:tc>
                <w:tcPr>
                  <w:tcW w:w="2195" w:type="dxa"/>
                  <w:tcBorders>
                    <w:tl2br w:val="nil"/>
                    <w:tr2bl w:val="nil"/>
                  </w:tcBorders>
                  <w:vAlign w:val="center"/>
                </w:tcPr>
                <w:p>
                  <w:pPr>
                    <w:jc w:val="center"/>
                    <w:rPr>
                      <w:rFonts w:hint="eastAsia" w:cs="Times New Roman"/>
                      <w:bCs/>
                      <w:color w:val="auto"/>
                      <w:szCs w:val="21"/>
                      <w:lang w:val="en-US" w:eastAsia="zh-CN"/>
                    </w:rPr>
                  </w:pPr>
                  <w:r>
                    <w:rPr>
                      <w:rFonts w:hint="eastAsia" w:ascii="Times New Roman" w:hAnsi="Times New Roman" w:eastAsia="宋体" w:cs="Times New Roman"/>
                      <w:bCs/>
                      <w:color w:val="auto"/>
                      <w:szCs w:val="21"/>
                      <w:lang w:val="en-US" w:eastAsia="zh-CN"/>
                    </w:rPr>
                    <w:t>水泵</w:t>
                  </w:r>
                </w:p>
              </w:tc>
              <w:tc>
                <w:tcPr>
                  <w:tcW w:w="908"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3</w:t>
                  </w:r>
                </w:p>
              </w:tc>
              <w:tc>
                <w:tcPr>
                  <w:tcW w:w="1148" w:type="dxa"/>
                  <w:tcBorders>
                    <w:tl2br w:val="nil"/>
                    <w:tr2bl w:val="nil"/>
                  </w:tcBorders>
                  <w:vAlign w:val="center"/>
                </w:tcPr>
                <w:p>
                  <w:pPr>
                    <w:jc w:val="center"/>
                    <w:rPr>
                      <w:rFonts w:hint="eastAsia" w:cs="Times New Roman"/>
                      <w:bCs/>
                      <w:color w:val="auto"/>
                      <w:szCs w:val="21"/>
                      <w:lang w:val="en-US" w:eastAsia="zh-CN"/>
                    </w:rPr>
                  </w:pPr>
                  <w:r>
                    <w:rPr>
                      <w:rFonts w:hint="eastAsia" w:cs="Times New Roman"/>
                      <w:bCs/>
                      <w:color w:val="auto"/>
                      <w:szCs w:val="21"/>
                      <w:lang w:val="en-US" w:eastAsia="zh-CN"/>
                    </w:rPr>
                    <w:t>75</w:t>
                  </w:r>
                </w:p>
              </w:tc>
              <w:tc>
                <w:tcPr>
                  <w:tcW w:w="2473" w:type="dxa"/>
                  <w:tcBorders>
                    <w:tl2br w:val="nil"/>
                    <w:tr2bl w:val="nil"/>
                  </w:tcBorders>
                  <w:vAlign w:val="center"/>
                </w:tcPr>
                <w:p>
                  <w:pPr>
                    <w:jc w:val="center"/>
                    <w:rPr>
                      <w:rFonts w:hint="eastAsia" w:cs="Times New Roman"/>
                      <w:bCs/>
                      <w:color w:val="auto"/>
                      <w:szCs w:val="21"/>
                      <w:lang w:val="en-US" w:eastAsia="zh-CN"/>
                    </w:rPr>
                  </w:pPr>
                  <w:r>
                    <w:rPr>
                      <w:rFonts w:hint="eastAsia"/>
                      <w:color w:val="auto"/>
                      <w:lang w:val="en-US" w:eastAsia="zh-CN"/>
                    </w:rPr>
                    <w:t>低噪声设备、</w:t>
                  </w:r>
                  <w:r>
                    <w:rPr>
                      <w:color w:val="auto"/>
                    </w:rPr>
                    <w:t>厂房隔声、减振</w:t>
                  </w:r>
                  <w:r>
                    <w:rPr>
                      <w:rFonts w:hint="eastAsia"/>
                      <w:color w:val="auto"/>
                      <w:lang w:eastAsia="zh-CN"/>
                    </w:rPr>
                    <w:t>、</w:t>
                  </w:r>
                  <w:r>
                    <w:rPr>
                      <w:color w:val="auto"/>
                    </w:rPr>
                    <w:t>消声</w:t>
                  </w:r>
                </w:p>
              </w:tc>
              <w:tc>
                <w:tcPr>
                  <w:tcW w:w="991" w:type="dxa"/>
                  <w:tcBorders>
                    <w:tl2br w:val="nil"/>
                    <w:tr2bl w:val="nil"/>
                  </w:tcBorders>
                  <w:vAlign w:val="center"/>
                </w:tcPr>
                <w:p>
                  <w:pPr>
                    <w:jc w:val="center"/>
                    <w:rPr>
                      <w:rFonts w:hint="eastAsia" w:cs="Times New Roman"/>
                      <w:bCs/>
                      <w:color w:val="auto"/>
                      <w:szCs w:val="21"/>
                      <w:lang w:val="en-US" w:eastAsia="zh-CN"/>
                    </w:rPr>
                  </w:pPr>
                  <w:r>
                    <w:rPr>
                      <w:rFonts w:hint="eastAsia" w:cs="Times New Roman"/>
                      <w:bCs/>
                      <w:color w:val="auto"/>
                      <w:szCs w:val="21"/>
                      <w:lang w:val="en-US" w:eastAsia="zh-CN"/>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6" w:type="dxa"/>
                  <w:tcBorders>
                    <w:tl2br w:val="nil"/>
                    <w:tr2bl w:val="nil"/>
                  </w:tcBorders>
                  <w:vAlign w:val="center"/>
                </w:tcPr>
                <w:p>
                  <w:pPr>
                    <w:jc w:val="center"/>
                    <w:rPr>
                      <w:rFonts w:hint="eastAsia" w:cs="Times New Roman"/>
                      <w:bCs/>
                      <w:color w:val="auto"/>
                      <w:szCs w:val="21"/>
                      <w:lang w:val="en-US" w:eastAsia="zh-CN"/>
                    </w:rPr>
                  </w:pPr>
                  <w:r>
                    <w:rPr>
                      <w:rFonts w:hint="eastAsia" w:cs="Times New Roman"/>
                      <w:bCs/>
                      <w:color w:val="auto"/>
                      <w:szCs w:val="21"/>
                      <w:lang w:val="en-US" w:eastAsia="zh-CN"/>
                    </w:rPr>
                    <w:t>34</w:t>
                  </w:r>
                </w:p>
              </w:tc>
              <w:tc>
                <w:tcPr>
                  <w:tcW w:w="92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528#单体消防水箱间</w:t>
                  </w:r>
                </w:p>
              </w:tc>
              <w:tc>
                <w:tcPr>
                  <w:tcW w:w="2195" w:type="dxa"/>
                  <w:tcBorders>
                    <w:tl2br w:val="nil"/>
                    <w:tr2bl w:val="nil"/>
                  </w:tcBorders>
                  <w:vAlign w:val="center"/>
                </w:tcPr>
                <w:p>
                  <w:pPr>
                    <w:jc w:val="center"/>
                    <w:rPr>
                      <w:rFonts w:hint="eastAsia" w:cs="Times New Roman"/>
                      <w:bCs/>
                      <w:color w:val="auto"/>
                      <w:szCs w:val="21"/>
                      <w:lang w:val="en-US" w:eastAsia="zh-CN"/>
                    </w:rPr>
                  </w:pPr>
                  <w:r>
                    <w:rPr>
                      <w:rFonts w:hint="eastAsia" w:ascii="Times New Roman" w:hAnsi="Times New Roman" w:eastAsia="宋体" w:cs="Times New Roman"/>
                      <w:bCs/>
                      <w:color w:val="auto"/>
                      <w:szCs w:val="21"/>
                      <w:lang w:val="en-US" w:eastAsia="zh-CN"/>
                    </w:rPr>
                    <w:t>水泵</w:t>
                  </w:r>
                </w:p>
              </w:tc>
              <w:tc>
                <w:tcPr>
                  <w:tcW w:w="908"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4</w:t>
                  </w:r>
                </w:p>
              </w:tc>
              <w:tc>
                <w:tcPr>
                  <w:tcW w:w="1148" w:type="dxa"/>
                  <w:tcBorders>
                    <w:tl2br w:val="nil"/>
                    <w:tr2bl w:val="nil"/>
                  </w:tcBorders>
                  <w:vAlign w:val="center"/>
                </w:tcPr>
                <w:p>
                  <w:pPr>
                    <w:jc w:val="center"/>
                    <w:rPr>
                      <w:rFonts w:hint="eastAsia" w:cs="Times New Roman"/>
                      <w:bCs/>
                      <w:color w:val="auto"/>
                      <w:szCs w:val="21"/>
                      <w:lang w:val="en-US" w:eastAsia="zh-CN"/>
                    </w:rPr>
                  </w:pPr>
                  <w:r>
                    <w:rPr>
                      <w:rFonts w:hint="eastAsia" w:cs="Times New Roman"/>
                      <w:bCs/>
                      <w:color w:val="auto"/>
                      <w:szCs w:val="21"/>
                      <w:lang w:val="en-US" w:eastAsia="zh-CN"/>
                    </w:rPr>
                    <w:t>75</w:t>
                  </w:r>
                </w:p>
              </w:tc>
              <w:tc>
                <w:tcPr>
                  <w:tcW w:w="2473" w:type="dxa"/>
                  <w:tcBorders>
                    <w:tl2br w:val="nil"/>
                    <w:tr2bl w:val="nil"/>
                  </w:tcBorders>
                  <w:vAlign w:val="center"/>
                </w:tcPr>
                <w:p>
                  <w:pPr>
                    <w:jc w:val="center"/>
                    <w:rPr>
                      <w:rFonts w:hint="eastAsia" w:cs="Times New Roman"/>
                      <w:bCs/>
                      <w:color w:val="auto"/>
                      <w:szCs w:val="21"/>
                      <w:lang w:val="en-US" w:eastAsia="zh-CN"/>
                    </w:rPr>
                  </w:pPr>
                  <w:r>
                    <w:rPr>
                      <w:rFonts w:hint="eastAsia"/>
                      <w:color w:val="auto"/>
                      <w:lang w:val="en-US" w:eastAsia="zh-CN"/>
                    </w:rPr>
                    <w:t>低噪声设备、</w:t>
                  </w:r>
                  <w:r>
                    <w:rPr>
                      <w:color w:val="auto"/>
                    </w:rPr>
                    <w:t>厂房隔声、减振</w:t>
                  </w:r>
                  <w:r>
                    <w:rPr>
                      <w:rFonts w:hint="eastAsia"/>
                      <w:color w:val="auto"/>
                      <w:lang w:eastAsia="zh-CN"/>
                    </w:rPr>
                    <w:t>、</w:t>
                  </w:r>
                  <w:r>
                    <w:rPr>
                      <w:color w:val="auto"/>
                    </w:rPr>
                    <w:t>消声</w:t>
                  </w:r>
                </w:p>
              </w:tc>
              <w:tc>
                <w:tcPr>
                  <w:tcW w:w="991" w:type="dxa"/>
                  <w:tcBorders>
                    <w:tl2br w:val="nil"/>
                    <w:tr2bl w:val="nil"/>
                  </w:tcBorders>
                  <w:vAlign w:val="center"/>
                </w:tcPr>
                <w:p>
                  <w:pPr>
                    <w:jc w:val="center"/>
                    <w:rPr>
                      <w:rFonts w:hint="eastAsia" w:cs="Times New Roman"/>
                      <w:bCs/>
                      <w:color w:val="auto"/>
                      <w:szCs w:val="21"/>
                      <w:lang w:val="en-US" w:eastAsia="zh-CN"/>
                    </w:rPr>
                  </w:pPr>
                  <w:r>
                    <w:rPr>
                      <w:rFonts w:hint="eastAsia" w:cs="Times New Roman"/>
                      <w:bCs/>
                      <w:color w:val="auto"/>
                      <w:szCs w:val="21"/>
                      <w:lang w:val="en-US" w:eastAsia="zh-CN"/>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6" w:type="dxa"/>
                  <w:tcBorders>
                    <w:tl2br w:val="nil"/>
                    <w:tr2bl w:val="nil"/>
                  </w:tcBorders>
                  <w:vAlign w:val="center"/>
                </w:tcPr>
                <w:p>
                  <w:pPr>
                    <w:jc w:val="center"/>
                    <w:rPr>
                      <w:rFonts w:hint="eastAsia" w:cs="Times New Roman"/>
                      <w:bCs/>
                      <w:color w:val="auto"/>
                      <w:szCs w:val="21"/>
                      <w:lang w:val="en-US" w:eastAsia="zh-CN"/>
                    </w:rPr>
                  </w:pPr>
                  <w:r>
                    <w:rPr>
                      <w:rFonts w:hint="eastAsia" w:cs="Times New Roman"/>
                      <w:bCs/>
                      <w:color w:val="auto"/>
                      <w:szCs w:val="21"/>
                      <w:lang w:val="en-US" w:eastAsia="zh-CN"/>
                    </w:rPr>
                    <w:t>35</w:t>
                  </w:r>
                </w:p>
              </w:tc>
              <w:tc>
                <w:tcPr>
                  <w:tcW w:w="92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528#单体</w:t>
                  </w:r>
                  <w:r>
                    <w:rPr>
                      <w:rFonts w:hint="eastAsia" w:cs="Times New Roman"/>
                      <w:bCs/>
                      <w:color w:val="auto"/>
                      <w:szCs w:val="21"/>
                      <w:lang w:val="en-US" w:eastAsia="zh-CN"/>
                    </w:rPr>
                    <w:t>游乐设施污水处理站水泵房</w:t>
                  </w:r>
                </w:p>
              </w:tc>
              <w:tc>
                <w:tcPr>
                  <w:tcW w:w="219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水泵</w:t>
                  </w:r>
                </w:p>
              </w:tc>
              <w:tc>
                <w:tcPr>
                  <w:tcW w:w="908"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2</w:t>
                  </w:r>
                </w:p>
              </w:tc>
              <w:tc>
                <w:tcPr>
                  <w:tcW w:w="1148" w:type="dxa"/>
                  <w:tcBorders>
                    <w:tl2br w:val="nil"/>
                    <w:tr2bl w:val="nil"/>
                  </w:tcBorders>
                  <w:vAlign w:val="center"/>
                </w:tcPr>
                <w:p>
                  <w:pPr>
                    <w:jc w:val="center"/>
                    <w:rPr>
                      <w:rFonts w:hint="eastAsia" w:cs="Times New Roman"/>
                      <w:bCs/>
                      <w:color w:val="auto"/>
                      <w:szCs w:val="21"/>
                      <w:lang w:val="en-US" w:eastAsia="zh-CN"/>
                    </w:rPr>
                  </w:pPr>
                  <w:r>
                    <w:rPr>
                      <w:rFonts w:hint="eastAsia" w:cs="Times New Roman"/>
                      <w:bCs/>
                      <w:color w:val="auto"/>
                      <w:szCs w:val="21"/>
                      <w:lang w:val="en-US" w:eastAsia="zh-CN"/>
                    </w:rPr>
                    <w:t>75</w:t>
                  </w:r>
                </w:p>
              </w:tc>
              <w:tc>
                <w:tcPr>
                  <w:tcW w:w="2473" w:type="dxa"/>
                  <w:tcBorders>
                    <w:tl2br w:val="nil"/>
                    <w:tr2bl w:val="nil"/>
                  </w:tcBorders>
                  <w:vAlign w:val="center"/>
                </w:tcPr>
                <w:p>
                  <w:pPr>
                    <w:jc w:val="center"/>
                    <w:rPr>
                      <w:rFonts w:hint="eastAsia"/>
                      <w:color w:val="auto"/>
                      <w:lang w:val="en-US" w:eastAsia="zh-CN"/>
                    </w:rPr>
                  </w:pPr>
                  <w:r>
                    <w:rPr>
                      <w:rFonts w:hint="eastAsia"/>
                      <w:color w:val="auto"/>
                      <w:lang w:val="en-US" w:eastAsia="zh-CN"/>
                    </w:rPr>
                    <w:t>低噪声设备、</w:t>
                  </w:r>
                  <w:r>
                    <w:rPr>
                      <w:color w:val="auto"/>
                    </w:rPr>
                    <w:t>厂房隔声、减振</w:t>
                  </w:r>
                  <w:r>
                    <w:rPr>
                      <w:rFonts w:hint="eastAsia"/>
                      <w:color w:val="auto"/>
                      <w:lang w:eastAsia="zh-CN"/>
                    </w:rPr>
                    <w:t>、</w:t>
                  </w:r>
                  <w:r>
                    <w:rPr>
                      <w:color w:val="auto"/>
                    </w:rPr>
                    <w:t>消声</w:t>
                  </w:r>
                </w:p>
              </w:tc>
              <w:tc>
                <w:tcPr>
                  <w:tcW w:w="991" w:type="dxa"/>
                  <w:tcBorders>
                    <w:tl2br w:val="nil"/>
                    <w:tr2bl w:val="nil"/>
                  </w:tcBorders>
                  <w:vAlign w:val="center"/>
                </w:tcPr>
                <w:p>
                  <w:pPr>
                    <w:jc w:val="center"/>
                    <w:rPr>
                      <w:rFonts w:hint="eastAsia" w:cs="Times New Roman"/>
                      <w:bCs/>
                      <w:color w:val="auto"/>
                      <w:szCs w:val="21"/>
                      <w:lang w:val="en-US" w:eastAsia="zh-CN"/>
                    </w:rPr>
                  </w:pPr>
                  <w:r>
                    <w:rPr>
                      <w:rFonts w:hint="eastAsia" w:cs="Times New Roman"/>
                      <w:bCs/>
                      <w:color w:val="auto"/>
                      <w:szCs w:val="21"/>
                      <w:lang w:val="en-US" w:eastAsia="zh-CN"/>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6" w:type="dxa"/>
                  <w:tcBorders>
                    <w:tl2br w:val="nil"/>
                    <w:tr2bl w:val="nil"/>
                  </w:tcBorders>
                  <w:vAlign w:val="center"/>
                </w:tcPr>
                <w:p>
                  <w:pPr>
                    <w:jc w:val="center"/>
                    <w:rPr>
                      <w:rFonts w:hint="eastAsia" w:cs="Times New Roman"/>
                      <w:bCs/>
                      <w:color w:val="auto"/>
                      <w:szCs w:val="21"/>
                      <w:lang w:val="en-US" w:eastAsia="zh-CN"/>
                    </w:rPr>
                  </w:pPr>
                  <w:r>
                    <w:rPr>
                      <w:rFonts w:hint="eastAsia" w:cs="Times New Roman"/>
                      <w:bCs/>
                      <w:color w:val="auto"/>
                      <w:szCs w:val="21"/>
                      <w:lang w:val="en-US" w:eastAsia="zh-CN"/>
                    </w:rPr>
                    <w:t>36</w:t>
                  </w:r>
                </w:p>
              </w:tc>
              <w:tc>
                <w:tcPr>
                  <w:tcW w:w="92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主城堡地下水泵房</w:t>
                  </w:r>
                </w:p>
              </w:tc>
              <w:tc>
                <w:tcPr>
                  <w:tcW w:w="2195" w:type="dxa"/>
                  <w:tcBorders>
                    <w:tl2br w:val="nil"/>
                    <w:tr2bl w:val="nil"/>
                  </w:tcBorders>
                  <w:vAlign w:val="center"/>
                </w:tcPr>
                <w:p>
                  <w:pPr>
                    <w:jc w:val="center"/>
                    <w:rPr>
                      <w:rFonts w:hint="eastAsia" w:cs="Times New Roman"/>
                      <w:bCs/>
                      <w:color w:val="auto"/>
                      <w:szCs w:val="21"/>
                      <w:lang w:val="en-US" w:eastAsia="zh-CN"/>
                    </w:rPr>
                  </w:pPr>
                  <w:r>
                    <w:rPr>
                      <w:rFonts w:hint="eastAsia" w:ascii="Times New Roman" w:hAnsi="Times New Roman" w:eastAsia="宋体" w:cs="Times New Roman"/>
                      <w:bCs/>
                      <w:color w:val="auto"/>
                      <w:szCs w:val="21"/>
                      <w:lang w:val="en-US" w:eastAsia="zh-CN"/>
                    </w:rPr>
                    <w:t>水泵</w:t>
                  </w:r>
                </w:p>
              </w:tc>
              <w:tc>
                <w:tcPr>
                  <w:tcW w:w="908"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3</w:t>
                  </w:r>
                </w:p>
              </w:tc>
              <w:tc>
                <w:tcPr>
                  <w:tcW w:w="1148" w:type="dxa"/>
                  <w:tcBorders>
                    <w:tl2br w:val="nil"/>
                    <w:tr2bl w:val="nil"/>
                  </w:tcBorders>
                  <w:vAlign w:val="center"/>
                </w:tcPr>
                <w:p>
                  <w:pPr>
                    <w:jc w:val="center"/>
                    <w:rPr>
                      <w:rFonts w:hint="eastAsia" w:cs="Times New Roman"/>
                      <w:bCs/>
                      <w:color w:val="auto"/>
                      <w:szCs w:val="21"/>
                      <w:lang w:val="en-US" w:eastAsia="zh-CN"/>
                    </w:rPr>
                  </w:pPr>
                  <w:r>
                    <w:rPr>
                      <w:rFonts w:hint="eastAsia" w:cs="Times New Roman"/>
                      <w:bCs/>
                      <w:color w:val="auto"/>
                      <w:szCs w:val="21"/>
                      <w:lang w:val="en-US" w:eastAsia="zh-CN"/>
                    </w:rPr>
                    <w:t>75</w:t>
                  </w:r>
                </w:p>
              </w:tc>
              <w:tc>
                <w:tcPr>
                  <w:tcW w:w="2473" w:type="dxa"/>
                  <w:tcBorders>
                    <w:tl2br w:val="nil"/>
                    <w:tr2bl w:val="nil"/>
                  </w:tcBorders>
                  <w:vAlign w:val="center"/>
                </w:tcPr>
                <w:p>
                  <w:pPr>
                    <w:jc w:val="center"/>
                    <w:rPr>
                      <w:rFonts w:hint="eastAsia" w:cs="Times New Roman"/>
                      <w:bCs/>
                      <w:color w:val="auto"/>
                      <w:szCs w:val="21"/>
                      <w:lang w:val="en-US" w:eastAsia="zh-CN"/>
                    </w:rPr>
                  </w:pPr>
                  <w:r>
                    <w:rPr>
                      <w:rFonts w:hint="eastAsia"/>
                      <w:color w:val="auto"/>
                      <w:lang w:val="en-US" w:eastAsia="zh-CN"/>
                    </w:rPr>
                    <w:t>低噪声设备、</w:t>
                  </w:r>
                  <w:r>
                    <w:rPr>
                      <w:color w:val="auto"/>
                    </w:rPr>
                    <w:t>厂房隔声、减振</w:t>
                  </w:r>
                  <w:r>
                    <w:rPr>
                      <w:rFonts w:hint="eastAsia"/>
                      <w:color w:val="auto"/>
                      <w:lang w:eastAsia="zh-CN"/>
                    </w:rPr>
                    <w:t>、</w:t>
                  </w:r>
                  <w:r>
                    <w:rPr>
                      <w:color w:val="auto"/>
                    </w:rPr>
                    <w:t>消声</w:t>
                  </w:r>
                </w:p>
              </w:tc>
              <w:tc>
                <w:tcPr>
                  <w:tcW w:w="991" w:type="dxa"/>
                  <w:tcBorders>
                    <w:tl2br w:val="nil"/>
                    <w:tr2bl w:val="nil"/>
                  </w:tcBorders>
                  <w:vAlign w:val="center"/>
                </w:tcPr>
                <w:p>
                  <w:pPr>
                    <w:jc w:val="center"/>
                    <w:rPr>
                      <w:rFonts w:hint="eastAsia" w:cs="Times New Roman"/>
                      <w:bCs/>
                      <w:color w:val="auto"/>
                      <w:szCs w:val="21"/>
                      <w:lang w:val="en-US" w:eastAsia="zh-CN"/>
                    </w:rPr>
                  </w:pPr>
                  <w:r>
                    <w:rPr>
                      <w:rFonts w:hint="eastAsia" w:cs="Times New Roman"/>
                      <w:bCs/>
                      <w:color w:val="auto"/>
                      <w:szCs w:val="21"/>
                      <w:lang w:val="en-US" w:eastAsia="zh-CN"/>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6"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三</w:t>
                  </w:r>
                </w:p>
              </w:tc>
              <w:tc>
                <w:tcPr>
                  <w:tcW w:w="8640" w:type="dxa"/>
                  <w:gridSpan w:val="6"/>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娱乐噪声源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706"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37</w:t>
                  </w:r>
                </w:p>
              </w:tc>
              <w:tc>
                <w:tcPr>
                  <w:tcW w:w="92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游客娱乐活动</w:t>
                  </w:r>
                </w:p>
              </w:tc>
              <w:tc>
                <w:tcPr>
                  <w:tcW w:w="219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人群社会</w:t>
                  </w:r>
                </w:p>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生活</w:t>
                  </w:r>
                </w:p>
              </w:tc>
              <w:tc>
                <w:tcPr>
                  <w:tcW w:w="908"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w:t>
                  </w:r>
                </w:p>
              </w:tc>
              <w:tc>
                <w:tcPr>
                  <w:tcW w:w="1148"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rPr>
                    <w:t>65~7</w:t>
                  </w:r>
                  <w:r>
                    <w:rPr>
                      <w:rFonts w:hint="eastAsia" w:cs="Times New Roman"/>
                      <w:bCs/>
                      <w:color w:val="auto"/>
                      <w:szCs w:val="21"/>
                      <w:lang w:val="en-US" w:eastAsia="zh-CN"/>
                    </w:rPr>
                    <w:t>0</w:t>
                  </w:r>
                </w:p>
              </w:tc>
              <w:tc>
                <w:tcPr>
                  <w:tcW w:w="2473"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加强园区管理</w:t>
                  </w:r>
                </w:p>
              </w:tc>
              <w:tc>
                <w:tcPr>
                  <w:tcW w:w="991"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706"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四</w:t>
                  </w:r>
                </w:p>
              </w:tc>
              <w:tc>
                <w:tcPr>
                  <w:tcW w:w="8640" w:type="dxa"/>
                  <w:gridSpan w:val="6"/>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default" w:ascii="Times New Roman" w:hAnsi="Times New Roman" w:cs="Times New Roman"/>
                      <w:color w:val="auto"/>
                      <w:kern w:val="0"/>
                      <w:sz w:val="21"/>
                      <w:szCs w:val="21"/>
                      <w:lang w:val="en-US" w:eastAsia="zh-CN"/>
                    </w:rPr>
                    <w:t>多媒体音响系统</w:t>
                  </w:r>
                  <w:r>
                    <w:rPr>
                      <w:rFonts w:hint="eastAsia" w:cs="Times New Roman"/>
                      <w:color w:val="auto"/>
                      <w:kern w:val="0"/>
                      <w:sz w:val="21"/>
                      <w:szCs w:val="21"/>
                      <w:lang w:val="en-US" w:eastAsia="zh-CN"/>
                    </w:rPr>
                    <w:t>噪声源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jc w:val="center"/>
              </w:trPr>
              <w:tc>
                <w:tcPr>
                  <w:tcW w:w="706"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38</w:t>
                  </w:r>
                </w:p>
              </w:tc>
              <w:tc>
                <w:tcPr>
                  <w:tcW w:w="92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剧场、影院</w:t>
                  </w:r>
                </w:p>
              </w:tc>
              <w:tc>
                <w:tcPr>
                  <w:tcW w:w="219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多媒体音响</w:t>
                  </w:r>
                </w:p>
              </w:tc>
              <w:tc>
                <w:tcPr>
                  <w:tcW w:w="908"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11套</w:t>
                  </w:r>
                </w:p>
              </w:tc>
              <w:tc>
                <w:tcPr>
                  <w:tcW w:w="1148" w:type="dxa"/>
                  <w:tcBorders>
                    <w:tl2br w:val="nil"/>
                    <w:tr2bl w:val="nil"/>
                  </w:tcBorders>
                  <w:vAlign w:val="center"/>
                </w:tcPr>
                <w:p>
                  <w:pPr>
                    <w:jc w:val="center"/>
                    <w:rPr>
                      <w:rFonts w:hint="eastAsia" w:ascii="Times New Roman" w:hAnsi="Times New Roman" w:eastAsia="宋体" w:cs="Times New Roman"/>
                      <w:bCs/>
                      <w:color w:val="auto"/>
                      <w:szCs w:val="21"/>
                    </w:rPr>
                  </w:pPr>
                  <w:r>
                    <w:rPr>
                      <w:rFonts w:hint="eastAsia" w:ascii="Times New Roman" w:hAnsi="Times New Roman" w:eastAsia="宋体" w:cs="Times New Roman"/>
                      <w:bCs/>
                      <w:color w:val="auto"/>
                      <w:szCs w:val="21"/>
                    </w:rPr>
                    <w:t>80~90</w:t>
                  </w:r>
                </w:p>
              </w:tc>
              <w:tc>
                <w:tcPr>
                  <w:tcW w:w="2473"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布设于地下设备用房，设备用房四周做隔声材料</w:t>
                  </w:r>
                </w:p>
              </w:tc>
              <w:tc>
                <w:tcPr>
                  <w:tcW w:w="991"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70</w:t>
                  </w:r>
                </w:p>
              </w:tc>
            </w:tr>
          </w:tbl>
          <w:p>
            <w:pPr>
              <w:spacing w:line="360" w:lineRule="auto"/>
              <w:ind w:firstLine="482" w:firstLineChars="200"/>
              <w:rPr>
                <w:rFonts w:hint="eastAsia" w:ascii="Times New Roman" w:hAnsi="Times New Roman" w:cs="Times New Roman"/>
                <w:b/>
                <w:bCs/>
                <w:color w:val="auto"/>
                <w:kern w:val="0"/>
                <w:sz w:val="24"/>
                <w:lang w:val="en-US" w:eastAsia="zh-CN"/>
              </w:rPr>
            </w:pPr>
            <w:r>
              <w:rPr>
                <w:rFonts w:hint="eastAsia" w:ascii="Times New Roman" w:hAnsi="Times New Roman" w:cs="Times New Roman"/>
                <w:b/>
                <w:bCs/>
                <w:color w:val="auto"/>
                <w:kern w:val="0"/>
                <w:sz w:val="24"/>
                <w:lang w:val="en-US" w:eastAsia="zh-CN"/>
              </w:rPr>
              <w:t>3.3.2</w:t>
            </w:r>
            <w:r>
              <w:rPr>
                <w:rFonts w:hint="eastAsia" w:cs="Times New Roman"/>
                <w:b/>
                <w:bCs/>
                <w:color w:val="auto"/>
                <w:kern w:val="0"/>
                <w:sz w:val="24"/>
                <w:lang w:val="en-US" w:eastAsia="zh-CN"/>
              </w:rPr>
              <w:t>环境影响及</w:t>
            </w:r>
            <w:r>
              <w:rPr>
                <w:rFonts w:hint="eastAsia" w:ascii="Times New Roman" w:hAnsi="Times New Roman" w:cs="Times New Roman"/>
                <w:b/>
                <w:bCs/>
                <w:color w:val="auto"/>
                <w:kern w:val="0"/>
                <w:sz w:val="24"/>
                <w:lang w:val="en-US" w:eastAsia="zh-CN"/>
              </w:rPr>
              <w:t>达标分析</w:t>
            </w:r>
          </w:p>
          <w:p>
            <w:pPr>
              <w:spacing w:line="360" w:lineRule="auto"/>
              <w:ind w:firstLine="480" w:firstLineChars="200"/>
              <w:rPr>
                <w:rFonts w:hint="default" w:ascii="Times New Roman" w:hAnsi="Times New Roman" w:cs="Times New Roman"/>
                <w:color w:val="auto"/>
                <w:kern w:val="0"/>
                <w:sz w:val="24"/>
                <w:lang w:val="en-GB"/>
              </w:rPr>
            </w:pPr>
            <w:r>
              <w:rPr>
                <w:rFonts w:hint="default" w:ascii="Times New Roman" w:hAnsi="Times New Roman" w:cs="Times New Roman"/>
                <w:color w:val="auto"/>
                <w:kern w:val="0"/>
                <w:sz w:val="24"/>
              </w:rPr>
              <w:t>本次预测采用Noise System3.3软件，以厂区平面布置图作为预测底图，以厂区的西南角为原点（0，0）建立三维坐标系，考虑厂内建（构）筑物的遮挡影响。Noise System3.3软件计算标准为《环境影响评价技术导则声环境》（HJ2.4-2009）所依据的《户外声传播衰减第2 部分一般计算方法》（GB/T17247.2）完全等效，噪声预测结果</w:t>
            </w:r>
            <w:r>
              <w:rPr>
                <w:rFonts w:hint="default" w:ascii="Times New Roman" w:hAnsi="Times New Roman" w:cs="Times New Roman"/>
                <w:color w:val="auto"/>
                <w:kern w:val="0"/>
                <w:sz w:val="24"/>
                <w:lang w:val="en-GB"/>
              </w:rPr>
              <w:t>见表</w:t>
            </w:r>
            <w:r>
              <w:rPr>
                <w:rFonts w:hint="eastAsia" w:cs="Times New Roman"/>
                <w:color w:val="auto"/>
                <w:kern w:val="0"/>
                <w:sz w:val="24"/>
                <w:lang w:val="en-US" w:eastAsia="zh-CN"/>
              </w:rPr>
              <w:t>34</w:t>
            </w:r>
            <w:r>
              <w:rPr>
                <w:rFonts w:hint="default" w:ascii="Times New Roman" w:hAnsi="Times New Roman" w:cs="Times New Roman"/>
                <w:color w:val="auto"/>
                <w:kern w:val="0"/>
                <w:sz w:val="24"/>
                <w:lang w:val="en-GB"/>
              </w:rPr>
              <w:t>。</w:t>
            </w:r>
          </w:p>
          <w:p>
            <w:pPr>
              <w:spacing w:before="6" w:after="120"/>
              <w:jc w:val="center"/>
              <w:rPr>
                <w:rFonts w:hint="eastAsia"/>
                <w:color w:val="auto"/>
                <w:lang w:val="en-US" w:eastAsia="zh-CN"/>
              </w:rPr>
            </w:pPr>
            <w:r>
              <w:rPr>
                <w:rFonts w:hint="eastAsia"/>
                <w:color w:val="auto"/>
                <w:lang w:val="en-US" w:eastAsia="zh-CN"/>
              </w:rPr>
              <w:t xml:space="preserve"> </w:t>
            </w:r>
          </w:p>
          <w:p>
            <w:pPr>
              <w:spacing w:before="6" w:after="120"/>
              <w:jc w:val="center"/>
              <w:rPr>
                <w:rFonts w:hint="eastAsia"/>
                <w:color w:val="auto"/>
                <w:lang w:val="en-US" w:eastAsia="zh-CN"/>
              </w:rPr>
            </w:pPr>
          </w:p>
          <w:p>
            <w:pPr>
              <w:spacing w:before="6" w:after="120"/>
              <w:jc w:val="center"/>
              <w:rPr>
                <w:rFonts w:hint="eastAsia"/>
                <w:color w:val="auto"/>
                <w:lang w:val="en-US" w:eastAsia="zh-CN"/>
              </w:rPr>
            </w:pPr>
          </w:p>
          <w:p>
            <w:pPr>
              <w:spacing w:before="6" w:after="120"/>
              <w:jc w:val="center"/>
              <w:rPr>
                <w:rFonts w:hint="eastAsia"/>
                <w:color w:val="auto"/>
                <w:lang w:val="en-US" w:eastAsia="zh-CN"/>
              </w:rPr>
            </w:pPr>
          </w:p>
          <w:p>
            <w:pPr>
              <w:spacing w:before="6" w:after="120"/>
              <w:jc w:val="center"/>
              <w:rPr>
                <w:rFonts w:hint="eastAsia" w:ascii="Cambria" w:hAnsi="Cambria" w:eastAsia="黑体" w:cs="Times New Roman"/>
                <w:color w:val="auto"/>
                <w:kern w:val="2"/>
                <w:sz w:val="24"/>
                <w:szCs w:val="24"/>
                <w:lang w:val="en-US" w:eastAsia="zh-CN" w:bidi="ar-SA"/>
              </w:rPr>
            </w:pPr>
            <w:r>
              <w:rPr>
                <w:rFonts w:hint="eastAsia"/>
                <w:color w:val="auto"/>
                <w:lang w:val="en-US" w:eastAsia="zh-CN"/>
              </w:rPr>
              <w:t xml:space="preserve"> </w:t>
            </w:r>
            <w:r>
              <w:rPr>
                <w:rFonts w:hint="eastAsia" w:ascii="Cambria" w:hAnsi="Cambria" w:eastAsia="黑体" w:cs="Times New Roman"/>
                <w:color w:val="auto"/>
                <w:kern w:val="2"/>
                <w:sz w:val="24"/>
                <w:szCs w:val="24"/>
                <w:lang w:val="en-US" w:eastAsia="zh-CN" w:bidi="ar-SA"/>
              </w:rPr>
              <w:t>表34     项目厂界噪声预测结果表      单位：dB（A）</w:t>
            </w:r>
          </w:p>
          <w:tbl>
            <w:tblPr>
              <w:tblStyle w:val="24"/>
              <w:tblW w:w="934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2489"/>
              <w:gridCol w:w="947"/>
              <w:gridCol w:w="1130"/>
              <w:gridCol w:w="1165"/>
              <w:gridCol w:w="1165"/>
              <w:gridCol w:w="1129"/>
              <w:gridCol w:w="13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370" w:hRule="atLeast"/>
                <w:jc w:val="center"/>
              </w:trPr>
              <w:tc>
                <w:tcPr>
                  <w:tcW w:w="2489" w:type="dxa"/>
                  <w:vMerge w:val="restart"/>
                  <w:shd w:val="clear" w:color="auto" w:fill="FFFFFF"/>
                  <w:vAlign w:val="center"/>
                </w:tcPr>
                <w:p>
                  <w:pPr>
                    <w:jc w:val="center"/>
                    <w:rPr>
                      <w:color w:val="auto"/>
                    </w:rPr>
                  </w:pPr>
                  <w:r>
                    <w:rPr>
                      <w:color w:val="auto"/>
                    </w:rPr>
                    <mc:AlternateContent>
                      <mc:Choice Requires="wps">
                        <w:drawing>
                          <wp:anchor distT="0" distB="0" distL="114300" distR="114300" simplePos="0" relativeHeight="251691008" behindDoc="0" locked="0" layoutInCell="1" allowOverlap="1">
                            <wp:simplePos x="0" y="0"/>
                            <wp:positionH relativeFrom="column">
                              <wp:posOffset>-31750</wp:posOffset>
                            </wp:positionH>
                            <wp:positionV relativeFrom="paragraph">
                              <wp:posOffset>15875</wp:posOffset>
                            </wp:positionV>
                            <wp:extent cx="1515745" cy="560705"/>
                            <wp:effectExtent l="1905" t="4445" r="6350" b="6350"/>
                            <wp:wrapNone/>
                            <wp:docPr id="5" name="直线 415"/>
                            <wp:cNvGraphicFramePr/>
                            <a:graphic xmlns:a="http://schemas.openxmlformats.org/drawingml/2006/main">
                              <a:graphicData uri="http://schemas.microsoft.com/office/word/2010/wordprocessingShape">
                                <wps:wsp>
                                  <wps:cNvCnPr/>
                                  <wps:spPr>
                                    <a:xfrm>
                                      <a:off x="0" y="0"/>
                                      <a:ext cx="1515745" cy="560705"/>
                                    </a:xfrm>
                                    <a:prstGeom prst="line">
                                      <a:avLst/>
                                    </a:prstGeom>
                                    <a:ln w="6350" cap="flat" cmpd="sng">
                                      <a:solidFill>
                                        <a:srgbClr val="000000"/>
                                      </a:solidFill>
                                      <a:prstDash val="solid"/>
                                      <a:headEnd type="none" w="med" len="med"/>
                                      <a:tailEnd type="none" w="med" len="med"/>
                                    </a:ln>
                                  </wps:spPr>
                                  <wps:bodyPr/>
                                </wps:wsp>
                              </a:graphicData>
                            </a:graphic>
                          </wp:anchor>
                        </w:drawing>
                      </mc:Choice>
                      <mc:Fallback>
                        <w:pict>
                          <v:line id="直线 415" o:spid="_x0000_s1026" o:spt="20" style="position:absolute;left:0pt;margin-left:-2.5pt;margin-top:1.25pt;height:44.15pt;width:119.35pt;z-index:251691008;mso-width-relative:page;mso-height-relative:page;" filled="f" stroked="t" coordsize="21600,21600" o:gfxdata="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XSJK7VAAAABwEAAA8AAAAAAAAAAQAgAAAAIgAAAGRycy9k&#10;b3ducmV2LnhtbFBLAQIUABQAAAAIAIdO4kCUN40QzAEAAIgDAAAOAAAAAAAAAAEAIAAAACQBAABk&#10;cnMvZTJvRG9jLnhtbFBLBQYAAAAABgAGAFkBAABiBQAAAAA=&#10;">
                            <v:fill on="f" focussize="0,0"/>
                            <v:stroke weight="0.5pt" color="#000000" joinstyle="round"/>
                            <v:imagedata o:title=""/>
                            <o:lock v:ext="edit" aspectratio="f"/>
                          </v:line>
                        </w:pict>
                      </mc:Fallback>
                    </mc:AlternateContent>
                  </w:r>
                  <w:r>
                    <w:rPr>
                      <w:color w:val="auto"/>
                    </w:rPr>
                    <w:t xml:space="preserve">       预测结果     </w:t>
                  </w:r>
                </w:p>
                <w:p>
                  <w:pPr>
                    <w:snapToGrid w:val="0"/>
                    <w:rPr>
                      <w:color w:val="auto"/>
                    </w:rPr>
                  </w:pPr>
                  <w:r>
                    <w:rPr>
                      <w:color w:val="auto"/>
                    </w:rPr>
                    <w:t>位置</w:t>
                  </w:r>
                </w:p>
                <w:p>
                  <w:pPr>
                    <w:ind w:firstLine="1050" w:firstLineChars="500"/>
                    <w:rPr>
                      <w:color w:val="auto"/>
                    </w:rPr>
                  </w:pPr>
                </w:p>
              </w:tc>
              <w:tc>
                <w:tcPr>
                  <w:tcW w:w="2077" w:type="dxa"/>
                  <w:gridSpan w:val="2"/>
                  <w:shd w:val="clear" w:color="auto" w:fill="FFFFFF"/>
                  <w:vAlign w:val="center"/>
                </w:tcPr>
                <w:p>
                  <w:pPr>
                    <w:jc w:val="center"/>
                    <w:rPr>
                      <w:color w:val="auto"/>
                    </w:rPr>
                  </w:pPr>
                  <w:r>
                    <w:rPr>
                      <w:color w:val="auto"/>
                    </w:rPr>
                    <w:t>贡献值</w:t>
                  </w:r>
                </w:p>
              </w:tc>
              <w:tc>
                <w:tcPr>
                  <w:tcW w:w="2330" w:type="dxa"/>
                  <w:gridSpan w:val="2"/>
                  <w:shd w:val="clear" w:color="auto" w:fill="FFFFFF"/>
                  <w:vAlign w:val="center"/>
                </w:tcPr>
                <w:p>
                  <w:pPr>
                    <w:jc w:val="center"/>
                    <w:rPr>
                      <w:color w:val="auto"/>
                    </w:rPr>
                  </w:pPr>
                  <w:r>
                    <w:rPr>
                      <w:color w:val="auto"/>
                    </w:rPr>
                    <w:t>背景噪声</w:t>
                  </w:r>
                </w:p>
              </w:tc>
              <w:tc>
                <w:tcPr>
                  <w:tcW w:w="2450" w:type="dxa"/>
                  <w:gridSpan w:val="2"/>
                  <w:shd w:val="clear" w:color="auto" w:fill="FFFFFF"/>
                  <w:vAlign w:val="center"/>
                </w:tcPr>
                <w:p>
                  <w:pPr>
                    <w:jc w:val="center"/>
                    <w:rPr>
                      <w:color w:val="auto"/>
                    </w:rPr>
                  </w:pPr>
                  <w:r>
                    <w:rPr>
                      <w:color w:val="auto"/>
                    </w:rPr>
                    <w:t>预测值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60" w:hRule="atLeast"/>
                <w:jc w:val="center"/>
              </w:trPr>
              <w:tc>
                <w:tcPr>
                  <w:tcW w:w="2489" w:type="dxa"/>
                  <w:vMerge w:val="continue"/>
                  <w:shd w:val="clear" w:color="auto" w:fill="FFFFFF"/>
                  <w:vAlign w:val="center"/>
                </w:tcPr>
                <w:p>
                  <w:pPr>
                    <w:jc w:val="center"/>
                    <w:rPr>
                      <w:color w:val="auto"/>
                    </w:rPr>
                  </w:pPr>
                </w:p>
              </w:tc>
              <w:tc>
                <w:tcPr>
                  <w:tcW w:w="947" w:type="dxa"/>
                  <w:shd w:val="clear" w:color="auto" w:fill="FFFFFF"/>
                  <w:vAlign w:val="center"/>
                </w:tcPr>
                <w:p>
                  <w:pPr>
                    <w:jc w:val="center"/>
                    <w:rPr>
                      <w:color w:val="auto"/>
                    </w:rPr>
                  </w:pPr>
                  <w:r>
                    <w:rPr>
                      <w:color w:val="auto"/>
                    </w:rPr>
                    <w:t>昼间</w:t>
                  </w:r>
                </w:p>
              </w:tc>
              <w:tc>
                <w:tcPr>
                  <w:tcW w:w="1130" w:type="dxa"/>
                  <w:shd w:val="clear" w:color="auto" w:fill="FFFFFF"/>
                  <w:vAlign w:val="center"/>
                </w:tcPr>
                <w:p>
                  <w:pPr>
                    <w:jc w:val="center"/>
                    <w:rPr>
                      <w:color w:val="auto"/>
                    </w:rPr>
                  </w:pPr>
                  <w:r>
                    <w:rPr>
                      <w:color w:val="auto"/>
                    </w:rPr>
                    <w:t>夜间</w:t>
                  </w:r>
                </w:p>
              </w:tc>
              <w:tc>
                <w:tcPr>
                  <w:tcW w:w="1165" w:type="dxa"/>
                  <w:shd w:val="clear" w:color="auto" w:fill="FFFFFF"/>
                  <w:vAlign w:val="center"/>
                </w:tcPr>
                <w:p>
                  <w:pPr>
                    <w:jc w:val="center"/>
                    <w:rPr>
                      <w:color w:val="auto"/>
                    </w:rPr>
                  </w:pPr>
                  <w:r>
                    <w:rPr>
                      <w:color w:val="auto"/>
                    </w:rPr>
                    <w:t>昼间</w:t>
                  </w:r>
                </w:p>
              </w:tc>
              <w:tc>
                <w:tcPr>
                  <w:tcW w:w="1165" w:type="dxa"/>
                  <w:shd w:val="clear" w:color="auto" w:fill="FFFFFF"/>
                  <w:vAlign w:val="center"/>
                </w:tcPr>
                <w:p>
                  <w:pPr>
                    <w:jc w:val="center"/>
                    <w:rPr>
                      <w:color w:val="auto"/>
                    </w:rPr>
                  </w:pPr>
                  <w:r>
                    <w:rPr>
                      <w:color w:val="auto"/>
                    </w:rPr>
                    <w:t>夜间</w:t>
                  </w:r>
                </w:p>
              </w:tc>
              <w:tc>
                <w:tcPr>
                  <w:tcW w:w="1129" w:type="dxa"/>
                  <w:shd w:val="clear" w:color="auto" w:fill="FFFFFF"/>
                  <w:vAlign w:val="center"/>
                </w:tcPr>
                <w:p>
                  <w:pPr>
                    <w:jc w:val="center"/>
                    <w:rPr>
                      <w:color w:val="auto"/>
                    </w:rPr>
                  </w:pPr>
                  <w:r>
                    <w:rPr>
                      <w:color w:val="auto"/>
                    </w:rPr>
                    <w:t>昼间</w:t>
                  </w:r>
                </w:p>
              </w:tc>
              <w:tc>
                <w:tcPr>
                  <w:tcW w:w="1321" w:type="dxa"/>
                  <w:shd w:val="clear" w:color="auto" w:fill="FFFFFF"/>
                  <w:vAlign w:val="center"/>
                </w:tcPr>
                <w:p>
                  <w:pPr>
                    <w:jc w:val="center"/>
                    <w:rPr>
                      <w:color w:val="auto"/>
                    </w:rPr>
                  </w:pPr>
                  <w:r>
                    <w:rPr>
                      <w:color w:val="auto"/>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310" w:hRule="atLeast"/>
                <w:jc w:val="center"/>
              </w:trPr>
              <w:tc>
                <w:tcPr>
                  <w:tcW w:w="2489" w:type="dxa"/>
                  <w:shd w:val="clear" w:color="auto" w:fill="FFFFFF"/>
                  <w:vAlign w:val="center"/>
                </w:tcPr>
                <w:p>
                  <w:pPr>
                    <w:jc w:val="center"/>
                    <w:rPr>
                      <w:color w:val="auto"/>
                    </w:rPr>
                  </w:pPr>
                  <w:r>
                    <w:rPr>
                      <w:color w:val="auto"/>
                    </w:rPr>
                    <w:t>厂界东（</w:t>
                  </w:r>
                  <w:r>
                    <w:rPr>
                      <w:rFonts w:hint="eastAsia"/>
                      <w:color w:val="auto"/>
                    </w:rPr>
                    <w:t>1#</w:t>
                  </w:r>
                  <w:r>
                    <w:rPr>
                      <w:color w:val="auto"/>
                    </w:rPr>
                    <w:t>）</w:t>
                  </w:r>
                </w:p>
              </w:tc>
              <w:tc>
                <w:tcPr>
                  <w:tcW w:w="947" w:type="dxa"/>
                  <w:shd w:val="clear" w:color="auto" w:fill="FFFFFF"/>
                  <w:vAlign w:val="center"/>
                </w:tcPr>
                <w:p>
                  <w:pPr>
                    <w:jc w:val="center"/>
                    <w:textAlignment w:val="center"/>
                    <w:rPr>
                      <w:rFonts w:hint="eastAsia" w:eastAsia="宋体"/>
                      <w:color w:val="auto"/>
                      <w:lang w:eastAsia="zh-CN"/>
                    </w:rPr>
                  </w:pPr>
                  <w:r>
                    <w:rPr>
                      <w:rFonts w:hint="eastAsia"/>
                      <w:color w:val="auto"/>
                      <w:lang w:val="en-US" w:eastAsia="zh-CN"/>
                    </w:rPr>
                    <w:t>45.5</w:t>
                  </w:r>
                </w:p>
              </w:tc>
              <w:tc>
                <w:tcPr>
                  <w:tcW w:w="1130" w:type="dxa"/>
                  <w:shd w:val="clear" w:color="auto" w:fill="FFFFFF"/>
                </w:tcPr>
                <w:p>
                  <w:pPr>
                    <w:jc w:val="center"/>
                    <w:textAlignment w:val="center"/>
                    <w:rPr>
                      <w:rFonts w:hint="eastAsia" w:eastAsia="宋体"/>
                      <w:color w:val="auto"/>
                      <w:lang w:val="en-US" w:eastAsia="zh-CN"/>
                    </w:rPr>
                  </w:pPr>
                  <w:r>
                    <w:rPr>
                      <w:rFonts w:hint="eastAsia" w:eastAsia="宋体"/>
                      <w:color w:val="auto"/>
                      <w:lang w:val="en-US" w:eastAsia="zh-CN"/>
                    </w:rPr>
                    <w:t>/</w:t>
                  </w:r>
                </w:p>
              </w:tc>
              <w:tc>
                <w:tcPr>
                  <w:tcW w:w="1165" w:type="dxa"/>
                  <w:shd w:val="clear" w:color="auto" w:fill="FFFFFF"/>
                  <w:vAlign w:val="center"/>
                </w:tcPr>
                <w:p>
                  <w:pPr>
                    <w:jc w:val="center"/>
                    <w:textAlignment w:val="center"/>
                    <w:rPr>
                      <w:color w:val="auto"/>
                    </w:rPr>
                  </w:pPr>
                  <w:r>
                    <w:rPr>
                      <w:color w:val="auto"/>
                    </w:rPr>
                    <w:t>/</w:t>
                  </w:r>
                </w:p>
              </w:tc>
              <w:tc>
                <w:tcPr>
                  <w:tcW w:w="1165" w:type="dxa"/>
                  <w:shd w:val="clear" w:color="auto" w:fill="FFFFFF"/>
                  <w:vAlign w:val="center"/>
                </w:tcPr>
                <w:p>
                  <w:pPr>
                    <w:jc w:val="center"/>
                    <w:textAlignment w:val="center"/>
                    <w:rPr>
                      <w:color w:val="auto"/>
                    </w:rPr>
                  </w:pPr>
                  <w:r>
                    <w:rPr>
                      <w:color w:val="auto"/>
                    </w:rPr>
                    <w:t>/</w:t>
                  </w:r>
                </w:p>
              </w:tc>
              <w:tc>
                <w:tcPr>
                  <w:tcW w:w="1129" w:type="dxa"/>
                  <w:shd w:val="clear" w:color="auto" w:fill="FFFFFF"/>
                  <w:vAlign w:val="center"/>
                </w:tcPr>
                <w:p>
                  <w:pPr>
                    <w:jc w:val="center"/>
                    <w:rPr>
                      <w:color w:val="auto"/>
                    </w:rPr>
                  </w:pPr>
                  <w:r>
                    <w:rPr>
                      <w:color w:val="auto"/>
                    </w:rPr>
                    <w:t>/</w:t>
                  </w:r>
                </w:p>
              </w:tc>
              <w:tc>
                <w:tcPr>
                  <w:tcW w:w="1321" w:type="dxa"/>
                  <w:shd w:val="clear" w:color="auto" w:fill="FFFFFF"/>
                  <w:vAlign w:val="center"/>
                </w:tcPr>
                <w:p>
                  <w:pPr>
                    <w:jc w:val="center"/>
                    <w:rPr>
                      <w:color w:val="auto"/>
                    </w:rPr>
                  </w:pPr>
                  <w:r>
                    <w:rPr>
                      <w:color w:val="auto"/>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310" w:hRule="atLeast"/>
                <w:jc w:val="center"/>
              </w:trPr>
              <w:tc>
                <w:tcPr>
                  <w:tcW w:w="2489" w:type="dxa"/>
                  <w:shd w:val="clear" w:color="auto" w:fill="FFFFFF"/>
                  <w:vAlign w:val="center"/>
                </w:tcPr>
                <w:p>
                  <w:pPr>
                    <w:jc w:val="center"/>
                    <w:rPr>
                      <w:color w:val="auto"/>
                    </w:rPr>
                  </w:pPr>
                  <w:r>
                    <w:rPr>
                      <w:color w:val="auto"/>
                    </w:rPr>
                    <w:t>厂界南（</w:t>
                  </w:r>
                  <w:r>
                    <w:rPr>
                      <w:rFonts w:hint="eastAsia"/>
                      <w:color w:val="auto"/>
                    </w:rPr>
                    <w:t>2#</w:t>
                  </w:r>
                  <w:r>
                    <w:rPr>
                      <w:color w:val="auto"/>
                    </w:rPr>
                    <w:t>）</w:t>
                  </w:r>
                </w:p>
              </w:tc>
              <w:tc>
                <w:tcPr>
                  <w:tcW w:w="947" w:type="dxa"/>
                  <w:shd w:val="clear" w:color="auto" w:fill="FFFFFF"/>
                  <w:vAlign w:val="center"/>
                </w:tcPr>
                <w:p>
                  <w:pPr>
                    <w:jc w:val="center"/>
                    <w:textAlignment w:val="center"/>
                    <w:rPr>
                      <w:rFonts w:hint="eastAsia" w:eastAsia="宋体"/>
                      <w:color w:val="auto"/>
                      <w:lang w:eastAsia="zh-CN"/>
                    </w:rPr>
                  </w:pPr>
                  <w:r>
                    <w:rPr>
                      <w:rFonts w:hint="eastAsia"/>
                      <w:color w:val="auto"/>
                      <w:lang w:val="en-US" w:eastAsia="zh-CN"/>
                    </w:rPr>
                    <w:t>48.0</w:t>
                  </w:r>
                </w:p>
              </w:tc>
              <w:tc>
                <w:tcPr>
                  <w:tcW w:w="1130" w:type="dxa"/>
                  <w:shd w:val="clear" w:color="auto" w:fill="FFFFFF"/>
                </w:tcPr>
                <w:p>
                  <w:pPr>
                    <w:jc w:val="center"/>
                    <w:textAlignment w:val="center"/>
                    <w:rPr>
                      <w:rFonts w:hint="eastAsia" w:eastAsia="宋体"/>
                      <w:color w:val="auto"/>
                      <w:lang w:eastAsia="zh-CN"/>
                    </w:rPr>
                  </w:pPr>
                  <w:r>
                    <w:rPr>
                      <w:rFonts w:hint="eastAsia"/>
                      <w:color w:val="auto"/>
                      <w:lang w:val="en-US" w:eastAsia="zh-CN"/>
                    </w:rPr>
                    <w:t>/</w:t>
                  </w:r>
                </w:p>
              </w:tc>
              <w:tc>
                <w:tcPr>
                  <w:tcW w:w="1165" w:type="dxa"/>
                  <w:shd w:val="clear" w:color="auto" w:fill="FFFFFF"/>
                  <w:vAlign w:val="center"/>
                </w:tcPr>
                <w:p>
                  <w:pPr>
                    <w:jc w:val="center"/>
                    <w:textAlignment w:val="center"/>
                    <w:rPr>
                      <w:color w:val="auto"/>
                    </w:rPr>
                  </w:pPr>
                  <w:r>
                    <w:rPr>
                      <w:color w:val="auto"/>
                    </w:rPr>
                    <w:t>/</w:t>
                  </w:r>
                </w:p>
              </w:tc>
              <w:tc>
                <w:tcPr>
                  <w:tcW w:w="1165" w:type="dxa"/>
                  <w:shd w:val="clear" w:color="auto" w:fill="FFFFFF"/>
                  <w:vAlign w:val="center"/>
                </w:tcPr>
                <w:p>
                  <w:pPr>
                    <w:jc w:val="center"/>
                    <w:textAlignment w:val="center"/>
                    <w:rPr>
                      <w:color w:val="auto"/>
                    </w:rPr>
                  </w:pPr>
                  <w:r>
                    <w:rPr>
                      <w:color w:val="auto"/>
                    </w:rPr>
                    <w:t>/</w:t>
                  </w:r>
                </w:p>
              </w:tc>
              <w:tc>
                <w:tcPr>
                  <w:tcW w:w="1129" w:type="dxa"/>
                  <w:shd w:val="clear" w:color="auto" w:fill="FFFFFF"/>
                  <w:vAlign w:val="center"/>
                </w:tcPr>
                <w:p>
                  <w:pPr>
                    <w:jc w:val="center"/>
                    <w:rPr>
                      <w:color w:val="auto"/>
                    </w:rPr>
                  </w:pPr>
                  <w:r>
                    <w:rPr>
                      <w:color w:val="auto"/>
                    </w:rPr>
                    <w:t>/</w:t>
                  </w:r>
                </w:p>
              </w:tc>
              <w:tc>
                <w:tcPr>
                  <w:tcW w:w="1321" w:type="dxa"/>
                  <w:shd w:val="clear" w:color="auto" w:fill="FFFFFF"/>
                  <w:vAlign w:val="center"/>
                </w:tcPr>
                <w:p>
                  <w:pPr>
                    <w:jc w:val="center"/>
                    <w:rPr>
                      <w:color w:val="auto"/>
                    </w:rPr>
                  </w:pPr>
                  <w:r>
                    <w:rPr>
                      <w:color w:val="auto"/>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310" w:hRule="atLeast"/>
                <w:jc w:val="center"/>
              </w:trPr>
              <w:tc>
                <w:tcPr>
                  <w:tcW w:w="2489" w:type="dxa"/>
                  <w:shd w:val="clear" w:color="auto" w:fill="FFFFFF"/>
                  <w:vAlign w:val="center"/>
                </w:tcPr>
                <w:p>
                  <w:pPr>
                    <w:jc w:val="center"/>
                    <w:rPr>
                      <w:color w:val="auto"/>
                    </w:rPr>
                  </w:pPr>
                  <w:r>
                    <w:rPr>
                      <w:color w:val="auto"/>
                    </w:rPr>
                    <w:t>厂界西（</w:t>
                  </w:r>
                  <w:r>
                    <w:rPr>
                      <w:rFonts w:hint="eastAsia"/>
                      <w:color w:val="auto"/>
                    </w:rPr>
                    <w:t>3#</w:t>
                  </w:r>
                  <w:r>
                    <w:rPr>
                      <w:color w:val="auto"/>
                    </w:rPr>
                    <w:t>）</w:t>
                  </w:r>
                </w:p>
              </w:tc>
              <w:tc>
                <w:tcPr>
                  <w:tcW w:w="947" w:type="dxa"/>
                  <w:shd w:val="clear" w:color="auto" w:fill="FFFFFF"/>
                  <w:vAlign w:val="center"/>
                </w:tcPr>
                <w:p>
                  <w:pPr>
                    <w:jc w:val="center"/>
                    <w:textAlignment w:val="center"/>
                    <w:rPr>
                      <w:rFonts w:hint="eastAsia" w:eastAsia="宋体"/>
                      <w:color w:val="auto"/>
                      <w:lang w:eastAsia="zh-CN"/>
                    </w:rPr>
                  </w:pPr>
                  <w:r>
                    <w:rPr>
                      <w:rFonts w:hint="eastAsia"/>
                      <w:color w:val="auto"/>
                      <w:lang w:val="en-US" w:eastAsia="zh-CN"/>
                    </w:rPr>
                    <w:t>43.9</w:t>
                  </w:r>
                </w:p>
              </w:tc>
              <w:tc>
                <w:tcPr>
                  <w:tcW w:w="1130" w:type="dxa"/>
                  <w:shd w:val="clear" w:color="auto" w:fill="FFFFFF"/>
                </w:tcPr>
                <w:p>
                  <w:pPr>
                    <w:jc w:val="center"/>
                    <w:textAlignment w:val="center"/>
                    <w:rPr>
                      <w:rFonts w:hint="eastAsia" w:eastAsia="宋体"/>
                      <w:color w:val="auto"/>
                      <w:lang w:eastAsia="zh-CN"/>
                    </w:rPr>
                  </w:pPr>
                  <w:r>
                    <w:rPr>
                      <w:rFonts w:hint="eastAsia"/>
                      <w:color w:val="auto"/>
                      <w:lang w:val="en-US" w:eastAsia="zh-CN"/>
                    </w:rPr>
                    <w:t>/</w:t>
                  </w:r>
                </w:p>
              </w:tc>
              <w:tc>
                <w:tcPr>
                  <w:tcW w:w="1165" w:type="dxa"/>
                  <w:shd w:val="clear" w:color="auto" w:fill="FFFFFF"/>
                  <w:vAlign w:val="center"/>
                </w:tcPr>
                <w:p>
                  <w:pPr>
                    <w:jc w:val="center"/>
                    <w:textAlignment w:val="center"/>
                    <w:rPr>
                      <w:color w:val="auto"/>
                    </w:rPr>
                  </w:pPr>
                  <w:r>
                    <w:rPr>
                      <w:color w:val="auto"/>
                    </w:rPr>
                    <w:t>/</w:t>
                  </w:r>
                </w:p>
              </w:tc>
              <w:tc>
                <w:tcPr>
                  <w:tcW w:w="1165" w:type="dxa"/>
                  <w:shd w:val="clear" w:color="auto" w:fill="FFFFFF"/>
                  <w:vAlign w:val="center"/>
                </w:tcPr>
                <w:p>
                  <w:pPr>
                    <w:jc w:val="center"/>
                    <w:textAlignment w:val="center"/>
                    <w:rPr>
                      <w:color w:val="auto"/>
                    </w:rPr>
                  </w:pPr>
                  <w:r>
                    <w:rPr>
                      <w:color w:val="auto"/>
                    </w:rPr>
                    <w:t>/</w:t>
                  </w:r>
                </w:p>
              </w:tc>
              <w:tc>
                <w:tcPr>
                  <w:tcW w:w="1129" w:type="dxa"/>
                  <w:shd w:val="clear" w:color="auto" w:fill="FFFFFF"/>
                  <w:vAlign w:val="center"/>
                </w:tcPr>
                <w:p>
                  <w:pPr>
                    <w:jc w:val="center"/>
                    <w:rPr>
                      <w:color w:val="auto"/>
                    </w:rPr>
                  </w:pPr>
                  <w:r>
                    <w:rPr>
                      <w:color w:val="auto"/>
                    </w:rPr>
                    <w:t>/</w:t>
                  </w:r>
                </w:p>
              </w:tc>
              <w:tc>
                <w:tcPr>
                  <w:tcW w:w="1321" w:type="dxa"/>
                  <w:shd w:val="clear" w:color="auto" w:fill="FFFFFF"/>
                  <w:vAlign w:val="center"/>
                </w:tcPr>
                <w:p>
                  <w:pPr>
                    <w:jc w:val="center"/>
                    <w:rPr>
                      <w:color w:val="auto"/>
                    </w:rPr>
                  </w:pPr>
                  <w:r>
                    <w:rPr>
                      <w:color w:val="auto"/>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310" w:hRule="atLeast"/>
                <w:jc w:val="center"/>
              </w:trPr>
              <w:tc>
                <w:tcPr>
                  <w:tcW w:w="2489" w:type="dxa"/>
                  <w:shd w:val="clear" w:color="auto" w:fill="FFFFFF"/>
                  <w:vAlign w:val="center"/>
                </w:tcPr>
                <w:p>
                  <w:pPr>
                    <w:jc w:val="center"/>
                    <w:rPr>
                      <w:color w:val="auto"/>
                    </w:rPr>
                  </w:pPr>
                  <w:r>
                    <w:rPr>
                      <w:color w:val="auto"/>
                    </w:rPr>
                    <w:t>厂界北（</w:t>
                  </w:r>
                  <w:r>
                    <w:rPr>
                      <w:rFonts w:hint="eastAsia"/>
                      <w:color w:val="auto"/>
                    </w:rPr>
                    <w:t>4#</w:t>
                  </w:r>
                  <w:r>
                    <w:rPr>
                      <w:color w:val="auto"/>
                    </w:rPr>
                    <w:t>）</w:t>
                  </w:r>
                </w:p>
              </w:tc>
              <w:tc>
                <w:tcPr>
                  <w:tcW w:w="947" w:type="dxa"/>
                  <w:shd w:val="clear" w:color="auto" w:fill="FFFFFF"/>
                  <w:vAlign w:val="center"/>
                </w:tcPr>
                <w:p>
                  <w:pPr>
                    <w:jc w:val="center"/>
                    <w:textAlignment w:val="center"/>
                    <w:rPr>
                      <w:rFonts w:hint="eastAsia" w:eastAsia="宋体"/>
                      <w:color w:val="auto"/>
                      <w:lang w:eastAsia="zh-CN"/>
                    </w:rPr>
                  </w:pPr>
                  <w:r>
                    <w:rPr>
                      <w:rFonts w:hint="eastAsia"/>
                      <w:color w:val="auto"/>
                      <w:lang w:val="en-US" w:eastAsia="zh-CN"/>
                    </w:rPr>
                    <w:t>42.3</w:t>
                  </w:r>
                </w:p>
              </w:tc>
              <w:tc>
                <w:tcPr>
                  <w:tcW w:w="1130" w:type="dxa"/>
                  <w:shd w:val="clear" w:color="auto" w:fill="FFFFFF"/>
                </w:tcPr>
                <w:p>
                  <w:pPr>
                    <w:jc w:val="center"/>
                    <w:textAlignment w:val="center"/>
                    <w:rPr>
                      <w:rFonts w:hint="eastAsia" w:eastAsia="宋体"/>
                      <w:color w:val="auto"/>
                      <w:lang w:eastAsia="zh-CN"/>
                    </w:rPr>
                  </w:pPr>
                  <w:r>
                    <w:rPr>
                      <w:rFonts w:hint="eastAsia"/>
                      <w:color w:val="auto"/>
                      <w:lang w:val="en-US" w:eastAsia="zh-CN"/>
                    </w:rPr>
                    <w:t>/</w:t>
                  </w:r>
                </w:p>
              </w:tc>
              <w:tc>
                <w:tcPr>
                  <w:tcW w:w="1165" w:type="dxa"/>
                  <w:shd w:val="clear" w:color="auto" w:fill="FFFFFF"/>
                  <w:vAlign w:val="center"/>
                </w:tcPr>
                <w:p>
                  <w:pPr>
                    <w:jc w:val="center"/>
                    <w:textAlignment w:val="center"/>
                    <w:rPr>
                      <w:color w:val="auto"/>
                    </w:rPr>
                  </w:pPr>
                  <w:r>
                    <w:rPr>
                      <w:color w:val="auto"/>
                    </w:rPr>
                    <w:t>/</w:t>
                  </w:r>
                </w:p>
              </w:tc>
              <w:tc>
                <w:tcPr>
                  <w:tcW w:w="1165" w:type="dxa"/>
                  <w:shd w:val="clear" w:color="auto" w:fill="FFFFFF"/>
                  <w:vAlign w:val="center"/>
                </w:tcPr>
                <w:p>
                  <w:pPr>
                    <w:jc w:val="center"/>
                    <w:textAlignment w:val="center"/>
                    <w:rPr>
                      <w:color w:val="auto"/>
                    </w:rPr>
                  </w:pPr>
                  <w:r>
                    <w:rPr>
                      <w:color w:val="auto"/>
                    </w:rPr>
                    <w:t>/</w:t>
                  </w:r>
                </w:p>
              </w:tc>
              <w:tc>
                <w:tcPr>
                  <w:tcW w:w="1129" w:type="dxa"/>
                  <w:shd w:val="clear" w:color="auto" w:fill="FFFFFF"/>
                  <w:vAlign w:val="center"/>
                </w:tcPr>
                <w:p>
                  <w:pPr>
                    <w:jc w:val="center"/>
                    <w:rPr>
                      <w:color w:val="auto"/>
                    </w:rPr>
                  </w:pPr>
                  <w:r>
                    <w:rPr>
                      <w:color w:val="auto"/>
                    </w:rPr>
                    <w:t>/</w:t>
                  </w:r>
                </w:p>
              </w:tc>
              <w:tc>
                <w:tcPr>
                  <w:tcW w:w="1321" w:type="dxa"/>
                  <w:shd w:val="clear" w:color="auto" w:fill="FFFFFF"/>
                  <w:vAlign w:val="center"/>
                </w:tcPr>
                <w:p>
                  <w:pPr>
                    <w:jc w:val="center"/>
                    <w:rPr>
                      <w:color w:val="auto"/>
                    </w:rPr>
                  </w:pPr>
                  <w:r>
                    <w:rPr>
                      <w:color w:val="auto"/>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310" w:hRule="atLeast"/>
                <w:jc w:val="center"/>
              </w:trPr>
              <w:tc>
                <w:tcPr>
                  <w:tcW w:w="2489" w:type="dxa"/>
                  <w:shd w:val="clear" w:color="auto" w:fill="FFFFFF"/>
                  <w:vAlign w:val="center"/>
                </w:tcPr>
                <w:p>
                  <w:pPr>
                    <w:jc w:val="center"/>
                    <w:rPr>
                      <w:rFonts w:hint="eastAsia" w:eastAsia="宋体"/>
                      <w:color w:val="auto"/>
                      <w:lang w:val="en-US" w:eastAsia="zh-CN"/>
                    </w:rPr>
                  </w:pPr>
                  <w:r>
                    <w:rPr>
                      <w:rFonts w:hint="eastAsia"/>
                      <w:color w:val="auto"/>
                      <w:lang w:val="en-US" w:eastAsia="zh-CN"/>
                    </w:rPr>
                    <w:t>二杨庄村</w:t>
                  </w:r>
                </w:p>
              </w:tc>
              <w:tc>
                <w:tcPr>
                  <w:tcW w:w="947" w:type="dxa"/>
                  <w:shd w:val="clear" w:color="auto" w:fill="FFFFFF"/>
                  <w:textDirection w:val="lrTb"/>
                  <w:vAlign w:val="center"/>
                </w:tcPr>
                <w:p>
                  <w:pPr>
                    <w:jc w:val="center"/>
                    <w:textAlignment w:val="center"/>
                    <w:rPr>
                      <w:rFonts w:hint="eastAsia"/>
                      <w:color w:val="auto"/>
                      <w:lang w:val="en-US" w:eastAsia="zh-CN"/>
                    </w:rPr>
                  </w:pPr>
                  <w:r>
                    <w:rPr>
                      <w:rFonts w:hint="eastAsia"/>
                      <w:color w:val="auto"/>
                      <w:lang w:val="en-US" w:eastAsia="zh-CN"/>
                    </w:rPr>
                    <w:t>42.0</w:t>
                  </w:r>
                </w:p>
              </w:tc>
              <w:tc>
                <w:tcPr>
                  <w:tcW w:w="1130" w:type="dxa"/>
                  <w:shd w:val="clear" w:color="auto" w:fill="FFFFFF"/>
                  <w:textDirection w:val="lrTb"/>
                  <w:vAlign w:val="top"/>
                </w:tcPr>
                <w:p>
                  <w:pPr>
                    <w:jc w:val="center"/>
                    <w:textAlignment w:val="center"/>
                    <w:rPr>
                      <w:rFonts w:hint="eastAsia"/>
                      <w:color w:val="auto"/>
                      <w:lang w:val="en-US" w:eastAsia="zh-CN"/>
                    </w:rPr>
                  </w:pPr>
                  <w:r>
                    <w:rPr>
                      <w:rFonts w:hint="eastAsia"/>
                      <w:color w:val="auto"/>
                      <w:lang w:val="en-US" w:eastAsia="zh-CN"/>
                    </w:rPr>
                    <w:t>/</w:t>
                  </w:r>
                </w:p>
              </w:tc>
              <w:tc>
                <w:tcPr>
                  <w:tcW w:w="1165" w:type="dxa"/>
                  <w:shd w:val="clear" w:color="auto" w:fill="FFFFFF"/>
                  <w:vAlign w:val="center"/>
                </w:tcPr>
                <w:p>
                  <w:pPr>
                    <w:jc w:val="center"/>
                    <w:textAlignment w:val="center"/>
                    <w:rPr>
                      <w:rFonts w:hint="eastAsia" w:eastAsia="宋体"/>
                      <w:color w:val="auto"/>
                      <w:lang w:val="en-US" w:eastAsia="zh-CN"/>
                    </w:rPr>
                  </w:pPr>
                  <w:r>
                    <w:rPr>
                      <w:rFonts w:hint="eastAsia"/>
                      <w:color w:val="auto"/>
                      <w:lang w:val="en-US" w:eastAsia="zh-CN"/>
                    </w:rPr>
                    <w:t>52</w:t>
                  </w:r>
                </w:p>
              </w:tc>
              <w:tc>
                <w:tcPr>
                  <w:tcW w:w="1165" w:type="dxa"/>
                  <w:shd w:val="clear" w:color="auto" w:fill="FFFFFF"/>
                  <w:vAlign w:val="center"/>
                </w:tcPr>
                <w:p>
                  <w:pPr>
                    <w:jc w:val="center"/>
                    <w:textAlignment w:val="center"/>
                    <w:rPr>
                      <w:rFonts w:hint="eastAsia" w:eastAsia="宋体"/>
                      <w:color w:val="auto"/>
                      <w:lang w:val="en-US" w:eastAsia="zh-CN"/>
                    </w:rPr>
                  </w:pPr>
                  <w:r>
                    <w:rPr>
                      <w:rFonts w:hint="eastAsia"/>
                      <w:color w:val="auto"/>
                      <w:lang w:val="en-US" w:eastAsia="zh-CN"/>
                    </w:rPr>
                    <w:t>/</w:t>
                  </w:r>
                </w:p>
              </w:tc>
              <w:tc>
                <w:tcPr>
                  <w:tcW w:w="1129" w:type="dxa"/>
                  <w:shd w:val="clear" w:color="auto" w:fill="FFFFFF"/>
                  <w:vAlign w:val="center"/>
                </w:tcPr>
                <w:p>
                  <w:pPr>
                    <w:jc w:val="center"/>
                    <w:rPr>
                      <w:rFonts w:hint="eastAsia" w:eastAsia="宋体"/>
                      <w:color w:val="auto"/>
                      <w:lang w:val="en-US" w:eastAsia="zh-CN"/>
                    </w:rPr>
                  </w:pPr>
                  <w:r>
                    <w:rPr>
                      <w:rFonts w:hint="eastAsia"/>
                      <w:color w:val="auto"/>
                      <w:lang w:val="en-US" w:eastAsia="zh-CN"/>
                    </w:rPr>
                    <w:t>52.5</w:t>
                  </w:r>
                </w:p>
              </w:tc>
              <w:tc>
                <w:tcPr>
                  <w:tcW w:w="1321" w:type="dxa"/>
                  <w:shd w:val="clear" w:color="auto" w:fill="FFFFFF"/>
                  <w:vAlign w:val="center"/>
                </w:tcPr>
                <w:p>
                  <w:pPr>
                    <w:jc w:val="center"/>
                    <w:rPr>
                      <w:rFonts w:hint="eastAsia" w:eastAsia="宋体"/>
                      <w:color w:val="auto"/>
                      <w:lang w:val="en-US" w:eastAsia="zh-CN"/>
                    </w:rPr>
                  </w:pPr>
                  <w:r>
                    <w:rPr>
                      <w:rFonts w:hint="eastAsia"/>
                      <w:color w:val="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310" w:hRule="atLeast"/>
                <w:jc w:val="center"/>
              </w:trPr>
              <w:tc>
                <w:tcPr>
                  <w:tcW w:w="2489" w:type="dxa"/>
                  <w:shd w:val="clear" w:color="auto" w:fill="FFFFFF"/>
                  <w:vAlign w:val="center"/>
                </w:tcPr>
                <w:p>
                  <w:pPr>
                    <w:jc w:val="center"/>
                    <w:rPr>
                      <w:rFonts w:hint="eastAsia" w:eastAsia="宋体"/>
                      <w:color w:val="auto"/>
                      <w:lang w:val="en-US" w:eastAsia="zh-CN"/>
                    </w:rPr>
                  </w:pPr>
                  <w:r>
                    <w:rPr>
                      <w:rFonts w:hint="eastAsia"/>
                      <w:color w:val="auto"/>
                      <w:lang w:val="en-US" w:eastAsia="zh-CN"/>
                    </w:rPr>
                    <w:t>蒋刘中学</w:t>
                  </w:r>
                </w:p>
              </w:tc>
              <w:tc>
                <w:tcPr>
                  <w:tcW w:w="947" w:type="dxa"/>
                  <w:shd w:val="clear" w:color="auto" w:fill="FFFFFF"/>
                  <w:textDirection w:val="lrTb"/>
                  <w:vAlign w:val="center"/>
                </w:tcPr>
                <w:p>
                  <w:pPr>
                    <w:jc w:val="center"/>
                    <w:textAlignment w:val="center"/>
                    <w:rPr>
                      <w:rFonts w:hint="eastAsia"/>
                      <w:color w:val="auto"/>
                      <w:lang w:val="en-US" w:eastAsia="zh-CN"/>
                    </w:rPr>
                  </w:pPr>
                  <w:r>
                    <w:rPr>
                      <w:rFonts w:hint="eastAsia"/>
                      <w:color w:val="auto"/>
                      <w:lang w:val="en-US" w:eastAsia="zh-CN"/>
                    </w:rPr>
                    <w:t>40.1</w:t>
                  </w:r>
                </w:p>
              </w:tc>
              <w:tc>
                <w:tcPr>
                  <w:tcW w:w="1130" w:type="dxa"/>
                  <w:shd w:val="clear" w:color="auto" w:fill="FFFFFF"/>
                  <w:textDirection w:val="lrTb"/>
                  <w:vAlign w:val="top"/>
                </w:tcPr>
                <w:p>
                  <w:pPr>
                    <w:jc w:val="center"/>
                    <w:textAlignment w:val="center"/>
                    <w:rPr>
                      <w:rFonts w:hint="eastAsia"/>
                      <w:color w:val="auto"/>
                      <w:lang w:val="en-US" w:eastAsia="zh-CN"/>
                    </w:rPr>
                  </w:pPr>
                  <w:r>
                    <w:rPr>
                      <w:rFonts w:hint="eastAsia"/>
                      <w:color w:val="auto"/>
                      <w:lang w:val="en-US" w:eastAsia="zh-CN"/>
                    </w:rPr>
                    <w:t>/</w:t>
                  </w:r>
                </w:p>
              </w:tc>
              <w:tc>
                <w:tcPr>
                  <w:tcW w:w="1165" w:type="dxa"/>
                  <w:shd w:val="clear" w:color="auto" w:fill="FFFFFF"/>
                  <w:vAlign w:val="center"/>
                </w:tcPr>
                <w:p>
                  <w:pPr>
                    <w:jc w:val="center"/>
                    <w:textAlignment w:val="center"/>
                    <w:rPr>
                      <w:rFonts w:hint="eastAsia" w:eastAsia="宋体"/>
                      <w:color w:val="auto"/>
                      <w:lang w:val="en-US" w:eastAsia="zh-CN"/>
                    </w:rPr>
                  </w:pPr>
                  <w:r>
                    <w:rPr>
                      <w:rFonts w:hint="eastAsia"/>
                      <w:color w:val="auto"/>
                      <w:lang w:val="en-US" w:eastAsia="zh-CN"/>
                    </w:rPr>
                    <w:t>50</w:t>
                  </w:r>
                </w:p>
              </w:tc>
              <w:tc>
                <w:tcPr>
                  <w:tcW w:w="1165" w:type="dxa"/>
                  <w:shd w:val="clear" w:color="auto" w:fill="FFFFFF"/>
                  <w:vAlign w:val="center"/>
                </w:tcPr>
                <w:p>
                  <w:pPr>
                    <w:jc w:val="center"/>
                    <w:textAlignment w:val="center"/>
                    <w:rPr>
                      <w:rFonts w:hint="eastAsia" w:eastAsia="宋体"/>
                      <w:color w:val="auto"/>
                      <w:lang w:val="en-US" w:eastAsia="zh-CN"/>
                    </w:rPr>
                  </w:pPr>
                  <w:r>
                    <w:rPr>
                      <w:rFonts w:hint="eastAsia"/>
                      <w:color w:val="auto"/>
                      <w:lang w:val="en-US" w:eastAsia="zh-CN"/>
                    </w:rPr>
                    <w:t>/</w:t>
                  </w:r>
                </w:p>
              </w:tc>
              <w:tc>
                <w:tcPr>
                  <w:tcW w:w="1129" w:type="dxa"/>
                  <w:shd w:val="clear" w:color="auto" w:fill="FFFFFF"/>
                  <w:vAlign w:val="center"/>
                </w:tcPr>
                <w:p>
                  <w:pPr>
                    <w:jc w:val="center"/>
                    <w:rPr>
                      <w:rFonts w:hint="eastAsia" w:eastAsia="宋体"/>
                      <w:color w:val="auto"/>
                      <w:lang w:val="en-US" w:eastAsia="zh-CN"/>
                    </w:rPr>
                  </w:pPr>
                  <w:r>
                    <w:rPr>
                      <w:rFonts w:hint="eastAsia"/>
                      <w:color w:val="auto"/>
                      <w:lang w:val="en-US" w:eastAsia="zh-CN"/>
                    </w:rPr>
                    <w:t>51.3</w:t>
                  </w:r>
                </w:p>
              </w:tc>
              <w:tc>
                <w:tcPr>
                  <w:tcW w:w="1321" w:type="dxa"/>
                  <w:shd w:val="clear" w:color="auto" w:fill="FFFFFF"/>
                  <w:vAlign w:val="center"/>
                </w:tcPr>
                <w:p>
                  <w:pPr>
                    <w:jc w:val="center"/>
                    <w:rPr>
                      <w:rFonts w:hint="eastAsia" w:eastAsia="宋体"/>
                      <w:color w:val="auto"/>
                      <w:lang w:val="en-US" w:eastAsia="zh-CN"/>
                    </w:rPr>
                  </w:pPr>
                  <w:r>
                    <w:rPr>
                      <w:rFonts w:hint="eastAsia"/>
                      <w:color w:val="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639" w:hRule="atLeast"/>
                <w:jc w:val="center"/>
              </w:trPr>
              <w:tc>
                <w:tcPr>
                  <w:tcW w:w="2489" w:type="dxa"/>
                  <w:shd w:val="clear" w:color="auto" w:fill="FFFFFF"/>
                  <w:vAlign w:val="center"/>
                </w:tcPr>
                <w:p>
                  <w:pPr>
                    <w:rPr>
                      <w:color w:val="auto"/>
                    </w:rPr>
                  </w:pPr>
                  <w:r>
                    <w:rPr>
                      <w:color w:val="auto"/>
                    </w:rPr>
                    <w:t xml:space="preserve">    评价标准</w:t>
                  </w:r>
                </w:p>
              </w:tc>
              <w:tc>
                <w:tcPr>
                  <w:tcW w:w="6857" w:type="dxa"/>
                  <w:gridSpan w:val="6"/>
                  <w:shd w:val="clear" w:color="auto" w:fill="FFFFFF"/>
                  <w:vAlign w:val="center"/>
                </w:tcPr>
                <w:p>
                  <w:pPr>
                    <w:pStyle w:val="2"/>
                    <w:ind w:left="0" w:leftChars="0" w:firstLine="0" w:firstLineChars="0"/>
                    <w:rPr>
                      <w:color w:val="auto"/>
                    </w:rPr>
                  </w:pPr>
                  <w:r>
                    <w:rPr>
                      <w:rFonts w:hint="eastAsia" w:ascii="Times New Roman" w:hAnsi="Times New Roman" w:eastAsia="宋体" w:cs="Times New Roman"/>
                      <w:color w:val="auto"/>
                      <w:kern w:val="2"/>
                      <w:sz w:val="21"/>
                      <w:szCs w:val="21"/>
                      <w:lang w:val="en-US" w:eastAsia="zh-CN" w:bidi="ar-SA"/>
                    </w:rPr>
                    <w:t>评价标准：南厂界执行GB22337-2008中4类标准，其余东</w:t>
                  </w:r>
                  <w:r>
                    <w:rPr>
                      <w:rFonts w:hint="default" w:ascii="Times New Roman" w:hAnsi="Times New Roman" w:eastAsia="宋体" w:cs="Times New Roman"/>
                      <w:color w:val="auto"/>
                      <w:kern w:val="2"/>
                      <w:sz w:val="21"/>
                      <w:szCs w:val="21"/>
                      <w:lang w:val="en-US" w:eastAsia="zh-CN" w:bidi="ar-SA"/>
                    </w:rPr>
                    <w:t>、</w:t>
                  </w:r>
                  <w:r>
                    <w:rPr>
                      <w:rFonts w:hint="eastAsia" w:ascii="Times New Roman" w:hAnsi="Times New Roman" w:eastAsia="宋体" w:cs="Times New Roman"/>
                      <w:color w:val="auto"/>
                      <w:kern w:val="2"/>
                      <w:sz w:val="21"/>
                      <w:szCs w:val="21"/>
                      <w:lang w:val="en-US" w:eastAsia="zh-CN" w:bidi="ar-SA"/>
                    </w:rPr>
                    <w:t>西、北厂界执行GB22337-2008中2类标准，其中：2类：昼间：60，夜间50；4类：昼间：70，夜间55。敏感点执行GB3096-2008 2类（昼间60，夜间50）。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389" w:hRule="atLeast"/>
                <w:jc w:val="center"/>
              </w:trPr>
              <w:tc>
                <w:tcPr>
                  <w:tcW w:w="9346" w:type="dxa"/>
                  <w:gridSpan w:val="7"/>
                  <w:shd w:val="clear" w:color="auto" w:fill="FFFFFF"/>
                  <w:vAlign w:val="center"/>
                </w:tcPr>
                <w:p>
                  <w:pPr>
                    <w:pStyle w:val="2"/>
                    <w:ind w:left="0" w:leftChars="0"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备注：项目仅昼间运行，夜间不运行，因此，噪声仅分析昼间达标情况。</w:t>
                  </w:r>
                </w:p>
              </w:tc>
            </w:tr>
          </w:tbl>
          <w:p>
            <w:pPr>
              <w:adjustRightInd w:val="0"/>
              <w:snapToGrid w:val="0"/>
              <w:spacing w:line="360" w:lineRule="auto"/>
              <w:ind w:firstLine="480" w:firstLineChars="200"/>
              <w:rPr>
                <w:color w:val="auto"/>
                <w:kern w:val="0"/>
                <w:sz w:val="24"/>
              </w:rPr>
            </w:pPr>
            <w:r>
              <w:rPr>
                <w:rFonts w:hint="eastAsia"/>
                <w:color w:val="auto"/>
                <w:kern w:val="0"/>
                <w:sz w:val="24"/>
              </w:rPr>
              <w:t>社会生活噪声主要源于顾客的人群活动噪声，生活噪声具有随意性和不固定性。由于生活噪声源强相对较低，其影响范围一般局限在距离声源10m范围内，主要对邻近人群产生影响。社会噪声不会对周边居民及本项目的正常运营产生明显影响。</w:t>
            </w:r>
          </w:p>
          <w:p>
            <w:pPr>
              <w:adjustRightInd w:val="0"/>
              <w:snapToGrid w:val="0"/>
              <w:spacing w:line="360" w:lineRule="auto"/>
              <w:ind w:firstLine="480" w:firstLineChars="200"/>
              <w:rPr>
                <w:color w:val="auto"/>
                <w:kern w:val="0"/>
                <w:sz w:val="24"/>
                <w:szCs w:val="24"/>
              </w:rPr>
            </w:pPr>
            <w:r>
              <w:rPr>
                <w:rFonts w:hint="eastAsia"/>
                <w:color w:val="auto"/>
                <w:kern w:val="0"/>
                <w:sz w:val="24"/>
              </w:rPr>
              <w:t>综上，项目噪声源较为分散，运营期只要加强管理，按要求采取降噪防治措施，</w:t>
            </w:r>
            <w:r>
              <w:rPr>
                <w:rFonts w:hint="eastAsia"/>
                <w:color w:val="auto"/>
                <w:kern w:val="0"/>
                <w:sz w:val="24"/>
                <w:lang w:val="en-US" w:eastAsia="zh-CN"/>
              </w:rPr>
              <w:t>噪声源经距离衰减、绿化隔声后，</w:t>
            </w:r>
            <w:r>
              <w:rPr>
                <w:rFonts w:hint="eastAsia"/>
                <w:color w:val="auto"/>
                <w:kern w:val="0"/>
                <w:sz w:val="24"/>
              </w:rPr>
              <w:t>项目场界噪声能够达到</w:t>
            </w:r>
            <w:r>
              <w:rPr>
                <w:rFonts w:hint="eastAsia"/>
                <w:color w:val="auto"/>
                <w:kern w:val="0"/>
                <w:sz w:val="24"/>
                <w:szCs w:val="20"/>
              </w:rPr>
              <w:t>《社会生活环境噪声排放标准》（GB 22337</w:t>
            </w:r>
            <w:r>
              <w:rPr>
                <w:rFonts w:hint="eastAsia"/>
                <w:color w:val="auto"/>
                <w:kern w:val="0"/>
                <w:sz w:val="24"/>
                <w:szCs w:val="20"/>
                <w:lang w:val="en-US" w:eastAsia="zh-CN"/>
              </w:rPr>
              <w:t>-</w:t>
            </w:r>
            <w:r>
              <w:rPr>
                <w:rFonts w:hint="eastAsia"/>
                <w:color w:val="auto"/>
                <w:kern w:val="0"/>
                <w:sz w:val="24"/>
                <w:szCs w:val="20"/>
              </w:rPr>
              <w:t>2008）</w:t>
            </w:r>
            <w:r>
              <w:rPr>
                <w:rFonts w:hint="eastAsia"/>
                <w:color w:val="auto"/>
                <w:kern w:val="0"/>
                <w:sz w:val="24"/>
              </w:rPr>
              <w:t>2</w:t>
            </w:r>
            <w:r>
              <w:rPr>
                <w:rFonts w:hint="eastAsia"/>
                <w:color w:val="auto"/>
                <w:kern w:val="0"/>
                <w:sz w:val="24"/>
                <w:lang w:eastAsia="zh-CN"/>
              </w:rPr>
              <w:t>、</w:t>
            </w:r>
            <w:r>
              <w:rPr>
                <w:rFonts w:hint="eastAsia"/>
                <w:color w:val="auto"/>
                <w:kern w:val="0"/>
                <w:sz w:val="24"/>
                <w:lang w:val="en-US" w:eastAsia="zh-CN"/>
              </w:rPr>
              <w:t>4</w:t>
            </w:r>
            <w:r>
              <w:rPr>
                <w:color w:val="auto"/>
                <w:kern w:val="0"/>
                <w:sz w:val="24"/>
              </w:rPr>
              <w:t>类标准</w:t>
            </w:r>
            <w:r>
              <w:rPr>
                <w:rFonts w:hint="eastAsia"/>
                <w:color w:val="auto"/>
                <w:lang w:eastAsia="zh-CN"/>
              </w:rPr>
              <w:t>，</w:t>
            </w:r>
            <w:r>
              <w:rPr>
                <w:rFonts w:hint="eastAsia"/>
                <w:color w:val="auto"/>
                <w:sz w:val="24"/>
                <w:szCs w:val="24"/>
                <w:lang w:val="en-US" w:eastAsia="zh-CN"/>
              </w:rPr>
              <w:t>敏感点噪声能够达到</w:t>
            </w:r>
            <w:r>
              <w:rPr>
                <w:rFonts w:hint="eastAsia"/>
                <w:color w:val="auto"/>
                <w:kern w:val="0"/>
                <w:sz w:val="24"/>
                <w:szCs w:val="20"/>
              </w:rPr>
              <w:t>《</w:t>
            </w:r>
            <w:r>
              <w:rPr>
                <w:rFonts w:hint="eastAsia"/>
                <w:color w:val="auto"/>
                <w:kern w:val="0"/>
                <w:sz w:val="24"/>
                <w:szCs w:val="20"/>
                <w:lang w:val="en-US" w:eastAsia="zh-CN"/>
              </w:rPr>
              <w:t>声环境质量</w:t>
            </w:r>
            <w:r>
              <w:rPr>
                <w:rFonts w:hint="eastAsia"/>
                <w:color w:val="auto"/>
                <w:kern w:val="0"/>
                <w:sz w:val="24"/>
                <w:szCs w:val="20"/>
              </w:rPr>
              <w:t>标准》（GB</w:t>
            </w:r>
            <w:r>
              <w:rPr>
                <w:rFonts w:hint="eastAsia"/>
                <w:color w:val="auto"/>
                <w:kern w:val="0"/>
                <w:sz w:val="24"/>
                <w:szCs w:val="20"/>
                <w:lang w:val="en-US" w:eastAsia="zh-CN"/>
              </w:rPr>
              <w:t>3096-</w:t>
            </w:r>
            <w:r>
              <w:rPr>
                <w:rFonts w:hint="eastAsia"/>
                <w:color w:val="auto"/>
                <w:kern w:val="0"/>
                <w:sz w:val="24"/>
                <w:szCs w:val="20"/>
              </w:rPr>
              <w:t>2008）</w:t>
            </w:r>
            <w:r>
              <w:rPr>
                <w:rFonts w:hint="eastAsia"/>
                <w:color w:val="auto"/>
                <w:kern w:val="0"/>
                <w:sz w:val="24"/>
              </w:rPr>
              <w:t>2</w:t>
            </w:r>
            <w:r>
              <w:rPr>
                <w:color w:val="auto"/>
                <w:kern w:val="0"/>
                <w:sz w:val="24"/>
              </w:rPr>
              <w:t>类标准</w:t>
            </w:r>
            <w:r>
              <w:rPr>
                <w:rFonts w:hint="eastAsia"/>
                <w:color w:val="auto"/>
                <w:lang w:eastAsia="zh-CN"/>
              </w:rPr>
              <w:t>，</w:t>
            </w:r>
            <w:r>
              <w:rPr>
                <w:rFonts w:hint="eastAsia"/>
                <w:color w:val="auto"/>
                <w:sz w:val="24"/>
                <w:szCs w:val="24"/>
                <w:lang w:val="en-US" w:eastAsia="zh-CN"/>
              </w:rPr>
              <w:t>且噪声预测值与敏感点的背景噪声值相差不大，证明</w:t>
            </w:r>
            <w:r>
              <w:rPr>
                <w:rFonts w:hint="eastAsia"/>
                <w:color w:val="auto"/>
                <w:kern w:val="0"/>
                <w:sz w:val="24"/>
                <w:szCs w:val="24"/>
              </w:rPr>
              <w:t>项目</w:t>
            </w:r>
            <w:r>
              <w:rPr>
                <w:rFonts w:hint="eastAsia"/>
                <w:color w:val="auto"/>
                <w:kern w:val="0"/>
                <w:sz w:val="24"/>
                <w:szCs w:val="24"/>
                <w:lang w:val="en-US" w:eastAsia="zh-CN"/>
              </w:rPr>
              <w:t>运行期，</w:t>
            </w:r>
            <w:r>
              <w:rPr>
                <w:rFonts w:hint="eastAsia"/>
                <w:color w:val="auto"/>
                <w:kern w:val="0"/>
                <w:sz w:val="24"/>
                <w:szCs w:val="24"/>
              </w:rPr>
              <w:t>对周边</w:t>
            </w:r>
            <w:r>
              <w:rPr>
                <w:rFonts w:hint="eastAsia"/>
                <w:color w:val="auto"/>
                <w:kern w:val="0"/>
                <w:sz w:val="24"/>
                <w:szCs w:val="24"/>
                <w:lang w:val="en-US" w:eastAsia="zh-CN"/>
              </w:rPr>
              <w:t>敏感点</w:t>
            </w:r>
            <w:r>
              <w:rPr>
                <w:rFonts w:hint="eastAsia"/>
                <w:color w:val="auto"/>
                <w:kern w:val="0"/>
                <w:sz w:val="24"/>
                <w:szCs w:val="24"/>
              </w:rPr>
              <w:t>声环境影响不大。</w:t>
            </w:r>
          </w:p>
          <w:p>
            <w:pPr>
              <w:spacing w:line="360" w:lineRule="auto"/>
              <w:ind w:firstLine="482" w:firstLineChars="200"/>
              <w:rPr>
                <w:rFonts w:hint="eastAsia" w:ascii="Times New Roman" w:hAnsi="Times New Roman" w:cs="Times New Roman"/>
                <w:b/>
                <w:bCs/>
                <w:color w:val="auto"/>
                <w:kern w:val="0"/>
                <w:sz w:val="24"/>
                <w:lang w:val="en-US" w:eastAsia="zh-CN"/>
              </w:rPr>
            </w:pPr>
            <w:r>
              <w:rPr>
                <w:rFonts w:hint="eastAsia" w:ascii="Times New Roman" w:hAnsi="Times New Roman" w:cs="Times New Roman"/>
                <w:b/>
                <w:bCs/>
                <w:color w:val="auto"/>
                <w:kern w:val="0"/>
                <w:sz w:val="24"/>
                <w:lang w:val="en-US" w:eastAsia="zh-CN"/>
              </w:rPr>
              <w:t>3.3.3噪声监测要求</w:t>
            </w:r>
          </w:p>
          <w:p>
            <w:pPr>
              <w:spacing w:line="360" w:lineRule="auto"/>
              <w:ind w:firstLine="480" w:firstLineChars="200"/>
              <w:rPr>
                <w:rFonts w:hint="default" w:ascii="Times New Roman" w:hAnsi="Times New Roman" w:cs="Times New Roman"/>
                <w:color w:val="auto"/>
                <w:kern w:val="0"/>
                <w:sz w:val="24"/>
                <w:lang w:val="en-GB"/>
              </w:rPr>
            </w:pPr>
            <w:r>
              <w:rPr>
                <w:rFonts w:hint="default" w:ascii="Times New Roman" w:hAnsi="Times New Roman" w:cs="Times New Roman"/>
                <w:color w:val="auto"/>
                <w:kern w:val="0"/>
                <w:sz w:val="24"/>
                <w:lang w:val="en-GB"/>
              </w:rPr>
              <w:t>运营期环境监测计划见</w:t>
            </w:r>
            <w:r>
              <w:rPr>
                <w:rFonts w:hint="eastAsia" w:ascii="Times New Roman" w:hAnsi="Times New Roman" w:cs="Times New Roman"/>
                <w:color w:val="auto"/>
                <w:kern w:val="0"/>
                <w:sz w:val="24"/>
                <w:lang w:val="en-GB"/>
              </w:rPr>
              <w:t>下表</w:t>
            </w:r>
            <w:r>
              <w:rPr>
                <w:rFonts w:hint="eastAsia" w:cs="Times New Roman"/>
                <w:color w:val="auto"/>
                <w:kern w:val="0"/>
                <w:sz w:val="24"/>
                <w:lang w:val="en-US" w:eastAsia="zh-CN"/>
              </w:rPr>
              <w:t>35</w:t>
            </w:r>
            <w:r>
              <w:rPr>
                <w:rFonts w:hint="default" w:ascii="Times New Roman" w:hAnsi="Times New Roman" w:cs="Times New Roman"/>
                <w:color w:val="auto"/>
                <w:kern w:val="0"/>
                <w:sz w:val="24"/>
                <w:lang w:val="en-GB"/>
              </w:rPr>
              <w:t>。</w:t>
            </w:r>
          </w:p>
          <w:p>
            <w:pPr>
              <w:spacing w:before="6" w:after="120"/>
              <w:jc w:val="center"/>
              <w:rPr>
                <w:rFonts w:hint="eastAsia" w:ascii="Cambria" w:hAnsi="Cambria" w:eastAsia="黑体" w:cs="Times New Roman"/>
                <w:color w:val="auto"/>
                <w:kern w:val="2"/>
                <w:sz w:val="24"/>
                <w:szCs w:val="24"/>
                <w:lang w:val="en-US" w:eastAsia="zh-CN" w:bidi="ar-SA"/>
              </w:rPr>
            </w:pPr>
            <w:r>
              <w:rPr>
                <w:rFonts w:hint="eastAsia" w:ascii="Cambria" w:hAnsi="Cambria" w:eastAsia="黑体" w:cs="Times New Roman"/>
                <w:color w:val="auto"/>
                <w:kern w:val="2"/>
                <w:sz w:val="24"/>
                <w:szCs w:val="24"/>
                <w:lang w:val="en-US" w:eastAsia="zh-CN" w:bidi="ar-SA"/>
              </w:rPr>
              <w:t>表35     运营期环境监测计划</w:t>
            </w:r>
          </w:p>
          <w:tbl>
            <w:tblPr>
              <w:tblStyle w:val="24"/>
              <w:tblW w:w="934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05"/>
              <w:gridCol w:w="1871"/>
              <w:gridCol w:w="1529"/>
              <w:gridCol w:w="1623"/>
              <w:gridCol w:w="32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39" w:hRule="atLeast"/>
                <w:jc w:val="center"/>
              </w:trPr>
              <w:tc>
                <w:tcPr>
                  <w:tcW w:w="1105" w:type="dxa"/>
                  <w:vAlign w:val="center"/>
                </w:tcPr>
                <w:p>
                  <w:pPr>
                    <w:spacing w:line="0" w:lineRule="atLeast"/>
                    <w:ind w:left="151" w:leftChars="72"/>
                    <w:jc w:val="center"/>
                    <w:rPr>
                      <w:color w:val="auto"/>
                    </w:rPr>
                  </w:pPr>
                  <w:r>
                    <w:rPr>
                      <w:color w:val="auto"/>
                    </w:rPr>
                    <w:t>类别</w:t>
                  </w:r>
                </w:p>
              </w:tc>
              <w:tc>
                <w:tcPr>
                  <w:tcW w:w="1871" w:type="dxa"/>
                  <w:vAlign w:val="center"/>
                </w:tcPr>
                <w:p>
                  <w:pPr>
                    <w:spacing w:line="0" w:lineRule="atLeast"/>
                    <w:ind w:left="151" w:leftChars="72"/>
                    <w:jc w:val="center"/>
                    <w:rPr>
                      <w:color w:val="auto"/>
                    </w:rPr>
                  </w:pPr>
                  <w:r>
                    <w:rPr>
                      <w:color w:val="auto"/>
                    </w:rPr>
                    <w:t>监测点名称</w:t>
                  </w:r>
                </w:p>
              </w:tc>
              <w:tc>
                <w:tcPr>
                  <w:tcW w:w="1529" w:type="dxa"/>
                  <w:vAlign w:val="center"/>
                </w:tcPr>
                <w:p>
                  <w:pPr>
                    <w:spacing w:line="0" w:lineRule="atLeast"/>
                    <w:ind w:left="151" w:leftChars="72"/>
                    <w:jc w:val="center"/>
                    <w:rPr>
                      <w:color w:val="auto"/>
                    </w:rPr>
                  </w:pPr>
                  <w:r>
                    <w:rPr>
                      <w:color w:val="auto"/>
                    </w:rPr>
                    <w:t>监测项目</w:t>
                  </w:r>
                </w:p>
              </w:tc>
              <w:tc>
                <w:tcPr>
                  <w:tcW w:w="1623" w:type="dxa"/>
                  <w:vAlign w:val="center"/>
                </w:tcPr>
                <w:p>
                  <w:pPr>
                    <w:spacing w:line="0" w:lineRule="atLeast"/>
                    <w:ind w:left="151" w:leftChars="72"/>
                    <w:jc w:val="center"/>
                    <w:rPr>
                      <w:color w:val="auto"/>
                    </w:rPr>
                  </w:pPr>
                  <w:r>
                    <w:rPr>
                      <w:color w:val="auto"/>
                    </w:rPr>
                    <w:t>监测频率</w:t>
                  </w:r>
                </w:p>
              </w:tc>
              <w:tc>
                <w:tcPr>
                  <w:tcW w:w="3218" w:type="dxa"/>
                  <w:vAlign w:val="center"/>
                </w:tcPr>
                <w:p>
                  <w:pPr>
                    <w:snapToGrid w:val="0"/>
                    <w:ind w:left="151" w:leftChars="72"/>
                    <w:jc w:val="center"/>
                    <w:rPr>
                      <w:color w:val="auto"/>
                    </w:rPr>
                  </w:pPr>
                  <w:r>
                    <w:rPr>
                      <w:color w:val="auto"/>
                    </w:rPr>
                    <w:t>控制指标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39" w:hRule="atLeast"/>
                <w:jc w:val="center"/>
              </w:trPr>
              <w:tc>
                <w:tcPr>
                  <w:tcW w:w="1105" w:type="dxa"/>
                  <w:vAlign w:val="center"/>
                </w:tcPr>
                <w:p>
                  <w:pPr>
                    <w:spacing w:line="0" w:lineRule="atLeast"/>
                    <w:ind w:left="151" w:leftChars="72"/>
                    <w:jc w:val="center"/>
                    <w:rPr>
                      <w:color w:val="auto"/>
                    </w:rPr>
                  </w:pPr>
                  <w:r>
                    <w:rPr>
                      <w:color w:val="auto"/>
                    </w:rPr>
                    <w:t>厂界噪声</w:t>
                  </w:r>
                </w:p>
              </w:tc>
              <w:tc>
                <w:tcPr>
                  <w:tcW w:w="1871" w:type="dxa"/>
                </w:tcPr>
                <w:p>
                  <w:pPr>
                    <w:spacing w:line="0" w:lineRule="atLeast"/>
                    <w:ind w:left="151" w:leftChars="72"/>
                    <w:jc w:val="center"/>
                    <w:rPr>
                      <w:color w:val="auto"/>
                    </w:rPr>
                  </w:pPr>
                  <w:r>
                    <w:rPr>
                      <w:color w:val="auto"/>
                    </w:rPr>
                    <w:t>厂界四周各1个监测点位</w:t>
                  </w:r>
                </w:p>
              </w:tc>
              <w:tc>
                <w:tcPr>
                  <w:tcW w:w="1529" w:type="dxa"/>
                </w:tcPr>
                <w:p>
                  <w:pPr>
                    <w:pStyle w:val="12"/>
                    <w:adjustRightInd w:val="0"/>
                    <w:snapToGrid w:val="0"/>
                    <w:spacing w:line="0" w:lineRule="atLeast"/>
                    <w:ind w:left="151" w:leftChars="72" w:firstLine="0" w:firstLineChars="0"/>
                    <w:jc w:val="center"/>
                    <w:rPr>
                      <w:color w:val="auto"/>
                    </w:rPr>
                  </w:pPr>
                  <w:r>
                    <w:rPr>
                      <w:color w:val="auto"/>
                    </w:rPr>
                    <w:t>等效声级Leq dB（A）</w:t>
                  </w:r>
                </w:p>
              </w:tc>
              <w:tc>
                <w:tcPr>
                  <w:tcW w:w="1623" w:type="dxa"/>
                </w:tcPr>
                <w:p>
                  <w:pPr>
                    <w:snapToGrid w:val="0"/>
                    <w:ind w:left="151" w:leftChars="72"/>
                    <w:jc w:val="center"/>
                    <w:rPr>
                      <w:color w:val="auto"/>
                    </w:rPr>
                  </w:pPr>
                  <w:r>
                    <w:rPr>
                      <w:color w:val="auto"/>
                    </w:rPr>
                    <w:t>1次/季度</w:t>
                  </w:r>
                </w:p>
              </w:tc>
              <w:tc>
                <w:tcPr>
                  <w:tcW w:w="3218" w:type="dxa"/>
                </w:tcPr>
                <w:p>
                  <w:pPr>
                    <w:snapToGrid w:val="0"/>
                    <w:ind w:left="151" w:leftChars="72"/>
                    <w:jc w:val="center"/>
                    <w:rPr>
                      <w:color w:val="auto"/>
                    </w:rPr>
                  </w:pPr>
                  <w:r>
                    <w:rPr>
                      <w:rFonts w:hint="eastAsia"/>
                      <w:color w:val="auto"/>
                      <w:kern w:val="0"/>
                      <w:sz w:val="21"/>
                      <w:szCs w:val="21"/>
                    </w:rPr>
                    <w:t>《社会生活环境噪声排放标准》（GB 22337—2008）2</w:t>
                  </w:r>
                  <w:r>
                    <w:rPr>
                      <w:rFonts w:hint="eastAsia"/>
                      <w:color w:val="auto"/>
                      <w:kern w:val="0"/>
                      <w:sz w:val="21"/>
                      <w:szCs w:val="21"/>
                      <w:lang w:eastAsia="zh-CN"/>
                    </w:rPr>
                    <w:t>、</w:t>
                  </w:r>
                  <w:r>
                    <w:rPr>
                      <w:rFonts w:hint="eastAsia"/>
                      <w:color w:val="auto"/>
                      <w:kern w:val="0"/>
                      <w:sz w:val="21"/>
                      <w:szCs w:val="21"/>
                      <w:lang w:val="en-US" w:eastAsia="zh-CN"/>
                    </w:rPr>
                    <w:t>4</w:t>
                  </w:r>
                  <w:r>
                    <w:rPr>
                      <w:color w:val="auto"/>
                      <w:kern w:val="0"/>
                      <w:sz w:val="21"/>
                      <w:szCs w:val="21"/>
                    </w:rPr>
                    <w:t>类标准</w:t>
                  </w:r>
                </w:p>
              </w:tc>
            </w:tr>
          </w:tbl>
          <w:p>
            <w:pPr>
              <w:spacing w:line="360" w:lineRule="auto"/>
              <w:ind w:firstLine="482" w:firstLineChars="200"/>
              <w:rPr>
                <w:b/>
                <w:bCs/>
                <w:color w:val="auto"/>
                <w:sz w:val="24"/>
              </w:rPr>
            </w:pPr>
            <w:r>
              <w:rPr>
                <w:rFonts w:hint="eastAsia"/>
                <w:b/>
                <w:bCs/>
                <w:color w:val="auto"/>
                <w:sz w:val="24"/>
                <w:lang w:val="en-US" w:eastAsia="zh-CN"/>
              </w:rPr>
              <w:t>3.4</w:t>
            </w:r>
            <w:r>
              <w:rPr>
                <w:b/>
                <w:bCs/>
                <w:color w:val="auto"/>
                <w:sz w:val="24"/>
              </w:rPr>
              <w:t>固体废物</w:t>
            </w:r>
          </w:p>
          <w:p>
            <w:pPr>
              <w:spacing w:line="360" w:lineRule="auto"/>
              <w:ind w:firstLine="480" w:firstLineChars="200"/>
              <w:contextualSpacing/>
              <w:rPr>
                <w:color w:val="auto"/>
                <w:sz w:val="24"/>
              </w:rPr>
            </w:pPr>
            <w:r>
              <w:rPr>
                <w:color w:val="auto"/>
                <w:sz w:val="24"/>
              </w:rPr>
              <w:t>本项目运营期固体废物主要为游客和工作人员产生的生活垃圾</w:t>
            </w:r>
            <w:r>
              <w:rPr>
                <w:rFonts w:hint="eastAsia"/>
                <w:color w:val="auto"/>
                <w:sz w:val="24"/>
              </w:rPr>
              <w:t>、餐饮垃圾、</w:t>
            </w:r>
            <w:r>
              <w:rPr>
                <w:rFonts w:ascii="Times New Roman" w:hAnsi="Times New Roman" w:eastAsia="宋体" w:cs="Times New Roman"/>
                <w:color w:val="auto"/>
                <w:sz w:val="24"/>
                <w:szCs w:val="24"/>
              </w:rPr>
              <w:t>过滤产生的滤渣毛发</w:t>
            </w:r>
            <w:r>
              <w:rPr>
                <w:rFonts w:hint="eastAsia" w:ascii="Times New Roman" w:hAnsi="Times New Roman" w:eastAsia="宋体" w:cs="Times New Roman"/>
                <w:color w:val="auto"/>
                <w:sz w:val="24"/>
                <w:szCs w:val="24"/>
              </w:rPr>
              <w:t>、维修设备产生的废机油</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rPr>
              <w:t>废油抹布以及医务室产生的医疗废物</w:t>
            </w:r>
            <w:r>
              <w:rPr>
                <w:color w:val="auto"/>
                <w:sz w:val="24"/>
              </w:rPr>
              <w:t>。</w:t>
            </w:r>
          </w:p>
          <w:p>
            <w:pPr>
              <w:numPr>
                <w:ilvl w:val="0"/>
                <w:numId w:val="3"/>
              </w:numPr>
              <w:spacing w:line="360" w:lineRule="auto"/>
              <w:ind w:firstLine="480" w:firstLineChars="200"/>
              <w:contextualSpacing/>
              <w:rPr>
                <w:color w:val="auto"/>
                <w:sz w:val="24"/>
              </w:rPr>
            </w:pPr>
            <w:r>
              <w:rPr>
                <w:color w:val="auto"/>
                <w:sz w:val="24"/>
              </w:rPr>
              <w:t>生活垃圾</w:t>
            </w:r>
          </w:p>
          <w:p>
            <w:pPr>
              <w:numPr>
                <w:ilvl w:val="0"/>
                <w:numId w:val="0"/>
              </w:numPr>
              <w:spacing w:line="360" w:lineRule="auto"/>
              <w:contextualSpacing/>
              <w:rPr>
                <w:color w:val="auto"/>
                <w:sz w:val="24"/>
              </w:rPr>
            </w:pPr>
            <w:r>
              <w:rPr>
                <w:rFonts w:hint="eastAsia"/>
                <w:color w:val="auto"/>
                <w:sz w:val="24"/>
                <w:lang w:val="en-US" w:eastAsia="zh-CN"/>
              </w:rPr>
              <w:t xml:space="preserve">    </w:t>
            </w:r>
            <w:r>
              <w:rPr>
                <w:rFonts w:hint="eastAsia"/>
                <w:color w:val="auto"/>
                <w:sz w:val="24"/>
              </w:rPr>
              <w:t>运营期劳动定员</w:t>
            </w:r>
            <w:r>
              <w:rPr>
                <w:rFonts w:hint="eastAsia"/>
                <w:color w:val="auto"/>
                <w:sz w:val="24"/>
                <w:lang w:val="en-US" w:eastAsia="zh-CN"/>
              </w:rPr>
              <w:t>1000</w:t>
            </w:r>
            <w:r>
              <w:rPr>
                <w:rFonts w:hint="eastAsia"/>
                <w:color w:val="auto"/>
                <w:sz w:val="24"/>
              </w:rPr>
              <w:t>人，按</w:t>
            </w:r>
            <w:r>
              <w:rPr>
                <w:color w:val="auto"/>
                <w:sz w:val="24"/>
              </w:rPr>
              <w:t>0.5kg/人·d计算，工作365天</w:t>
            </w:r>
            <w:r>
              <w:rPr>
                <w:rFonts w:hint="eastAsia"/>
                <w:color w:val="auto"/>
                <w:sz w:val="24"/>
              </w:rPr>
              <w:t>，工作人员产生垃圾量为</w:t>
            </w:r>
            <w:r>
              <w:rPr>
                <w:rFonts w:hint="eastAsia"/>
                <w:color w:val="auto"/>
                <w:sz w:val="24"/>
                <w:lang w:val="en-US" w:eastAsia="zh-CN"/>
              </w:rPr>
              <w:t>182.5</w:t>
            </w:r>
            <w:r>
              <w:rPr>
                <w:color w:val="auto"/>
                <w:sz w:val="24"/>
              </w:rPr>
              <w:t>t/a</w:t>
            </w:r>
            <w:r>
              <w:rPr>
                <w:rFonts w:hint="eastAsia"/>
                <w:color w:val="auto"/>
                <w:sz w:val="24"/>
              </w:rPr>
              <w:t>；游客量为年6</w:t>
            </w:r>
            <w:r>
              <w:rPr>
                <w:color w:val="auto"/>
                <w:sz w:val="24"/>
              </w:rPr>
              <w:t>0</w:t>
            </w:r>
            <w:r>
              <w:rPr>
                <w:rFonts w:hint="eastAsia"/>
                <w:color w:val="auto"/>
                <w:sz w:val="24"/>
              </w:rPr>
              <w:t>万人，按</w:t>
            </w:r>
            <w:r>
              <w:rPr>
                <w:color w:val="auto"/>
                <w:sz w:val="24"/>
              </w:rPr>
              <w:t>0.2kg/人·d计算，</w:t>
            </w:r>
            <w:r>
              <w:rPr>
                <w:rFonts w:hint="eastAsia"/>
                <w:color w:val="auto"/>
                <w:sz w:val="24"/>
              </w:rPr>
              <w:t>游客产生生活垃圾约</w:t>
            </w:r>
            <w:r>
              <w:rPr>
                <w:color w:val="auto"/>
                <w:sz w:val="24"/>
              </w:rPr>
              <w:t>120</w:t>
            </w:r>
            <w:r>
              <w:rPr>
                <w:rFonts w:hint="eastAsia"/>
                <w:color w:val="auto"/>
                <w:sz w:val="24"/>
              </w:rPr>
              <w:t>t/a；生活垃圾产生</w:t>
            </w:r>
            <w:r>
              <w:rPr>
                <w:rFonts w:hint="eastAsia"/>
                <w:color w:val="auto"/>
                <w:sz w:val="24"/>
                <w:lang w:val="en-US" w:eastAsia="zh-CN"/>
              </w:rPr>
              <w:t>总量</w:t>
            </w:r>
            <w:r>
              <w:rPr>
                <w:rFonts w:hint="eastAsia"/>
                <w:color w:val="auto"/>
                <w:sz w:val="24"/>
              </w:rPr>
              <w:t>为</w:t>
            </w:r>
            <w:r>
              <w:rPr>
                <w:rFonts w:hint="eastAsia"/>
                <w:color w:val="auto"/>
                <w:sz w:val="24"/>
                <w:lang w:val="en-US" w:eastAsia="zh-CN"/>
              </w:rPr>
              <w:t>302.5</w:t>
            </w:r>
            <w:r>
              <w:rPr>
                <w:color w:val="auto"/>
                <w:sz w:val="24"/>
              </w:rPr>
              <w:t>t/a</w:t>
            </w:r>
            <w:r>
              <w:rPr>
                <w:rFonts w:hint="eastAsia"/>
                <w:color w:val="auto"/>
                <w:sz w:val="24"/>
              </w:rPr>
              <w:t>，统一收集，环卫部门清运。</w:t>
            </w:r>
          </w:p>
          <w:p>
            <w:pPr>
              <w:spacing w:line="360" w:lineRule="auto"/>
              <w:ind w:firstLine="480" w:firstLineChars="200"/>
              <w:contextualSpacing/>
              <w:rPr>
                <w:rFonts w:hint="eastAsia"/>
                <w:color w:val="auto"/>
                <w:sz w:val="24"/>
              </w:rPr>
            </w:pPr>
            <w:r>
              <w:rPr>
                <w:rFonts w:hint="eastAsia"/>
                <w:color w:val="auto"/>
                <w:sz w:val="24"/>
              </w:rPr>
              <w:t>项目运营期间的生活垃圾由园区的清洁人员每天从各生活垃圾桶收集转运至</w:t>
            </w:r>
            <w:r>
              <w:rPr>
                <w:rFonts w:hint="eastAsia"/>
                <w:color w:val="auto"/>
                <w:sz w:val="24"/>
                <w:lang w:val="en-US" w:eastAsia="zh-CN"/>
              </w:rPr>
              <w:t>园区垃圾收集点</w:t>
            </w:r>
            <w:r>
              <w:rPr>
                <w:rFonts w:hint="eastAsia"/>
                <w:color w:val="auto"/>
                <w:sz w:val="24"/>
              </w:rPr>
              <w:t>，再由园区委托当地市政环卫部门统一清运至生活垃圾填埋场处理。</w:t>
            </w:r>
          </w:p>
          <w:p>
            <w:pPr>
              <w:spacing w:line="360" w:lineRule="auto"/>
              <w:ind w:firstLine="480" w:firstLineChars="200"/>
              <w:contextualSpacing/>
              <w:rPr>
                <w:color w:val="auto"/>
                <w:sz w:val="24"/>
              </w:rPr>
            </w:pPr>
            <w:r>
              <w:rPr>
                <w:rFonts w:hint="eastAsia"/>
                <w:color w:val="auto"/>
                <w:sz w:val="24"/>
              </w:rPr>
              <w:t>（2）餐饮垃圾</w:t>
            </w:r>
          </w:p>
          <w:p>
            <w:pPr>
              <w:spacing w:line="360" w:lineRule="auto"/>
              <w:ind w:firstLine="480" w:firstLineChars="200"/>
              <w:contextualSpacing/>
              <w:rPr>
                <w:rFonts w:hint="eastAsia"/>
                <w:color w:val="auto"/>
                <w:sz w:val="24"/>
              </w:rPr>
            </w:pPr>
            <w:r>
              <w:rPr>
                <w:rFonts w:hint="eastAsia"/>
                <w:color w:val="auto"/>
                <w:sz w:val="24"/>
              </w:rPr>
              <w:t>餐厨垃圾主要为食物的边角料及吃剩的食物。</w:t>
            </w:r>
            <w:r>
              <w:rPr>
                <w:rFonts w:hint="eastAsia"/>
                <w:color w:val="auto"/>
                <w:sz w:val="24"/>
                <w:lang w:val="en-US" w:eastAsia="zh-CN"/>
              </w:rPr>
              <w:t>6个食堂容纳就餐</w:t>
            </w:r>
            <w:r>
              <w:rPr>
                <w:rFonts w:hint="eastAsia"/>
                <w:color w:val="auto"/>
                <w:sz w:val="24"/>
              </w:rPr>
              <w:t>人数为</w:t>
            </w:r>
            <w:r>
              <w:rPr>
                <w:rFonts w:hint="eastAsia"/>
                <w:color w:val="auto"/>
                <w:sz w:val="24"/>
                <w:lang w:val="en-US" w:eastAsia="zh-CN"/>
              </w:rPr>
              <w:t>838</w:t>
            </w:r>
            <w:r>
              <w:rPr>
                <w:rFonts w:hint="eastAsia"/>
                <w:color w:val="auto"/>
                <w:sz w:val="24"/>
              </w:rPr>
              <w:t>人，食物残渣的产生量按0.1kg/人•</w:t>
            </w:r>
            <w:r>
              <w:rPr>
                <w:rFonts w:hint="eastAsia"/>
                <w:color w:val="auto"/>
                <w:sz w:val="24"/>
                <w:lang w:val="en-US" w:eastAsia="zh-CN"/>
              </w:rPr>
              <w:t>天</w:t>
            </w:r>
            <w:r>
              <w:rPr>
                <w:rFonts w:hint="eastAsia"/>
                <w:color w:val="auto"/>
                <w:sz w:val="24"/>
              </w:rPr>
              <w:t>计，运营期食物残渣的产生量约</w:t>
            </w:r>
            <w:r>
              <w:rPr>
                <w:rFonts w:hint="eastAsia"/>
                <w:color w:val="auto"/>
                <w:sz w:val="24"/>
                <w:lang w:val="en-US" w:eastAsia="zh-CN"/>
              </w:rPr>
              <w:t>83.8kg/d、30.59</w:t>
            </w:r>
            <w:r>
              <w:rPr>
                <w:rFonts w:hint="eastAsia"/>
                <w:color w:val="auto"/>
                <w:sz w:val="24"/>
              </w:rPr>
              <w:t>t/a。</w:t>
            </w:r>
          </w:p>
          <w:p>
            <w:pPr>
              <w:spacing w:line="360" w:lineRule="auto"/>
              <w:ind w:firstLine="480" w:firstLineChars="200"/>
              <w:contextualSpacing/>
              <w:rPr>
                <w:rFonts w:hint="eastAsia"/>
                <w:color w:val="auto"/>
                <w:sz w:val="24"/>
              </w:rPr>
            </w:pPr>
            <w:r>
              <w:rPr>
                <w:rFonts w:hint="eastAsia"/>
                <w:color w:val="auto"/>
                <w:sz w:val="24"/>
              </w:rPr>
              <w:t>项目运营期的餐饮废水经隔油池处理后再进入化粪池。类比同类项目餐饮废水的隔油污泥产生量，1</w:t>
            </w:r>
            <w:r>
              <w:rPr>
                <w:rFonts w:hint="eastAsia"/>
                <w:color w:val="auto"/>
                <w:sz w:val="24"/>
                <w:lang w:val="en-US" w:eastAsia="zh-CN"/>
              </w:rPr>
              <w:t>m</w:t>
            </w:r>
            <w:r>
              <w:rPr>
                <w:rFonts w:hint="eastAsia"/>
                <w:color w:val="auto"/>
                <w:sz w:val="24"/>
                <w:vertAlign w:val="superscript"/>
                <w:lang w:val="en-US" w:eastAsia="zh-CN"/>
              </w:rPr>
              <w:t>3</w:t>
            </w:r>
            <w:r>
              <w:rPr>
                <w:rFonts w:hint="eastAsia"/>
                <w:color w:val="auto"/>
                <w:sz w:val="24"/>
              </w:rPr>
              <w:t>的废水约产生含油污泥量为0.14kg。项目运营期餐饮废水的产生量为</w:t>
            </w:r>
            <w:r>
              <w:rPr>
                <w:rFonts w:hint="eastAsia"/>
                <w:color w:val="auto"/>
                <w:sz w:val="24"/>
                <w:lang w:val="en-US" w:eastAsia="zh-CN"/>
              </w:rPr>
              <w:t>36.2</w:t>
            </w:r>
            <w:r>
              <w:rPr>
                <w:rFonts w:hint="eastAsia"/>
                <w:color w:val="auto"/>
                <w:sz w:val="24"/>
              </w:rPr>
              <w:t>m</w:t>
            </w:r>
            <w:r>
              <w:rPr>
                <w:rFonts w:hint="eastAsia"/>
                <w:color w:val="auto"/>
                <w:sz w:val="24"/>
                <w:vertAlign w:val="superscript"/>
              </w:rPr>
              <w:t>3</w:t>
            </w:r>
            <w:r>
              <w:rPr>
                <w:rFonts w:hint="eastAsia"/>
                <w:color w:val="auto"/>
                <w:sz w:val="24"/>
              </w:rPr>
              <w:t>/d，则项目运营期餐饮废水隔油池的含油污泥产生量为</w:t>
            </w:r>
            <w:r>
              <w:rPr>
                <w:rFonts w:hint="eastAsia"/>
                <w:color w:val="auto"/>
                <w:sz w:val="24"/>
                <w:lang w:val="en-US" w:eastAsia="zh-CN"/>
              </w:rPr>
              <w:t>5.07</w:t>
            </w:r>
            <w:r>
              <w:rPr>
                <w:rFonts w:hint="eastAsia"/>
                <w:color w:val="auto"/>
                <w:sz w:val="24"/>
              </w:rPr>
              <w:t>kg/d，约</w:t>
            </w:r>
            <w:r>
              <w:rPr>
                <w:rFonts w:hint="eastAsia"/>
                <w:color w:val="auto"/>
                <w:sz w:val="24"/>
                <w:lang w:val="en-US" w:eastAsia="zh-CN"/>
              </w:rPr>
              <w:t>1.85</w:t>
            </w:r>
            <w:r>
              <w:rPr>
                <w:rFonts w:hint="eastAsia"/>
                <w:color w:val="auto"/>
                <w:sz w:val="24"/>
              </w:rPr>
              <w:t>t/a。</w:t>
            </w:r>
          </w:p>
          <w:p>
            <w:pPr>
              <w:spacing w:line="360" w:lineRule="auto"/>
              <w:ind w:firstLine="480" w:firstLineChars="200"/>
              <w:contextualSpacing/>
              <w:rPr>
                <w:rFonts w:hint="eastAsia"/>
                <w:color w:val="auto"/>
                <w:sz w:val="24"/>
              </w:rPr>
            </w:pPr>
            <w:r>
              <w:rPr>
                <w:rFonts w:hint="eastAsia"/>
                <w:color w:val="auto"/>
                <w:sz w:val="24"/>
              </w:rPr>
              <w:t>本次评价要求园区内的餐厨垃圾由专用的潲水桶收集，最后与隔油池污泥一起由园区统一委托有资质的餐厨垃圾处理企业进行收集、运输、处理。</w:t>
            </w:r>
          </w:p>
          <w:p>
            <w:pPr>
              <w:spacing w:line="360" w:lineRule="auto"/>
              <w:ind w:firstLine="480" w:firstLineChars="200"/>
              <w:contextualSpacing/>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w:t>
            </w:r>
            <w:r>
              <w:rPr>
                <w:rFonts w:ascii="Times New Roman" w:hAnsi="Times New Roman" w:eastAsia="宋体" w:cs="Times New Roman"/>
                <w:color w:val="auto"/>
                <w:sz w:val="24"/>
                <w:szCs w:val="24"/>
              </w:rPr>
              <w:t>3</w:t>
            </w:r>
            <w:r>
              <w:rPr>
                <w:rFonts w:hint="eastAsia" w:ascii="Times New Roman" w:hAnsi="Times New Roman" w:eastAsia="宋体" w:cs="Times New Roman"/>
                <w:color w:val="auto"/>
                <w:sz w:val="24"/>
                <w:szCs w:val="24"/>
              </w:rPr>
              <w:t>）过滤产生的滤渣毛发</w:t>
            </w:r>
          </w:p>
          <w:p>
            <w:pPr>
              <w:spacing w:line="360" w:lineRule="auto"/>
              <w:ind w:firstLine="480" w:firstLineChars="200"/>
              <w:contextualSpacing/>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根据可研单位提供资料，本项目过滤产生的滤渣毛发约0</w:t>
            </w:r>
            <w:r>
              <w:rPr>
                <w:rFonts w:ascii="Times New Roman" w:hAnsi="Times New Roman" w:eastAsia="宋体" w:cs="Times New Roman"/>
                <w:color w:val="auto"/>
                <w:sz w:val="24"/>
                <w:szCs w:val="24"/>
              </w:rPr>
              <w:t>.25t/a</w:t>
            </w:r>
            <w:r>
              <w:rPr>
                <w:rFonts w:hint="eastAsia" w:ascii="Times New Roman" w:hAnsi="Times New Roman" w:eastAsia="宋体" w:cs="Times New Roman"/>
                <w:color w:val="auto"/>
                <w:sz w:val="24"/>
                <w:szCs w:val="24"/>
              </w:rPr>
              <w:t>，交由环卫部门清运。</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（4）危险废物</w:t>
            </w:r>
          </w:p>
          <w:p>
            <w:pPr>
              <w:tabs>
                <w:tab w:val="left" w:pos="2610"/>
              </w:tabs>
              <w:adjustRightInd w:val="0"/>
              <w:snapToGrid w:val="0"/>
              <w:spacing w:line="360" w:lineRule="auto"/>
              <w:ind w:firstLine="48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lang w:val="en-US" w:eastAsia="zh-CN"/>
              </w:rPr>
              <w:t>①</w:t>
            </w:r>
            <w:r>
              <w:rPr>
                <w:rFonts w:hint="eastAsia" w:ascii="Times New Roman" w:hAnsi="Times New Roman" w:eastAsia="宋体" w:cs="Times New Roman"/>
                <w:color w:val="auto"/>
                <w:kern w:val="0"/>
                <w:sz w:val="24"/>
                <w:szCs w:val="24"/>
              </w:rPr>
              <w:t>废机油（废物代码：</w:t>
            </w:r>
            <w:r>
              <w:rPr>
                <w:rFonts w:ascii="Times New Roman" w:hAnsi="Times New Roman" w:eastAsia="宋体" w:cs="Times New Roman"/>
                <w:color w:val="auto"/>
                <w:kern w:val="0"/>
                <w:sz w:val="24"/>
                <w:szCs w:val="24"/>
              </w:rPr>
              <w:t>HW08-900-217-08）</w:t>
            </w:r>
          </w:p>
          <w:p>
            <w:pPr>
              <w:tabs>
                <w:tab w:val="left" w:pos="2610"/>
              </w:tabs>
              <w:adjustRightInd w:val="0"/>
              <w:snapToGrid w:val="0"/>
              <w:spacing w:line="360" w:lineRule="auto"/>
              <w:ind w:firstLine="48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本项目设备日常维护、检修过程会产生废机油。根据建设提供资料，废机油的产生量为</w:t>
            </w:r>
            <w:r>
              <w:rPr>
                <w:rFonts w:hint="eastAsia" w:ascii="Times New Roman" w:hAnsi="Times New Roman" w:eastAsia="宋体" w:cs="Times New Roman"/>
                <w:color w:val="auto"/>
                <w:kern w:val="0"/>
                <w:sz w:val="24"/>
                <w:szCs w:val="24"/>
                <w:lang w:val="en-US" w:eastAsia="zh-CN"/>
              </w:rPr>
              <w:t>0.5</w:t>
            </w:r>
            <w:r>
              <w:rPr>
                <w:rFonts w:hint="eastAsia" w:ascii="Times New Roman" w:hAnsi="Times New Roman" w:eastAsia="宋体" w:cs="Times New Roman"/>
                <w:color w:val="auto"/>
                <w:kern w:val="0"/>
                <w:sz w:val="24"/>
                <w:szCs w:val="24"/>
              </w:rPr>
              <w:t>t/a。</w:t>
            </w:r>
            <w:r>
              <w:rPr>
                <w:rFonts w:hint="eastAsia" w:ascii="Times New Roman" w:hAnsi="Times New Roman" w:eastAsia="宋体" w:cs="Times New Roman"/>
                <w:color w:val="auto"/>
                <w:kern w:val="0"/>
                <w:sz w:val="24"/>
                <w:szCs w:val="24"/>
                <w:lang w:bidi="ar"/>
              </w:rPr>
              <w:t>暂存于危废暂存间定期交有资质单位处理。</w:t>
            </w:r>
          </w:p>
          <w:p>
            <w:pPr>
              <w:tabs>
                <w:tab w:val="left" w:pos="2610"/>
              </w:tabs>
              <w:adjustRightInd w:val="0"/>
              <w:snapToGrid w:val="0"/>
              <w:spacing w:line="360" w:lineRule="auto"/>
              <w:ind w:firstLine="48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lang w:val="en-US" w:eastAsia="zh-CN"/>
              </w:rPr>
              <w:t>②</w:t>
            </w:r>
            <w:r>
              <w:rPr>
                <w:rFonts w:hint="eastAsia" w:ascii="Times New Roman" w:hAnsi="Times New Roman" w:eastAsia="宋体" w:cs="Times New Roman"/>
                <w:color w:val="auto"/>
                <w:kern w:val="0"/>
                <w:sz w:val="24"/>
                <w:szCs w:val="24"/>
              </w:rPr>
              <w:t>废油抹布（废物代码：</w:t>
            </w:r>
            <w:r>
              <w:rPr>
                <w:rFonts w:ascii="Times New Roman" w:hAnsi="Times New Roman" w:eastAsia="宋体" w:cs="Times New Roman"/>
                <w:color w:val="auto"/>
                <w:kern w:val="0"/>
                <w:sz w:val="24"/>
                <w:szCs w:val="24"/>
              </w:rPr>
              <w:t>HW49-900-041-49）</w:t>
            </w:r>
          </w:p>
          <w:p>
            <w:pPr>
              <w:tabs>
                <w:tab w:val="left" w:pos="2610"/>
              </w:tabs>
              <w:adjustRightInd w:val="0"/>
              <w:snapToGrid w:val="0"/>
              <w:spacing w:line="360" w:lineRule="auto"/>
              <w:ind w:firstLine="48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本项目设备在检修过程中会产生废含油手套、抹布，根据建设</w:t>
            </w:r>
            <w:r>
              <w:rPr>
                <w:rFonts w:hint="eastAsia" w:cs="Times New Roman"/>
                <w:color w:val="auto"/>
                <w:kern w:val="0"/>
                <w:sz w:val="24"/>
                <w:szCs w:val="24"/>
                <w:lang w:val="en-US" w:eastAsia="zh-CN"/>
              </w:rPr>
              <w:t>单位设计资料</w:t>
            </w:r>
            <w:r>
              <w:rPr>
                <w:rFonts w:hint="eastAsia" w:ascii="Times New Roman" w:hAnsi="Times New Roman" w:eastAsia="宋体" w:cs="Times New Roman"/>
                <w:color w:val="auto"/>
                <w:kern w:val="0"/>
                <w:sz w:val="24"/>
                <w:szCs w:val="24"/>
              </w:rPr>
              <w:t>提供，产生量为0.</w:t>
            </w:r>
            <w:r>
              <w:rPr>
                <w:rFonts w:hint="eastAsia" w:ascii="Times New Roman" w:hAnsi="Times New Roman" w:eastAsia="宋体" w:cs="Times New Roman"/>
                <w:color w:val="auto"/>
                <w:kern w:val="0"/>
                <w:sz w:val="24"/>
                <w:szCs w:val="24"/>
                <w:lang w:val="en-US" w:eastAsia="zh-CN"/>
              </w:rPr>
              <w:t>3</w:t>
            </w:r>
            <w:r>
              <w:rPr>
                <w:rFonts w:hint="eastAsia" w:ascii="Times New Roman" w:hAnsi="Times New Roman" w:eastAsia="宋体" w:cs="Times New Roman"/>
                <w:color w:val="auto"/>
                <w:kern w:val="0"/>
                <w:sz w:val="24"/>
                <w:szCs w:val="24"/>
              </w:rPr>
              <w:t>t/a</w:t>
            </w:r>
            <w:r>
              <w:rPr>
                <w:rFonts w:hint="eastAsia" w:ascii="Times New Roman" w:hAnsi="Times New Roman" w:eastAsia="宋体" w:cs="Times New Roman"/>
                <w:color w:val="auto"/>
                <w:kern w:val="0"/>
                <w:sz w:val="24"/>
                <w:szCs w:val="24"/>
                <w:lang w:bidi="ar"/>
              </w:rPr>
              <w:t>，</w:t>
            </w:r>
            <w:r>
              <w:rPr>
                <w:rFonts w:hint="eastAsia" w:cs="Times New Roman"/>
                <w:color w:val="auto"/>
                <w:kern w:val="0"/>
                <w:sz w:val="24"/>
                <w:szCs w:val="24"/>
                <w:lang w:val="en-US" w:eastAsia="zh-CN" w:bidi="ar"/>
              </w:rPr>
              <w:t>本项目设置1座</w:t>
            </w:r>
            <w:r>
              <w:rPr>
                <w:rFonts w:hint="eastAsia" w:ascii="Times New Roman" w:hAnsi="Times New Roman" w:eastAsia="宋体" w:cs="Times New Roman"/>
                <w:color w:val="auto"/>
                <w:kern w:val="0"/>
                <w:sz w:val="24"/>
                <w:szCs w:val="24"/>
                <w:lang w:bidi="ar"/>
              </w:rPr>
              <w:t>危废暂存间</w:t>
            </w:r>
            <w:r>
              <w:rPr>
                <w:rFonts w:hint="eastAsia" w:cs="Times New Roman"/>
                <w:color w:val="auto"/>
                <w:kern w:val="0"/>
                <w:sz w:val="24"/>
                <w:szCs w:val="24"/>
                <w:lang w:val="en-US" w:eastAsia="zh-CN" w:bidi="ar"/>
              </w:rPr>
              <w:t>对危险废物进行暂存，</w:t>
            </w:r>
            <w:r>
              <w:rPr>
                <w:rFonts w:hint="eastAsia" w:ascii="Times New Roman" w:hAnsi="Times New Roman" w:eastAsia="宋体" w:cs="Times New Roman"/>
                <w:color w:val="auto"/>
                <w:kern w:val="0"/>
                <w:sz w:val="24"/>
                <w:szCs w:val="24"/>
                <w:lang w:bidi="ar"/>
              </w:rPr>
              <w:t>定期交有资质单位处理。</w:t>
            </w:r>
          </w:p>
          <w:p>
            <w:pPr>
              <w:spacing w:line="360" w:lineRule="auto"/>
              <w:ind w:firstLine="480" w:firstLineChars="200"/>
              <w:contextualSpacing/>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③</w:t>
            </w:r>
            <w:r>
              <w:rPr>
                <w:rFonts w:hint="eastAsia" w:ascii="Times New Roman" w:hAnsi="Times New Roman" w:eastAsia="宋体" w:cs="Times New Roman"/>
                <w:color w:val="auto"/>
                <w:sz w:val="24"/>
                <w:szCs w:val="24"/>
              </w:rPr>
              <w:t>医疗废物（废物代码：H</w:t>
            </w:r>
            <w:r>
              <w:rPr>
                <w:rFonts w:ascii="Times New Roman" w:hAnsi="Times New Roman" w:eastAsia="宋体" w:cs="Times New Roman"/>
                <w:color w:val="auto"/>
                <w:sz w:val="24"/>
                <w:szCs w:val="24"/>
              </w:rPr>
              <w:t>W01</w:t>
            </w:r>
            <w:r>
              <w:rPr>
                <w:rFonts w:hint="eastAsia" w:ascii="Times New Roman" w:hAnsi="Times New Roman" w:eastAsia="宋体" w:cs="Times New Roman"/>
                <w:color w:val="auto"/>
                <w:sz w:val="24"/>
                <w:szCs w:val="24"/>
              </w:rPr>
              <w:t>）</w:t>
            </w:r>
          </w:p>
          <w:p>
            <w:pPr>
              <w:spacing w:line="360" w:lineRule="auto"/>
              <w:ind w:firstLine="480" w:firstLineChars="200"/>
              <w:contextualSpacing/>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本项目医务室一般产生的医疗废物主要是感染性废物、损伤性废物和药物性废物，若出现大型医疗事故，应及时向当地医院求助。</w:t>
            </w:r>
            <w:r>
              <w:rPr>
                <w:rFonts w:hint="eastAsia" w:ascii="Times New Roman" w:hAnsi="Times New Roman" w:eastAsia="宋体" w:cs="Times New Roman"/>
                <w:color w:val="auto"/>
                <w:sz w:val="24"/>
                <w:szCs w:val="24"/>
                <w:lang w:val="en-US" w:eastAsia="zh-CN"/>
              </w:rPr>
              <w:t>医疗废物分类名录见表3</w:t>
            </w:r>
            <w:r>
              <w:rPr>
                <w:rFonts w:hint="eastAsia" w:cs="Times New Roman"/>
                <w:color w:val="auto"/>
                <w:sz w:val="24"/>
                <w:szCs w:val="24"/>
                <w:lang w:val="en-US" w:eastAsia="zh-CN"/>
              </w:rPr>
              <w:t>6</w:t>
            </w:r>
            <w:r>
              <w:rPr>
                <w:rFonts w:hint="eastAsia" w:ascii="Times New Roman" w:hAnsi="Times New Roman" w:eastAsia="宋体" w:cs="Times New Roman"/>
                <w:color w:val="auto"/>
                <w:sz w:val="24"/>
                <w:szCs w:val="24"/>
                <w:lang w:val="en-US" w:eastAsia="zh-CN"/>
              </w:rPr>
              <w:t>。</w:t>
            </w:r>
          </w:p>
          <w:p>
            <w:pPr>
              <w:spacing w:line="360" w:lineRule="auto"/>
              <w:jc w:val="center"/>
              <w:rPr>
                <w:rFonts w:hint="default" w:ascii="Times New Roman" w:hAnsi="Times New Roman" w:eastAsia="黑体" w:cs="Times New Roman"/>
                <w:color w:val="auto"/>
                <w:kern w:val="2"/>
                <w:sz w:val="24"/>
                <w:szCs w:val="24"/>
                <w:lang w:val="en-US" w:eastAsia="zh-CN" w:bidi="ar-SA"/>
              </w:rPr>
            </w:pPr>
            <w:r>
              <w:rPr>
                <w:rFonts w:hint="default" w:ascii="Times New Roman" w:hAnsi="Times New Roman" w:eastAsia="黑体" w:cs="Times New Roman"/>
                <w:color w:val="auto"/>
                <w:kern w:val="2"/>
                <w:sz w:val="24"/>
                <w:szCs w:val="24"/>
                <w:lang w:val="en-US" w:eastAsia="zh-CN" w:bidi="ar-SA"/>
              </w:rPr>
              <w:t>表3</w:t>
            </w:r>
            <w:r>
              <w:rPr>
                <w:rFonts w:hint="eastAsia" w:eastAsia="黑体" w:cs="Times New Roman"/>
                <w:color w:val="auto"/>
                <w:kern w:val="2"/>
                <w:sz w:val="24"/>
                <w:szCs w:val="24"/>
                <w:lang w:val="en-US" w:eastAsia="zh-CN" w:bidi="ar-SA"/>
              </w:rPr>
              <w:t>6</w:t>
            </w:r>
            <w:r>
              <w:rPr>
                <w:rFonts w:hint="default" w:ascii="Times New Roman" w:hAnsi="Times New Roman" w:eastAsia="黑体" w:cs="Times New Roman"/>
                <w:color w:val="auto"/>
                <w:kern w:val="2"/>
                <w:sz w:val="24"/>
                <w:szCs w:val="24"/>
                <w:lang w:val="en-US" w:eastAsia="zh-CN" w:bidi="ar-SA"/>
              </w:rPr>
              <w:t xml:space="preserve">   医疗废物分类名录</w:t>
            </w:r>
          </w:p>
          <w:tbl>
            <w:tblPr>
              <w:tblStyle w:val="24"/>
              <w:tblW w:w="934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78"/>
              <w:gridCol w:w="1969"/>
              <w:gridCol w:w="50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73" w:hRule="atLeast"/>
                <w:jc w:val="center"/>
              </w:trPr>
              <w:tc>
                <w:tcPr>
                  <w:tcW w:w="2278"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类别</w:t>
                  </w:r>
                </w:p>
              </w:tc>
              <w:tc>
                <w:tcPr>
                  <w:tcW w:w="1969"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特征</w:t>
                  </w:r>
                </w:p>
              </w:tc>
              <w:tc>
                <w:tcPr>
                  <w:tcW w:w="5099"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废物名称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2278"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感染性废物</w:t>
                  </w:r>
                </w:p>
                <w:p>
                  <w:pPr>
                    <w:rPr>
                      <w:rFonts w:ascii="Times New Roman" w:hAnsi="Times New Roman" w:eastAsia="宋体" w:cs="Times New Roman"/>
                      <w:color w:val="auto"/>
                      <w:szCs w:val="21"/>
                    </w:rPr>
                  </w:pPr>
                  <w:r>
                    <w:rPr>
                      <w:rFonts w:ascii="Times New Roman" w:hAnsi="Times New Roman" w:eastAsia="宋体" w:cs="Times New Roman"/>
                      <w:color w:val="auto"/>
                      <w:szCs w:val="21"/>
                    </w:rPr>
                    <w:t>(HW01</w:t>
                  </w:r>
                  <w:r>
                    <w:rPr>
                      <w:rFonts w:hint="eastAsia" w:ascii="Times New Roman" w:hAnsi="Times New Roman" w:eastAsia="宋体" w:cs="Times New Roman"/>
                      <w:color w:val="auto"/>
                      <w:szCs w:val="21"/>
                    </w:rPr>
                    <w:t>-</w:t>
                  </w:r>
                  <w:r>
                    <w:rPr>
                      <w:rFonts w:ascii="Times New Roman" w:hAnsi="Times New Roman" w:eastAsia="宋体" w:cs="Times New Roman"/>
                      <w:color w:val="auto"/>
                      <w:szCs w:val="21"/>
                    </w:rPr>
                    <w:t>841</w:t>
                  </w:r>
                  <w:r>
                    <w:rPr>
                      <w:rFonts w:hint="eastAsia" w:ascii="Times New Roman" w:hAnsi="Times New Roman" w:eastAsia="宋体" w:cs="Times New Roman"/>
                      <w:color w:val="auto"/>
                      <w:szCs w:val="21"/>
                    </w:rPr>
                    <w:t>-</w:t>
                  </w:r>
                  <w:r>
                    <w:rPr>
                      <w:rFonts w:ascii="Times New Roman" w:hAnsi="Times New Roman" w:eastAsia="宋体" w:cs="Times New Roman"/>
                      <w:color w:val="auto"/>
                      <w:szCs w:val="21"/>
                    </w:rPr>
                    <w:t>001</w:t>
                  </w:r>
                  <w:r>
                    <w:rPr>
                      <w:rFonts w:hint="eastAsia" w:ascii="Times New Roman" w:hAnsi="Times New Roman" w:eastAsia="宋体" w:cs="Times New Roman"/>
                      <w:color w:val="auto"/>
                      <w:szCs w:val="21"/>
                    </w:rPr>
                    <w:t>-</w:t>
                  </w:r>
                  <w:r>
                    <w:rPr>
                      <w:rFonts w:ascii="Times New Roman" w:hAnsi="Times New Roman" w:eastAsia="宋体" w:cs="Times New Roman"/>
                      <w:color w:val="auto"/>
                      <w:szCs w:val="21"/>
                    </w:rPr>
                    <w:t>01</w:t>
                  </w:r>
                  <w:r>
                    <w:rPr>
                      <w:rFonts w:hint="eastAsia" w:ascii="Times New Roman" w:hAnsi="Times New Roman" w:eastAsia="宋体" w:cs="Times New Roman"/>
                      <w:color w:val="auto"/>
                      <w:szCs w:val="21"/>
                    </w:rPr>
                    <w:t>)</w:t>
                  </w:r>
                </w:p>
              </w:tc>
              <w:tc>
                <w:tcPr>
                  <w:tcW w:w="1969"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携带病原微生物，具有引发感染性疾病传播危险的医疗废物</w:t>
                  </w:r>
                </w:p>
              </w:tc>
              <w:tc>
                <w:tcPr>
                  <w:tcW w:w="5099" w:type="dxa"/>
                  <w:vAlign w:val="center"/>
                </w:tcPr>
                <w:p>
                  <w:pPr>
                    <w:jc w:val="center"/>
                    <w:rPr>
                      <w:rFonts w:ascii="Times New Roman" w:hAnsi="Times New Roman" w:eastAsia="宋体" w:cs="Times New Roman"/>
                      <w:color w:val="auto"/>
                      <w:szCs w:val="21"/>
                    </w:rPr>
                  </w:pPr>
                  <w:r>
                    <w:rPr>
                      <w:rFonts w:hint="eastAsia" w:ascii="宋体" w:hAnsi="宋体" w:eastAsia="宋体" w:cs="宋体"/>
                      <w:color w:val="auto"/>
                      <w:szCs w:val="21"/>
                    </w:rPr>
                    <w:t>①</w:t>
                  </w:r>
                  <w:r>
                    <w:rPr>
                      <w:rFonts w:ascii="Times New Roman" w:hAnsi="Times New Roman" w:eastAsia="宋体" w:cs="Times New Roman"/>
                      <w:color w:val="auto"/>
                      <w:szCs w:val="21"/>
                    </w:rPr>
                    <w:t>被病人血液、体液、排泄物污染的物品，包括：棉球、棉签、纱布及其他各种敷料；一次性使用卫生用品、一次性使用医疗用品及一次性</w:t>
                  </w:r>
                  <w:r>
                    <w:rPr>
                      <w:rFonts w:hint="eastAsia" w:ascii="Times New Roman" w:hAnsi="Times New Roman" w:eastAsia="宋体" w:cs="Times New Roman"/>
                      <w:color w:val="auto"/>
                      <w:szCs w:val="21"/>
                    </w:rPr>
                    <w:t>医疗</w:t>
                  </w:r>
                  <w:r>
                    <w:rPr>
                      <w:rFonts w:ascii="Times New Roman" w:hAnsi="Times New Roman" w:eastAsia="宋体" w:cs="Times New Roman"/>
                      <w:color w:val="auto"/>
                      <w:szCs w:val="21"/>
                    </w:rPr>
                    <w:t>器械；废弃的被服；其他被病人血液、体液、排泄物污染的物品。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2278"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损伤性废物</w:t>
                  </w:r>
                </w:p>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(HW01</w:t>
                  </w:r>
                  <w:r>
                    <w:rPr>
                      <w:rFonts w:hint="eastAsia" w:ascii="Times New Roman" w:hAnsi="Times New Roman" w:eastAsia="宋体" w:cs="Times New Roman"/>
                      <w:color w:val="auto"/>
                      <w:szCs w:val="21"/>
                    </w:rPr>
                    <w:t>-</w:t>
                  </w:r>
                  <w:r>
                    <w:rPr>
                      <w:rFonts w:ascii="Times New Roman" w:hAnsi="Times New Roman" w:eastAsia="宋体" w:cs="Times New Roman"/>
                      <w:color w:val="auto"/>
                      <w:szCs w:val="21"/>
                    </w:rPr>
                    <w:t>841</w:t>
                  </w:r>
                  <w:r>
                    <w:rPr>
                      <w:rFonts w:hint="eastAsia" w:ascii="Times New Roman" w:hAnsi="Times New Roman" w:eastAsia="宋体" w:cs="Times New Roman"/>
                      <w:color w:val="auto"/>
                      <w:szCs w:val="21"/>
                    </w:rPr>
                    <w:t>-</w:t>
                  </w:r>
                  <w:r>
                    <w:rPr>
                      <w:rFonts w:ascii="Times New Roman" w:hAnsi="Times New Roman" w:eastAsia="宋体" w:cs="Times New Roman"/>
                      <w:color w:val="auto"/>
                      <w:szCs w:val="21"/>
                    </w:rPr>
                    <w:t>002</w:t>
                  </w:r>
                  <w:r>
                    <w:rPr>
                      <w:rFonts w:hint="eastAsia" w:ascii="Times New Roman" w:hAnsi="Times New Roman" w:eastAsia="宋体" w:cs="Times New Roman"/>
                      <w:color w:val="auto"/>
                      <w:szCs w:val="21"/>
                    </w:rPr>
                    <w:t>-</w:t>
                  </w:r>
                  <w:r>
                    <w:rPr>
                      <w:rFonts w:ascii="Times New Roman" w:hAnsi="Times New Roman" w:eastAsia="宋体" w:cs="Times New Roman"/>
                      <w:color w:val="auto"/>
                      <w:szCs w:val="21"/>
                    </w:rPr>
                    <w:t>01)</w:t>
                  </w:r>
                </w:p>
              </w:tc>
              <w:tc>
                <w:tcPr>
                  <w:tcW w:w="1969"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能够刺伤或者割伤人体的废弃医用锐器</w:t>
                  </w:r>
                </w:p>
              </w:tc>
              <w:tc>
                <w:tcPr>
                  <w:tcW w:w="5099" w:type="dxa"/>
                  <w:vAlign w:val="center"/>
                </w:tcPr>
                <w:p>
                  <w:pPr>
                    <w:rPr>
                      <w:rFonts w:ascii="Times New Roman" w:hAnsi="Times New Roman" w:eastAsia="宋体" w:cs="Times New Roman"/>
                      <w:color w:val="auto"/>
                      <w:szCs w:val="21"/>
                    </w:rPr>
                  </w:pPr>
                  <w:r>
                    <w:rPr>
                      <w:rFonts w:ascii="Times New Roman" w:hAnsi="Times New Roman" w:eastAsia="宋体" w:cs="Times New Roman"/>
                      <w:color w:val="auto"/>
                      <w:szCs w:val="21"/>
                    </w:rPr>
                    <w:t>医用针头、缝合针</w:t>
                  </w:r>
                  <w:r>
                    <w:rPr>
                      <w:rFonts w:hint="eastAsia" w:ascii="Times New Roman" w:hAnsi="Times New Roman" w:eastAsia="宋体" w:cs="Times New Roman"/>
                      <w:color w:val="auto"/>
                      <w:szCs w:val="21"/>
                    </w:rPr>
                    <w:t>等</w:t>
                  </w:r>
                  <w:r>
                    <w:rPr>
                      <w:rFonts w:ascii="Times New Roman" w:hAnsi="Times New Roman" w:eastAsia="宋体" w:cs="Times New Roman"/>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2278"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药物性废物</w:t>
                  </w:r>
                </w:p>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(HW01</w:t>
                  </w:r>
                  <w:r>
                    <w:rPr>
                      <w:rFonts w:hint="eastAsia" w:ascii="Times New Roman" w:hAnsi="Times New Roman" w:eastAsia="宋体" w:cs="Times New Roman"/>
                      <w:color w:val="auto"/>
                      <w:szCs w:val="21"/>
                    </w:rPr>
                    <w:t>-</w:t>
                  </w:r>
                  <w:r>
                    <w:rPr>
                      <w:rFonts w:ascii="Times New Roman" w:hAnsi="Times New Roman" w:eastAsia="宋体" w:cs="Times New Roman"/>
                      <w:color w:val="auto"/>
                      <w:szCs w:val="21"/>
                    </w:rPr>
                    <w:t>841</w:t>
                  </w:r>
                  <w:r>
                    <w:rPr>
                      <w:rFonts w:hint="eastAsia" w:ascii="Times New Roman" w:hAnsi="Times New Roman" w:eastAsia="宋体" w:cs="Times New Roman"/>
                      <w:color w:val="auto"/>
                      <w:szCs w:val="21"/>
                    </w:rPr>
                    <w:t>-</w:t>
                  </w:r>
                  <w:r>
                    <w:rPr>
                      <w:rFonts w:ascii="Times New Roman" w:hAnsi="Times New Roman" w:eastAsia="宋体" w:cs="Times New Roman"/>
                      <w:color w:val="auto"/>
                      <w:szCs w:val="21"/>
                    </w:rPr>
                    <w:t>005</w:t>
                  </w:r>
                  <w:r>
                    <w:rPr>
                      <w:rFonts w:hint="eastAsia" w:ascii="Times New Roman" w:hAnsi="Times New Roman" w:eastAsia="宋体" w:cs="Times New Roman"/>
                      <w:color w:val="auto"/>
                      <w:szCs w:val="21"/>
                    </w:rPr>
                    <w:t>-</w:t>
                  </w:r>
                  <w:r>
                    <w:rPr>
                      <w:rFonts w:ascii="Times New Roman" w:hAnsi="Times New Roman" w:eastAsia="宋体" w:cs="Times New Roman"/>
                      <w:color w:val="auto"/>
                      <w:szCs w:val="21"/>
                    </w:rPr>
                    <w:t>01)</w:t>
                  </w:r>
                </w:p>
              </w:tc>
              <w:tc>
                <w:tcPr>
                  <w:tcW w:w="1969"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过期、淘汰、变质或者被污染的废弃的药物</w:t>
                  </w:r>
                </w:p>
              </w:tc>
              <w:tc>
                <w:tcPr>
                  <w:tcW w:w="5099" w:type="dxa"/>
                  <w:vAlign w:val="center"/>
                </w:tcPr>
                <w:p>
                  <w:pPr>
                    <w:rPr>
                      <w:rFonts w:ascii="Times New Roman" w:hAnsi="Times New Roman" w:eastAsia="宋体" w:cs="Times New Roman"/>
                      <w:color w:val="auto"/>
                      <w:szCs w:val="21"/>
                    </w:rPr>
                  </w:pPr>
                  <w:r>
                    <w:rPr>
                      <w:rFonts w:ascii="Times New Roman" w:hAnsi="Times New Roman" w:eastAsia="TimesNewRomanPSMT" w:cs="Times New Roman"/>
                      <w:color w:val="auto"/>
                      <w:szCs w:val="21"/>
                    </w:rPr>
                    <w:fldChar w:fldCharType="begin"/>
                  </w:r>
                  <w:r>
                    <w:rPr>
                      <w:rFonts w:ascii="Times New Roman" w:hAnsi="Times New Roman" w:eastAsia="TimesNewRomanPSMT" w:cs="Times New Roman"/>
                      <w:color w:val="auto"/>
                      <w:szCs w:val="21"/>
                    </w:rPr>
                    <w:instrText xml:space="preserve"> = 1 \* GB3 </w:instrText>
                  </w:r>
                  <w:r>
                    <w:rPr>
                      <w:rFonts w:ascii="Times New Roman" w:hAnsi="Times New Roman" w:eastAsia="TimesNewRomanPSMT" w:cs="Times New Roman"/>
                      <w:color w:val="auto"/>
                      <w:szCs w:val="21"/>
                    </w:rPr>
                    <w:fldChar w:fldCharType="separate"/>
                  </w:r>
                  <w:r>
                    <w:rPr>
                      <w:rFonts w:hint="eastAsia" w:ascii="宋体" w:hAnsi="宋体" w:eastAsia="宋体" w:cs="宋体"/>
                      <w:color w:val="auto"/>
                      <w:szCs w:val="21"/>
                    </w:rPr>
                    <w:t>①</w:t>
                  </w:r>
                  <w:r>
                    <w:rPr>
                      <w:rFonts w:ascii="Times New Roman" w:hAnsi="Times New Roman" w:eastAsia="TimesNewRomanPSMT" w:cs="Times New Roman"/>
                      <w:color w:val="auto"/>
                      <w:szCs w:val="21"/>
                    </w:rPr>
                    <w:fldChar w:fldCharType="end"/>
                  </w:r>
                  <w:r>
                    <w:rPr>
                      <w:rFonts w:ascii="Times New Roman" w:hAnsi="Times New Roman" w:eastAsia="宋体" w:cs="Times New Roman"/>
                      <w:color w:val="auto"/>
                      <w:szCs w:val="21"/>
                    </w:rPr>
                    <w:t>废弃的一般性药品。</w:t>
                  </w:r>
                </w:p>
              </w:tc>
            </w:tr>
          </w:tbl>
          <w:p>
            <w:pPr>
              <w:spacing w:line="360" w:lineRule="auto"/>
              <w:ind w:firstLine="480" w:firstLineChars="200"/>
              <w:rPr>
                <w:rFonts w:hint="eastAsia" w:cs="Times New Roman"/>
                <w:color w:val="auto"/>
                <w:sz w:val="24"/>
                <w:szCs w:val="24"/>
                <w:lang w:val="en-US" w:eastAsia="zh-CN"/>
              </w:rPr>
            </w:pPr>
            <w:r>
              <w:rPr>
                <w:rFonts w:hint="eastAsia" w:ascii="Times New Roman" w:hAnsi="Times New Roman" w:eastAsia="宋体" w:cs="Times New Roman"/>
                <w:color w:val="auto"/>
                <w:sz w:val="24"/>
                <w:szCs w:val="24"/>
              </w:rPr>
              <w:t>根据可研单位提供资料，本项目医疗废物产生量约为</w:t>
            </w:r>
            <w:r>
              <w:rPr>
                <w:rFonts w:ascii="Times New Roman" w:hAnsi="Times New Roman" w:eastAsia="宋体" w:cs="Times New Roman"/>
                <w:color w:val="auto"/>
                <w:sz w:val="24"/>
                <w:szCs w:val="24"/>
              </w:rPr>
              <w:t>0.</w:t>
            </w:r>
            <w:r>
              <w:rPr>
                <w:rFonts w:hint="eastAsia" w:ascii="Times New Roman" w:hAnsi="Times New Roman" w:eastAsia="宋体" w:cs="Times New Roman"/>
                <w:color w:val="auto"/>
                <w:sz w:val="24"/>
                <w:szCs w:val="24"/>
                <w:lang w:val="en-US" w:eastAsia="zh-CN"/>
              </w:rPr>
              <w:t>6</w:t>
            </w:r>
            <w:r>
              <w:rPr>
                <w:rFonts w:ascii="Times New Roman" w:hAnsi="Times New Roman" w:eastAsia="宋体" w:cs="Times New Roman"/>
                <w:color w:val="auto"/>
                <w:sz w:val="24"/>
                <w:szCs w:val="24"/>
              </w:rPr>
              <w:t>t/a</w:t>
            </w:r>
            <w:r>
              <w:rPr>
                <w:rFonts w:hint="eastAsia" w:ascii="Times New Roman" w:hAnsi="Times New Roman" w:eastAsia="宋体" w:cs="Times New Roman"/>
                <w:color w:val="auto"/>
                <w:sz w:val="24"/>
                <w:szCs w:val="24"/>
              </w:rPr>
              <w:t>，</w:t>
            </w:r>
            <w:r>
              <w:rPr>
                <w:rFonts w:hint="eastAsia" w:cs="Times New Roman"/>
                <w:color w:val="auto"/>
                <w:sz w:val="24"/>
                <w:szCs w:val="24"/>
                <w:lang w:val="en-US" w:eastAsia="zh-CN"/>
              </w:rPr>
              <w:t>主要包括医务室产生的沾染病人血液、排泄物的棉球、棉签、纱布及敷料。一次性使用的废弃服装及医疗器械等用品</w:t>
            </w:r>
          </w:p>
          <w:p>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医疗废物集中收集后，在医疗废物暂存间分类贮存，项目</w:t>
            </w:r>
            <w:r>
              <w:rPr>
                <w:rFonts w:hint="eastAsia" w:cs="Times New Roman"/>
                <w:color w:val="auto"/>
                <w:sz w:val="24"/>
                <w:szCs w:val="24"/>
                <w:lang w:val="en-US" w:eastAsia="zh-CN"/>
              </w:rPr>
              <w:t>设1座</w:t>
            </w:r>
            <w:r>
              <w:rPr>
                <w:rFonts w:hint="eastAsia" w:ascii="Times New Roman" w:hAnsi="Times New Roman" w:eastAsia="宋体" w:cs="Times New Roman"/>
                <w:color w:val="auto"/>
                <w:sz w:val="24"/>
                <w:szCs w:val="24"/>
              </w:rPr>
              <w:t>医疗废物暂存间</w:t>
            </w:r>
            <w:r>
              <w:rPr>
                <w:rFonts w:hint="eastAsia" w:cs="Times New Roman"/>
                <w:color w:val="auto"/>
                <w:sz w:val="24"/>
                <w:szCs w:val="24"/>
                <w:lang w:eastAsia="zh-CN"/>
              </w:rPr>
              <w:t>，</w:t>
            </w:r>
            <w:r>
              <w:rPr>
                <w:rFonts w:ascii="Times New Roman" w:hAnsi="Times New Roman" w:eastAsia="宋体" w:cs="Times New Roman"/>
                <w:color w:val="auto"/>
                <w:sz w:val="24"/>
              </w:rPr>
              <w:t>位于</w:t>
            </w:r>
            <w:r>
              <w:rPr>
                <w:rFonts w:hint="eastAsia" w:ascii="Times New Roman" w:hAnsi="Times New Roman" w:eastAsia="宋体" w:cs="Times New Roman"/>
                <w:color w:val="auto"/>
                <w:sz w:val="24"/>
              </w:rPr>
              <w:t>园区中部的医务室内</w:t>
            </w:r>
            <w:r>
              <w:rPr>
                <w:rFonts w:ascii="Times New Roman" w:hAnsi="Times New Roman" w:eastAsia="宋体" w:cs="Times New Roman"/>
                <w:color w:val="auto"/>
                <w:sz w:val="24"/>
              </w:rPr>
              <w:t>，</w:t>
            </w:r>
            <w:r>
              <w:rPr>
                <w:rFonts w:hint="eastAsia" w:ascii="Times New Roman" w:hAnsi="Times New Roman" w:eastAsia="宋体" w:cs="Times New Roman"/>
                <w:color w:val="auto"/>
                <w:sz w:val="24"/>
              </w:rPr>
              <w:t>地面防渗处理，</w:t>
            </w:r>
            <w:r>
              <w:rPr>
                <w:rFonts w:ascii="Times New Roman" w:hAnsi="Times New Roman" w:eastAsia="宋体" w:cs="Times New Roman"/>
                <w:color w:val="auto"/>
                <w:sz w:val="24"/>
              </w:rPr>
              <w:t>医疗废物</w:t>
            </w:r>
            <w:r>
              <w:rPr>
                <w:rFonts w:hint="eastAsia" w:ascii="Times New Roman" w:hAnsi="Times New Roman" w:eastAsia="宋体" w:cs="Times New Roman"/>
                <w:color w:val="auto"/>
                <w:sz w:val="24"/>
              </w:rPr>
              <w:t>交由有资质的公司处置</w:t>
            </w:r>
            <w:r>
              <w:rPr>
                <w:rFonts w:ascii="Times New Roman" w:hAnsi="Times New Roman" w:eastAsia="宋体" w:cs="Times New Roman"/>
                <w:color w:val="auto"/>
                <w:sz w:val="24"/>
              </w:rPr>
              <w:t>。</w:t>
            </w:r>
          </w:p>
          <w:p>
            <w:pPr>
              <w:spacing w:line="360" w:lineRule="auto"/>
              <w:ind w:firstLine="480" w:firstLineChars="200"/>
              <w:contextualSpacing/>
              <w:rPr>
                <w:color w:val="auto"/>
                <w:sz w:val="24"/>
              </w:rPr>
            </w:pPr>
            <w:r>
              <w:rPr>
                <w:color w:val="auto"/>
                <w:sz w:val="24"/>
              </w:rPr>
              <w:t>本项目产生固体废物情况见</w:t>
            </w:r>
            <w:r>
              <w:rPr>
                <w:rFonts w:hint="eastAsia"/>
                <w:color w:val="auto"/>
                <w:sz w:val="24"/>
              </w:rPr>
              <w:t>下表</w:t>
            </w:r>
            <w:r>
              <w:rPr>
                <w:rFonts w:hint="eastAsia"/>
                <w:color w:val="auto"/>
                <w:sz w:val="24"/>
                <w:lang w:val="en-US" w:eastAsia="zh-CN"/>
              </w:rPr>
              <w:t>37</w:t>
            </w:r>
            <w:r>
              <w:rPr>
                <w:color w:val="auto"/>
                <w:sz w:val="24"/>
              </w:rPr>
              <w:t>。</w:t>
            </w:r>
          </w:p>
          <w:p>
            <w:pPr>
              <w:spacing w:line="360" w:lineRule="auto"/>
              <w:contextualSpacing/>
              <w:jc w:val="center"/>
              <w:rPr>
                <w:b/>
                <w:color w:val="auto"/>
                <w:sz w:val="24"/>
              </w:rPr>
            </w:pPr>
            <w:r>
              <w:rPr>
                <w:rFonts w:hint="eastAsia" w:ascii="Times New Roman" w:hAnsi="Times New Roman" w:eastAsia="黑体" w:cs="Times New Roman"/>
                <w:color w:val="auto"/>
                <w:kern w:val="2"/>
                <w:sz w:val="24"/>
                <w:szCs w:val="24"/>
                <w:lang w:val="en-US" w:eastAsia="zh-CN" w:bidi="ar-SA"/>
              </w:rPr>
              <w:t>表3</w:t>
            </w:r>
            <w:r>
              <w:rPr>
                <w:rFonts w:hint="eastAsia" w:eastAsia="黑体" w:cs="Times New Roman"/>
                <w:color w:val="auto"/>
                <w:kern w:val="2"/>
                <w:sz w:val="24"/>
                <w:szCs w:val="24"/>
                <w:lang w:val="en-US" w:eastAsia="zh-CN" w:bidi="ar-SA"/>
              </w:rPr>
              <w:t>7</w:t>
            </w:r>
            <w:r>
              <w:rPr>
                <w:rFonts w:hint="default" w:ascii="Times New Roman" w:hAnsi="Times New Roman" w:eastAsia="黑体" w:cs="Times New Roman"/>
                <w:color w:val="auto"/>
                <w:kern w:val="2"/>
                <w:sz w:val="24"/>
                <w:szCs w:val="24"/>
                <w:lang w:val="en-US" w:eastAsia="zh-CN" w:bidi="ar-SA"/>
              </w:rPr>
              <w:t xml:space="preserve"> </w:t>
            </w:r>
            <w:r>
              <w:rPr>
                <w:rFonts w:hint="eastAsia" w:ascii="Times New Roman" w:hAnsi="Times New Roman" w:eastAsia="黑体" w:cs="Times New Roman"/>
                <w:color w:val="auto"/>
                <w:kern w:val="2"/>
                <w:sz w:val="24"/>
                <w:szCs w:val="24"/>
                <w:lang w:val="en-US" w:eastAsia="zh-CN" w:bidi="ar-SA"/>
              </w:rPr>
              <w:t xml:space="preserve">  </w:t>
            </w:r>
            <w:r>
              <w:rPr>
                <w:rFonts w:hint="default" w:ascii="Times New Roman" w:hAnsi="Times New Roman" w:eastAsia="黑体" w:cs="Times New Roman"/>
                <w:color w:val="auto"/>
                <w:kern w:val="2"/>
                <w:sz w:val="24"/>
                <w:szCs w:val="24"/>
                <w:lang w:val="en-US" w:eastAsia="zh-CN" w:bidi="ar-SA"/>
              </w:rPr>
              <w:t>本项目固体废物产生一览表</w:t>
            </w:r>
          </w:p>
          <w:tbl>
            <w:tblPr>
              <w:tblStyle w:val="24"/>
              <w:tblW w:w="934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22"/>
              <w:gridCol w:w="2725"/>
              <w:gridCol w:w="1817"/>
              <w:gridCol w:w="32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jc w:val="center"/>
              </w:trPr>
              <w:tc>
                <w:tcPr>
                  <w:tcW w:w="1522" w:type="dxa"/>
                  <w:vAlign w:val="center"/>
                </w:tcPr>
                <w:p>
                  <w:pPr>
                    <w:adjustRightInd w:val="0"/>
                    <w:snapToGrid w:val="0"/>
                    <w:jc w:val="center"/>
                    <w:rPr>
                      <w:color w:val="auto"/>
                      <w:kern w:val="0"/>
                      <w:szCs w:val="21"/>
                    </w:rPr>
                  </w:pPr>
                  <w:r>
                    <w:rPr>
                      <w:rFonts w:hint="eastAsia"/>
                      <w:color w:val="auto"/>
                      <w:kern w:val="0"/>
                      <w:szCs w:val="21"/>
                    </w:rPr>
                    <w:t>固废名称</w:t>
                  </w:r>
                </w:p>
              </w:tc>
              <w:tc>
                <w:tcPr>
                  <w:tcW w:w="2725" w:type="dxa"/>
                  <w:vAlign w:val="center"/>
                </w:tcPr>
                <w:p>
                  <w:pPr>
                    <w:adjustRightInd w:val="0"/>
                    <w:snapToGrid w:val="0"/>
                    <w:jc w:val="center"/>
                    <w:rPr>
                      <w:color w:val="auto"/>
                      <w:kern w:val="0"/>
                      <w:szCs w:val="21"/>
                    </w:rPr>
                  </w:pPr>
                  <w:r>
                    <w:rPr>
                      <w:rFonts w:hint="eastAsia"/>
                      <w:color w:val="auto"/>
                      <w:kern w:val="0"/>
                      <w:szCs w:val="21"/>
                    </w:rPr>
                    <w:t>产物因子</w:t>
                  </w:r>
                </w:p>
              </w:tc>
              <w:tc>
                <w:tcPr>
                  <w:tcW w:w="1817" w:type="dxa"/>
                </w:tcPr>
                <w:p>
                  <w:pPr>
                    <w:adjustRightInd w:val="0"/>
                    <w:snapToGrid w:val="0"/>
                    <w:jc w:val="center"/>
                    <w:rPr>
                      <w:color w:val="auto"/>
                      <w:kern w:val="0"/>
                      <w:szCs w:val="21"/>
                    </w:rPr>
                  </w:pPr>
                  <w:r>
                    <w:rPr>
                      <w:rFonts w:hint="eastAsia"/>
                      <w:color w:val="auto"/>
                      <w:kern w:val="0"/>
                      <w:szCs w:val="21"/>
                    </w:rPr>
                    <w:t>产生量t</w:t>
                  </w:r>
                  <w:r>
                    <w:rPr>
                      <w:color w:val="auto"/>
                      <w:kern w:val="0"/>
                      <w:szCs w:val="21"/>
                    </w:rPr>
                    <w:t>/a</w:t>
                  </w:r>
                </w:p>
              </w:tc>
              <w:tc>
                <w:tcPr>
                  <w:tcW w:w="3282" w:type="dxa"/>
                </w:tcPr>
                <w:p>
                  <w:pPr>
                    <w:adjustRightInd w:val="0"/>
                    <w:snapToGrid w:val="0"/>
                    <w:jc w:val="center"/>
                    <w:rPr>
                      <w:color w:val="auto"/>
                      <w:kern w:val="0"/>
                      <w:szCs w:val="21"/>
                    </w:rPr>
                  </w:pPr>
                  <w:r>
                    <w:rPr>
                      <w:rFonts w:hint="eastAsia"/>
                      <w:color w:val="auto"/>
                      <w:kern w:val="0"/>
                      <w:szCs w:val="21"/>
                    </w:rPr>
                    <w:t>处置措施及去向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jc w:val="center"/>
              </w:trPr>
              <w:tc>
                <w:tcPr>
                  <w:tcW w:w="1522" w:type="dxa"/>
                  <w:vAlign w:val="center"/>
                </w:tcPr>
                <w:p>
                  <w:pPr>
                    <w:adjustRightInd w:val="0"/>
                    <w:snapToGrid w:val="0"/>
                    <w:jc w:val="center"/>
                    <w:rPr>
                      <w:color w:val="auto"/>
                      <w:kern w:val="0"/>
                      <w:szCs w:val="21"/>
                    </w:rPr>
                  </w:pPr>
                  <w:r>
                    <w:rPr>
                      <w:rFonts w:hint="eastAsia"/>
                      <w:color w:val="auto"/>
                      <w:kern w:val="0"/>
                      <w:szCs w:val="21"/>
                    </w:rPr>
                    <w:t>生活垃圾</w:t>
                  </w:r>
                </w:p>
              </w:tc>
              <w:tc>
                <w:tcPr>
                  <w:tcW w:w="2725" w:type="dxa"/>
                  <w:vAlign w:val="center"/>
                </w:tcPr>
                <w:p>
                  <w:pPr>
                    <w:adjustRightInd w:val="0"/>
                    <w:snapToGrid w:val="0"/>
                    <w:jc w:val="center"/>
                    <w:rPr>
                      <w:color w:val="auto"/>
                      <w:kern w:val="0"/>
                      <w:szCs w:val="21"/>
                    </w:rPr>
                  </w:pPr>
                  <w:r>
                    <w:rPr>
                      <w:rFonts w:hint="eastAsia"/>
                      <w:color w:val="auto"/>
                      <w:kern w:val="0"/>
                      <w:szCs w:val="21"/>
                    </w:rPr>
                    <w:t>生活垃圾</w:t>
                  </w:r>
                </w:p>
              </w:tc>
              <w:tc>
                <w:tcPr>
                  <w:tcW w:w="1817" w:type="dxa"/>
                </w:tcPr>
                <w:p>
                  <w:pPr>
                    <w:adjustRightInd w:val="0"/>
                    <w:snapToGrid w:val="0"/>
                    <w:jc w:val="center"/>
                    <w:rPr>
                      <w:rFonts w:hint="eastAsia" w:eastAsia="宋体"/>
                      <w:color w:val="auto"/>
                      <w:kern w:val="0"/>
                      <w:szCs w:val="21"/>
                      <w:lang w:eastAsia="zh-CN"/>
                    </w:rPr>
                  </w:pPr>
                  <w:r>
                    <w:rPr>
                      <w:rFonts w:hint="eastAsia"/>
                      <w:color w:val="auto"/>
                      <w:kern w:val="0"/>
                      <w:szCs w:val="21"/>
                      <w:lang w:val="en-US" w:eastAsia="zh-CN"/>
                    </w:rPr>
                    <w:t>302.5</w:t>
                  </w:r>
                </w:p>
              </w:tc>
              <w:tc>
                <w:tcPr>
                  <w:tcW w:w="3282" w:type="dxa"/>
                </w:tcPr>
                <w:p>
                  <w:pPr>
                    <w:adjustRightInd w:val="0"/>
                    <w:snapToGrid w:val="0"/>
                    <w:jc w:val="center"/>
                    <w:rPr>
                      <w:color w:val="auto"/>
                      <w:kern w:val="0"/>
                      <w:szCs w:val="21"/>
                    </w:rPr>
                  </w:pPr>
                  <w:r>
                    <w:rPr>
                      <w:rFonts w:hint="eastAsia"/>
                      <w:color w:val="auto"/>
                      <w:kern w:val="0"/>
                      <w:szCs w:val="21"/>
                    </w:rPr>
                    <w:t>分类收集，交由环卫部门处置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jc w:val="center"/>
              </w:trPr>
              <w:tc>
                <w:tcPr>
                  <w:tcW w:w="1522" w:type="dxa"/>
                  <w:vAlign w:val="center"/>
                </w:tcPr>
                <w:p>
                  <w:pPr>
                    <w:adjustRightInd w:val="0"/>
                    <w:snapToGrid w:val="0"/>
                    <w:jc w:val="center"/>
                    <w:rPr>
                      <w:color w:val="auto"/>
                      <w:kern w:val="0"/>
                      <w:szCs w:val="21"/>
                    </w:rPr>
                  </w:pPr>
                  <w:r>
                    <w:rPr>
                      <w:rFonts w:hint="eastAsia"/>
                      <w:color w:val="auto"/>
                      <w:kern w:val="0"/>
                      <w:szCs w:val="21"/>
                    </w:rPr>
                    <w:t>餐饮垃圾</w:t>
                  </w:r>
                </w:p>
              </w:tc>
              <w:tc>
                <w:tcPr>
                  <w:tcW w:w="2725" w:type="dxa"/>
                  <w:vAlign w:val="center"/>
                </w:tcPr>
                <w:p>
                  <w:pPr>
                    <w:adjustRightInd w:val="0"/>
                    <w:snapToGrid w:val="0"/>
                    <w:jc w:val="center"/>
                    <w:rPr>
                      <w:color w:val="auto"/>
                      <w:kern w:val="0"/>
                      <w:szCs w:val="21"/>
                    </w:rPr>
                  </w:pPr>
                  <w:r>
                    <w:rPr>
                      <w:rFonts w:hint="eastAsia"/>
                      <w:color w:val="auto"/>
                      <w:kern w:val="0"/>
                      <w:szCs w:val="21"/>
                    </w:rPr>
                    <w:t>餐饮垃圾</w:t>
                  </w:r>
                </w:p>
              </w:tc>
              <w:tc>
                <w:tcPr>
                  <w:tcW w:w="1817" w:type="dxa"/>
                </w:tcPr>
                <w:p>
                  <w:pPr>
                    <w:adjustRightInd w:val="0"/>
                    <w:snapToGrid w:val="0"/>
                    <w:jc w:val="center"/>
                    <w:rPr>
                      <w:rFonts w:hint="eastAsia" w:eastAsia="宋体"/>
                      <w:color w:val="auto"/>
                      <w:kern w:val="0"/>
                      <w:szCs w:val="21"/>
                      <w:lang w:eastAsia="zh-CN"/>
                    </w:rPr>
                  </w:pPr>
                  <w:r>
                    <w:rPr>
                      <w:rFonts w:hint="eastAsia"/>
                      <w:color w:val="auto"/>
                      <w:kern w:val="0"/>
                      <w:szCs w:val="21"/>
                      <w:lang w:val="en-US" w:eastAsia="zh-CN"/>
                    </w:rPr>
                    <w:t>32.44</w:t>
                  </w:r>
                </w:p>
              </w:tc>
              <w:tc>
                <w:tcPr>
                  <w:tcW w:w="3282" w:type="dxa"/>
                </w:tcPr>
                <w:p>
                  <w:pPr>
                    <w:adjustRightInd w:val="0"/>
                    <w:snapToGrid w:val="0"/>
                    <w:jc w:val="center"/>
                    <w:rPr>
                      <w:color w:val="auto"/>
                      <w:kern w:val="0"/>
                      <w:szCs w:val="21"/>
                    </w:rPr>
                  </w:pPr>
                  <w:r>
                    <w:rPr>
                      <w:rFonts w:hint="eastAsia"/>
                      <w:color w:val="auto"/>
                      <w:kern w:val="0"/>
                      <w:szCs w:val="21"/>
                    </w:rPr>
                    <w:t>交由有资质的公司处置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tblHeader/>
                <w:jc w:val="center"/>
              </w:trPr>
              <w:tc>
                <w:tcPr>
                  <w:tcW w:w="1522" w:type="dxa"/>
                  <w:vAlign w:val="center"/>
                </w:tcPr>
                <w:p>
                  <w:pPr>
                    <w:adjustRightInd w:val="0"/>
                    <w:snapToGrid w:val="0"/>
                    <w:jc w:val="center"/>
                    <w:rPr>
                      <w:rFonts w:hint="eastAsia"/>
                      <w:color w:val="auto"/>
                      <w:kern w:val="0"/>
                      <w:szCs w:val="21"/>
                    </w:rPr>
                  </w:pPr>
                  <w:r>
                    <w:rPr>
                      <w:rFonts w:hint="eastAsia"/>
                      <w:color w:val="auto"/>
                      <w:kern w:val="0"/>
                      <w:szCs w:val="21"/>
                    </w:rPr>
                    <w:t>一般固废</w:t>
                  </w:r>
                </w:p>
              </w:tc>
              <w:tc>
                <w:tcPr>
                  <w:tcW w:w="2725" w:type="dxa"/>
                  <w:vAlign w:val="center"/>
                </w:tcPr>
                <w:p>
                  <w:pPr>
                    <w:adjustRightInd w:val="0"/>
                    <w:snapToGrid w:val="0"/>
                    <w:jc w:val="center"/>
                    <w:rPr>
                      <w:rFonts w:hint="eastAsia"/>
                      <w:color w:val="auto"/>
                      <w:kern w:val="0"/>
                      <w:szCs w:val="21"/>
                    </w:rPr>
                  </w:pPr>
                  <w:r>
                    <w:rPr>
                      <w:rFonts w:hint="eastAsia"/>
                      <w:color w:val="auto"/>
                      <w:kern w:val="0"/>
                      <w:szCs w:val="21"/>
                    </w:rPr>
                    <w:t>过滤产生的滤渣毛发</w:t>
                  </w:r>
                </w:p>
              </w:tc>
              <w:tc>
                <w:tcPr>
                  <w:tcW w:w="1817" w:type="dxa"/>
                </w:tcPr>
                <w:p>
                  <w:pPr>
                    <w:adjustRightInd w:val="0"/>
                    <w:snapToGrid w:val="0"/>
                    <w:jc w:val="center"/>
                    <w:rPr>
                      <w:rFonts w:hint="eastAsia" w:eastAsia="宋体"/>
                      <w:color w:val="auto"/>
                      <w:kern w:val="0"/>
                      <w:szCs w:val="21"/>
                      <w:lang w:eastAsia="zh-CN"/>
                    </w:rPr>
                  </w:pPr>
                  <w:r>
                    <w:rPr>
                      <w:rFonts w:hint="eastAsia"/>
                      <w:color w:val="auto"/>
                      <w:kern w:val="0"/>
                      <w:szCs w:val="21"/>
                      <w:lang w:val="en-US" w:eastAsia="zh-CN"/>
                    </w:rPr>
                    <w:t>0.25</w:t>
                  </w:r>
                </w:p>
              </w:tc>
              <w:tc>
                <w:tcPr>
                  <w:tcW w:w="3282" w:type="dxa"/>
                </w:tcPr>
                <w:p>
                  <w:pPr>
                    <w:adjustRightInd w:val="0"/>
                    <w:snapToGrid w:val="0"/>
                    <w:jc w:val="center"/>
                    <w:rPr>
                      <w:rFonts w:hint="eastAsia"/>
                      <w:color w:val="auto"/>
                      <w:kern w:val="0"/>
                      <w:szCs w:val="21"/>
                    </w:rPr>
                  </w:pPr>
                  <w:r>
                    <w:rPr>
                      <w:rFonts w:hint="eastAsia"/>
                      <w:color w:val="auto"/>
                      <w:kern w:val="0"/>
                      <w:szCs w:val="21"/>
                    </w:rPr>
                    <w:t>交由环卫部门清运。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blHeader/>
                <w:jc w:val="center"/>
              </w:trPr>
              <w:tc>
                <w:tcPr>
                  <w:tcW w:w="1522" w:type="dxa"/>
                  <w:vMerge w:val="restart"/>
                  <w:vAlign w:val="center"/>
                </w:tcPr>
                <w:p>
                  <w:pPr>
                    <w:adjustRightInd w:val="0"/>
                    <w:snapToGrid w:val="0"/>
                    <w:jc w:val="center"/>
                    <w:rPr>
                      <w:color w:val="auto"/>
                      <w:kern w:val="0"/>
                      <w:szCs w:val="21"/>
                    </w:rPr>
                  </w:pPr>
                  <w:r>
                    <w:rPr>
                      <w:rFonts w:hint="eastAsia"/>
                      <w:color w:val="auto"/>
                      <w:kern w:val="0"/>
                      <w:szCs w:val="21"/>
                    </w:rPr>
                    <w:t>危险废物</w:t>
                  </w:r>
                </w:p>
              </w:tc>
              <w:tc>
                <w:tcPr>
                  <w:tcW w:w="2725" w:type="dxa"/>
                  <w:vAlign w:val="center"/>
                </w:tcPr>
                <w:p>
                  <w:pPr>
                    <w:adjustRightInd w:val="0"/>
                    <w:snapToGrid w:val="0"/>
                    <w:jc w:val="center"/>
                    <w:rPr>
                      <w:color w:val="auto"/>
                      <w:kern w:val="0"/>
                      <w:szCs w:val="21"/>
                    </w:rPr>
                  </w:pPr>
                  <w:r>
                    <w:rPr>
                      <w:rFonts w:hint="eastAsia"/>
                      <w:color w:val="auto"/>
                      <w:kern w:val="0"/>
                      <w:szCs w:val="21"/>
                    </w:rPr>
                    <w:t>废机油</w:t>
                  </w:r>
                </w:p>
              </w:tc>
              <w:tc>
                <w:tcPr>
                  <w:tcW w:w="1817" w:type="dxa"/>
                  <w:vAlign w:val="center"/>
                </w:tcPr>
                <w:p>
                  <w:pPr>
                    <w:adjustRightInd w:val="0"/>
                    <w:snapToGrid w:val="0"/>
                    <w:jc w:val="center"/>
                    <w:rPr>
                      <w:color w:val="auto"/>
                      <w:kern w:val="0"/>
                      <w:szCs w:val="21"/>
                    </w:rPr>
                  </w:pPr>
                  <w:r>
                    <w:rPr>
                      <w:color w:val="auto"/>
                      <w:kern w:val="0"/>
                      <w:szCs w:val="21"/>
                    </w:rPr>
                    <w:t>0.</w:t>
                  </w:r>
                  <w:r>
                    <w:rPr>
                      <w:rFonts w:hint="eastAsia"/>
                      <w:color w:val="auto"/>
                      <w:kern w:val="0"/>
                      <w:szCs w:val="21"/>
                      <w:lang w:val="en-US" w:eastAsia="zh-CN"/>
                    </w:rPr>
                    <w:t>5</w:t>
                  </w:r>
                </w:p>
              </w:tc>
              <w:tc>
                <w:tcPr>
                  <w:tcW w:w="3282" w:type="dxa"/>
                  <w:vMerge w:val="restart"/>
                  <w:vAlign w:val="center"/>
                </w:tcPr>
                <w:p>
                  <w:pPr>
                    <w:adjustRightInd w:val="0"/>
                    <w:snapToGrid w:val="0"/>
                    <w:jc w:val="center"/>
                    <w:rPr>
                      <w:color w:val="auto"/>
                      <w:kern w:val="0"/>
                      <w:szCs w:val="21"/>
                    </w:rPr>
                  </w:pPr>
                  <w:r>
                    <w:rPr>
                      <w:rFonts w:hint="eastAsia"/>
                      <w:color w:val="auto"/>
                      <w:kern w:val="0"/>
                      <w:szCs w:val="21"/>
                      <w:lang w:val="en-US" w:eastAsia="zh-CN"/>
                    </w:rPr>
                    <w:t>设1座危废暂存间，</w:t>
                  </w:r>
                  <w:r>
                    <w:rPr>
                      <w:rFonts w:hint="eastAsia"/>
                      <w:color w:val="auto"/>
                      <w:kern w:val="0"/>
                      <w:szCs w:val="21"/>
                    </w:rPr>
                    <w:t>危废暂存间</w:t>
                  </w:r>
                  <w:r>
                    <w:rPr>
                      <w:rFonts w:hint="eastAsia"/>
                      <w:color w:val="auto"/>
                      <w:kern w:val="0"/>
                      <w:szCs w:val="21"/>
                      <w:lang w:val="en-US" w:eastAsia="zh-CN"/>
                    </w:rPr>
                    <w:t>暂存</w:t>
                  </w:r>
                  <w:r>
                    <w:rPr>
                      <w:rFonts w:hint="eastAsia"/>
                      <w:color w:val="auto"/>
                      <w:kern w:val="0"/>
                      <w:szCs w:val="21"/>
                    </w:rPr>
                    <w:t>，交由有资质单位处置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jc w:val="center"/>
              </w:trPr>
              <w:tc>
                <w:tcPr>
                  <w:tcW w:w="1522" w:type="dxa"/>
                  <w:vMerge w:val="continue"/>
                  <w:vAlign w:val="center"/>
                </w:tcPr>
                <w:p>
                  <w:pPr>
                    <w:adjustRightInd w:val="0"/>
                    <w:snapToGrid w:val="0"/>
                    <w:jc w:val="center"/>
                    <w:rPr>
                      <w:color w:val="auto"/>
                      <w:kern w:val="0"/>
                      <w:szCs w:val="21"/>
                    </w:rPr>
                  </w:pPr>
                </w:p>
              </w:tc>
              <w:tc>
                <w:tcPr>
                  <w:tcW w:w="2725" w:type="dxa"/>
                  <w:vAlign w:val="center"/>
                </w:tcPr>
                <w:p>
                  <w:pPr>
                    <w:adjustRightInd w:val="0"/>
                    <w:snapToGrid w:val="0"/>
                    <w:jc w:val="center"/>
                    <w:rPr>
                      <w:color w:val="auto"/>
                      <w:kern w:val="0"/>
                      <w:szCs w:val="21"/>
                    </w:rPr>
                  </w:pPr>
                  <w:r>
                    <w:rPr>
                      <w:rFonts w:hint="eastAsia"/>
                      <w:color w:val="auto"/>
                      <w:kern w:val="0"/>
                      <w:szCs w:val="21"/>
                    </w:rPr>
                    <w:t>废油抹布</w:t>
                  </w:r>
                </w:p>
              </w:tc>
              <w:tc>
                <w:tcPr>
                  <w:tcW w:w="1817" w:type="dxa"/>
                </w:tcPr>
                <w:p>
                  <w:pPr>
                    <w:adjustRightInd w:val="0"/>
                    <w:snapToGrid w:val="0"/>
                    <w:jc w:val="center"/>
                    <w:rPr>
                      <w:color w:val="auto"/>
                      <w:kern w:val="0"/>
                      <w:szCs w:val="21"/>
                    </w:rPr>
                  </w:pPr>
                  <w:r>
                    <w:rPr>
                      <w:rFonts w:hint="eastAsia"/>
                      <w:color w:val="auto"/>
                      <w:kern w:val="0"/>
                      <w:szCs w:val="21"/>
                    </w:rPr>
                    <w:t>0</w:t>
                  </w:r>
                  <w:r>
                    <w:rPr>
                      <w:color w:val="auto"/>
                      <w:kern w:val="0"/>
                      <w:szCs w:val="21"/>
                    </w:rPr>
                    <w:t>.</w:t>
                  </w:r>
                  <w:r>
                    <w:rPr>
                      <w:rFonts w:hint="eastAsia"/>
                      <w:color w:val="auto"/>
                      <w:kern w:val="0"/>
                      <w:szCs w:val="21"/>
                      <w:lang w:val="en-US" w:eastAsia="zh-CN"/>
                    </w:rPr>
                    <w:t>3</w:t>
                  </w:r>
                </w:p>
              </w:tc>
              <w:tc>
                <w:tcPr>
                  <w:tcW w:w="3282" w:type="dxa"/>
                  <w:vMerge w:val="continue"/>
                </w:tcPr>
                <w:p>
                  <w:pPr>
                    <w:adjustRightInd w:val="0"/>
                    <w:snapToGrid w:val="0"/>
                    <w:jc w:val="center"/>
                    <w:rPr>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tblHeader/>
                <w:jc w:val="center"/>
              </w:trPr>
              <w:tc>
                <w:tcPr>
                  <w:tcW w:w="1522" w:type="dxa"/>
                  <w:vMerge w:val="continue"/>
                  <w:vAlign w:val="center"/>
                </w:tcPr>
                <w:p>
                  <w:pPr>
                    <w:adjustRightInd w:val="0"/>
                    <w:snapToGrid w:val="0"/>
                    <w:jc w:val="center"/>
                    <w:rPr>
                      <w:color w:val="auto"/>
                      <w:kern w:val="0"/>
                      <w:szCs w:val="21"/>
                    </w:rPr>
                  </w:pPr>
                </w:p>
              </w:tc>
              <w:tc>
                <w:tcPr>
                  <w:tcW w:w="2725" w:type="dxa"/>
                  <w:vAlign w:val="center"/>
                </w:tcPr>
                <w:p>
                  <w:pPr>
                    <w:adjustRightInd w:val="0"/>
                    <w:snapToGrid w:val="0"/>
                    <w:jc w:val="center"/>
                    <w:rPr>
                      <w:color w:val="auto"/>
                      <w:kern w:val="0"/>
                      <w:szCs w:val="21"/>
                    </w:rPr>
                  </w:pPr>
                  <w:r>
                    <w:rPr>
                      <w:rFonts w:hint="eastAsia"/>
                      <w:color w:val="auto"/>
                      <w:kern w:val="0"/>
                      <w:szCs w:val="21"/>
                    </w:rPr>
                    <w:t>医疗废物</w:t>
                  </w:r>
                </w:p>
              </w:tc>
              <w:tc>
                <w:tcPr>
                  <w:tcW w:w="1817" w:type="dxa"/>
                  <w:vAlign w:val="center"/>
                </w:tcPr>
                <w:p>
                  <w:pPr>
                    <w:adjustRightInd w:val="0"/>
                    <w:snapToGrid w:val="0"/>
                    <w:jc w:val="center"/>
                    <w:rPr>
                      <w:color w:val="auto"/>
                      <w:kern w:val="0"/>
                      <w:szCs w:val="21"/>
                    </w:rPr>
                  </w:pPr>
                  <w:r>
                    <w:rPr>
                      <w:rFonts w:hint="eastAsia"/>
                      <w:color w:val="auto"/>
                      <w:kern w:val="0"/>
                      <w:szCs w:val="21"/>
                    </w:rPr>
                    <w:t>0</w:t>
                  </w:r>
                  <w:r>
                    <w:rPr>
                      <w:color w:val="auto"/>
                      <w:kern w:val="0"/>
                      <w:szCs w:val="21"/>
                    </w:rPr>
                    <w:t>.</w:t>
                  </w:r>
                  <w:r>
                    <w:rPr>
                      <w:rFonts w:hint="eastAsia"/>
                      <w:color w:val="auto"/>
                      <w:kern w:val="0"/>
                      <w:szCs w:val="21"/>
                      <w:lang w:val="en-US" w:eastAsia="zh-CN"/>
                    </w:rPr>
                    <w:t>6</w:t>
                  </w:r>
                </w:p>
              </w:tc>
              <w:tc>
                <w:tcPr>
                  <w:tcW w:w="3282" w:type="dxa"/>
                </w:tcPr>
                <w:p>
                  <w:pPr>
                    <w:adjustRightInd w:val="0"/>
                    <w:snapToGrid w:val="0"/>
                    <w:jc w:val="center"/>
                    <w:rPr>
                      <w:color w:val="auto"/>
                      <w:kern w:val="0"/>
                      <w:szCs w:val="21"/>
                    </w:rPr>
                  </w:pPr>
                  <w:r>
                    <w:rPr>
                      <w:rFonts w:hint="eastAsia"/>
                      <w:color w:val="auto"/>
                      <w:kern w:val="0"/>
                      <w:szCs w:val="21"/>
                    </w:rPr>
                    <w:t>在医疗废物</w:t>
                  </w:r>
                  <w:r>
                    <w:rPr>
                      <w:rFonts w:hint="eastAsia"/>
                      <w:color w:val="auto"/>
                      <w:kern w:val="0"/>
                      <w:szCs w:val="21"/>
                      <w:lang w:val="en-US" w:eastAsia="zh-CN"/>
                    </w:rPr>
                    <w:t>设1座医疗废物</w:t>
                  </w:r>
                  <w:r>
                    <w:rPr>
                      <w:rFonts w:hint="eastAsia"/>
                      <w:color w:val="auto"/>
                      <w:kern w:val="0"/>
                      <w:szCs w:val="21"/>
                    </w:rPr>
                    <w:t>暂存间</w:t>
                  </w:r>
                  <w:r>
                    <w:rPr>
                      <w:rFonts w:hint="eastAsia"/>
                      <w:color w:val="auto"/>
                      <w:kern w:val="0"/>
                      <w:szCs w:val="21"/>
                      <w:lang w:eastAsia="zh-CN"/>
                    </w:rPr>
                    <w:t>，</w:t>
                  </w:r>
                  <w:r>
                    <w:rPr>
                      <w:rFonts w:hint="eastAsia"/>
                      <w:color w:val="auto"/>
                      <w:kern w:val="0"/>
                      <w:szCs w:val="21"/>
                      <w:lang w:val="en-US" w:eastAsia="zh-CN"/>
                    </w:rPr>
                    <w:t>医疗废物</w:t>
                  </w:r>
                  <w:r>
                    <w:rPr>
                      <w:rFonts w:hint="eastAsia"/>
                      <w:color w:val="auto"/>
                      <w:kern w:val="0"/>
                      <w:szCs w:val="21"/>
                    </w:rPr>
                    <w:t>分类贮存，交由有资质单位处置</w:t>
                  </w:r>
                </w:p>
              </w:tc>
            </w:tr>
          </w:tbl>
          <w:p>
            <w:pPr>
              <w:spacing w:line="360" w:lineRule="auto"/>
              <w:ind w:firstLine="480" w:firstLineChars="200"/>
              <w:contextualSpacing/>
              <w:rPr>
                <w:rFonts w:hint="eastAsia" w:ascii="Times New Roman" w:hAnsi="Times New Roman" w:eastAsia="宋体" w:cs="Times New Roman"/>
                <w:color w:val="auto"/>
                <w:sz w:val="24"/>
                <w:szCs w:val="24"/>
                <w:lang w:val="en-US"/>
              </w:rPr>
            </w:pPr>
            <w:r>
              <w:rPr>
                <w:rFonts w:hint="eastAsia" w:ascii="Times New Roman" w:hAnsi="Times New Roman" w:eastAsia="宋体" w:cs="Times New Roman"/>
                <w:color w:val="auto"/>
                <w:sz w:val="24"/>
                <w:szCs w:val="24"/>
              </w:rPr>
              <w:t>综上所述，本项目产生的固体废弃物经上述处理处置后，处理处置率达100％，符合国家固体废弃物处理处置政策，不会产生二次污染，不会对环境产生不利影响</w:t>
            </w:r>
            <w:r>
              <w:rPr>
                <w:rFonts w:hint="eastAsia" w:ascii="Times New Roman" w:hAnsi="Times New Roman" w:eastAsia="宋体" w:cs="Times New Roman"/>
                <w:color w:val="auto"/>
                <w:sz w:val="24"/>
                <w:szCs w:val="24"/>
                <w:lang w:eastAsia="zh-CN"/>
              </w:rPr>
              <w:t>。</w:t>
            </w:r>
          </w:p>
          <w:p>
            <w:pPr>
              <w:wordWrap w:val="0"/>
              <w:spacing w:line="480" w:lineRule="exact"/>
              <w:ind w:firstLine="482" w:firstLineChars="200"/>
              <w:rPr>
                <w:b/>
                <w:color w:val="auto"/>
                <w:sz w:val="24"/>
              </w:rPr>
            </w:pPr>
            <w:r>
              <w:rPr>
                <w:rFonts w:hint="eastAsia"/>
                <w:b/>
                <w:color w:val="auto"/>
                <w:sz w:val="24"/>
                <w:lang w:val="en-US" w:eastAsia="zh-CN"/>
              </w:rPr>
              <w:t>3.5</w:t>
            </w:r>
            <w:r>
              <w:rPr>
                <w:rFonts w:hint="eastAsia"/>
                <w:b/>
                <w:color w:val="auto"/>
                <w:sz w:val="24"/>
              </w:rPr>
              <w:t>地下水及</w:t>
            </w:r>
            <w:r>
              <w:rPr>
                <w:b/>
                <w:color w:val="auto"/>
                <w:sz w:val="24"/>
              </w:rPr>
              <w:t>土壤</w:t>
            </w:r>
          </w:p>
          <w:p>
            <w:pPr>
              <w:adjustRightInd w:val="0"/>
              <w:snapToGrid w:val="0"/>
              <w:spacing w:line="480" w:lineRule="exact"/>
              <w:ind w:firstLine="480" w:firstLineChars="200"/>
              <w:rPr>
                <w:color w:val="auto"/>
                <w:sz w:val="24"/>
              </w:rPr>
            </w:pPr>
            <w:r>
              <w:rPr>
                <w:color w:val="auto"/>
                <w:sz w:val="24"/>
              </w:rPr>
              <w:t>本项目属于</w:t>
            </w:r>
            <w:r>
              <w:rPr>
                <w:rFonts w:hint="eastAsia"/>
                <w:color w:val="auto"/>
                <w:sz w:val="24"/>
              </w:rPr>
              <w:t>“五十、社会事业与服务业 115旅游开发-其他”，</w:t>
            </w:r>
            <w:r>
              <w:rPr>
                <w:color w:val="auto"/>
                <w:sz w:val="24"/>
              </w:rPr>
              <w:t>编制环境影响报告表，</w:t>
            </w:r>
            <w:r>
              <w:rPr>
                <w:rFonts w:hint="eastAsia"/>
                <w:color w:val="auto"/>
                <w:sz w:val="24"/>
              </w:rPr>
              <w:t>按照</w:t>
            </w:r>
            <w:r>
              <w:rPr>
                <w:color w:val="auto"/>
                <w:sz w:val="24"/>
              </w:rPr>
              <w:t>《环境影响评价技术导则 地下水环境》（HJ610-2016），对应的地下水环境影响评价类别为</w:t>
            </w:r>
            <w:r>
              <w:rPr>
                <w:color w:val="auto"/>
                <w:sz w:val="24"/>
              </w:rPr>
              <w:fldChar w:fldCharType="begin"/>
            </w:r>
            <w:r>
              <w:rPr>
                <w:color w:val="auto"/>
                <w:sz w:val="24"/>
              </w:rPr>
              <w:instrText xml:space="preserve"> = 4 \* ROMAN </w:instrText>
            </w:r>
            <w:r>
              <w:rPr>
                <w:color w:val="auto"/>
                <w:sz w:val="24"/>
              </w:rPr>
              <w:fldChar w:fldCharType="separate"/>
            </w:r>
            <w:r>
              <w:rPr>
                <w:color w:val="auto"/>
                <w:sz w:val="24"/>
              </w:rPr>
              <w:t>IV</w:t>
            </w:r>
            <w:r>
              <w:rPr>
                <w:color w:val="auto"/>
                <w:sz w:val="24"/>
              </w:rPr>
              <w:fldChar w:fldCharType="end"/>
            </w:r>
            <w:r>
              <w:rPr>
                <w:color w:val="auto"/>
                <w:sz w:val="24"/>
              </w:rPr>
              <w:t>类，</w:t>
            </w:r>
            <w:r>
              <w:rPr>
                <w:color w:val="auto"/>
                <w:sz w:val="24"/>
              </w:rPr>
              <w:fldChar w:fldCharType="begin"/>
            </w:r>
            <w:r>
              <w:rPr>
                <w:color w:val="auto"/>
                <w:sz w:val="24"/>
              </w:rPr>
              <w:instrText xml:space="preserve"> = 4 \* ROMAN </w:instrText>
            </w:r>
            <w:r>
              <w:rPr>
                <w:color w:val="auto"/>
                <w:sz w:val="24"/>
              </w:rPr>
              <w:fldChar w:fldCharType="separate"/>
            </w:r>
            <w:r>
              <w:rPr>
                <w:color w:val="auto"/>
                <w:sz w:val="24"/>
              </w:rPr>
              <w:t>IV</w:t>
            </w:r>
            <w:r>
              <w:rPr>
                <w:color w:val="auto"/>
                <w:sz w:val="24"/>
              </w:rPr>
              <w:fldChar w:fldCharType="end"/>
            </w:r>
            <w:r>
              <w:rPr>
                <w:color w:val="auto"/>
                <w:sz w:val="24"/>
              </w:rPr>
              <w:t>类建设项目不开展地下水环境影响评价</w:t>
            </w:r>
            <w:r>
              <w:rPr>
                <w:color w:val="auto"/>
                <w:sz w:val="24"/>
                <w:lang w:val="zh-CN"/>
              </w:rPr>
              <w:t>，因此不再对地下水环境影响进行分析</w:t>
            </w:r>
            <w:r>
              <w:rPr>
                <w:rFonts w:hint="eastAsia"/>
                <w:color w:val="auto"/>
                <w:sz w:val="24"/>
                <w:lang w:val="zh-CN"/>
              </w:rPr>
              <w:t>；</w:t>
            </w:r>
            <w:r>
              <w:rPr>
                <w:color w:val="auto"/>
                <w:sz w:val="24"/>
              </w:rPr>
              <w:t>按照《环境影响评价技术导则土壤环境（试行）》（HJ 964-2018）附录中附录A，本项目</w:t>
            </w:r>
            <w:r>
              <w:rPr>
                <w:rFonts w:hint="eastAsia"/>
                <w:color w:val="auto"/>
                <w:sz w:val="24"/>
              </w:rPr>
              <w:t>土壤</w:t>
            </w:r>
            <w:r>
              <w:rPr>
                <w:color w:val="auto"/>
                <w:sz w:val="24"/>
              </w:rPr>
              <w:t>水环境影响评价类别为</w:t>
            </w:r>
            <w:r>
              <w:rPr>
                <w:color w:val="auto"/>
                <w:sz w:val="24"/>
              </w:rPr>
              <w:fldChar w:fldCharType="begin"/>
            </w:r>
            <w:r>
              <w:rPr>
                <w:color w:val="auto"/>
                <w:sz w:val="24"/>
              </w:rPr>
              <w:instrText xml:space="preserve"> = 4 \* ROMAN </w:instrText>
            </w:r>
            <w:r>
              <w:rPr>
                <w:color w:val="auto"/>
                <w:sz w:val="24"/>
              </w:rPr>
              <w:fldChar w:fldCharType="separate"/>
            </w:r>
            <w:r>
              <w:rPr>
                <w:color w:val="auto"/>
                <w:sz w:val="24"/>
              </w:rPr>
              <w:t>IV</w:t>
            </w:r>
            <w:r>
              <w:rPr>
                <w:color w:val="auto"/>
                <w:sz w:val="24"/>
              </w:rPr>
              <w:fldChar w:fldCharType="end"/>
            </w:r>
            <w:r>
              <w:rPr>
                <w:color w:val="auto"/>
                <w:sz w:val="24"/>
              </w:rPr>
              <w:t>类</w:t>
            </w:r>
            <w:r>
              <w:rPr>
                <w:rFonts w:hint="eastAsia"/>
                <w:color w:val="auto"/>
                <w:sz w:val="24"/>
              </w:rPr>
              <w:t>，</w:t>
            </w:r>
            <w:r>
              <w:rPr>
                <w:color w:val="auto"/>
                <w:sz w:val="24"/>
              </w:rPr>
              <w:fldChar w:fldCharType="begin"/>
            </w:r>
            <w:r>
              <w:rPr>
                <w:color w:val="auto"/>
                <w:sz w:val="24"/>
              </w:rPr>
              <w:instrText xml:space="preserve"> = 4 \* ROMAN </w:instrText>
            </w:r>
            <w:r>
              <w:rPr>
                <w:color w:val="auto"/>
                <w:sz w:val="24"/>
              </w:rPr>
              <w:fldChar w:fldCharType="separate"/>
            </w:r>
            <w:r>
              <w:rPr>
                <w:color w:val="auto"/>
                <w:sz w:val="24"/>
              </w:rPr>
              <w:t>IV</w:t>
            </w:r>
            <w:r>
              <w:rPr>
                <w:color w:val="auto"/>
                <w:sz w:val="24"/>
              </w:rPr>
              <w:fldChar w:fldCharType="end"/>
            </w:r>
            <w:r>
              <w:rPr>
                <w:color w:val="auto"/>
                <w:sz w:val="24"/>
              </w:rPr>
              <w:t>类建设项目可不开展土壤环境影响评价工作。</w:t>
            </w:r>
          </w:p>
          <w:p>
            <w:pPr>
              <w:spacing w:line="360" w:lineRule="auto"/>
              <w:ind w:firstLine="482" w:firstLineChars="200"/>
              <w:rPr>
                <w:rFonts w:hint="default" w:ascii="Times New Roman" w:hAnsi="Times New Roman" w:cs="Times New Roman"/>
                <w:b/>
                <w:bCs/>
                <w:color w:val="auto"/>
                <w:sz w:val="24"/>
              </w:rPr>
            </w:pPr>
            <w:r>
              <w:rPr>
                <w:rFonts w:hint="eastAsia" w:ascii="Times New Roman" w:hAnsi="Times New Roman" w:cs="Times New Roman"/>
                <w:b/>
                <w:bCs/>
                <w:color w:val="auto"/>
                <w:sz w:val="24"/>
                <w:lang w:val="en-US" w:eastAsia="zh-CN"/>
              </w:rPr>
              <w:t>3.6</w:t>
            </w:r>
            <w:r>
              <w:rPr>
                <w:rFonts w:hint="default" w:ascii="Times New Roman" w:hAnsi="Times New Roman" w:cs="Times New Roman"/>
                <w:b/>
                <w:bCs/>
                <w:color w:val="auto"/>
                <w:sz w:val="24"/>
              </w:rPr>
              <w:t>环境风险</w:t>
            </w:r>
          </w:p>
          <w:p>
            <w:pPr>
              <w:spacing w:line="360" w:lineRule="auto"/>
              <w:ind w:firstLine="480"/>
              <w:rPr>
                <w:rFonts w:hint="default" w:ascii="Times New Roman" w:hAnsi="Times New Roman" w:cs="Times New Roman"/>
                <w:color w:val="auto"/>
                <w:sz w:val="24"/>
              </w:rPr>
            </w:pPr>
            <w:r>
              <w:rPr>
                <w:rFonts w:hint="eastAsia" w:ascii="Times New Roman" w:hAnsi="Times New Roman" w:cs="Times New Roman"/>
                <w:color w:val="auto"/>
                <w:sz w:val="24"/>
                <w:lang w:val="en-US" w:eastAsia="zh-CN"/>
              </w:rPr>
              <w:t>3.6.1</w:t>
            </w:r>
            <w:r>
              <w:rPr>
                <w:rFonts w:hint="default" w:ascii="Times New Roman" w:hAnsi="Times New Roman" w:cs="Times New Roman"/>
                <w:color w:val="auto"/>
                <w:sz w:val="24"/>
              </w:rPr>
              <w:t>风险物质</w:t>
            </w:r>
          </w:p>
          <w:p>
            <w:pPr>
              <w:pStyle w:val="51"/>
              <w:spacing w:line="360" w:lineRule="auto"/>
              <w:ind w:firstLine="480" w:firstLineChars="200"/>
              <w:jc w:val="both"/>
              <w:rPr>
                <w:rFonts w:hint="default" w:ascii="Times New Roman" w:hAnsi="Times New Roman" w:cs="Times New Roman"/>
                <w:color w:val="auto"/>
              </w:rPr>
            </w:pPr>
            <w:r>
              <w:rPr>
                <w:rFonts w:hint="default" w:ascii="Times New Roman" w:hAnsi="Times New Roman" w:cs="Times New Roman"/>
                <w:color w:val="auto"/>
              </w:rPr>
              <w:t>本项目涉及的风险物质主要为次氯酸钠，用于水循环系统中进行废水消毒；次氯酸钠最大</w:t>
            </w:r>
            <w:r>
              <w:rPr>
                <w:rFonts w:hint="default" w:ascii="Times New Roman" w:hAnsi="Times New Roman" w:cs="Times New Roman"/>
                <w:color w:val="auto"/>
                <w:szCs w:val="28"/>
              </w:rPr>
              <w:t>贮存量为</w:t>
            </w:r>
            <w:r>
              <w:rPr>
                <w:rFonts w:hint="default" w:ascii="Times New Roman" w:hAnsi="Times New Roman" w:cs="Times New Roman"/>
                <w:color w:val="auto"/>
                <w:szCs w:val="28"/>
                <w:lang w:val="en-US" w:eastAsia="zh-CN"/>
              </w:rPr>
              <w:t>1.0</w:t>
            </w:r>
            <w:r>
              <w:rPr>
                <w:rFonts w:hint="default" w:ascii="Times New Roman" w:hAnsi="Times New Roman" w:cs="Times New Roman"/>
                <w:color w:val="auto"/>
                <w:szCs w:val="28"/>
              </w:rPr>
              <w:t>t，</w:t>
            </w:r>
            <w:r>
              <w:rPr>
                <w:rFonts w:hint="default" w:ascii="Times New Roman" w:hAnsi="Times New Roman" w:cs="Times New Roman"/>
                <w:color w:val="auto"/>
              </w:rPr>
              <w:t>项目存在的风险主要为</w:t>
            </w:r>
            <w:r>
              <w:rPr>
                <w:rFonts w:hint="default" w:ascii="Times New Roman" w:hAnsi="Times New Roman" w:cs="Times New Roman"/>
                <w:bCs/>
                <w:color w:val="auto"/>
              </w:rPr>
              <w:t>次氯酸钠在</w:t>
            </w:r>
            <w:r>
              <w:rPr>
                <w:rFonts w:hint="default" w:ascii="Times New Roman" w:hAnsi="Times New Roman" w:cs="Times New Roman"/>
                <w:color w:val="auto"/>
              </w:rPr>
              <w:t>使用、储存过程中</w:t>
            </w:r>
            <w:r>
              <w:rPr>
                <w:rFonts w:hint="default" w:ascii="Times New Roman" w:hAnsi="Times New Roman" w:cs="Times New Roman"/>
                <w:bCs/>
                <w:color w:val="auto"/>
              </w:rPr>
              <w:t>存在风险。</w:t>
            </w:r>
          </w:p>
          <w:p>
            <w:pPr>
              <w:spacing w:line="360" w:lineRule="auto"/>
              <w:ind w:firstLine="482"/>
              <w:rPr>
                <w:rFonts w:hint="default" w:ascii="Times New Roman" w:hAnsi="Times New Roman" w:cs="Times New Roman"/>
                <w:color w:val="auto"/>
                <w:kern w:val="0"/>
                <w:sz w:val="24"/>
              </w:rPr>
            </w:pPr>
            <w:r>
              <w:rPr>
                <w:rFonts w:hint="default" w:ascii="Times New Roman" w:hAnsi="Times New Roman" w:cs="Times New Roman"/>
                <w:color w:val="auto"/>
                <w:kern w:val="0"/>
                <w:sz w:val="24"/>
              </w:rPr>
              <w:t>根据HJ169-2018中附录B计算涉及的危险物质数量与临界量比值（</w:t>
            </w:r>
            <w:r>
              <w:rPr>
                <w:rFonts w:hint="default" w:ascii="Times New Roman" w:hAnsi="Times New Roman" w:cs="Times New Roman"/>
                <w:i/>
                <w:color w:val="auto"/>
                <w:kern w:val="0"/>
                <w:sz w:val="24"/>
              </w:rPr>
              <w:t>Q</w:t>
            </w:r>
            <w:r>
              <w:rPr>
                <w:rFonts w:hint="default" w:ascii="Times New Roman" w:hAnsi="Times New Roman" w:cs="Times New Roman"/>
                <w:color w:val="auto"/>
                <w:kern w:val="0"/>
                <w:sz w:val="24"/>
              </w:rPr>
              <w:t>），见下表</w:t>
            </w:r>
            <w:r>
              <w:rPr>
                <w:rFonts w:hint="eastAsia" w:cs="Times New Roman"/>
                <w:color w:val="auto"/>
                <w:kern w:val="0"/>
                <w:sz w:val="24"/>
                <w:lang w:val="en-US" w:eastAsia="zh-CN"/>
              </w:rPr>
              <w:t>38</w:t>
            </w:r>
            <w:r>
              <w:rPr>
                <w:rFonts w:hint="default" w:ascii="Times New Roman" w:hAnsi="Times New Roman" w:cs="Times New Roman"/>
                <w:color w:val="auto"/>
                <w:kern w:val="0"/>
                <w:sz w:val="24"/>
              </w:rPr>
              <w:t>。</w:t>
            </w:r>
          </w:p>
          <w:p>
            <w:pPr>
              <w:spacing w:line="360" w:lineRule="auto"/>
              <w:jc w:val="center"/>
              <w:rPr>
                <w:rFonts w:hint="default" w:ascii="Times New Roman" w:hAnsi="Times New Roman" w:eastAsia="黑体" w:cs="Times New Roman"/>
                <w:b w:val="0"/>
                <w:bCs w:val="0"/>
                <w:color w:val="auto"/>
                <w:kern w:val="0"/>
                <w:sz w:val="24"/>
                <w:szCs w:val="21"/>
              </w:rPr>
            </w:pPr>
            <w:r>
              <w:rPr>
                <w:rFonts w:hint="default" w:ascii="Times New Roman" w:hAnsi="Times New Roman" w:eastAsia="黑体" w:cs="Times New Roman"/>
                <w:b w:val="0"/>
                <w:bCs w:val="0"/>
                <w:color w:val="auto"/>
                <w:kern w:val="0"/>
                <w:sz w:val="24"/>
                <w:szCs w:val="21"/>
              </w:rPr>
              <w:t>表</w:t>
            </w:r>
            <w:r>
              <w:rPr>
                <w:rFonts w:hint="default" w:ascii="Times New Roman" w:hAnsi="Times New Roman" w:eastAsia="黑体" w:cs="Times New Roman"/>
                <w:b w:val="0"/>
                <w:bCs w:val="0"/>
                <w:color w:val="auto"/>
                <w:kern w:val="0"/>
                <w:sz w:val="24"/>
                <w:szCs w:val="21"/>
                <w:lang w:val="en-US" w:eastAsia="zh-CN"/>
              </w:rPr>
              <w:t>3</w:t>
            </w:r>
            <w:r>
              <w:rPr>
                <w:rFonts w:hint="eastAsia" w:eastAsia="黑体" w:cs="Times New Roman"/>
                <w:b w:val="0"/>
                <w:bCs w:val="0"/>
                <w:color w:val="auto"/>
                <w:kern w:val="0"/>
                <w:sz w:val="24"/>
                <w:szCs w:val="21"/>
                <w:lang w:val="en-US" w:eastAsia="zh-CN"/>
              </w:rPr>
              <w:t>8</w:t>
            </w:r>
            <w:r>
              <w:rPr>
                <w:rFonts w:hint="default" w:ascii="Times New Roman" w:hAnsi="Times New Roman" w:eastAsia="黑体" w:cs="Times New Roman"/>
                <w:b w:val="0"/>
                <w:bCs w:val="0"/>
                <w:color w:val="auto"/>
                <w:kern w:val="0"/>
                <w:sz w:val="24"/>
                <w:szCs w:val="21"/>
              </w:rPr>
              <w:t xml:space="preserve">   危险物质数量与临界量比值表</w:t>
            </w:r>
          </w:p>
          <w:tbl>
            <w:tblPr>
              <w:tblStyle w:val="24"/>
              <w:tblW w:w="934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073"/>
              <w:gridCol w:w="1537"/>
              <w:gridCol w:w="1776"/>
              <w:gridCol w:w="1483"/>
              <w:gridCol w:w="1640"/>
              <w:gridCol w:w="18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20" w:hRule="atLeast"/>
                <w:tblHeader/>
                <w:jc w:val="center"/>
              </w:trPr>
              <w:tc>
                <w:tcPr>
                  <w:tcW w:w="1073" w:type="dxa"/>
                  <w:shd w:val="clear" w:color="auto" w:fill="FFFFFF"/>
                  <w:vAlign w:val="center"/>
                </w:tcPr>
                <w:p>
                  <w:pPr>
                    <w:adjustRightInd w:val="0"/>
                    <w:snapToGrid w:val="0"/>
                    <w:spacing w:line="240" w:lineRule="exact"/>
                    <w:jc w:val="center"/>
                    <w:rPr>
                      <w:color w:val="auto"/>
                      <w:szCs w:val="21"/>
                    </w:rPr>
                  </w:pPr>
                  <w:r>
                    <w:rPr>
                      <w:rFonts w:hint="eastAsia"/>
                      <w:color w:val="auto"/>
                      <w:szCs w:val="21"/>
                    </w:rPr>
                    <w:t>危险</w:t>
                  </w:r>
                </w:p>
                <w:p>
                  <w:pPr>
                    <w:adjustRightInd w:val="0"/>
                    <w:snapToGrid w:val="0"/>
                    <w:spacing w:line="240" w:lineRule="exact"/>
                    <w:jc w:val="center"/>
                    <w:rPr>
                      <w:color w:val="auto"/>
                      <w:szCs w:val="21"/>
                    </w:rPr>
                  </w:pPr>
                  <w:r>
                    <w:rPr>
                      <w:color w:val="auto"/>
                      <w:szCs w:val="21"/>
                    </w:rPr>
                    <w:t>单元</w:t>
                  </w:r>
                </w:p>
              </w:tc>
              <w:tc>
                <w:tcPr>
                  <w:tcW w:w="1537" w:type="dxa"/>
                  <w:shd w:val="clear" w:color="auto" w:fill="FFFFFF"/>
                  <w:vAlign w:val="center"/>
                </w:tcPr>
                <w:p>
                  <w:pPr>
                    <w:adjustRightInd w:val="0"/>
                    <w:snapToGrid w:val="0"/>
                    <w:spacing w:line="240" w:lineRule="exact"/>
                    <w:jc w:val="center"/>
                    <w:rPr>
                      <w:color w:val="auto"/>
                      <w:szCs w:val="21"/>
                    </w:rPr>
                  </w:pPr>
                  <w:r>
                    <w:rPr>
                      <w:rFonts w:hint="eastAsia"/>
                      <w:color w:val="auto"/>
                      <w:szCs w:val="21"/>
                    </w:rPr>
                    <w:t>危险</w:t>
                  </w:r>
                  <w:r>
                    <w:rPr>
                      <w:color w:val="auto"/>
                      <w:szCs w:val="21"/>
                    </w:rPr>
                    <w:t>物质名称</w:t>
                  </w:r>
                </w:p>
              </w:tc>
              <w:tc>
                <w:tcPr>
                  <w:tcW w:w="1776" w:type="dxa"/>
                  <w:shd w:val="clear" w:color="auto" w:fill="FFFFFF"/>
                  <w:vAlign w:val="center"/>
                </w:tcPr>
                <w:p>
                  <w:pPr>
                    <w:adjustRightInd w:val="0"/>
                    <w:snapToGrid w:val="0"/>
                    <w:spacing w:line="240" w:lineRule="exact"/>
                    <w:jc w:val="center"/>
                    <w:rPr>
                      <w:color w:val="auto"/>
                      <w:szCs w:val="21"/>
                    </w:rPr>
                  </w:pPr>
                  <w:r>
                    <w:rPr>
                      <w:rFonts w:hint="eastAsia"/>
                      <w:color w:val="auto"/>
                      <w:szCs w:val="21"/>
                    </w:rPr>
                    <w:t>CAS号</w:t>
                  </w:r>
                </w:p>
              </w:tc>
              <w:tc>
                <w:tcPr>
                  <w:tcW w:w="1483" w:type="dxa"/>
                  <w:shd w:val="clear" w:color="auto" w:fill="FFFFFF"/>
                  <w:vAlign w:val="center"/>
                </w:tcPr>
                <w:p>
                  <w:pPr>
                    <w:adjustRightInd w:val="0"/>
                    <w:snapToGrid w:val="0"/>
                    <w:spacing w:line="240" w:lineRule="exact"/>
                    <w:jc w:val="center"/>
                    <w:rPr>
                      <w:color w:val="auto"/>
                      <w:szCs w:val="21"/>
                    </w:rPr>
                  </w:pPr>
                  <w:r>
                    <w:rPr>
                      <w:rFonts w:hint="eastAsia"/>
                      <w:color w:val="auto"/>
                      <w:szCs w:val="21"/>
                    </w:rPr>
                    <w:t>最大</w:t>
                  </w:r>
                  <w:r>
                    <w:rPr>
                      <w:color w:val="auto"/>
                      <w:szCs w:val="21"/>
                    </w:rPr>
                    <w:t>存在总量</w:t>
                  </w:r>
                  <w:r>
                    <w:rPr>
                      <w:rFonts w:hint="eastAsia"/>
                      <w:i/>
                      <w:color w:val="auto"/>
                      <w:szCs w:val="21"/>
                    </w:rPr>
                    <w:t>q</w:t>
                  </w:r>
                  <w:r>
                    <w:rPr>
                      <w:rFonts w:hint="eastAsia"/>
                      <w:i/>
                      <w:color w:val="auto"/>
                      <w:szCs w:val="21"/>
                      <w:vertAlign w:val="subscript"/>
                    </w:rPr>
                    <w:t>n</w:t>
                  </w:r>
                  <w:r>
                    <w:rPr>
                      <w:rFonts w:hint="eastAsia"/>
                      <w:color w:val="auto"/>
                      <w:szCs w:val="21"/>
                    </w:rPr>
                    <w:t>/</w:t>
                  </w:r>
                  <w:r>
                    <w:rPr>
                      <w:color w:val="auto"/>
                      <w:szCs w:val="21"/>
                    </w:rPr>
                    <w:t>t</w:t>
                  </w:r>
                </w:p>
              </w:tc>
              <w:tc>
                <w:tcPr>
                  <w:tcW w:w="1640" w:type="dxa"/>
                  <w:shd w:val="clear" w:color="auto" w:fill="FFFFFF"/>
                  <w:vAlign w:val="center"/>
                </w:tcPr>
                <w:p>
                  <w:pPr>
                    <w:adjustRightInd w:val="0"/>
                    <w:snapToGrid w:val="0"/>
                    <w:spacing w:line="240" w:lineRule="exact"/>
                    <w:jc w:val="center"/>
                    <w:rPr>
                      <w:color w:val="auto"/>
                      <w:szCs w:val="21"/>
                    </w:rPr>
                  </w:pPr>
                  <w:r>
                    <w:rPr>
                      <w:color w:val="auto"/>
                      <w:szCs w:val="21"/>
                    </w:rPr>
                    <w:t>临界量</w:t>
                  </w:r>
                </w:p>
                <w:p>
                  <w:pPr>
                    <w:adjustRightInd w:val="0"/>
                    <w:snapToGrid w:val="0"/>
                    <w:spacing w:line="240" w:lineRule="exact"/>
                    <w:jc w:val="center"/>
                    <w:rPr>
                      <w:color w:val="auto"/>
                      <w:szCs w:val="21"/>
                    </w:rPr>
                  </w:pPr>
                  <w:r>
                    <w:rPr>
                      <w:rFonts w:hint="eastAsia"/>
                      <w:i/>
                      <w:color w:val="auto"/>
                      <w:szCs w:val="21"/>
                    </w:rPr>
                    <w:t>Q</w:t>
                  </w:r>
                  <w:r>
                    <w:rPr>
                      <w:rFonts w:hint="eastAsia"/>
                      <w:i/>
                      <w:color w:val="auto"/>
                      <w:szCs w:val="21"/>
                      <w:vertAlign w:val="subscript"/>
                    </w:rPr>
                    <w:t>n</w:t>
                  </w:r>
                  <w:r>
                    <w:rPr>
                      <w:rFonts w:hint="eastAsia"/>
                      <w:color w:val="auto"/>
                      <w:szCs w:val="21"/>
                    </w:rPr>
                    <w:t>/</w:t>
                  </w:r>
                  <w:r>
                    <w:rPr>
                      <w:color w:val="auto"/>
                      <w:szCs w:val="21"/>
                    </w:rPr>
                    <w:t>t</w:t>
                  </w:r>
                </w:p>
              </w:tc>
              <w:tc>
                <w:tcPr>
                  <w:tcW w:w="1837" w:type="dxa"/>
                  <w:shd w:val="clear" w:color="auto" w:fill="FFFFFF"/>
                  <w:vAlign w:val="center"/>
                </w:tcPr>
                <w:p>
                  <w:pPr>
                    <w:adjustRightInd w:val="0"/>
                    <w:snapToGrid w:val="0"/>
                    <w:spacing w:line="240" w:lineRule="exact"/>
                    <w:jc w:val="center"/>
                    <w:rPr>
                      <w:color w:val="auto"/>
                      <w:szCs w:val="21"/>
                    </w:rPr>
                  </w:pPr>
                  <w:r>
                    <w:rPr>
                      <w:rFonts w:hint="eastAsia"/>
                      <w:color w:val="auto"/>
                      <w:szCs w:val="21"/>
                    </w:rPr>
                    <w:t>该种危险物质</w:t>
                  </w:r>
                  <w:r>
                    <w:rPr>
                      <w:rFonts w:hint="eastAsia"/>
                      <w:i/>
                      <w:color w:val="auto"/>
                      <w:szCs w:val="21"/>
                    </w:rPr>
                    <w:t>Q</w:t>
                  </w:r>
                  <w:r>
                    <w:rPr>
                      <w:rFonts w:hint="eastAsia"/>
                      <w:color w:val="auto"/>
                      <w:szCs w:val="21"/>
                    </w:rPr>
                    <w:t>值（</w:t>
                  </w:r>
                  <w:r>
                    <w:rPr>
                      <w:i/>
                      <w:color w:val="auto"/>
                      <w:szCs w:val="21"/>
                    </w:rPr>
                    <w:t>q</w:t>
                  </w:r>
                  <w:r>
                    <w:rPr>
                      <w:i/>
                      <w:color w:val="auto"/>
                      <w:szCs w:val="21"/>
                      <w:vertAlign w:val="subscript"/>
                    </w:rPr>
                    <w:t>n</w:t>
                  </w:r>
                  <w:r>
                    <w:rPr>
                      <w:color w:val="auto"/>
                      <w:szCs w:val="21"/>
                    </w:rPr>
                    <w:t>/</w:t>
                  </w:r>
                  <w:r>
                    <w:rPr>
                      <w:i/>
                      <w:color w:val="auto"/>
                      <w:szCs w:val="21"/>
                    </w:rPr>
                    <w:t>Q</w:t>
                  </w:r>
                  <w:r>
                    <w:rPr>
                      <w:i/>
                      <w:color w:val="auto"/>
                      <w:szCs w:val="21"/>
                      <w:vertAlign w:val="subscript"/>
                    </w:rPr>
                    <w:t>n</w:t>
                  </w:r>
                  <w:r>
                    <w:rPr>
                      <w:rFonts w:hint="eastAsia"/>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317" w:hRule="atLeast"/>
                <w:jc w:val="center"/>
              </w:trPr>
              <w:tc>
                <w:tcPr>
                  <w:tcW w:w="1073" w:type="dxa"/>
                  <w:shd w:val="clear" w:color="auto" w:fill="FFFFFF"/>
                  <w:vAlign w:val="center"/>
                </w:tcPr>
                <w:p>
                  <w:pPr>
                    <w:adjustRightInd w:val="0"/>
                    <w:snapToGrid w:val="0"/>
                    <w:spacing w:line="240" w:lineRule="exact"/>
                    <w:jc w:val="center"/>
                    <w:rPr>
                      <w:color w:val="auto"/>
                      <w:szCs w:val="21"/>
                    </w:rPr>
                  </w:pPr>
                  <w:r>
                    <w:rPr>
                      <w:rFonts w:hint="eastAsia"/>
                      <w:color w:val="auto"/>
                      <w:szCs w:val="21"/>
                    </w:rPr>
                    <w:t>水处理房</w:t>
                  </w:r>
                </w:p>
              </w:tc>
              <w:tc>
                <w:tcPr>
                  <w:tcW w:w="1537" w:type="dxa"/>
                  <w:shd w:val="clear" w:color="auto" w:fill="FFFFFF"/>
                  <w:vAlign w:val="center"/>
                </w:tcPr>
                <w:p>
                  <w:pPr>
                    <w:adjustRightInd w:val="0"/>
                    <w:snapToGrid w:val="0"/>
                    <w:spacing w:line="240" w:lineRule="exact"/>
                    <w:jc w:val="center"/>
                    <w:rPr>
                      <w:color w:val="auto"/>
                      <w:szCs w:val="21"/>
                    </w:rPr>
                  </w:pPr>
                  <w:r>
                    <w:rPr>
                      <w:rFonts w:hint="eastAsia"/>
                      <w:color w:val="auto"/>
                      <w:szCs w:val="21"/>
                    </w:rPr>
                    <w:t>次氯酸钠</w:t>
                  </w:r>
                </w:p>
              </w:tc>
              <w:tc>
                <w:tcPr>
                  <w:tcW w:w="1776" w:type="dxa"/>
                  <w:shd w:val="clear" w:color="auto" w:fill="FFFFFF"/>
                  <w:vAlign w:val="center"/>
                </w:tcPr>
                <w:p>
                  <w:pPr>
                    <w:adjustRightInd w:val="0"/>
                    <w:snapToGrid w:val="0"/>
                    <w:spacing w:line="240" w:lineRule="exact"/>
                    <w:jc w:val="center"/>
                    <w:rPr>
                      <w:color w:val="auto"/>
                      <w:szCs w:val="21"/>
                    </w:rPr>
                  </w:pPr>
                  <w:r>
                    <w:rPr>
                      <w:color w:val="auto"/>
                      <w:szCs w:val="21"/>
                    </w:rPr>
                    <w:t>7681-52-9</w:t>
                  </w:r>
                </w:p>
              </w:tc>
              <w:tc>
                <w:tcPr>
                  <w:tcW w:w="1483" w:type="dxa"/>
                  <w:shd w:val="clear" w:color="auto" w:fill="FFFFFF"/>
                  <w:vAlign w:val="center"/>
                </w:tcPr>
                <w:p>
                  <w:pPr>
                    <w:adjustRightInd w:val="0"/>
                    <w:snapToGrid w:val="0"/>
                    <w:spacing w:line="240" w:lineRule="exact"/>
                    <w:jc w:val="center"/>
                    <w:rPr>
                      <w:rFonts w:hint="eastAsia" w:eastAsia="宋体"/>
                      <w:color w:val="auto"/>
                      <w:szCs w:val="21"/>
                      <w:lang w:eastAsia="zh-CN"/>
                    </w:rPr>
                  </w:pPr>
                  <w:r>
                    <w:rPr>
                      <w:rFonts w:hint="eastAsia"/>
                      <w:color w:val="auto"/>
                      <w:szCs w:val="21"/>
                      <w:lang w:val="en-US" w:eastAsia="zh-CN"/>
                    </w:rPr>
                    <w:t>1.0</w:t>
                  </w:r>
                </w:p>
              </w:tc>
              <w:tc>
                <w:tcPr>
                  <w:tcW w:w="1640" w:type="dxa"/>
                  <w:shd w:val="clear" w:color="auto" w:fill="FFFFFF"/>
                  <w:vAlign w:val="center"/>
                </w:tcPr>
                <w:p>
                  <w:pPr>
                    <w:adjustRightInd w:val="0"/>
                    <w:snapToGrid w:val="0"/>
                    <w:spacing w:line="240" w:lineRule="exact"/>
                    <w:jc w:val="center"/>
                    <w:rPr>
                      <w:color w:val="auto"/>
                      <w:szCs w:val="21"/>
                    </w:rPr>
                  </w:pPr>
                  <w:r>
                    <w:rPr>
                      <w:color w:val="auto"/>
                      <w:szCs w:val="21"/>
                    </w:rPr>
                    <w:t>5</w:t>
                  </w:r>
                </w:p>
              </w:tc>
              <w:tc>
                <w:tcPr>
                  <w:tcW w:w="1837" w:type="dxa"/>
                  <w:shd w:val="clear" w:color="auto" w:fill="FFFFFF"/>
                  <w:vAlign w:val="center"/>
                </w:tcPr>
                <w:p>
                  <w:pPr>
                    <w:adjustRightInd w:val="0"/>
                    <w:snapToGrid w:val="0"/>
                    <w:spacing w:line="240" w:lineRule="exact"/>
                    <w:jc w:val="center"/>
                    <w:rPr>
                      <w:rFonts w:hint="eastAsia" w:eastAsia="宋体"/>
                      <w:color w:val="auto"/>
                      <w:szCs w:val="21"/>
                      <w:lang w:eastAsia="zh-CN"/>
                    </w:rPr>
                  </w:pPr>
                  <w:r>
                    <w:rPr>
                      <w:rFonts w:hint="eastAsia"/>
                      <w:color w:val="auto"/>
                      <w:szCs w:val="21"/>
                      <w:lang w:val="en-US" w:eastAsia="zh-CN"/>
                    </w:rPr>
                    <w:t>0.2</w:t>
                  </w:r>
                </w:p>
              </w:tc>
            </w:tr>
          </w:tbl>
          <w:p>
            <w:pPr>
              <w:spacing w:line="360" w:lineRule="auto"/>
              <w:ind w:firstLine="464" w:firstLineChars="200"/>
              <w:rPr>
                <w:color w:val="auto"/>
                <w:spacing w:val="-4"/>
                <w:kern w:val="0"/>
                <w:sz w:val="24"/>
                <w:szCs w:val="20"/>
              </w:rPr>
            </w:pPr>
            <w:r>
              <w:rPr>
                <w:rFonts w:hint="eastAsia"/>
                <w:color w:val="auto"/>
                <w:spacing w:val="-4"/>
                <w:kern w:val="0"/>
                <w:sz w:val="24"/>
                <w:szCs w:val="20"/>
              </w:rPr>
              <w:t>故，</w:t>
            </w:r>
            <w:r>
              <w:rPr>
                <w:i/>
                <w:color w:val="auto"/>
                <w:spacing w:val="-4"/>
                <w:kern w:val="0"/>
                <w:sz w:val="24"/>
              </w:rPr>
              <w:t>Q=</w:t>
            </w:r>
            <w:r>
              <w:rPr>
                <w:color w:val="auto"/>
                <w:kern w:val="0"/>
                <w:sz w:val="24"/>
              </w:rPr>
              <w:t>0.</w:t>
            </w:r>
            <w:r>
              <w:rPr>
                <w:rFonts w:hint="eastAsia"/>
                <w:color w:val="auto"/>
                <w:kern w:val="0"/>
                <w:sz w:val="24"/>
                <w:lang w:val="en-US" w:eastAsia="zh-CN"/>
              </w:rPr>
              <w:t>2</w:t>
            </w:r>
            <w:r>
              <w:rPr>
                <w:rFonts w:hint="eastAsia"/>
                <w:color w:val="auto"/>
                <w:spacing w:val="-4"/>
                <w:kern w:val="0"/>
                <w:sz w:val="24"/>
              </w:rPr>
              <w:t>＜1</w:t>
            </w:r>
            <w:r>
              <w:rPr>
                <w:rFonts w:hint="eastAsia"/>
                <w:color w:val="auto"/>
                <w:spacing w:val="-4"/>
                <w:kern w:val="0"/>
                <w:sz w:val="24"/>
                <w:szCs w:val="20"/>
              </w:rPr>
              <w:t>。</w:t>
            </w:r>
          </w:p>
          <w:p>
            <w:pPr>
              <w:pStyle w:val="51"/>
              <w:spacing w:line="360" w:lineRule="auto"/>
              <w:ind w:firstLine="482" w:firstLineChars="200"/>
              <w:jc w:val="both"/>
              <w:rPr>
                <w:rFonts w:hint="eastAsia"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3.6.2影响途径</w:t>
            </w:r>
          </w:p>
          <w:p>
            <w:pPr>
              <w:pStyle w:val="51"/>
              <w:spacing w:line="360" w:lineRule="auto"/>
              <w:ind w:firstLine="480" w:firstLineChars="200"/>
              <w:jc w:val="both"/>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次氯酸钠泄漏分解产生氯气挥发进入到空气中，对大气环境产生影响；次氯酸钠泄露进入地表水体</w:t>
            </w:r>
            <w:r>
              <w:rPr>
                <w:rFonts w:hint="eastAsia" w:ascii="Times New Roman" w:hAnsi="Times New Roman" w:cs="Times New Roman"/>
                <w:color w:val="auto"/>
              </w:rPr>
              <w:t>将造成地表河流的污染。</w:t>
            </w:r>
          </w:p>
          <w:p>
            <w:pPr>
              <w:pStyle w:val="51"/>
              <w:spacing w:line="360" w:lineRule="auto"/>
              <w:ind w:firstLine="482" w:firstLineChars="200"/>
              <w:jc w:val="both"/>
              <w:rPr>
                <w:rFonts w:hint="default" w:ascii="Times New Roman" w:hAnsi="Times New Roman" w:cs="Times New Roman"/>
                <w:b/>
                <w:bCs/>
                <w:color w:val="auto"/>
              </w:rPr>
            </w:pPr>
            <w:r>
              <w:rPr>
                <w:rFonts w:hint="eastAsia" w:ascii="Times New Roman" w:hAnsi="Times New Roman" w:cs="Times New Roman"/>
                <w:b/>
                <w:bCs/>
                <w:color w:val="auto"/>
                <w:lang w:val="en-US" w:eastAsia="zh-CN"/>
              </w:rPr>
              <w:t>3.6.3环境风险分析</w:t>
            </w:r>
          </w:p>
          <w:p>
            <w:pPr>
              <w:spacing w:line="360" w:lineRule="auto"/>
              <w:ind w:firstLine="464" w:firstLineChars="200"/>
              <w:rPr>
                <w:rFonts w:hint="eastAsia" w:eastAsia="宋体"/>
                <w:color w:val="auto"/>
                <w:spacing w:val="-4"/>
                <w:sz w:val="24"/>
                <w:szCs w:val="20"/>
                <w:lang w:eastAsia="zh-CN"/>
              </w:rPr>
            </w:pPr>
            <w:r>
              <w:rPr>
                <w:rFonts w:hint="eastAsia"/>
                <w:color w:val="auto"/>
                <w:spacing w:val="-4"/>
                <w:sz w:val="24"/>
                <w:szCs w:val="20"/>
                <w:lang w:eastAsia="zh-CN"/>
              </w:rPr>
              <w:t>（</w:t>
            </w:r>
            <w:r>
              <w:rPr>
                <w:rFonts w:hint="eastAsia"/>
                <w:color w:val="auto"/>
                <w:spacing w:val="-4"/>
                <w:sz w:val="24"/>
                <w:szCs w:val="20"/>
                <w:lang w:val="en-US" w:eastAsia="zh-CN"/>
              </w:rPr>
              <w:t>1）危险化学品</w:t>
            </w:r>
            <w:r>
              <w:rPr>
                <w:rFonts w:hint="eastAsia"/>
                <w:color w:val="auto"/>
                <w:spacing w:val="-4"/>
                <w:sz w:val="24"/>
                <w:szCs w:val="20"/>
              </w:rPr>
              <w:t>大气环境风险分析</w:t>
            </w:r>
          </w:p>
          <w:p>
            <w:pPr>
              <w:spacing w:line="360" w:lineRule="auto"/>
              <w:ind w:firstLine="464" w:firstLineChars="200"/>
              <w:rPr>
                <w:rFonts w:hint="eastAsia"/>
                <w:color w:val="auto"/>
                <w:spacing w:val="-4"/>
                <w:sz w:val="24"/>
                <w:szCs w:val="20"/>
              </w:rPr>
            </w:pPr>
            <w:r>
              <w:rPr>
                <w:rFonts w:hint="eastAsia"/>
                <w:color w:val="auto"/>
                <w:spacing w:val="-4"/>
                <w:sz w:val="24"/>
                <w:szCs w:val="20"/>
              </w:rPr>
              <w:t>危险</w:t>
            </w:r>
            <w:r>
              <w:rPr>
                <w:rFonts w:hint="eastAsia"/>
                <w:color w:val="auto"/>
                <w:spacing w:val="-4"/>
                <w:sz w:val="24"/>
                <w:szCs w:val="20"/>
                <w:lang w:val="en-US" w:eastAsia="zh-CN"/>
              </w:rPr>
              <w:t>化学品</w:t>
            </w:r>
            <w:r>
              <w:rPr>
                <w:rFonts w:hint="eastAsia"/>
                <w:color w:val="auto"/>
                <w:spacing w:val="-4"/>
                <w:sz w:val="24"/>
                <w:szCs w:val="20"/>
              </w:rPr>
              <w:t>存放位置在</w:t>
            </w:r>
            <w:r>
              <w:rPr>
                <w:rFonts w:hint="eastAsia"/>
                <w:color w:val="auto"/>
                <w:spacing w:val="-4"/>
                <w:sz w:val="24"/>
                <w:szCs w:val="20"/>
                <w:lang w:val="en-US" w:eastAsia="zh-CN"/>
              </w:rPr>
              <w:t>2</w:t>
            </w:r>
            <w:r>
              <w:rPr>
                <w:rFonts w:hint="eastAsia"/>
                <w:color w:val="auto"/>
                <w:spacing w:val="-4"/>
                <w:sz w:val="24"/>
                <w:szCs w:val="20"/>
              </w:rPr>
              <w:t>层</w:t>
            </w:r>
            <w:r>
              <w:rPr>
                <w:rFonts w:hint="eastAsia"/>
                <w:color w:val="auto"/>
                <w:spacing w:val="-4"/>
                <w:sz w:val="24"/>
                <w:szCs w:val="20"/>
                <w:lang w:eastAsia="zh-CN"/>
              </w:rPr>
              <w:t>，</w:t>
            </w:r>
            <w:r>
              <w:rPr>
                <w:rFonts w:hint="eastAsia"/>
                <w:color w:val="auto"/>
                <w:spacing w:val="-4"/>
                <w:sz w:val="24"/>
                <w:szCs w:val="20"/>
                <w:lang w:val="en-US" w:eastAsia="zh-CN"/>
              </w:rPr>
              <w:t>3层的</w:t>
            </w:r>
            <w:r>
              <w:rPr>
                <w:rFonts w:hint="eastAsia"/>
                <w:color w:val="auto"/>
                <w:spacing w:val="-4"/>
                <w:sz w:val="24"/>
                <w:szCs w:val="20"/>
              </w:rPr>
              <w:t>实验设备存放间内的</w:t>
            </w:r>
            <w:r>
              <w:rPr>
                <w:rFonts w:hint="eastAsia"/>
                <w:color w:val="auto"/>
                <w:spacing w:val="-4"/>
                <w:sz w:val="24"/>
                <w:szCs w:val="20"/>
                <w:lang w:val="en-US" w:eastAsia="zh-CN"/>
              </w:rPr>
              <w:t>防爆</w:t>
            </w:r>
            <w:r>
              <w:rPr>
                <w:rFonts w:hint="eastAsia"/>
                <w:color w:val="auto"/>
                <w:spacing w:val="-4"/>
                <w:sz w:val="24"/>
                <w:szCs w:val="20"/>
              </w:rPr>
              <w:t>柜中，所处楼层较高，而且本项目危险物质存放量相对来说较少，泄露后对对周边环境敏感点、居住造成大气环境影响较小。</w:t>
            </w:r>
          </w:p>
          <w:p>
            <w:pPr>
              <w:spacing w:line="360" w:lineRule="auto"/>
              <w:ind w:firstLine="464" w:firstLineChars="200"/>
              <w:rPr>
                <w:rFonts w:hint="eastAsia" w:eastAsia="宋体"/>
                <w:color w:val="auto"/>
                <w:spacing w:val="-4"/>
                <w:sz w:val="24"/>
                <w:szCs w:val="20"/>
                <w:lang w:eastAsia="zh-CN"/>
              </w:rPr>
            </w:pPr>
            <w:r>
              <w:rPr>
                <w:rFonts w:hint="eastAsia"/>
                <w:color w:val="auto"/>
                <w:spacing w:val="-4"/>
                <w:sz w:val="24"/>
                <w:szCs w:val="20"/>
                <w:lang w:eastAsia="zh-CN"/>
              </w:rPr>
              <w:t>（</w:t>
            </w:r>
            <w:r>
              <w:rPr>
                <w:rFonts w:hint="eastAsia"/>
                <w:color w:val="auto"/>
                <w:spacing w:val="-4"/>
                <w:sz w:val="24"/>
                <w:szCs w:val="20"/>
                <w:lang w:val="en-US" w:eastAsia="zh-CN"/>
              </w:rPr>
              <w:t>1）化学品泄露对水环境的影响分析</w:t>
            </w:r>
          </w:p>
          <w:p>
            <w:pPr>
              <w:spacing w:line="360" w:lineRule="auto"/>
              <w:ind w:firstLine="464" w:firstLineChars="200"/>
              <w:rPr>
                <w:rFonts w:hint="eastAsia"/>
                <w:color w:val="auto"/>
                <w:spacing w:val="-4"/>
                <w:sz w:val="24"/>
                <w:szCs w:val="20"/>
              </w:rPr>
            </w:pPr>
            <w:r>
              <w:rPr>
                <w:rFonts w:hint="eastAsia"/>
                <w:color w:val="auto"/>
                <w:spacing w:val="-4"/>
                <w:sz w:val="24"/>
                <w:szCs w:val="20"/>
              </w:rPr>
              <w:t>本项目危险物质存放位置在</w:t>
            </w:r>
            <w:r>
              <w:rPr>
                <w:rFonts w:hint="eastAsia"/>
                <w:color w:val="auto"/>
                <w:spacing w:val="-4"/>
                <w:sz w:val="24"/>
                <w:szCs w:val="20"/>
                <w:lang w:val="en-US" w:eastAsia="zh-CN"/>
              </w:rPr>
              <w:t>2</w:t>
            </w:r>
            <w:r>
              <w:rPr>
                <w:rFonts w:hint="eastAsia"/>
                <w:color w:val="auto"/>
                <w:spacing w:val="-4"/>
                <w:sz w:val="24"/>
                <w:szCs w:val="20"/>
              </w:rPr>
              <w:t>层</w:t>
            </w:r>
            <w:r>
              <w:rPr>
                <w:rFonts w:hint="eastAsia"/>
                <w:color w:val="auto"/>
                <w:spacing w:val="-4"/>
                <w:sz w:val="24"/>
                <w:szCs w:val="20"/>
                <w:lang w:eastAsia="zh-CN"/>
              </w:rPr>
              <w:t>，</w:t>
            </w:r>
            <w:r>
              <w:rPr>
                <w:rFonts w:hint="eastAsia"/>
                <w:color w:val="auto"/>
                <w:spacing w:val="-4"/>
                <w:sz w:val="24"/>
                <w:szCs w:val="20"/>
                <w:lang w:val="en-US" w:eastAsia="zh-CN"/>
              </w:rPr>
              <w:t>3层</w:t>
            </w:r>
            <w:r>
              <w:rPr>
                <w:rFonts w:hint="eastAsia"/>
                <w:color w:val="auto"/>
                <w:spacing w:val="-4"/>
                <w:sz w:val="24"/>
                <w:szCs w:val="20"/>
              </w:rPr>
              <w:t>实验设备存放间内的</w:t>
            </w:r>
            <w:r>
              <w:rPr>
                <w:rFonts w:hint="eastAsia"/>
                <w:color w:val="auto"/>
                <w:spacing w:val="-4"/>
                <w:sz w:val="24"/>
                <w:szCs w:val="20"/>
                <w:lang w:val="en-US" w:eastAsia="zh-CN"/>
              </w:rPr>
              <w:t>防爆</w:t>
            </w:r>
            <w:r>
              <w:rPr>
                <w:rFonts w:hint="eastAsia"/>
                <w:color w:val="auto"/>
                <w:spacing w:val="-4"/>
                <w:sz w:val="24"/>
                <w:szCs w:val="20"/>
              </w:rPr>
              <w:t>柜中，所处楼层较高，而且本项目危险物质存放量相对来说较少，泄露后对</w:t>
            </w:r>
            <w:r>
              <w:rPr>
                <w:rFonts w:hint="eastAsia"/>
                <w:color w:val="auto"/>
                <w:spacing w:val="-4"/>
                <w:sz w:val="24"/>
                <w:szCs w:val="20"/>
                <w:lang w:val="en-US" w:eastAsia="zh-CN"/>
              </w:rPr>
              <w:t>地表水，</w:t>
            </w:r>
            <w:r>
              <w:rPr>
                <w:rFonts w:hint="eastAsia"/>
                <w:color w:val="auto"/>
                <w:spacing w:val="-4"/>
                <w:sz w:val="24"/>
                <w:szCs w:val="20"/>
              </w:rPr>
              <w:t>地下水环境的影响相对较小。</w:t>
            </w:r>
          </w:p>
          <w:p>
            <w:pPr>
              <w:widowControl/>
              <w:adjustRightInd w:val="0"/>
              <w:snapToGrid w:val="0"/>
              <w:spacing w:line="360" w:lineRule="auto"/>
              <w:ind w:firstLine="480" w:firstLineChars="200"/>
              <w:rPr>
                <w:color w:val="auto"/>
                <w:sz w:val="24"/>
              </w:rPr>
            </w:pPr>
            <w:r>
              <w:rPr>
                <w:rFonts w:hint="eastAsia"/>
                <w:color w:val="auto"/>
                <w:sz w:val="24"/>
                <w:szCs w:val="24"/>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986" w:hRule="atLeast"/>
          <w:jc w:val="center"/>
        </w:trPr>
        <w:tc>
          <w:tcPr>
            <w:tcW w:w="454" w:type="dxa"/>
            <w:vAlign w:val="center"/>
          </w:tcPr>
          <w:p>
            <w:pPr>
              <w:pStyle w:val="19"/>
              <w:adjustRightInd w:val="0"/>
              <w:snapToGrid w:val="0"/>
              <w:spacing w:before="0" w:beforeAutospacing="0" w:after="0" w:afterAutospacing="0"/>
              <w:jc w:val="center"/>
              <w:rPr>
                <w:rFonts w:cs="宋体"/>
                <w:bCs/>
                <w:color w:val="auto"/>
                <w:kern w:val="2"/>
                <w:sz w:val="21"/>
                <w:szCs w:val="21"/>
              </w:rPr>
            </w:pPr>
            <w:r>
              <w:rPr>
                <w:rFonts w:hint="eastAsia" w:cs="宋体"/>
                <w:bCs/>
                <w:color w:val="auto"/>
                <w:kern w:val="2"/>
                <w:sz w:val="21"/>
                <w:szCs w:val="21"/>
              </w:rPr>
              <w:t>选址选线环境合理性分析</w:t>
            </w:r>
          </w:p>
        </w:tc>
        <w:tc>
          <w:tcPr>
            <w:tcW w:w="9564" w:type="dxa"/>
          </w:tcPr>
          <w:p>
            <w:pPr>
              <w:adjustRightInd w:val="0"/>
              <w:snapToGrid w:val="0"/>
              <w:spacing w:line="360" w:lineRule="auto"/>
              <w:ind w:firstLine="480" w:firstLineChars="200"/>
              <w:rPr>
                <w:color w:val="auto"/>
                <w:sz w:val="24"/>
                <w:szCs w:val="24"/>
              </w:rPr>
            </w:pPr>
            <w:r>
              <w:rPr>
                <w:rFonts w:hint="eastAsia" w:ascii="宋体" w:hAnsi="宋体" w:cs="宋体"/>
                <w:color w:val="auto"/>
                <w:kern w:val="0"/>
                <w:sz w:val="24"/>
              </w:rPr>
              <w:t>本项目位于</w:t>
            </w:r>
            <w:r>
              <w:rPr>
                <w:rFonts w:hint="eastAsia" w:ascii="宋体" w:hAnsi="宋体" w:cs="宋体"/>
                <w:color w:val="auto"/>
                <w:kern w:val="0"/>
                <w:sz w:val="24"/>
                <w:lang w:val="en-US" w:eastAsia="zh-CN"/>
              </w:rPr>
              <w:t>秦汉</w:t>
            </w:r>
            <w:r>
              <w:rPr>
                <w:rFonts w:hint="eastAsia" w:ascii="宋体" w:hAnsi="宋体" w:cs="宋体"/>
                <w:color w:val="auto"/>
                <w:kern w:val="0"/>
                <w:sz w:val="24"/>
              </w:rPr>
              <w:t>新城</w:t>
            </w:r>
            <w:r>
              <w:rPr>
                <w:rFonts w:hint="eastAsia" w:ascii="宋体" w:hAnsi="宋体" w:cs="宋体"/>
                <w:color w:val="auto"/>
                <w:kern w:val="0"/>
                <w:sz w:val="24"/>
                <w:lang w:val="en-US" w:eastAsia="zh-CN"/>
              </w:rPr>
              <w:t>沣泾大道</w:t>
            </w:r>
            <w:r>
              <w:rPr>
                <w:rFonts w:hint="eastAsia" w:ascii="宋体" w:hAnsi="宋体" w:cs="宋体"/>
                <w:color w:val="auto"/>
                <w:kern w:val="0"/>
                <w:sz w:val="24"/>
              </w:rPr>
              <w:t>以北、</w:t>
            </w:r>
            <w:r>
              <w:rPr>
                <w:rFonts w:hint="eastAsia" w:ascii="宋体" w:hAnsi="宋体" w:cs="宋体"/>
                <w:color w:val="auto"/>
                <w:kern w:val="0"/>
                <w:sz w:val="24"/>
                <w:lang w:val="en-US" w:eastAsia="zh-CN"/>
              </w:rPr>
              <w:t>规划的</w:t>
            </w:r>
            <w:r>
              <w:rPr>
                <w:rFonts w:hint="eastAsia" w:ascii="宋体" w:hAnsi="宋体" w:cs="宋体"/>
                <w:color w:val="auto"/>
                <w:sz w:val="24"/>
                <w:szCs w:val="24"/>
                <w:u w:val="single"/>
                <w:lang w:val="en-US" w:eastAsia="zh-CN"/>
              </w:rPr>
              <w:t>望夷路</w:t>
            </w:r>
            <w:r>
              <w:rPr>
                <w:rFonts w:hint="eastAsia" w:ascii="宋体" w:hAnsi="宋体" w:cs="宋体"/>
                <w:color w:val="auto"/>
                <w:kern w:val="0"/>
                <w:sz w:val="24"/>
              </w:rPr>
              <w:t>以</w:t>
            </w:r>
            <w:r>
              <w:rPr>
                <w:rFonts w:hint="eastAsia" w:ascii="宋体" w:hAnsi="宋体" w:cs="宋体"/>
                <w:color w:val="auto"/>
                <w:kern w:val="0"/>
                <w:sz w:val="24"/>
                <w:lang w:val="en-US" w:eastAsia="zh-CN"/>
              </w:rPr>
              <w:t>南</w:t>
            </w:r>
            <w:r>
              <w:rPr>
                <w:rFonts w:hint="eastAsia" w:ascii="宋体" w:hAnsi="宋体" w:cs="宋体"/>
                <w:color w:val="auto"/>
                <w:kern w:val="0"/>
                <w:sz w:val="24"/>
              </w:rPr>
              <w:t>、</w:t>
            </w:r>
            <w:r>
              <w:rPr>
                <w:rFonts w:hint="eastAsia" w:ascii="宋体" w:hAnsi="宋体" w:cs="宋体"/>
                <w:color w:val="auto"/>
                <w:kern w:val="0"/>
                <w:sz w:val="24"/>
                <w:lang w:val="en-US" w:eastAsia="zh-CN"/>
              </w:rPr>
              <w:t>汉丰三路</w:t>
            </w:r>
            <w:r>
              <w:rPr>
                <w:rFonts w:hint="eastAsia" w:ascii="宋体" w:hAnsi="宋体" w:cs="宋体"/>
                <w:color w:val="auto"/>
                <w:kern w:val="0"/>
                <w:sz w:val="24"/>
              </w:rPr>
              <w:t>以</w:t>
            </w:r>
            <w:r>
              <w:rPr>
                <w:rFonts w:hint="eastAsia" w:ascii="宋体" w:hAnsi="宋体" w:cs="宋体"/>
                <w:color w:val="auto"/>
                <w:kern w:val="0"/>
                <w:sz w:val="24"/>
                <w:lang w:val="en-US" w:eastAsia="zh-CN"/>
              </w:rPr>
              <w:t>东</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秦汉大道以西，</w:t>
            </w:r>
            <w:r>
              <w:rPr>
                <w:rFonts w:hint="eastAsia" w:ascii="宋体" w:hAnsi="宋体" w:cs="宋体"/>
                <w:color w:val="auto"/>
                <w:kern w:val="0"/>
                <w:sz w:val="24"/>
              </w:rPr>
              <w:t>根据《</w:t>
            </w:r>
            <w:r>
              <w:rPr>
                <w:rFonts w:hint="eastAsia" w:ascii="宋体" w:hAnsi="宋体" w:cs="宋体"/>
                <w:color w:val="auto"/>
                <w:kern w:val="0"/>
                <w:sz w:val="24"/>
                <w:lang w:val="en-US" w:eastAsia="zh-CN"/>
              </w:rPr>
              <w:t>陕西省</w:t>
            </w:r>
            <w:r>
              <w:rPr>
                <w:rFonts w:hint="eastAsia" w:ascii="宋体" w:hAnsi="宋体" w:cs="宋体"/>
                <w:color w:val="auto"/>
                <w:kern w:val="0"/>
                <w:sz w:val="24"/>
              </w:rPr>
              <w:t>西咸新区</w:t>
            </w:r>
            <w:r>
              <w:rPr>
                <w:rFonts w:hint="eastAsia" w:ascii="宋体" w:hAnsi="宋体" w:cs="宋体"/>
                <w:color w:val="auto"/>
                <w:kern w:val="0"/>
                <w:sz w:val="24"/>
                <w:lang w:val="en-US" w:eastAsia="zh-CN"/>
              </w:rPr>
              <w:t>秦汉</w:t>
            </w:r>
            <w:r>
              <w:rPr>
                <w:rFonts w:hint="eastAsia" w:ascii="宋体" w:hAnsi="宋体" w:cs="宋体"/>
                <w:color w:val="auto"/>
                <w:kern w:val="0"/>
                <w:sz w:val="24"/>
              </w:rPr>
              <w:t>新城</w:t>
            </w:r>
            <w:r>
              <w:rPr>
                <w:rFonts w:hint="eastAsia" w:ascii="宋体" w:hAnsi="宋体" w:cs="宋体"/>
                <w:color w:val="auto"/>
                <w:kern w:val="0"/>
                <w:sz w:val="24"/>
                <w:lang w:val="en-US" w:eastAsia="zh-CN"/>
              </w:rPr>
              <w:t>分区</w:t>
            </w:r>
            <w:r>
              <w:rPr>
                <w:rFonts w:hint="eastAsia" w:ascii="宋体" w:hAnsi="宋体" w:cs="宋体"/>
                <w:color w:val="auto"/>
                <w:kern w:val="0"/>
                <w:sz w:val="24"/>
              </w:rPr>
              <w:t>规划</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2016-2035）</w:t>
            </w:r>
            <w:r>
              <w:rPr>
                <w:rFonts w:hint="eastAsia" w:ascii="宋体" w:hAnsi="宋体" w:cs="宋体"/>
                <w:color w:val="auto"/>
                <w:kern w:val="0"/>
                <w:sz w:val="24"/>
              </w:rPr>
              <w:t>》，本项目属于</w:t>
            </w:r>
            <w:r>
              <w:rPr>
                <w:rFonts w:hint="eastAsia" w:ascii="宋体" w:hAnsi="宋体" w:cs="宋体"/>
                <w:color w:val="auto"/>
                <w:kern w:val="0"/>
                <w:sz w:val="24"/>
                <w:lang w:val="en-US" w:eastAsia="zh-CN"/>
              </w:rPr>
              <w:t>秦汉</w:t>
            </w:r>
            <w:r>
              <w:rPr>
                <w:rFonts w:hint="eastAsia" w:ascii="宋体" w:hAnsi="宋体" w:cs="宋体"/>
                <w:color w:val="auto"/>
                <w:kern w:val="0"/>
                <w:sz w:val="24"/>
              </w:rPr>
              <w:t>新城</w:t>
            </w:r>
            <w:r>
              <w:rPr>
                <w:rFonts w:hint="eastAsia" w:ascii="宋体" w:hAnsi="宋体" w:cs="宋体"/>
                <w:color w:val="auto"/>
                <w:kern w:val="0"/>
                <w:sz w:val="24"/>
                <w:lang w:val="en-US" w:eastAsia="zh-CN"/>
              </w:rPr>
              <w:t>塬北文化生活核心区</w:t>
            </w:r>
            <w:r>
              <w:rPr>
                <w:rFonts w:hint="eastAsia" w:ascii="宋体" w:hAnsi="宋体" w:cs="宋体"/>
                <w:color w:val="auto"/>
                <w:kern w:val="0"/>
                <w:sz w:val="24"/>
              </w:rPr>
              <w:t>中的</w:t>
            </w:r>
            <w:r>
              <w:rPr>
                <w:rFonts w:hint="eastAsia" w:ascii="宋体" w:hAnsi="宋体" w:cs="宋体"/>
                <w:color w:val="auto"/>
                <w:kern w:val="0"/>
                <w:sz w:val="24"/>
                <w:lang w:val="en-US" w:eastAsia="zh-CN"/>
              </w:rPr>
              <w:t>童世界创意组团</w:t>
            </w:r>
            <w:r>
              <w:rPr>
                <w:rFonts w:hint="eastAsia" w:ascii="宋体" w:hAnsi="宋体" w:cs="宋体"/>
                <w:color w:val="auto"/>
                <w:kern w:val="0"/>
                <w:sz w:val="24"/>
              </w:rPr>
              <w:t>。</w:t>
            </w:r>
            <w:r>
              <w:rPr>
                <w:color w:val="auto"/>
                <w:kern w:val="0"/>
                <w:sz w:val="24"/>
              </w:rPr>
              <w:t>本项目</w:t>
            </w:r>
            <w:r>
              <w:rPr>
                <w:rFonts w:hint="eastAsia"/>
                <w:color w:val="auto"/>
                <w:kern w:val="0"/>
                <w:sz w:val="24"/>
              </w:rPr>
              <w:t>所在地</w:t>
            </w:r>
            <w:r>
              <w:rPr>
                <w:color w:val="auto"/>
                <w:kern w:val="0"/>
                <w:sz w:val="24"/>
              </w:rPr>
              <w:t>属于娱乐康体设施用地</w:t>
            </w:r>
            <w:r>
              <w:rPr>
                <w:rFonts w:hint="eastAsia"/>
                <w:color w:val="auto"/>
                <w:kern w:val="0"/>
                <w:sz w:val="24"/>
              </w:rPr>
              <w:t>。</w:t>
            </w:r>
            <w:r>
              <w:rPr>
                <w:rFonts w:hint="eastAsia" w:ascii="Times New Roman" w:hAnsi="Times New Roman"/>
                <w:color w:val="auto"/>
                <w:sz w:val="24"/>
                <w:szCs w:val="24"/>
              </w:rPr>
              <w:t>用地性质均符合当地土地利用总体规划。</w:t>
            </w:r>
            <w:r>
              <w:rPr>
                <w:color w:val="auto"/>
                <w:sz w:val="24"/>
                <w:szCs w:val="24"/>
              </w:rPr>
              <w:t>本项目所产生的“三废”均能做到有效合理的处理，能够达标排放，对周围环境影响较小，符合区域产业布局。本项目选址地理位置优越，交通便利，基础设施完善。项目区场地地势平坦，无矿物、文物以及军事设施，也不存在制约项目建设的因素。</w:t>
            </w:r>
            <w:r>
              <w:rPr>
                <w:rFonts w:hint="eastAsia"/>
                <w:color w:val="auto"/>
                <w:sz w:val="24"/>
                <w:szCs w:val="24"/>
              </w:rPr>
              <w:t>选址可行。</w:t>
            </w:r>
          </w:p>
          <w:p>
            <w:pPr>
              <w:adjustRightInd w:val="0"/>
              <w:snapToGrid w:val="0"/>
              <w:rPr>
                <w:rFonts w:ascii="宋体" w:hAnsi="宋体" w:cs="宋体"/>
                <w:bCs/>
                <w:color w:val="auto"/>
                <w:szCs w:val="21"/>
              </w:rPr>
            </w:pPr>
          </w:p>
        </w:tc>
      </w:tr>
    </w:tbl>
    <w:p>
      <w:pPr>
        <w:pStyle w:val="19"/>
        <w:jc w:val="center"/>
        <w:rPr>
          <w:rFonts w:ascii="黑体" w:hAnsi="黑体" w:eastAsia="黑体"/>
          <w:snapToGrid w:val="0"/>
          <w:color w:val="auto"/>
          <w:sz w:val="36"/>
          <w:szCs w:val="36"/>
        </w:rPr>
        <w:sectPr>
          <w:pgSz w:w="11906" w:h="16838"/>
          <w:pgMar w:top="1440" w:right="1800" w:bottom="1440" w:left="1800" w:header="851" w:footer="1077" w:gutter="0"/>
          <w:pgBorders>
            <w:top w:val="none" w:sz="0" w:space="0"/>
            <w:left w:val="none" w:sz="0" w:space="0"/>
            <w:bottom w:val="none" w:sz="0" w:space="0"/>
            <w:right w:val="none" w:sz="0" w:space="0"/>
          </w:pgBorders>
          <w:cols w:space="425" w:num="1"/>
          <w:docGrid w:linePitch="312" w:charSpace="0"/>
        </w:sectPr>
      </w:pPr>
    </w:p>
    <w:p>
      <w:pPr>
        <w:pStyle w:val="14"/>
        <w:ind w:left="5250"/>
        <w:rPr>
          <w:snapToGrid w:val="0"/>
          <w:color w:val="auto"/>
        </w:rPr>
      </w:pPr>
    </w:p>
    <w:p>
      <w:pPr>
        <w:pStyle w:val="19"/>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五、主要生态环境保护措施</w:t>
      </w:r>
    </w:p>
    <w:tbl>
      <w:tblPr>
        <w:tblStyle w:val="24"/>
        <w:tblW w:w="921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77"/>
        <w:gridCol w:w="853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3782" w:hRule="atLeast"/>
          <w:jc w:val="center"/>
        </w:trPr>
        <w:tc>
          <w:tcPr>
            <w:tcW w:w="677" w:type="dxa"/>
            <w:tcMar>
              <w:left w:w="28" w:type="dxa"/>
              <w:right w:w="28" w:type="dxa"/>
            </w:tcMar>
            <w:vAlign w:val="center"/>
          </w:tcPr>
          <w:p>
            <w:pPr>
              <w:adjustRightInd w:val="0"/>
              <w:snapToGrid w:val="0"/>
              <w:jc w:val="center"/>
              <w:rPr>
                <w:rFonts w:ascii="宋体" w:hAnsi="宋体"/>
                <w:bCs/>
                <w:color w:val="auto"/>
                <w:sz w:val="24"/>
              </w:rPr>
            </w:pPr>
            <w:r>
              <w:rPr>
                <w:rFonts w:hint="eastAsia" w:ascii="宋体" w:hAnsi="宋体" w:cs="宋体"/>
                <w:bCs/>
                <w:color w:val="auto"/>
                <w:spacing w:val="10"/>
                <w:sz w:val="24"/>
              </w:rPr>
              <w:t>施工期生态环境保护措施</w:t>
            </w:r>
          </w:p>
        </w:tc>
        <w:tc>
          <w:tcPr>
            <w:tcW w:w="8533" w:type="dxa"/>
          </w:tcPr>
          <w:p>
            <w:pPr>
              <w:adjustRightInd w:val="0"/>
              <w:snapToGrid w:val="0"/>
              <w:spacing w:line="360" w:lineRule="auto"/>
              <w:ind w:firstLine="442" w:firstLineChars="200"/>
              <w:rPr>
                <w:rFonts w:hint="eastAsia" w:eastAsia="宋体"/>
                <w:b/>
                <w:color w:val="auto"/>
                <w:spacing w:val="-10"/>
                <w:sz w:val="24"/>
                <w:lang w:val="en-US" w:eastAsia="zh-CN"/>
              </w:rPr>
            </w:pPr>
            <w:r>
              <w:rPr>
                <w:rFonts w:hint="eastAsia"/>
                <w:b/>
                <w:color w:val="auto"/>
                <w:spacing w:val="-10"/>
                <w:sz w:val="24"/>
                <w:lang w:val="en-US" w:eastAsia="zh-CN"/>
              </w:rPr>
              <w:t>一、施工期生态环境保护措施</w:t>
            </w:r>
          </w:p>
          <w:p>
            <w:pPr>
              <w:adjustRightInd w:val="0"/>
              <w:snapToGrid w:val="0"/>
              <w:spacing w:line="360" w:lineRule="auto"/>
              <w:ind w:firstLine="480" w:firstLineChars="200"/>
              <w:rPr>
                <w:rFonts w:hint="eastAsia"/>
                <w:color w:val="auto"/>
                <w:kern w:val="0"/>
                <w:sz w:val="24"/>
              </w:rPr>
            </w:pPr>
            <w:r>
              <w:rPr>
                <w:rFonts w:hint="eastAsia"/>
                <w:color w:val="auto"/>
                <w:kern w:val="0"/>
                <w:sz w:val="24"/>
              </w:rPr>
              <w:t>施工期对生态环境的影响是临时性的，主要表现在施工噪声、临时占地、原料运输及施工人员活动所造成的植被损失、动物生境的破坏和水土流失三个方面。为了减缓工程施工过程中对生态环境的影响，建议采取以下生态环境保护及恢复措施：</w:t>
            </w:r>
          </w:p>
          <w:p>
            <w:pPr>
              <w:adjustRightInd w:val="0"/>
              <w:snapToGrid w:val="0"/>
              <w:spacing w:line="360" w:lineRule="auto"/>
              <w:ind w:firstLine="480" w:firstLineChars="200"/>
              <w:rPr>
                <w:rFonts w:hint="eastAsia"/>
                <w:color w:val="auto"/>
                <w:kern w:val="0"/>
                <w:sz w:val="24"/>
              </w:rPr>
            </w:pPr>
            <w:r>
              <w:rPr>
                <w:rFonts w:hint="eastAsia"/>
                <w:color w:val="auto"/>
                <w:kern w:val="0"/>
                <w:sz w:val="24"/>
              </w:rPr>
              <w:t>（1）采用科学的施工组织方式，避免“边勘探、边设计、边施工”的做法，要精心研究、精心设计、精心施工；工程土石方开挖过程中，应合理设计，力求实现“挖填平衡”；</w:t>
            </w:r>
          </w:p>
          <w:p>
            <w:pPr>
              <w:adjustRightInd w:val="0"/>
              <w:snapToGrid w:val="0"/>
              <w:spacing w:line="360" w:lineRule="auto"/>
              <w:ind w:firstLine="480" w:firstLineChars="200"/>
              <w:rPr>
                <w:rFonts w:hint="eastAsia"/>
                <w:color w:val="auto"/>
                <w:kern w:val="0"/>
                <w:sz w:val="24"/>
              </w:rPr>
            </w:pPr>
            <w:r>
              <w:rPr>
                <w:rFonts w:hint="eastAsia"/>
                <w:color w:val="auto"/>
                <w:kern w:val="0"/>
                <w:sz w:val="24"/>
              </w:rPr>
              <w:t>（2）工程土建施工部分应尽量避免雨季施工，减少临时占地面积，及时对施工管网覆土、压实；施工结束时，及时进行灌草植被的种植；</w:t>
            </w:r>
          </w:p>
          <w:p>
            <w:pPr>
              <w:adjustRightInd w:val="0"/>
              <w:snapToGrid w:val="0"/>
              <w:spacing w:line="360" w:lineRule="auto"/>
              <w:ind w:firstLine="480" w:firstLineChars="200"/>
              <w:rPr>
                <w:rFonts w:hint="eastAsia"/>
                <w:color w:val="auto"/>
                <w:kern w:val="0"/>
                <w:sz w:val="24"/>
              </w:rPr>
            </w:pPr>
            <w:r>
              <w:rPr>
                <w:rFonts w:hint="eastAsia"/>
                <w:color w:val="auto"/>
                <w:kern w:val="0"/>
                <w:sz w:val="24"/>
              </w:rPr>
              <w:t>（3）合理选择施工临时占地位置，工程建设过程中不允许随意占用额外土地，施工的临时占地，施工完成后应及时进行平整，恢复植被，力求恢复其原有地貌和土地使用功能；</w:t>
            </w:r>
          </w:p>
          <w:p>
            <w:pPr>
              <w:adjustRightInd w:val="0"/>
              <w:snapToGrid w:val="0"/>
              <w:spacing w:line="360" w:lineRule="auto"/>
              <w:ind w:firstLine="480" w:firstLineChars="200"/>
              <w:rPr>
                <w:color w:val="auto"/>
                <w:kern w:val="0"/>
                <w:sz w:val="24"/>
              </w:rPr>
            </w:pPr>
            <w:r>
              <w:rPr>
                <w:rFonts w:hint="eastAsia"/>
                <w:color w:val="auto"/>
                <w:kern w:val="0"/>
                <w:sz w:val="24"/>
              </w:rPr>
              <w:t>（</w:t>
            </w:r>
            <w:r>
              <w:rPr>
                <w:rFonts w:hint="eastAsia"/>
                <w:color w:val="auto"/>
                <w:kern w:val="0"/>
                <w:sz w:val="24"/>
                <w:lang w:val="en-US" w:eastAsia="zh-CN"/>
              </w:rPr>
              <w:t>4</w:t>
            </w:r>
            <w:r>
              <w:rPr>
                <w:rFonts w:hint="eastAsia"/>
                <w:color w:val="auto"/>
                <w:kern w:val="0"/>
                <w:sz w:val="24"/>
              </w:rPr>
              <w:t>）建筑物料、弃土渣应就近选择低洼、平坦地段集中堆放，要设置土工布围栏、截排水沟等，并及时用于填垫平整场地。不能利用部分及时清理外运至</w:t>
            </w:r>
            <w:r>
              <w:rPr>
                <w:rFonts w:hint="eastAsia"/>
                <w:color w:val="auto"/>
                <w:kern w:val="0"/>
                <w:sz w:val="24"/>
                <w:lang w:val="en-US" w:eastAsia="zh-CN"/>
              </w:rPr>
              <w:t>秦汉</w:t>
            </w:r>
            <w:r>
              <w:rPr>
                <w:rFonts w:hint="eastAsia"/>
                <w:color w:val="auto"/>
                <w:kern w:val="0"/>
                <w:sz w:val="24"/>
              </w:rPr>
              <w:t>环卫部门指定地点统一处置，外运土石方运输要严格遵守作业制度，采用车况良好的斗车、避免过量装料，防止松散土石料的散落，减少水土流失。</w:t>
            </w:r>
          </w:p>
          <w:p>
            <w:pPr>
              <w:adjustRightInd w:val="0"/>
              <w:snapToGrid w:val="0"/>
              <w:spacing w:line="360" w:lineRule="auto"/>
              <w:ind w:firstLine="480" w:firstLineChars="200"/>
              <w:rPr>
                <w:color w:val="auto"/>
                <w:kern w:val="0"/>
                <w:sz w:val="24"/>
              </w:rPr>
            </w:pPr>
            <w:r>
              <w:rPr>
                <w:rFonts w:hint="eastAsia"/>
                <w:color w:val="auto"/>
                <w:kern w:val="0"/>
                <w:sz w:val="24"/>
              </w:rPr>
              <w:t>（</w:t>
            </w:r>
            <w:r>
              <w:rPr>
                <w:rFonts w:hint="eastAsia"/>
                <w:color w:val="auto"/>
                <w:kern w:val="0"/>
                <w:sz w:val="24"/>
                <w:lang w:val="en-US" w:eastAsia="zh-CN"/>
              </w:rPr>
              <w:t>5</w:t>
            </w:r>
            <w:r>
              <w:rPr>
                <w:rFonts w:hint="eastAsia"/>
                <w:color w:val="auto"/>
                <w:kern w:val="0"/>
                <w:sz w:val="24"/>
              </w:rPr>
              <w:t>）对占地开挖土方分层堆放，全部表土都应分层堆放并标注清楚，至少地表0.3m厚土层应被视作表土。填埋时，也应分层回填，尽可能保持原有地表植被的生长环境、土壤肥力，以便于及时开展厂区环境绿化使用。</w:t>
            </w:r>
          </w:p>
          <w:p>
            <w:pPr>
              <w:adjustRightInd w:val="0"/>
              <w:snapToGrid w:val="0"/>
              <w:spacing w:line="360" w:lineRule="auto"/>
              <w:ind w:firstLine="480" w:firstLineChars="200"/>
              <w:rPr>
                <w:rFonts w:hint="eastAsia"/>
                <w:color w:val="auto"/>
                <w:kern w:val="0"/>
                <w:sz w:val="24"/>
              </w:rPr>
            </w:pPr>
            <w:r>
              <w:rPr>
                <w:rFonts w:hint="eastAsia"/>
                <w:color w:val="auto"/>
                <w:kern w:val="0"/>
                <w:sz w:val="24"/>
              </w:rPr>
              <w:t>（</w:t>
            </w:r>
            <w:r>
              <w:rPr>
                <w:rFonts w:hint="eastAsia"/>
                <w:color w:val="auto"/>
                <w:kern w:val="0"/>
                <w:sz w:val="24"/>
                <w:lang w:val="en-US" w:eastAsia="zh-CN"/>
              </w:rPr>
              <w:t>6</w:t>
            </w:r>
            <w:r>
              <w:rPr>
                <w:rFonts w:hint="eastAsia"/>
                <w:color w:val="auto"/>
                <w:kern w:val="0"/>
                <w:sz w:val="24"/>
              </w:rPr>
              <w:t>）应加强对施工人员的教育培训，提高施工人员的生态环境保护意识</w:t>
            </w:r>
            <w:r>
              <w:rPr>
                <w:rFonts w:hint="eastAsia"/>
                <w:color w:val="auto"/>
                <w:kern w:val="0"/>
                <w:sz w:val="24"/>
                <w:lang w:eastAsia="zh-CN"/>
              </w:rPr>
              <w:t>，</w:t>
            </w:r>
            <w:r>
              <w:rPr>
                <w:rFonts w:hint="eastAsia"/>
                <w:color w:val="auto"/>
                <w:kern w:val="0"/>
                <w:sz w:val="24"/>
              </w:rPr>
              <w:t>做到不践踏砍伐植被、不乱扔垃圾等；</w:t>
            </w:r>
          </w:p>
          <w:p>
            <w:pPr>
              <w:adjustRightInd w:val="0"/>
              <w:snapToGrid w:val="0"/>
              <w:spacing w:line="360" w:lineRule="auto"/>
              <w:ind w:firstLine="480" w:firstLineChars="200"/>
              <w:rPr>
                <w:color w:val="auto"/>
                <w:kern w:val="0"/>
                <w:sz w:val="24"/>
              </w:rPr>
            </w:pPr>
            <w:r>
              <w:rPr>
                <w:rFonts w:hint="eastAsia"/>
                <w:color w:val="auto"/>
                <w:kern w:val="0"/>
                <w:sz w:val="24"/>
              </w:rPr>
              <w:t>（</w:t>
            </w:r>
            <w:r>
              <w:rPr>
                <w:rFonts w:hint="eastAsia"/>
                <w:color w:val="auto"/>
                <w:kern w:val="0"/>
                <w:sz w:val="24"/>
                <w:lang w:val="en-US" w:eastAsia="zh-CN"/>
              </w:rPr>
              <w:t>7</w:t>
            </w:r>
            <w:r>
              <w:rPr>
                <w:rFonts w:hint="eastAsia"/>
                <w:color w:val="auto"/>
                <w:kern w:val="0"/>
                <w:sz w:val="24"/>
              </w:rPr>
              <w:t>）对完工的裸露地面要尽早平整，及时绿化场地。</w:t>
            </w:r>
          </w:p>
          <w:p>
            <w:pPr>
              <w:adjustRightInd w:val="0"/>
              <w:snapToGrid w:val="0"/>
              <w:spacing w:line="360" w:lineRule="auto"/>
              <w:ind w:firstLine="442" w:firstLineChars="200"/>
              <w:rPr>
                <w:rFonts w:hint="eastAsia"/>
                <w:color w:val="auto"/>
                <w:kern w:val="0"/>
                <w:sz w:val="24"/>
              </w:rPr>
            </w:pPr>
            <w:r>
              <w:rPr>
                <w:rFonts w:hint="eastAsia"/>
                <w:color w:val="auto"/>
                <w:kern w:val="0"/>
                <w:sz w:val="24"/>
              </w:rPr>
              <w:t>综上所述，评价认为，施工期在采取上述污染防治与生态恢复措施后，可将施工建设带来的不利环境影响降到最小限度。</w:t>
            </w:r>
          </w:p>
          <w:p>
            <w:pPr>
              <w:adjustRightInd w:val="0"/>
              <w:snapToGrid w:val="0"/>
              <w:spacing w:line="360" w:lineRule="auto"/>
              <w:ind w:firstLine="442" w:firstLineChars="200"/>
              <w:rPr>
                <w:rFonts w:hint="eastAsia" w:eastAsia="宋体"/>
                <w:b/>
                <w:color w:val="auto"/>
                <w:spacing w:val="-10"/>
                <w:sz w:val="24"/>
                <w:lang w:val="en-US" w:eastAsia="zh-CN"/>
              </w:rPr>
            </w:pPr>
            <w:r>
              <w:rPr>
                <w:rFonts w:hint="eastAsia"/>
                <w:b/>
                <w:color w:val="auto"/>
                <w:spacing w:val="-10"/>
                <w:sz w:val="24"/>
                <w:lang w:val="en-US" w:eastAsia="zh-CN"/>
              </w:rPr>
              <w:t>二、施工期其它污染因素环境保护措施</w:t>
            </w:r>
          </w:p>
          <w:p>
            <w:pPr>
              <w:adjustRightInd w:val="0"/>
              <w:snapToGrid w:val="0"/>
              <w:spacing w:line="360" w:lineRule="auto"/>
              <w:ind w:firstLine="442" w:firstLineChars="200"/>
              <w:rPr>
                <w:b/>
                <w:color w:val="auto"/>
                <w:spacing w:val="-10"/>
                <w:sz w:val="24"/>
              </w:rPr>
            </w:pPr>
            <w:r>
              <w:rPr>
                <w:b/>
                <w:color w:val="auto"/>
                <w:spacing w:val="-10"/>
                <w:sz w:val="24"/>
              </w:rPr>
              <w:t>1、</w:t>
            </w:r>
            <w:r>
              <w:rPr>
                <w:rFonts w:hint="eastAsia"/>
                <w:b/>
                <w:color w:val="auto"/>
                <w:spacing w:val="-10"/>
                <w:sz w:val="24"/>
              </w:rPr>
              <w:t>大气环境保护措施</w:t>
            </w:r>
          </w:p>
          <w:p>
            <w:pPr>
              <w:spacing w:line="360" w:lineRule="auto"/>
              <w:ind w:firstLine="482"/>
              <w:rPr>
                <w:rFonts w:hint="eastAsia"/>
                <w:color w:val="auto"/>
                <w:sz w:val="24"/>
                <w:lang w:val="en-US" w:eastAsia="zh-CN"/>
              </w:rPr>
            </w:pPr>
            <w:r>
              <w:rPr>
                <w:rFonts w:hint="eastAsia"/>
                <w:color w:val="auto"/>
                <w:sz w:val="24"/>
                <w:lang w:val="en-US" w:eastAsia="zh-CN"/>
              </w:rPr>
              <w:t>大气环境保护措施如下：</w:t>
            </w:r>
          </w:p>
          <w:p>
            <w:pPr>
              <w:numPr>
                <w:ilvl w:val="0"/>
                <w:numId w:val="4"/>
              </w:numPr>
              <w:spacing w:line="360" w:lineRule="auto"/>
              <w:ind w:firstLine="482"/>
              <w:rPr>
                <w:rFonts w:hint="eastAsia"/>
                <w:color w:val="auto"/>
                <w:sz w:val="24"/>
                <w:lang w:val="en-US" w:eastAsia="zh-CN"/>
              </w:rPr>
            </w:pPr>
            <w:r>
              <w:rPr>
                <w:rFonts w:hint="eastAsia"/>
                <w:color w:val="auto"/>
                <w:sz w:val="24"/>
                <w:lang w:val="en-US" w:eastAsia="zh-CN"/>
              </w:rPr>
              <w:t>建设单位应在主要扬尘产生点安装扬尘在线监测监控设备，并与当地主管部门监控平台联网。</w:t>
            </w:r>
          </w:p>
          <w:p>
            <w:pPr>
              <w:numPr>
                <w:ilvl w:val="0"/>
                <w:numId w:val="0"/>
              </w:numPr>
              <w:spacing w:line="360" w:lineRule="auto"/>
              <w:rPr>
                <w:rFonts w:hint="eastAsia"/>
                <w:color w:val="auto"/>
                <w:sz w:val="24"/>
                <w:lang w:val="en-US" w:eastAsia="zh-CN"/>
              </w:rPr>
            </w:pPr>
            <w:r>
              <w:rPr>
                <w:rFonts w:hint="eastAsia"/>
                <w:color w:val="auto"/>
                <w:sz w:val="24"/>
                <w:lang w:val="en-US" w:eastAsia="zh-CN"/>
              </w:rPr>
              <w:t xml:space="preserve">    （2）施工中使用商品混凝土，禁止现场搅拌混凝土、配置砂浆；</w:t>
            </w:r>
          </w:p>
          <w:p>
            <w:pPr>
              <w:spacing w:line="360" w:lineRule="auto"/>
              <w:ind w:firstLine="482"/>
              <w:rPr>
                <w:rFonts w:hint="eastAsia"/>
                <w:color w:val="auto"/>
                <w:sz w:val="24"/>
                <w:lang w:val="en-US" w:eastAsia="zh-CN"/>
              </w:rPr>
            </w:pPr>
            <w:r>
              <w:rPr>
                <w:rFonts w:hint="eastAsia"/>
                <w:color w:val="auto"/>
                <w:sz w:val="24"/>
                <w:lang w:val="en-US" w:eastAsia="zh-CN"/>
              </w:rPr>
              <w:t>（3）避免了在大风天气进行物料装卸作业；</w:t>
            </w:r>
          </w:p>
          <w:p>
            <w:pPr>
              <w:spacing w:line="360" w:lineRule="auto"/>
              <w:ind w:firstLine="482"/>
              <w:rPr>
                <w:rFonts w:hint="eastAsia"/>
                <w:color w:val="auto"/>
                <w:sz w:val="24"/>
                <w:lang w:val="en-US" w:eastAsia="zh-CN"/>
              </w:rPr>
            </w:pPr>
            <w:r>
              <w:rPr>
                <w:rFonts w:hint="eastAsia"/>
                <w:color w:val="auto"/>
                <w:sz w:val="24"/>
                <w:lang w:val="en-US" w:eastAsia="zh-CN"/>
              </w:rPr>
              <w:t>（4）严格落实了施工工地“六个百分之百”（施工现场百分之百围挡，物料堆放百分之百覆盖，裸露地面百分之百绿化，进出车辆百分之百喷淋，拆除和土方作业百分之百喷淋，渣土运输车辆百分之百封闭）、开复工验收、“三员”（扬尘污染防治监督员、网格员、管理员）管理、扬尘防治预算管理等制度；</w:t>
            </w:r>
          </w:p>
          <w:p>
            <w:pPr>
              <w:spacing w:line="360" w:lineRule="auto"/>
              <w:rPr>
                <w:rFonts w:hint="eastAsia"/>
                <w:color w:val="auto"/>
                <w:sz w:val="24"/>
                <w:lang w:val="en-US" w:eastAsia="zh-CN"/>
              </w:rPr>
            </w:pPr>
            <w:r>
              <w:rPr>
                <w:rFonts w:hint="eastAsia"/>
                <w:color w:val="auto"/>
                <w:sz w:val="24"/>
                <w:lang w:val="en-US" w:eastAsia="zh-CN"/>
              </w:rPr>
              <w:t xml:space="preserve">    ①设置围挡：施工期间设置2m高围挡；</w:t>
            </w:r>
          </w:p>
          <w:p>
            <w:pPr>
              <w:spacing w:line="360" w:lineRule="auto"/>
              <w:rPr>
                <w:rFonts w:hint="eastAsia"/>
                <w:color w:val="auto"/>
                <w:sz w:val="24"/>
                <w:lang w:val="en-US" w:eastAsia="zh-CN"/>
              </w:rPr>
            </w:pPr>
            <w:r>
              <w:rPr>
                <w:rFonts w:hint="eastAsia"/>
                <w:color w:val="auto"/>
                <w:sz w:val="24"/>
                <w:lang w:val="en-US" w:eastAsia="zh-CN"/>
              </w:rPr>
              <w:t xml:space="preserve">    ②物料堆放及土石方堆存区未露天堆放，即使必须露天堆放，也加盖了防雨布或防尘篷布，减少了大风造成的施工扬尘做到百分之百覆盖；</w:t>
            </w:r>
          </w:p>
          <w:p>
            <w:pPr>
              <w:spacing w:line="360" w:lineRule="auto"/>
              <w:rPr>
                <w:rFonts w:hint="eastAsia"/>
                <w:color w:val="auto"/>
                <w:sz w:val="24"/>
                <w:lang w:val="en-US" w:eastAsia="zh-CN"/>
              </w:rPr>
            </w:pPr>
            <w:r>
              <w:rPr>
                <w:rFonts w:hint="eastAsia"/>
                <w:color w:val="auto"/>
                <w:sz w:val="24"/>
                <w:lang w:val="en-US" w:eastAsia="zh-CN"/>
              </w:rPr>
              <w:t xml:space="preserve">    ③安装持续洒水降尘措施。施工期现场定期喷洒，保证地面湿润不起尘；</w:t>
            </w:r>
          </w:p>
          <w:p>
            <w:pPr>
              <w:spacing w:line="360" w:lineRule="auto"/>
              <w:rPr>
                <w:rFonts w:hint="eastAsia"/>
                <w:color w:val="auto"/>
                <w:sz w:val="24"/>
                <w:lang w:val="en-US" w:eastAsia="zh-CN"/>
              </w:rPr>
            </w:pPr>
            <w:r>
              <w:rPr>
                <w:rFonts w:hint="eastAsia"/>
                <w:color w:val="auto"/>
                <w:sz w:val="24"/>
                <w:lang w:val="en-US" w:eastAsia="zh-CN"/>
              </w:rPr>
              <w:t xml:space="preserve">    ④运输车辆加盖篷布，安装运输车辆冲洗装置：运输车辆驶出工地前，对车轮、车身、车槽帮等部位进行清理或清洗以保证车辆清洁上路；洗车污水经处理后重复使用。施工场所车辆入口和出口部分的路面上没有明显的泥印，以及砂石、灰土等易扬尘物料；</w:t>
            </w:r>
          </w:p>
          <w:p>
            <w:pPr>
              <w:spacing w:line="360" w:lineRule="auto"/>
              <w:rPr>
                <w:rFonts w:hint="eastAsia"/>
                <w:color w:val="auto"/>
                <w:sz w:val="24"/>
                <w:lang w:val="en-US" w:eastAsia="zh-CN"/>
              </w:rPr>
            </w:pPr>
            <w:r>
              <w:rPr>
                <w:rFonts w:hint="eastAsia"/>
                <w:color w:val="auto"/>
                <w:sz w:val="24"/>
                <w:lang w:val="en-US" w:eastAsia="zh-CN"/>
              </w:rPr>
              <w:t xml:space="preserve">    ⑤运输车辆扬尘与路况、天气条件密切相关，施工车辆经过的路段积尘相对较多，若不能经常清除、冲洗路面积尘，则在干燥的天气条件下，对道路两侧将造成影响，通过及时对路面进行清扫、洒水，并对运输物料表面遮盖等措施，可以将运输车辆扬尘影响控制在道路两侧的小范围内。</w:t>
            </w:r>
          </w:p>
          <w:p>
            <w:pPr>
              <w:spacing w:line="360" w:lineRule="auto"/>
              <w:ind w:firstLine="482"/>
              <w:rPr>
                <w:rFonts w:hint="eastAsia"/>
                <w:color w:val="auto"/>
                <w:sz w:val="24"/>
                <w:lang w:val="en-US" w:eastAsia="zh-CN"/>
              </w:rPr>
            </w:pPr>
            <w:r>
              <w:rPr>
                <w:rFonts w:hint="eastAsia"/>
                <w:color w:val="auto"/>
                <w:sz w:val="24"/>
                <w:lang w:val="en-US" w:eastAsia="zh-CN"/>
              </w:rPr>
              <w:t>评价认为施工期采取以上处理措施后对周围环境影响较小。</w:t>
            </w:r>
          </w:p>
          <w:p>
            <w:pPr>
              <w:spacing w:line="360" w:lineRule="auto"/>
              <w:ind w:firstLine="420" w:firstLineChars="175"/>
              <w:rPr>
                <w:b/>
                <w:bCs/>
                <w:color w:val="auto"/>
                <w:sz w:val="24"/>
              </w:rPr>
            </w:pPr>
            <w:r>
              <w:rPr>
                <w:b/>
                <w:bCs/>
                <w:color w:val="auto"/>
                <w:sz w:val="24"/>
              </w:rPr>
              <w:t>2、废水</w:t>
            </w:r>
            <w:r>
              <w:rPr>
                <w:rFonts w:hint="eastAsia"/>
                <w:b/>
                <w:bCs/>
                <w:color w:val="auto"/>
                <w:sz w:val="24"/>
                <w:lang w:val="en-US" w:eastAsia="zh-CN"/>
              </w:rPr>
              <w:t>环境保护措施</w:t>
            </w:r>
          </w:p>
          <w:p>
            <w:pPr>
              <w:spacing w:line="360" w:lineRule="auto"/>
              <w:ind w:firstLine="420" w:firstLineChars="175"/>
              <w:rPr>
                <w:rFonts w:hint="eastAsia"/>
                <w:color w:val="auto"/>
                <w:sz w:val="24"/>
              </w:rPr>
            </w:pPr>
            <w:r>
              <w:rPr>
                <w:rFonts w:hint="eastAsia"/>
                <w:color w:val="auto"/>
                <w:sz w:val="24"/>
              </w:rPr>
              <w:t>项目施工期产生的水污染物主要是施工废水和施工人员的生活污水。</w:t>
            </w:r>
          </w:p>
          <w:p>
            <w:pPr>
              <w:spacing w:line="360" w:lineRule="auto"/>
              <w:ind w:firstLine="420" w:firstLineChars="175"/>
              <w:rPr>
                <w:rFonts w:hint="eastAsia"/>
                <w:color w:val="auto"/>
                <w:sz w:val="24"/>
              </w:rPr>
            </w:pPr>
            <w:r>
              <w:rPr>
                <w:rFonts w:hint="eastAsia"/>
                <w:color w:val="auto"/>
                <w:sz w:val="24"/>
                <w:lang w:eastAsia="zh-CN"/>
              </w:rPr>
              <w:t>（</w:t>
            </w:r>
            <w:r>
              <w:rPr>
                <w:rFonts w:hint="eastAsia"/>
                <w:color w:val="auto"/>
                <w:sz w:val="24"/>
                <w:lang w:val="en-US" w:eastAsia="zh-CN"/>
              </w:rPr>
              <w:t>1）</w:t>
            </w:r>
            <w:r>
              <w:rPr>
                <w:rFonts w:hint="eastAsia"/>
                <w:color w:val="auto"/>
                <w:sz w:val="24"/>
              </w:rPr>
              <w:t>施工废水</w:t>
            </w:r>
          </w:p>
          <w:p>
            <w:pPr>
              <w:spacing w:line="360" w:lineRule="auto"/>
              <w:ind w:firstLine="420" w:firstLineChars="175"/>
              <w:rPr>
                <w:color w:val="auto"/>
                <w:sz w:val="24"/>
              </w:rPr>
            </w:pPr>
            <w:r>
              <w:rPr>
                <w:color w:val="auto"/>
                <w:sz w:val="24"/>
              </w:rPr>
              <w:t>施工期间进行砂、石</w:t>
            </w:r>
            <w:r>
              <w:rPr>
                <w:rFonts w:hint="eastAsia"/>
                <w:color w:val="auto"/>
                <w:sz w:val="24"/>
                <w:lang w:eastAsia="zh-CN"/>
              </w:rPr>
              <w:t>、</w:t>
            </w:r>
            <w:r>
              <w:rPr>
                <w:rFonts w:hint="eastAsia"/>
                <w:color w:val="auto"/>
                <w:sz w:val="24"/>
                <w:lang w:val="en-US" w:eastAsia="zh-CN"/>
              </w:rPr>
              <w:t>车辆</w:t>
            </w:r>
            <w:r>
              <w:rPr>
                <w:color w:val="auto"/>
                <w:sz w:val="24"/>
              </w:rPr>
              <w:t>冲洗和浇注混凝土等作业过程中将有施工废水产生，</w:t>
            </w:r>
            <w:r>
              <w:rPr>
                <w:rFonts w:hint="eastAsia"/>
                <w:color w:val="auto"/>
                <w:sz w:val="24"/>
                <w:lang w:val="en-US" w:eastAsia="zh-CN"/>
              </w:rPr>
              <w:t>环评要求</w:t>
            </w:r>
            <w:r>
              <w:rPr>
                <w:color w:val="auto"/>
                <w:sz w:val="24"/>
              </w:rPr>
              <w:t>施工现场修建废水沉淀池，施工废水经沉淀处理后，</w:t>
            </w:r>
            <w:r>
              <w:rPr>
                <w:rFonts w:hint="eastAsia"/>
                <w:color w:val="auto"/>
                <w:sz w:val="24"/>
                <w:lang w:val="en-US" w:eastAsia="zh-CN"/>
              </w:rPr>
              <w:t>回用于</w:t>
            </w:r>
            <w:r>
              <w:rPr>
                <w:color w:val="auto"/>
                <w:sz w:val="24"/>
              </w:rPr>
              <w:t>场地抑尘喷洒用水。</w:t>
            </w:r>
          </w:p>
          <w:p>
            <w:pPr>
              <w:spacing w:line="360" w:lineRule="auto"/>
              <w:ind w:firstLine="420" w:firstLineChars="175"/>
              <w:rPr>
                <w:rFonts w:hint="eastAsia"/>
                <w:color w:val="auto"/>
                <w:sz w:val="24"/>
              </w:rPr>
            </w:pPr>
            <w:r>
              <w:rPr>
                <w:rFonts w:hint="eastAsia"/>
                <w:color w:val="auto"/>
                <w:sz w:val="24"/>
                <w:lang w:eastAsia="zh-CN"/>
              </w:rPr>
              <w:t>（</w:t>
            </w:r>
            <w:r>
              <w:rPr>
                <w:rFonts w:hint="eastAsia"/>
                <w:color w:val="auto"/>
                <w:sz w:val="24"/>
                <w:lang w:val="en-US" w:eastAsia="zh-CN"/>
              </w:rPr>
              <w:t>2）</w:t>
            </w:r>
            <w:r>
              <w:rPr>
                <w:rFonts w:hint="eastAsia"/>
                <w:color w:val="auto"/>
                <w:sz w:val="24"/>
              </w:rPr>
              <w:t>施工人员生活污水</w:t>
            </w:r>
          </w:p>
          <w:p>
            <w:pPr>
              <w:spacing w:line="360" w:lineRule="auto"/>
              <w:ind w:firstLine="420" w:firstLineChars="175"/>
              <w:rPr>
                <w:rFonts w:hint="eastAsia"/>
                <w:color w:val="auto"/>
                <w:sz w:val="24"/>
              </w:rPr>
            </w:pPr>
            <w:r>
              <w:rPr>
                <w:rFonts w:hint="eastAsia"/>
                <w:color w:val="auto"/>
                <w:sz w:val="24"/>
              </w:rPr>
              <w:t>施工场地禁止使用旱厕，评价建议设置移动式环保厕所，新建</w:t>
            </w:r>
            <w:r>
              <w:rPr>
                <w:rFonts w:hint="eastAsia"/>
                <w:color w:val="auto"/>
                <w:sz w:val="24"/>
                <w:lang w:val="en-US" w:eastAsia="zh-CN"/>
              </w:rPr>
              <w:t>2</w:t>
            </w:r>
            <w:r>
              <w:rPr>
                <w:rFonts w:hint="eastAsia"/>
                <w:color w:val="auto"/>
                <w:sz w:val="24"/>
              </w:rPr>
              <w:t>处化粪池处理生活污水，施工期生活污水</w:t>
            </w:r>
            <w:r>
              <w:rPr>
                <w:rFonts w:hint="eastAsia"/>
                <w:color w:val="auto"/>
                <w:sz w:val="24"/>
                <w:lang w:val="en-US" w:eastAsia="zh-CN"/>
              </w:rPr>
              <w:t>经化粪池处理，化粪池污泥</w:t>
            </w:r>
            <w:r>
              <w:rPr>
                <w:rFonts w:hint="eastAsia"/>
                <w:color w:val="auto"/>
                <w:sz w:val="24"/>
              </w:rPr>
              <w:t>由</w:t>
            </w:r>
            <w:r>
              <w:rPr>
                <w:rFonts w:hint="eastAsia"/>
                <w:color w:val="auto"/>
                <w:sz w:val="24"/>
                <w:lang w:val="en-US" w:eastAsia="zh-CN"/>
              </w:rPr>
              <w:t>清掏公司</w:t>
            </w:r>
            <w:r>
              <w:rPr>
                <w:rFonts w:hint="eastAsia"/>
                <w:color w:val="auto"/>
                <w:sz w:val="24"/>
              </w:rPr>
              <w:t>定期清理</w:t>
            </w:r>
            <w:r>
              <w:rPr>
                <w:rFonts w:hint="eastAsia"/>
                <w:color w:val="auto"/>
                <w:sz w:val="24"/>
                <w:lang w:val="en-US" w:eastAsia="zh-CN"/>
              </w:rPr>
              <w:t>。</w:t>
            </w:r>
          </w:p>
          <w:p>
            <w:pPr>
              <w:spacing w:line="360" w:lineRule="auto"/>
              <w:ind w:firstLine="420" w:firstLineChars="175"/>
              <w:rPr>
                <w:rFonts w:hint="eastAsia"/>
                <w:color w:val="auto"/>
                <w:sz w:val="24"/>
              </w:rPr>
            </w:pPr>
            <w:r>
              <w:rPr>
                <w:rFonts w:hint="eastAsia"/>
                <w:color w:val="auto"/>
                <w:sz w:val="24"/>
              </w:rPr>
              <w:t>采取以上措施后，本项目施工期废水对周围地表水环境影响很小。</w:t>
            </w:r>
          </w:p>
          <w:p>
            <w:pPr>
              <w:spacing w:line="360" w:lineRule="auto"/>
              <w:ind w:firstLine="422" w:firstLineChars="175"/>
              <w:rPr>
                <w:rFonts w:hint="eastAsia"/>
                <w:b/>
                <w:bCs/>
                <w:color w:val="auto"/>
                <w:sz w:val="24"/>
              </w:rPr>
            </w:pPr>
            <w:r>
              <w:rPr>
                <w:rFonts w:hint="eastAsia"/>
                <w:b/>
                <w:bCs/>
                <w:color w:val="auto"/>
                <w:sz w:val="24"/>
              </w:rPr>
              <w:t>3、噪声</w:t>
            </w:r>
            <w:r>
              <w:rPr>
                <w:rFonts w:hint="eastAsia"/>
                <w:b/>
                <w:bCs/>
                <w:color w:val="auto"/>
                <w:sz w:val="24"/>
                <w:lang w:val="en-US" w:eastAsia="zh-CN"/>
              </w:rPr>
              <w:t>防治措施</w:t>
            </w:r>
          </w:p>
          <w:p>
            <w:pPr>
              <w:spacing w:line="360" w:lineRule="auto"/>
              <w:ind w:firstLine="420" w:firstLineChars="175"/>
              <w:rPr>
                <w:rFonts w:hint="eastAsia"/>
                <w:color w:val="auto"/>
                <w:sz w:val="24"/>
                <w:lang w:val="en-US" w:eastAsia="zh-CN"/>
              </w:rPr>
            </w:pPr>
            <w:r>
              <w:rPr>
                <w:rFonts w:hint="eastAsia"/>
                <w:color w:val="auto"/>
                <w:sz w:val="24"/>
                <w:lang w:val="en-US" w:eastAsia="zh-CN"/>
              </w:rPr>
              <w:t>采取的噪声防治措施如下：</w:t>
            </w:r>
          </w:p>
          <w:p>
            <w:pPr>
              <w:spacing w:line="360" w:lineRule="auto"/>
              <w:ind w:firstLine="420" w:firstLineChars="175"/>
              <w:rPr>
                <w:rFonts w:hint="eastAsia"/>
                <w:color w:val="auto"/>
                <w:sz w:val="24"/>
                <w:lang w:val="en-US" w:eastAsia="zh-CN"/>
              </w:rPr>
            </w:pPr>
            <w:r>
              <w:rPr>
                <w:rFonts w:hint="eastAsia"/>
                <w:color w:val="auto"/>
                <w:sz w:val="24"/>
              </w:rPr>
              <w:t>①尽量采用低噪声设备，如以液压机械代替燃油机械</w:t>
            </w:r>
            <w:r>
              <w:rPr>
                <w:rFonts w:hint="eastAsia"/>
                <w:color w:val="auto"/>
                <w:sz w:val="24"/>
                <w:lang w:val="en-US" w:eastAsia="zh-CN"/>
              </w:rPr>
              <w:t>等；</w:t>
            </w:r>
          </w:p>
          <w:p>
            <w:pPr>
              <w:spacing w:line="360" w:lineRule="auto"/>
              <w:ind w:firstLine="420" w:firstLineChars="175"/>
              <w:rPr>
                <w:rFonts w:hint="eastAsia"/>
                <w:color w:val="auto"/>
                <w:sz w:val="24"/>
              </w:rPr>
            </w:pPr>
            <w:r>
              <w:rPr>
                <w:rFonts w:hint="eastAsia"/>
                <w:color w:val="auto"/>
                <w:sz w:val="24"/>
              </w:rPr>
              <w:t>②可固定的机械设备如发电机、空压机等安置在施工场地临时房间内，房屋内设吸声材料，降低噪声；</w:t>
            </w:r>
          </w:p>
          <w:p>
            <w:pPr>
              <w:spacing w:line="360" w:lineRule="auto"/>
              <w:ind w:firstLine="420" w:firstLineChars="175"/>
              <w:rPr>
                <w:rFonts w:hint="eastAsia"/>
                <w:color w:val="auto"/>
                <w:sz w:val="24"/>
                <w:lang w:eastAsia="zh-CN"/>
              </w:rPr>
            </w:pPr>
            <w:r>
              <w:rPr>
                <w:rFonts w:hint="eastAsia"/>
                <w:color w:val="auto"/>
                <w:sz w:val="24"/>
              </w:rPr>
              <w:t>③动力机械设备进行定期的维修、养护，以保证其在正常工况下工作</w:t>
            </w:r>
            <w:r>
              <w:rPr>
                <w:rFonts w:hint="eastAsia"/>
                <w:color w:val="auto"/>
                <w:sz w:val="24"/>
                <w:lang w:eastAsia="zh-CN"/>
              </w:rPr>
              <w:t>；</w:t>
            </w:r>
          </w:p>
          <w:p>
            <w:pPr>
              <w:spacing w:line="360" w:lineRule="auto"/>
              <w:ind w:firstLine="420" w:firstLineChars="175"/>
              <w:rPr>
                <w:rFonts w:hint="eastAsia"/>
                <w:color w:val="auto"/>
                <w:sz w:val="24"/>
              </w:rPr>
            </w:pPr>
            <w:r>
              <w:rPr>
                <w:rFonts w:hint="eastAsia"/>
                <w:color w:val="auto"/>
                <w:sz w:val="24"/>
              </w:rPr>
              <w:t>④合理制定施工计划，严格控制和管理</w:t>
            </w:r>
            <w:r>
              <w:rPr>
                <w:rFonts w:hint="eastAsia"/>
                <w:color w:val="auto"/>
                <w:sz w:val="24"/>
                <w:lang w:val="en-US" w:eastAsia="zh-CN"/>
              </w:rPr>
              <w:t>了</w:t>
            </w:r>
            <w:r>
              <w:rPr>
                <w:rFonts w:hint="eastAsia"/>
                <w:color w:val="auto"/>
                <w:sz w:val="24"/>
              </w:rPr>
              <w:t>产生噪声的设备使用时间，尽可能</w:t>
            </w:r>
            <w:r>
              <w:rPr>
                <w:rFonts w:hint="eastAsia"/>
                <w:color w:val="auto"/>
                <w:sz w:val="24"/>
                <w:lang w:val="en-US" w:eastAsia="zh-CN"/>
              </w:rPr>
              <w:t>的</w:t>
            </w:r>
            <w:r>
              <w:rPr>
                <w:rFonts w:hint="eastAsia"/>
                <w:color w:val="auto"/>
                <w:sz w:val="24"/>
              </w:rPr>
              <w:t>避免在同一区段安排大量强噪声设备同时施工；</w:t>
            </w:r>
          </w:p>
          <w:p>
            <w:pPr>
              <w:spacing w:line="360" w:lineRule="auto"/>
              <w:ind w:firstLine="420" w:firstLineChars="175"/>
              <w:rPr>
                <w:rFonts w:hint="eastAsia"/>
                <w:color w:val="auto"/>
                <w:sz w:val="24"/>
              </w:rPr>
            </w:pPr>
            <w:r>
              <w:rPr>
                <w:rFonts w:hint="eastAsia"/>
                <w:color w:val="auto"/>
                <w:sz w:val="24"/>
              </w:rPr>
              <w:t>⑤噪声污染严重的建筑施工机械设备，安装隔声、消声设施</w:t>
            </w:r>
            <w:r>
              <w:rPr>
                <w:rFonts w:hint="eastAsia"/>
                <w:color w:val="auto"/>
                <w:sz w:val="24"/>
                <w:lang w:eastAsia="zh-CN"/>
              </w:rPr>
              <w:t>；</w:t>
            </w:r>
          </w:p>
          <w:p>
            <w:pPr>
              <w:spacing w:line="360" w:lineRule="auto"/>
              <w:ind w:firstLine="420" w:firstLineChars="175"/>
              <w:rPr>
                <w:rFonts w:hint="eastAsia"/>
                <w:color w:val="auto"/>
                <w:sz w:val="24"/>
              </w:rPr>
            </w:pPr>
            <w:r>
              <w:rPr>
                <w:rFonts w:hint="eastAsia"/>
                <w:color w:val="auto"/>
                <w:sz w:val="24"/>
              </w:rPr>
              <w:t>⑥施工期间大型重车，减少夜间运输量，限制大型载重车辆的车速，减少或杜绝</w:t>
            </w:r>
            <w:r>
              <w:rPr>
                <w:rFonts w:hint="eastAsia"/>
                <w:color w:val="auto"/>
                <w:sz w:val="24"/>
                <w:lang w:val="en-US" w:eastAsia="zh-CN"/>
              </w:rPr>
              <w:t>了</w:t>
            </w:r>
            <w:r>
              <w:rPr>
                <w:rFonts w:hint="eastAsia"/>
                <w:color w:val="auto"/>
                <w:sz w:val="24"/>
              </w:rPr>
              <w:t>鸣笛</w:t>
            </w:r>
            <w:r>
              <w:rPr>
                <w:rFonts w:hint="eastAsia"/>
                <w:color w:val="auto"/>
                <w:sz w:val="24"/>
                <w:lang w:eastAsia="zh-CN"/>
              </w:rPr>
              <w:t>；</w:t>
            </w:r>
          </w:p>
          <w:p>
            <w:pPr>
              <w:spacing w:line="360" w:lineRule="auto"/>
              <w:ind w:firstLine="420" w:firstLineChars="175"/>
              <w:rPr>
                <w:rFonts w:hint="eastAsia"/>
                <w:color w:val="auto"/>
                <w:sz w:val="24"/>
              </w:rPr>
            </w:pPr>
            <w:r>
              <w:rPr>
                <w:rFonts w:hint="eastAsia"/>
                <w:color w:val="auto"/>
                <w:sz w:val="24"/>
              </w:rPr>
              <w:fldChar w:fldCharType="begin"/>
            </w:r>
            <w:r>
              <w:rPr>
                <w:rFonts w:hint="eastAsia"/>
                <w:color w:val="auto"/>
                <w:sz w:val="24"/>
              </w:rPr>
              <w:instrText xml:space="preserve"> = 7 \* GB3 \* MERGEFORMAT </w:instrText>
            </w:r>
            <w:r>
              <w:rPr>
                <w:rFonts w:hint="eastAsia"/>
                <w:color w:val="auto"/>
                <w:sz w:val="24"/>
              </w:rPr>
              <w:fldChar w:fldCharType="separate"/>
            </w:r>
            <w:r>
              <w:rPr>
                <w:rFonts w:hint="eastAsia"/>
                <w:color w:val="auto"/>
                <w:sz w:val="24"/>
              </w:rPr>
              <w:t>⑦</w:t>
            </w:r>
            <w:r>
              <w:rPr>
                <w:rFonts w:hint="eastAsia"/>
                <w:color w:val="auto"/>
                <w:sz w:val="24"/>
              </w:rPr>
              <w:fldChar w:fldCharType="end"/>
            </w:r>
            <w:r>
              <w:rPr>
                <w:rFonts w:hint="eastAsia"/>
                <w:color w:val="auto"/>
                <w:sz w:val="24"/>
              </w:rPr>
              <w:t>施工单位在施工前</w:t>
            </w:r>
            <w:r>
              <w:rPr>
                <w:rFonts w:hint="eastAsia"/>
                <w:color w:val="auto"/>
                <w:sz w:val="24"/>
                <w:lang w:val="en-US" w:eastAsia="zh-CN"/>
              </w:rPr>
              <w:t>应</w:t>
            </w:r>
            <w:r>
              <w:rPr>
                <w:rFonts w:hint="eastAsia"/>
                <w:color w:val="auto"/>
                <w:sz w:val="24"/>
              </w:rPr>
              <w:t>向环保部门申请登记。除因生产工艺上要求或者特殊要求必须连续作业外，</w:t>
            </w:r>
            <w:r>
              <w:rPr>
                <w:rFonts w:hint="eastAsia"/>
                <w:color w:val="auto"/>
                <w:sz w:val="24"/>
                <w:lang w:val="en-US" w:eastAsia="zh-CN"/>
              </w:rPr>
              <w:t>一般</w:t>
            </w:r>
            <w:r>
              <w:rPr>
                <w:rFonts w:hint="eastAsia"/>
                <w:color w:val="auto"/>
                <w:sz w:val="24"/>
              </w:rPr>
              <w:t>夜间</w:t>
            </w:r>
            <w:r>
              <w:rPr>
                <w:rFonts w:hint="eastAsia"/>
                <w:color w:val="auto"/>
                <w:sz w:val="24"/>
                <w:lang w:val="en-US" w:eastAsia="zh-CN"/>
              </w:rPr>
              <w:t>不</w:t>
            </w:r>
            <w:r>
              <w:rPr>
                <w:rFonts w:hint="eastAsia"/>
                <w:color w:val="auto"/>
                <w:sz w:val="24"/>
              </w:rPr>
              <w:t>进行产生噪声污染的建筑施工作业，因特殊要求必须连续作业的，</w:t>
            </w:r>
            <w:r>
              <w:rPr>
                <w:rFonts w:hint="eastAsia"/>
                <w:color w:val="auto"/>
                <w:sz w:val="24"/>
                <w:lang w:val="en-US" w:eastAsia="zh-CN"/>
              </w:rPr>
              <w:t>应取得</w:t>
            </w:r>
            <w:r>
              <w:rPr>
                <w:rFonts w:hint="eastAsia"/>
                <w:color w:val="auto"/>
                <w:sz w:val="24"/>
              </w:rPr>
              <w:t>环保主管部门的审批，且公告附近居民。同时，“高考、中考”前10日内及考试期间等特殊期间，禁止夜间施工作业</w:t>
            </w:r>
            <w:r>
              <w:rPr>
                <w:rFonts w:hint="eastAsia"/>
                <w:color w:val="auto"/>
                <w:sz w:val="24"/>
                <w:lang w:eastAsia="zh-CN"/>
              </w:rPr>
              <w:t>。</w:t>
            </w:r>
          </w:p>
          <w:p>
            <w:pPr>
              <w:spacing w:line="360" w:lineRule="auto"/>
              <w:ind w:firstLine="420" w:firstLineChars="175"/>
              <w:rPr>
                <w:rFonts w:hint="eastAsia"/>
                <w:color w:val="auto"/>
                <w:sz w:val="24"/>
              </w:rPr>
            </w:pPr>
            <w:r>
              <w:rPr>
                <w:rFonts w:hint="eastAsia"/>
                <w:color w:val="auto"/>
                <w:sz w:val="24"/>
              </w:rPr>
              <w:t>采取以上防噪措施后，施工期噪声与振动可减轻对周围敏感点造成影响。</w:t>
            </w:r>
          </w:p>
          <w:p>
            <w:pPr>
              <w:adjustRightInd w:val="0"/>
              <w:snapToGrid w:val="0"/>
              <w:spacing w:line="360" w:lineRule="auto"/>
              <w:ind w:firstLine="442" w:firstLineChars="200"/>
              <w:rPr>
                <w:b/>
                <w:color w:val="auto"/>
                <w:spacing w:val="-10"/>
                <w:sz w:val="24"/>
              </w:rPr>
            </w:pPr>
            <w:r>
              <w:rPr>
                <w:b/>
                <w:color w:val="auto"/>
                <w:spacing w:val="-10"/>
                <w:sz w:val="24"/>
              </w:rPr>
              <w:t>4、固体废物</w:t>
            </w:r>
            <w:r>
              <w:rPr>
                <w:rFonts w:hint="eastAsia"/>
                <w:b/>
                <w:color w:val="auto"/>
                <w:spacing w:val="-10"/>
                <w:sz w:val="24"/>
                <w:lang w:val="en-US" w:eastAsia="zh-CN"/>
              </w:rPr>
              <w:t>防治措施</w:t>
            </w:r>
          </w:p>
          <w:p>
            <w:pPr>
              <w:spacing w:line="360" w:lineRule="auto"/>
              <w:ind w:firstLine="420" w:firstLineChars="175"/>
              <w:rPr>
                <w:rFonts w:hint="eastAsia"/>
                <w:color w:val="auto"/>
                <w:sz w:val="24"/>
              </w:rPr>
            </w:pPr>
            <w:r>
              <w:rPr>
                <w:rFonts w:hint="eastAsia"/>
                <w:color w:val="auto"/>
                <w:sz w:val="24"/>
              </w:rPr>
              <w:t>施工期产生固体废物主要是施工工人的生活垃圾、建筑垃圾及施工过程中产生的土石方。</w:t>
            </w:r>
          </w:p>
          <w:p>
            <w:pPr>
              <w:spacing w:line="360" w:lineRule="auto"/>
              <w:ind w:firstLine="420" w:firstLineChars="175"/>
              <w:rPr>
                <w:rFonts w:hint="eastAsia"/>
                <w:color w:val="auto"/>
                <w:sz w:val="24"/>
              </w:rPr>
            </w:pPr>
            <w:r>
              <w:rPr>
                <w:rFonts w:hint="eastAsia"/>
                <w:color w:val="auto"/>
                <w:sz w:val="24"/>
              </w:rPr>
              <w:t>（1）生活垃圾</w:t>
            </w:r>
          </w:p>
          <w:p>
            <w:pPr>
              <w:spacing w:line="360" w:lineRule="auto"/>
              <w:ind w:firstLine="420" w:firstLineChars="175"/>
              <w:rPr>
                <w:rFonts w:hint="eastAsia"/>
                <w:color w:val="auto"/>
                <w:sz w:val="24"/>
              </w:rPr>
            </w:pPr>
            <w:r>
              <w:rPr>
                <w:rFonts w:hint="eastAsia"/>
                <w:color w:val="auto"/>
                <w:sz w:val="24"/>
                <w:lang w:val="en-US" w:eastAsia="zh-CN"/>
              </w:rPr>
              <w:t>施工人员</w:t>
            </w:r>
            <w:r>
              <w:rPr>
                <w:rFonts w:hint="eastAsia"/>
                <w:color w:val="auto"/>
                <w:sz w:val="24"/>
              </w:rPr>
              <w:t>生活垃圾</w:t>
            </w:r>
            <w:r>
              <w:rPr>
                <w:rFonts w:hint="eastAsia"/>
                <w:color w:val="auto"/>
                <w:sz w:val="24"/>
                <w:lang w:val="en-US" w:eastAsia="zh-CN"/>
              </w:rPr>
              <w:t>应设垃圾桶分类收集</w:t>
            </w:r>
            <w:r>
              <w:rPr>
                <w:rFonts w:hint="eastAsia"/>
                <w:color w:val="auto"/>
                <w:sz w:val="24"/>
              </w:rPr>
              <w:t>，由环卫部门定期集中收集处理。</w:t>
            </w:r>
          </w:p>
          <w:p>
            <w:pPr>
              <w:spacing w:line="360" w:lineRule="auto"/>
              <w:ind w:firstLine="420" w:firstLineChars="175"/>
              <w:rPr>
                <w:rFonts w:hint="eastAsia"/>
                <w:color w:val="auto"/>
                <w:sz w:val="24"/>
              </w:rPr>
            </w:pPr>
            <w:r>
              <w:rPr>
                <w:rFonts w:hint="eastAsia"/>
                <w:color w:val="auto"/>
                <w:sz w:val="24"/>
              </w:rPr>
              <w:t>（2）建筑垃圾</w:t>
            </w:r>
          </w:p>
          <w:p>
            <w:pPr>
              <w:spacing w:line="360" w:lineRule="auto"/>
              <w:ind w:firstLine="420" w:firstLineChars="175"/>
              <w:rPr>
                <w:rFonts w:hint="eastAsia"/>
                <w:color w:val="auto"/>
                <w:sz w:val="24"/>
              </w:rPr>
            </w:pPr>
            <w:r>
              <w:rPr>
                <w:rFonts w:hint="eastAsia"/>
                <w:color w:val="auto"/>
                <w:sz w:val="24"/>
              </w:rPr>
              <w:t>施工期建筑垃圾主要包括混凝土砂石、废砖断瓦、废玻璃、废木块、废水泥浇筑体等。</w:t>
            </w:r>
            <w:r>
              <w:rPr>
                <w:rFonts w:hint="eastAsia"/>
                <w:color w:val="auto"/>
                <w:sz w:val="24"/>
                <w:lang w:val="en-US" w:eastAsia="zh-CN"/>
              </w:rPr>
              <w:t>产生的</w:t>
            </w:r>
            <w:r>
              <w:rPr>
                <w:rFonts w:hint="eastAsia"/>
                <w:color w:val="auto"/>
                <w:sz w:val="24"/>
              </w:rPr>
              <w:t>建筑垃圾</w:t>
            </w:r>
            <w:r>
              <w:rPr>
                <w:rFonts w:hint="eastAsia"/>
                <w:color w:val="auto"/>
                <w:sz w:val="24"/>
                <w:lang w:val="en-US" w:eastAsia="zh-CN"/>
              </w:rPr>
              <w:t>应</w:t>
            </w:r>
            <w:r>
              <w:rPr>
                <w:rFonts w:hint="eastAsia"/>
                <w:color w:val="auto"/>
                <w:sz w:val="24"/>
              </w:rPr>
              <w:t>由具有相应资质的建筑垃圾清运部门运输车运送到指定的建筑垃圾专用处置场，不得随意堆放、抛弃，避免对周围环境造成不利影响；在运输过程中还应做好卫生防护工作，加盖篷布</w:t>
            </w:r>
            <w:r>
              <w:rPr>
                <w:rFonts w:hint="eastAsia"/>
                <w:color w:val="auto"/>
                <w:sz w:val="24"/>
                <w:lang w:eastAsia="zh-CN"/>
              </w:rPr>
              <w:t>，</w:t>
            </w:r>
            <w:r>
              <w:rPr>
                <w:rFonts w:hint="eastAsia"/>
                <w:color w:val="auto"/>
                <w:sz w:val="24"/>
              </w:rPr>
              <w:t>避免产生扬尘或洒落废料。</w:t>
            </w:r>
          </w:p>
          <w:p>
            <w:pPr>
              <w:spacing w:line="360" w:lineRule="auto"/>
              <w:ind w:firstLine="420" w:firstLineChars="175"/>
              <w:rPr>
                <w:rFonts w:hint="eastAsia"/>
                <w:color w:val="auto"/>
                <w:sz w:val="24"/>
                <w:lang w:val="en-US" w:eastAsia="zh-CN"/>
              </w:rPr>
            </w:pPr>
            <w:r>
              <w:rPr>
                <w:rFonts w:hint="eastAsia"/>
                <w:color w:val="auto"/>
                <w:sz w:val="24"/>
                <w:lang w:val="en-US" w:eastAsia="zh-CN"/>
              </w:rPr>
              <w:t>项目施工机械产生的废机油、装修期使用的涂料桶属于危险废物，环评要求施工单位应在施工营地内设置危废暂存间，将危险废物单独收集、分类存放，再委托有危废处理资质的单位收集处理。</w:t>
            </w:r>
          </w:p>
          <w:p>
            <w:pPr>
              <w:spacing w:line="360" w:lineRule="auto"/>
              <w:ind w:firstLine="420" w:firstLineChars="175"/>
              <w:rPr>
                <w:rFonts w:hint="eastAsia"/>
                <w:color w:val="auto"/>
                <w:sz w:val="24"/>
              </w:rPr>
            </w:pPr>
            <w:r>
              <w:rPr>
                <w:rFonts w:hint="eastAsia"/>
                <w:color w:val="auto"/>
                <w:sz w:val="24"/>
              </w:rPr>
              <w:t>（3）项目土石方平衡</w:t>
            </w:r>
          </w:p>
          <w:p>
            <w:pPr>
              <w:spacing w:line="360" w:lineRule="auto"/>
              <w:ind w:firstLine="420" w:firstLineChars="175"/>
              <w:rPr>
                <w:rFonts w:ascii="宋体" w:hAnsi="宋体" w:cs="宋体"/>
                <w:bCs/>
                <w:color w:val="auto"/>
                <w:spacing w:val="10"/>
                <w:sz w:val="24"/>
              </w:rPr>
            </w:pPr>
            <w:r>
              <w:rPr>
                <w:rFonts w:hint="eastAsia"/>
                <w:color w:val="auto"/>
                <w:sz w:val="24"/>
              </w:rPr>
              <w:t>本项目挖填土石方主要产生于给排水</w:t>
            </w:r>
            <w:r>
              <w:rPr>
                <w:rFonts w:hint="eastAsia"/>
                <w:color w:val="auto"/>
                <w:sz w:val="24"/>
                <w:lang w:eastAsia="zh-CN"/>
              </w:rPr>
              <w:t>、</w:t>
            </w:r>
            <w:r>
              <w:rPr>
                <w:rFonts w:hint="eastAsia"/>
                <w:color w:val="auto"/>
                <w:sz w:val="24"/>
              </w:rPr>
              <w:t>电气管网及各单体</w:t>
            </w:r>
            <w:r>
              <w:rPr>
                <w:rFonts w:hint="eastAsia"/>
                <w:color w:val="auto"/>
                <w:sz w:val="24"/>
                <w:lang w:val="en-US" w:eastAsia="zh-CN"/>
              </w:rPr>
              <w:t>地下</w:t>
            </w:r>
            <w:r>
              <w:rPr>
                <w:rFonts w:hint="eastAsia"/>
                <w:color w:val="auto"/>
                <w:sz w:val="24"/>
              </w:rPr>
              <w:t>构筑物建设过程中。</w:t>
            </w:r>
            <w:r>
              <w:rPr>
                <w:rFonts w:hint="eastAsia"/>
                <w:color w:val="auto"/>
                <w:sz w:val="24"/>
                <w:lang w:val="en-US" w:eastAsia="zh-CN"/>
              </w:rPr>
              <w:t>由于项目区地势相对不平整，因此，根据建设方设计资料提供，土石方阶段产生的挖方除少量表土外，剩余可全部用于</w:t>
            </w:r>
            <w:r>
              <w:rPr>
                <w:rFonts w:hint="eastAsia"/>
                <w:color w:val="auto"/>
                <w:sz w:val="24"/>
              </w:rPr>
              <w:t>地面平整，地基回填等</w:t>
            </w:r>
            <w:r>
              <w:rPr>
                <w:rFonts w:hint="eastAsia"/>
                <w:color w:val="auto"/>
                <w:sz w:val="24"/>
                <w:lang w:eastAsia="zh-CN"/>
              </w:rPr>
              <w:t>，</w:t>
            </w:r>
            <w:r>
              <w:rPr>
                <w:rFonts w:hint="eastAsia"/>
                <w:color w:val="auto"/>
                <w:sz w:val="24"/>
                <w:lang w:val="en-US" w:eastAsia="zh-CN"/>
              </w:rPr>
              <w:t>上层少量表土临时堆存于园区内，且进行表面覆盖，用于后期绿化用土。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jc w:val="center"/>
        </w:trPr>
        <w:tc>
          <w:tcPr>
            <w:tcW w:w="677" w:type="dxa"/>
            <w:tcMar>
              <w:left w:w="28" w:type="dxa"/>
              <w:right w:w="28" w:type="dxa"/>
            </w:tcMar>
            <w:vAlign w:val="center"/>
          </w:tcPr>
          <w:p>
            <w:pPr>
              <w:adjustRightInd w:val="0"/>
              <w:snapToGrid w:val="0"/>
              <w:jc w:val="center"/>
              <w:rPr>
                <w:rFonts w:ascii="宋体" w:hAnsi="宋体" w:cs="宋体"/>
                <w:bCs/>
                <w:color w:val="auto"/>
                <w:spacing w:val="10"/>
                <w:sz w:val="24"/>
              </w:rPr>
            </w:pPr>
            <w:r>
              <w:rPr>
                <w:rFonts w:hint="eastAsia" w:ascii="宋体" w:hAnsi="宋体" w:cs="宋体"/>
                <w:bCs/>
                <w:color w:val="auto"/>
                <w:spacing w:val="10"/>
                <w:sz w:val="24"/>
              </w:rPr>
              <w:t>运营期生态环境保护措施</w:t>
            </w:r>
          </w:p>
        </w:tc>
        <w:tc>
          <w:tcPr>
            <w:tcW w:w="8533" w:type="dxa"/>
          </w:tcPr>
          <w:p>
            <w:pPr>
              <w:adjustRightInd w:val="0"/>
              <w:snapToGrid w:val="0"/>
              <w:spacing w:line="360" w:lineRule="auto"/>
              <w:ind w:firstLine="482" w:firstLineChars="200"/>
              <w:jc w:val="left"/>
              <w:rPr>
                <w:b/>
                <w:bCs/>
                <w:color w:val="auto"/>
                <w:kern w:val="0"/>
                <w:sz w:val="24"/>
              </w:rPr>
            </w:pPr>
            <w:r>
              <w:rPr>
                <w:rFonts w:hint="eastAsia"/>
                <w:b/>
                <w:bCs/>
                <w:color w:val="auto"/>
                <w:kern w:val="0"/>
                <w:sz w:val="24"/>
                <w:lang w:val="en-US" w:eastAsia="zh-CN"/>
              </w:rPr>
              <w:t>一、</w:t>
            </w:r>
            <w:r>
              <w:rPr>
                <w:rFonts w:hint="eastAsia"/>
                <w:b/>
                <w:bCs/>
                <w:color w:val="auto"/>
                <w:kern w:val="0"/>
                <w:sz w:val="24"/>
              </w:rPr>
              <w:t>生态环境保护措施</w:t>
            </w:r>
          </w:p>
          <w:p>
            <w:pPr>
              <w:spacing w:line="360" w:lineRule="auto"/>
              <w:ind w:firstLine="480" w:firstLineChars="200"/>
              <w:rPr>
                <w:rFonts w:hint="eastAsia"/>
                <w:color w:val="auto"/>
                <w:sz w:val="24"/>
              </w:rPr>
            </w:pPr>
            <w:r>
              <w:rPr>
                <w:rFonts w:hint="eastAsia"/>
                <w:color w:val="auto"/>
                <w:sz w:val="24"/>
              </w:rPr>
              <w:t>（1）生态环境影响减缓措施与建议</w:t>
            </w:r>
          </w:p>
          <w:p>
            <w:pPr>
              <w:spacing w:line="360" w:lineRule="auto"/>
              <w:ind w:firstLine="480" w:firstLineChars="200"/>
              <w:rPr>
                <w:rFonts w:hint="eastAsia"/>
                <w:color w:val="auto"/>
                <w:sz w:val="24"/>
              </w:rPr>
            </w:pPr>
            <w:r>
              <w:rPr>
                <w:rFonts w:hint="eastAsia"/>
                <w:color w:val="auto"/>
                <w:sz w:val="24"/>
              </w:rPr>
              <w:t>项目建设造成的植被破坏通过种植树木等绿化措施进行切实可行的补偿措施后，是园区的绿化覆盖率达到相关规划要求，且增加了植被的观赏性，局部生态环境不会发生大的变化。项目建成后</w:t>
            </w:r>
            <w:r>
              <w:rPr>
                <w:rFonts w:hint="eastAsia"/>
                <w:color w:val="auto"/>
                <w:sz w:val="24"/>
                <w:lang w:val="en-US" w:eastAsia="zh-CN"/>
              </w:rPr>
              <w:t>园区</w:t>
            </w:r>
            <w:r>
              <w:rPr>
                <w:rFonts w:hint="eastAsia"/>
                <w:color w:val="auto"/>
                <w:sz w:val="24"/>
              </w:rPr>
              <w:t>总的绿化面积为24.96万m</w:t>
            </w:r>
            <w:r>
              <w:rPr>
                <w:rFonts w:hint="eastAsia"/>
                <w:color w:val="auto"/>
                <w:sz w:val="24"/>
                <w:vertAlign w:val="superscript"/>
              </w:rPr>
              <w:t>2</w:t>
            </w:r>
            <w:r>
              <w:rPr>
                <w:rFonts w:hint="eastAsia"/>
                <w:color w:val="auto"/>
                <w:sz w:val="24"/>
              </w:rPr>
              <w:t>，植被覆盖率达35.0%，本次评价针对生态保护提出以下建议：</w:t>
            </w:r>
          </w:p>
          <w:p>
            <w:pPr>
              <w:spacing w:line="360" w:lineRule="auto"/>
              <w:ind w:firstLine="480" w:firstLineChars="200"/>
              <w:rPr>
                <w:rFonts w:hint="eastAsia"/>
                <w:color w:val="auto"/>
                <w:sz w:val="24"/>
              </w:rPr>
            </w:pPr>
            <w:r>
              <w:rPr>
                <w:rFonts w:hint="eastAsia"/>
                <w:color w:val="auto"/>
                <w:sz w:val="24"/>
              </w:rPr>
              <w:t>①加大宣传力度，加大绿色、低碳理念的演绎和宣传，运用保护生态的观念，规范游客行为，使其履行保护义务；禁止游客对园区生态环境的破坏行为，严禁破坏树木、草坪、花坛等，设置专人负责，加强园区环境管理。</w:t>
            </w:r>
          </w:p>
          <w:p>
            <w:pPr>
              <w:spacing w:line="360" w:lineRule="auto"/>
              <w:ind w:firstLine="480" w:firstLineChars="200"/>
              <w:rPr>
                <w:rFonts w:hint="eastAsia"/>
                <w:color w:val="auto"/>
                <w:sz w:val="24"/>
              </w:rPr>
            </w:pPr>
            <w:r>
              <w:rPr>
                <w:rFonts w:hint="eastAsia"/>
                <w:color w:val="auto"/>
                <w:sz w:val="24"/>
              </w:rPr>
              <w:t>②合理设计旅游路线，对游客旅游活动范围加以合理限制，减少对植被的影响。按照旅游环境容量，控制旅游人数规模，减少对生态环境及景观资源的影响，实现可持续发展。</w:t>
            </w:r>
          </w:p>
          <w:p>
            <w:pPr>
              <w:spacing w:line="360" w:lineRule="auto"/>
              <w:ind w:firstLine="480" w:firstLineChars="200"/>
              <w:rPr>
                <w:rFonts w:hint="eastAsia"/>
                <w:color w:val="auto"/>
                <w:sz w:val="24"/>
              </w:rPr>
            </w:pPr>
            <w:r>
              <w:rPr>
                <w:rFonts w:hint="eastAsia"/>
                <w:color w:val="auto"/>
                <w:sz w:val="24"/>
              </w:rPr>
              <w:t>（2）景观资源保护措施与建议</w:t>
            </w:r>
          </w:p>
          <w:p>
            <w:pPr>
              <w:spacing w:line="360" w:lineRule="auto"/>
              <w:ind w:firstLine="480" w:firstLineChars="200"/>
              <w:rPr>
                <w:rFonts w:hint="eastAsia"/>
                <w:color w:val="auto"/>
                <w:sz w:val="24"/>
              </w:rPr>
            </w:pPr>
            <w:r>
              <w:rPr>
                <w:rFonts w:hint="eastAsia"/>
                <w:color w:val="auto"/>
                <w:sz w:val="24"/>
              </w:rPr>
              <w:t>园区内各游乐建筑单体、入口主城堡，以符合自身文化主题及游乐项目要求的形态展现，形成特有的建筑景观。配套主题园区种植植物、设置景观小品应与建筑景观相协调，力求建筑与自然环境融为一体，道路建设形成的边坡要采取绿化措施，以减少与周围环境的反差。</w:t>
            </w:r>
          </w:p>
          <w:p>
            <w:pPr>
              <w:adjustRightInd w:val="0"/>
              <w:snapToGrid w:val="0"/>
              <w:spacing w:line="360" w:lineRule="auto"/>
              <w:ind w:firstLine="522" w:firstLineChars="200"/>
              <w:rPr>
                <w:rFonts w:hint="eastAsia" w:ascii="宋体" w:hAnsi="宋体" w:eastAsia="宋体" w:cs="宋体"/>
                <w:b/>
                <w:color w:val="auto"/>
                <w:spacing w:val="10"/>
                <w:sz w:val="24"/>
                <w:lang w:val="en-US" w:eastAsia="zh-CN"/>
              </w:rPr>
            </w:pPr>
            <w:r>
              <w:rPr>
                <w:rFonts w:hint="eastAsia" w:ascii="宋体" w:hAnsi="宋体" w:cs="宋体"/>
                <w:b/>
                <w:color w:val="auto"/>
                <w:spacing w:val="10"/>
                <w:sz w:val="24"/>
                <w:lang w:val="en-US" w:eastAsia="zh-CN"/>
              </w:rPr>
              <w:t>二、其它环境保护措施</w:t>
            </w:r>
          </w:p>
          <w:p>
            <w:pPr>
              <w:adjustRightInd w:val="0"/>
              <w:snapToGrid w:val="0"/>
              <w:spacing w:line="360" w:lineRule="auto"/>
              <w:ind w:firstLine="522" w:firstLineChars="200"/>
              <w:rPr>
                <w:rFonts w:ascii="宋体" w:hAnsi="宋体" w:cs="宋体"/>
                <w:b/>
                <w:color w:val="auto"/>
                <w:spacing w:val="10"/>
                <w:sz w:val="24"/>
              </w:rPr>
            </w:pPr>
            <w:r>
              <w:rPr>
                <w:rFonts w:hint="eastAsia" w:ascii="宋体" w:hAnsi="宋体" w:cs="宋体"/>
                <w:b/>
                <w:color w:val="auto"/>
                <w:spacing w:val="10"/>
                <w:sz w:val="24"/>
              </w:rPr>
              <w:t>1、大气环境保护措施</w:t>
            </w:r>
          </w:p>
          <w:p>
            <w:pPr>
              <w:spacing w:line="360" w:lineRule="auto"/>
              <w:ind w:firstLine="480" w:firstLineChars="200"/>
              <w:rPr>
                <w:color w:val="auto"/>
                <w:sz w:val="24"/>
              </w:rPr>
            </w:pPr>
            <w:r>
              <w:rPr>
                <w:rFonts w:hint="eastAsia"/>
                <w:color w:val="auto"/>
                <w:sz w:val="24"/>
              </w:rPr>
              <w:t>（</w:t>
            </w:r>
            <w:r>
              <w:rPr>
                <w:rFonts w:hint="eastAsia"/>
                <w:color w:val="auto"/>
                <w:sz w:val="24"/>
                <w:lang w:val="en-US" w:eastAsia="zh-CN"/>
              </w:rPr>
              <w:t>1</w:t>
            </w:r>
            <w:r>
              <w:rPr>
                <w:rFonts w:hint="eastAsia"/>
                <w:color w:val="auto"/>
                <w:sz w:val="24"/>
              </w:rPr>
              <w:t>）停车场废气</w:t>
            </w:r>
          </w:p>
          <w:p>
            <w:pPr>
              <w:autoSpaceDE w:val="0"/>
              <w:autoSpaceDN w:val="0"/>
              <w:adjustRightInd w:val="0"/>
              <w:spacing w:line="360" w:lineRule="auto"/>
              <w:ind w:firstLine="480" w:firstLineChars="200"/>
              <w:rPr>
                <w:color w:val="auto"/>
                <w:sz w:val="24"/>
              </w:rPr>
            </w:pPr>
            <w:r>
              <w:rPr>
                <w:bCs/>
                <w:color w:val="auto"/>
                <w:sz w:val="24"/>
              </w:rPr>
              <w:t>本项目地下停车库设置</w:t>
            </w:r>
            <w:r>
              <w:rPr>
                <w:rFonts w:hint="eastAsia"/>
                <w:bCs/>
                <w:color w:val="auto"/>
                <w:sz w:val="24"/>
                <w:lang w:val="en-US" w:eastAsia="zh-CN"/>
              </w:rPr>
              <w:t>17套</w:t>
            </w:r>
            <w:r>
              <w:rPr>
                <w:bCs/>
                <w:color w:val="auto"/>
                <w:sz w:val="24"/>
              </w:rPr>
              <w:t>机械排风系统，</w:t>
            </w:r>
            <w:r>
              <w:rPr>
                <w:rFonts w:hint="default" w:ascii="Times New Roman" w:hAnsi="Times New Roman" w:eastAsia="宋体" w:cs="Times New Roman"/>
                <w:color w:val="auto"/>
                <w:sz w:val="24"/>
                <w:szCs w:val="24"/>
              </w:rPr>
              <w:t>每台风机换气次数不小于6次/h</w:t>
            </w:r>
            <w:r>
              <w:rPr>
                <w:rFonts w:hint="eastAsia" w:ascii="Times New Roman" w:hAnsi="Times New Roman" w:eastAsia="宋体" w:cs="Times New Roman"/>
                <w:color w:val="auto"/>
                <w:sz w:val="24"/>
                <w:szCs w:val="24"/>
              </w:rPr>
              <w:t>，</w:t>
            </w:r>
            <w:r>
              <w:rPr>
                <w:bCs/>
                <w:color w:val="auto"/>
                <w:sz w:val="24"/>
              </w:rPr>
              <w:t>不使汽车尾气聚集，</w:t>
            </w:r>
            <w:r>
              <w:rPr>
                <w:rFonts w:hint="default" w:ascii="Times New Roman" w:hAnsi="Times New Roman" w:eastAsia="宋体" w:cs="Times New Roman"/>
                <w:color w:val="auto"/>
                <w:sz w:val="24"/>
                <w:szCs w:val="24"/>
              </w:rPr>
              <w:t>排风口</w:t>
            </w:r>
            <w:r>
              <w:rPr>
                <w:rFonts w:hint="eastAsia" w:ascii="Times New Roman" w:hAnsi="Times New Roman" w:eastAsia="宋体" w:cs="Times New Roman"/>
                <w:color w:val="auto"/>
                <w:sz w:val="24"/>
                <w:szCs w:val="24"/>
                <w:lang w:val="en-US" w:eastAsia="zh-CN"/>
              </w:rPr>
              <w:t>以</w:t>
            </w:r>
            <w:r>
              <w:rPr>
                <w:rFonts w:hint="eastAsia" w:ascii="Times New Roman" w:hAnsi="Times New Roman" w:eastAsia="宋体" w:cs="Times New Roman"/>
                <w:color w:val="auto"/>
                <w:sz w:val="24"/>
                <w:szCs w:val="24"/>
              </w:rPr>
              <w:t>室外百叶或室外排烟口</w:t>
            </w:r>
            <w:r>
              <w:rPr>
                <w:rFonts w:hint="eastAsia" w:ascii="Times New Roman" w:hAnsi="Times New Roman" w:eastAsia="宋体" w:cs="Times New Roman"/>
                <w:color w:val="auto"/>
                <w:sz w:val="24"/>
                <w:szCs w:val="24"/>
                <w:lang w:val="en-US" w:eastAsia="zh-CN"/>
              </w:rPr>
              <w:t>形式排放。</w:t>
            </w:r>
            <w:r>
              <w:rPr>
                <w:bCs/>
                <w:color w:val="auto"/>
                <w:sz w:val="24"/>
              </w:rPr>
              <w:t>对进出车库人员身体造成伤害。</w:t>
            </w:r>
            <w:r>
              <w:rPr>
                <w:rFonts w:hint="eastAsia"/>
                <w:bCs/>
                <w:color w:val="auto"/>
                <w:sz w:val="24"/>
                <w:lang w:val="en-US" w:eastAsia="zh-CN"/>
              </w:rPr>
              <w:t>措施可行。</w:t>
            </w:r>
          </w:p>
          <w:p>
            <w:pPr>
              <w:spacing w:line="360" w:lineRule="auto"/>
              <w:ind w:firstLine="420" w:firstLineChars="175"/>
              <w:rPr>
                <w:rFonts w:hint="eastAsia"/>
                <w:color w:val="auto"/>
                <w:sz w:val="24"/>
              </w:rPr>
            </w:pPr>
            <w:r>
              <w:rPr>
                <w:rFonts w:hint="eastAsia"/>
                <w:color w:val="auto"/>
                <w:sz w:val="24"/>
              </w:rPr>
              <w:t>（</w:t>
            </w:r>
            <w:r>
              <w:rPr>
                <w:rFonts w:hint="eastAsia"/>
                <w:color w:val="auto"/>
                <w:sz w:val="24"/>
                <w:lang w:val="en-US" w:eastAsia="zh-CN"/>
              </w:rPr>
              <w:t>2</w:t>
            </w:r>
            <w:r>
              <w:rPr>
                <w:rFonts w:hint="eastAsia"/>
                <w:color w:val="auto"/>
                <w:sz w:val="24"/>
              </w:rPr>
              <w:t>）恶臭</w:t>
            </w:r>
            <w:r>
              <w:rPr>
                <w:rFonts w:hint="eastAsia"/>
                <w:color w:val="auto"/>
                <w:sz w:val="24"/>
                <w:lang w:val="en-US" w:eastAsia="zh-CN"/>
              </w:rPr>
              <w:t>气体</w:t>
            </w:r>
          </w:p>
          <w:p>
            <w:pPr>
              <w:spacing w:line="360" w:lineRule="auto"/>
              <w:ind w:firstLine="420" w:firstLineChars="175"/>
              <w:rPr>
                <w:rFonts w:hint="eastAsia"/>
                <w:color w:val="auto"/>
                <w:sz w:val="24"/>
              </w:rPr>
            </w:pPr>
            <w:r>
              <w:rPr>
                <w:rFonts w:hint="eastAsia"/>
                <w:color w:val="auto"/>
                <w:sz w:val="24"/>
              </w:rPr>
              <w:t>①采用密闭带盖分类垃圾桶储存收集垃圾，并用塑料袋分装，垃圾分类收集后再由环卫工人</w:t>
            </w:r>
            <w:r>
              <w:rPr>
                <w:rFonts w:hint="eastAsia"/>
                <w:color w:val="auto"/>
                <w:sz w:val="24"/>
                <w:lang w:val="en-US" w:eastAsia="zh-CN"/>
              </w:rPr>
              <w:t>统一</w:t>
            </w:r>
            <w:r>
              <w:rPr>
                <w:rFonts w:hint="eastAsia"/>
                <w:color w:val="auto"/>
                <w:sz w:val="24"/>
              </w:rPr>
              <w:t>处理，做到日产日清。装车时将垃圾桶内用塑料袋分装的垃圾直接倾倒入垃圾转运车。</w:t>
            </w:r>
          </w:p>
          <w:p>
            <w:pPr>
              <w:spacing w:line="360" w:lineRule="auto"/>
              <w:ind w:firstLine="420" w:firstLineChars="175"/>
              <w:rPr>
                <w:rFonts w:hint="eastAsia"/>
                <w:color w:val="auto"/>
                <w:sz w:val="24"/>
              </w:rPr>
            </w:pPr>
            <w:r>
              <w:rPr>
                <w:rFonts w:hint="eastAsia"/>
                <w:color w:val="auto"/>
                <w:sz w:val="24"/>
              </w:rPr>
              <w:t>②园区垃圾站设</w:t>
            </w:r>
            <w:r>
              <w:rPr>
                <w:rFonts w:hint="eastAsia"/>
                <w:color w:val="auto"/>
                <w:sz w:val="24"/>
                <w:lang w:val="en-US" w:eastAsia="zh-CN"/>
              </w:rPr>
              <w:t>机械</w:t>
            </w:r>
            <w:r>
              <w:rPr>
                <w:rFonts w:hint="eastAsia"/>
                <w:color w:val="auto"/>
                <w:sz w:val="24"/>
              </w:rPr>
              <w:t>排风系统，防止臭气在垃圾</w:t>
            </w:r>
            <w:r>
              <w:rPr>
                <w:rFonts w:hint="eastAsia"/>
                <w:color w:val="auto"/>
                <w:sz w:val="24"/>
                <w:lang w:val="en-US" w:eastAsia="zh-CN"/>
              </w:rPr>
              <w:t>站</w:t>
            </w:r>
            <w:r>
              <w:rPr>
                <w:rFonts w:hint="eastAsia"/>
                <w:color w:val="auto"/>
                <w:sz w:val="24"/>
              </w:rPr>
              <w:t>内积累；并安装简易喷淋除臭装置，减少恶臭对周围环境的影响。</w:t>
            </w:r>
          </w:p>
          <w:p>
            <w:pPr>
              <w:spacing w:line="360" w:lineRule="auto"/>
              <w:ind w:firstLine="420" w:firstLineChars="175"/>
              <w:rPr>
                <w:rFonts w:hint="eastAsia"/>
                <w:color w:val="auto"/>
                <w:sz w:val="24"/>
              </w:rPr>
            </w:pPr>
            <w:r>
              <w:rPr>
                <w:rFonts w:hint="eastAsia"/>
                <w:color w:val="auto"/>
                <w:sz w:val="24"/>
              </w:rPr>
              <w:t>③安排专门的工作人员定期对公厕进行清洁，公厕地面、蹲台面、小便池等应采用光滑、便于冲洗、耐腐蚀建筑材料；在公厕内安装防蝇、防鼠设施，放置除臭剂，并根据需要设置机械通风装置；夏季保证每周喷洒1次消毒药剂，其它季节可半月喷洒1次。</w:t>
            </w:r>
          </w:p>
          <w:p>
            <w:pPr>
              <w:spacing w:line="360" w:lineRule="auto"/>
              <w:ind w:firstLine="420" w:firstLineChars="175"/>
              <w:rPr>
                <w:rFonts w:hint="eastAsia"/>
                <w:color w:val="auto"/>
                <w:sz w:val="24"/>
              </w:rPr>
            </w:pPr>
            <w:r>
              <w:rPr>
                <w:rFonts w:hint="eastAsia"/>
                <w:color w:val="auto"/>
                <w:sz w:val="24"/>
              </w:rPr>
              <w:t>④项目厂界周边加强乔木、灌木的种植，依靠植物吸收，减缓恶臭影响。</w:t>
            </w:r>
          </w:p>
          <w:p>
            <w:pPr>
              <w:spacing w:line="360" w:lineRule="auto"/>
              <w:ind w:firstLine="480" w:firstLineChars="200"/>
              <w:rPr>
                <w:color w:val="auto"/>
                <w:sz w:val="24"/>
              </w:rPr>
            </w:pPr>
            <w:r>
              <w:rPr>
                <w:rFonts w:hint="eastAsia"/>
                <w:color w:val="auto"/>
                <w:sz w:val="24"/>
              </w:rPr>
              <w:t>（3）</w:t>
            </w:r>
            <w:r>
              <w:rPr>
                <w:rFonts w:hint="eastAsia"/>
                <w:color w:val="auto"/>
                <w:sz w:val="24"/>
                <w:lang w:val="en-US" w:eastAsia="zh-CN"/>
              </w:rPr>
              <w:t>备用发电机</w:t>
            </w:r>
          </w:p>
          <w:p>
            <w:pPr>
              <w:spacing w:line="360" w:lineRule="auto"/>
              <w:ind w:firstLine="480" w:firstLineChars="200"/>
              <w:rPr>
                <w:rFonts w:hint="eastAsia"/>
                <w:color w:val="auto"/>
                <w:sz w:val="24"/>
                <w:szCs w:val="24"/>
                <w:lang w:eastAsia="zh-CN"/>
              </w:rPr>
            </w:pPr>
            <w:r>
              <w:rPr>
                <w:rFonts w:hint="eastAsia"/>
                <w:color w:val="auto"/>
                <w:sz w:val="24"/>
              </w:rPr>
              <w:t>备用柴油发电机房排气筒高度应不低于2.5m，</w:t>
            </w:r>
            <w:r>
              <w:rPr>
                <w:rFonts w:hint="eastAsia"/>
                <w:color w:val="auto"/>
                <w:sz w:val="24"/>
                <w:lang w:val="en-US" w:eastAsia="zh-CN"/>
              </w:rPr>
              <w:t>污染物</w:t>
            </w:r>
            <w:r>
              <w:rPr>
                <w:rFonts w:hint="eastAsia"/>
                <w:color w:val="auto"/>
                <w:sz w:val="24"/>
              </w:rPr>
              <w:t>排放</w:t>
            </w:r>
            <w:r>
              <w:rPr>
                <w:rFonts w:hint="eastAsia"/>
                <w:color w:val="auto"/>
                <w:sz w:val="24"/>
                <w:lang w:val="en-US" w:eastAsia="zh-CN"/>
              </w:rPr>
              <w:t>情况</w:t>
            </w:r>
            <w:r>
              <w:rPr>
                <w:rFonts w:hint="eastAsia"/>
                <w:color w:val="auto"/>
                <w:sz w:val="24"/>
              </w:rPr>
              <w:t>满足《非道路移动机械用柴油机排气污染物排放限值及测量方法（中国第三、四阶段）》（GB20891-2014）及环境保护部《关于实施国家第三阶段非道路移动机械用柴油机排气污染物排放标准的公告》（公告2016第5号）中相关规定。</w:t>
            </w:r>
            <w:r>
              <w:rPr>
                <w:rFonts w:hint="eastAsia"/>
                <w:bCs/>
                <w:color w:val="auto"/>
                <w:sz w:val="24"/>
              </w:rPr>
              <w:t>且使用时间很短，</w:t>
            </w:r>
            <w:r>
              <w:rPr>
                <w:rFonts w:hint="eastAsia"/>
                <w:color w:val="auto"/>
                <w:sz w:val="24"/>
                <w:szCs w:val="24"/>
                <w:lang w:eastAsia="zh-CN"/>
              </w:rPr>
              <w:t>对周围环境影响很小，</w:t>
            </w:r>
            <w:r>
              <w:rPr>
                <w:rFonts w:hint="eastAsia"/>
                <w:color w:val="auto"/>
                <w:sz w:val="24"/>
                <w:szCs w:val="24"/>
                <w:lang w:val="en-US" w:eastAsia="zh-CN"/>
              </w:rPr>
              <w:t>措施可行。</w:t>
            </w:r>
          </w:p>
          <w:p>
            <w:pPr>
              <w:spacing w:line="360" w:lineRule="auto"/>
              <w:ind w:firstLine="480" w:firstLineChars="200"/>
              <w:rPr>
                <w:rFonts w:hint="eastAsia"/>
                <w:color w:val="auto"/>
                <w:sz w:val="24"/>
              </w:rPr>
            </w:pPr>
            <w:r>
              <w:rPr>
                <w:rFonts w:hint="eastAsia"/>
                <w:color w:val="auto"/>
                <w:sz w:val="24"/>
              </w:rPr>
              <w:t>（4）餐饮油烟</w:t>
            </w:r>
          </w:p>
          <w:p>
            <w:pPr>
              <w:spacing w:line="360" w:lineRule="auto"/>
              <w:ind w:firstLine="480" w:firstLineChars="200"/>
              <w:rPr>
                <w:rFonts w:hint="eastAsia"/>
                <w:color w:val="auto"/>
                <w:sz w:val="24"/>
                <w:lang w:val="en-US" w:eastAsia="zh-CN"/>
              </w:rPr>
            </w:pPr>
            <w:r>
              <w:rPr>
                <w:rFonts w:hint="eastAsia"/>
                <w:color w:val="auto"/>
                <w:sz w:val="24"/>
              </w:rPr>
              <w:t>项目共设置</w:t>
            </w:r>
            <w:r>
              <w:rPr>
                <w:rFonts w:hint="eastAsia"/>
                <w:color w:val="auto"/>
                <w:sz w:val="24"/>
                <w:lang w:val="en-US" w:eastAsia="zh-CN"/>
              </w:rPr>
              <w:t>6个员工食堂，</w:t>
            </w:r>
            <w:r>
              <w:rPr>
                <w:rFonts w:hint="eastAsia"/>
                <w:color w:val="auto"/>
                <w:sz w:val="24"/>
              </w:rPr>
              <w:t>本次评价要求各餐厅</w:t>
            </w:r>
            <w:r>
              <w:rPr>
                <w:rFonts w:hint="eastAsia"/>
                <w:color w:val="auto"/>
                <w:sz w:val="24"/>
                <w:lang w:val="en-US" w:eastAsia="zh-CN"/>
              </w:rPr>
              <w:t>安装1套</w:t>
            </w:r>
            <w:r>
              <w:rPr>
                <w:rFonts w:hint="eastAsia"/>
                <w:color w:val="auto"/>
                <w:sz w:val="24"/>
              </w:rPr>
              <w:t>处理效率</w:t>
            </w:r>
            <w:r>
              <w:rPr>
                <w:rFonts w:hint="default"/>
                <w:color w:val="auto"/>
                <w:sz w:val="24"/>
              </w:rPr>
              <w:t>≥</w:t>
            </w:r>
            <w:r>
              <w:rPr>
                <w:rFonts w:hint="eastAsia"/>
                <w:color w:val="auto"/>
                <w:sz w:val="24"/>
                <w:lang w:val="en-US" w:eastAsia="zh-CN"/>
              </w:rPr>
              <w:t>75</w:t>
            </w:r>
            <w:r>
              <w:rPr>
                <w:rFonts w:hint="eastAsia"/>
                <w:color w:val="auto"/>
                <w:sz w:val="24"/>
              </w:rPr>
              <w:t>%油烟净化器，</w:t>
            </w:r>
            <w:r>
              <w:rPr>
                <w:rFonts w:hint="eastAsia"/>
                <w:color w:val="auto"/>
                <w:sz w:val="24"/>
                <w:lang w:val="en-US" w:eastAsia="zh-CN"/>
              </w:rPr>
              <w:t>经处理后</w:t>
            </w:r>
            <w:r>
              <w:rPr>
                <w:rFonts w:hint="eastAsia"/>
                <w:color w:val="auto"/>
                <w:sz w:val="24"/>
              </w:rPr>
              <w:t>。</w:t>
            </w:r>
            <w:r>
              <w:rPr>
                <w:rFonts w:hint="eastAsia"/>
                <w:color w:val="auto"/>
                <w:sz w:val="24"/>
                <w:lang w:val="en-US" w:eastAsia="zh-CN"/>
              </w:rPr>
              <w:t>油烟废气满足</w:t>
            </w:r>
            <w:r>
              <w:rPr>
                <w:rFonts w:hint="eastAsia"/>
                <w:color w:val="auto"/>
                <w:sz w:val="24"/>
              </w:rPr>
              <w:t>GB18483-2001《饮食业油烟排放标准（试行）》要求</w:t>
            </w:r>
            <w:r>
              <w:rPr>
                <w:rFonts w:hint="eastAsia"/>
                <w:color w:val="auto"/>
                <w:sz w:val="24"/>
                <w:lang w:eastAsia="zh-CN"/>
              </w:rPr>
              <w:t>，</w:t>
            </w:r>
            <w:r>
              <w:rPr>
                <w:rFonts w:hint="eastAsia"/>
                <w:color w:val="auto"/>
                <w:sz w:val="24"/>
              </w:rPr>
              <w:t>从厨房排风竖井经屋顶或预留的内置烟道排放</w:t>
            </w:r>
            <w:r>
              <w:rPr>
                <w:rFonts w:hint="eastAsia"/>
                <w:color w:val="auto"/>
                <w:sz w:val="24"/>
                <w:lang w:eastAsia="zh-CN"/>
              </w:rPr>
              <w:t>，</w:t>
            </w:r>
            <w:r>
              <w:rPr>
                <w:rFonts w:hint="eastAsia"/>
                <w:color w:val="auto"/>
                <w:sz w:val="24"/>
                <w:lang w:val="en-US" w:eastAsia="zh-CN"/>
              </w:rPr>
              <w:t>措施可行。</w:t>
            </w:r>
          </w:p>
          <w:p>
            <w:pPr>
              <w:adjustRightInd w:val="0"/>
              <w:snapToGrid w:val="0"/>
              <w:spacing w:line="360" w:lineRule="auto"/>
              <w:ind w:firstLine="520" w:firstLineChars="200"/>
              <w:rPr>
                <w:rFonts w:hint="default" w:ascii="Times New Roman" w:hAnsi="Times New Roman" w:cs="Times New Roman"/>
                <w:bCs/>
                <w:color w:val="auto"/>
                <w:spacing w:val="10"/>
                <w:sz w:val="24"/>
              </w:rPr>
            </w:pPr>
            <w:r>
              <w:rPr>
                <w:rFonts w:hint="default" w:ascii="Times New Roman" w:hAnsi="Times New Roman" w:cs="Times New Roman"/>
                <w:bCs/>
                <w:color w:val="auto"/>
                <w:spacing w:val="10"/>
                <w:sz w:val="24"/>
              </w:rPr>
              <w:t>2、水环境保护措施</w:t>
            </w:r>
          </w:p>
          <w:p>
            <w:pPr>
              <w:spacing w:line="360" w:lineRule="auto"/>
              <w:ind w:firstLine="480" w:firstLineChars="200"/>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2.1废水处理措施</w:t>
            </w:r>
          </w:p>
          <w:p>
            <w:pPr>
              <w:spacing w:line="360"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本项目产生的</w:t>
            </w:r>
            <w:r>
              <w:rPr>
                <w:rFonts w:hint="eastAsia" w:ascii="Times New Roman" w:hAnsi="Times New Roman" w:eastAsia="宋体" w:cs="Times New Roman"/>
                <w:color w:val="auto"/>
                <w:sz w:val="24"/>
                <w:szCs w:val="24"/>
              </w:rPr>
              <w:t>员工办公废水</w:t>
            </w:r>
            <w:r>
              <w:rPr>
                <w:rFonts w:hint="eastAsia" w:cs="Times New Roman"/>
                <w:color w:val="auto"/>
                <w:sz w:val="24"/>
                <w:szCs w:val="24"/>
                <w:lang w:eastAsia="zh-CN"/>
              </w:rPr>
              <w:t>、</w:t>
            </w:r>
            <w:r>
              <w:rPr>
                <w:rFonts w:hint="eastAsia" w:ascii="Times New Roman" w:hAnsi="Times New Roman" w:eastAsia="宋体" w:cs="Times New Roman"/>
                <w:color w:val="auto"/>
                <w:sz w:val="24"/>
                <w:szCs w:val="24"/>
              </w:rPr>
              <w:t>游客游览废水</w:t>
            </w:r>
            <w:r>
              <w:rPr>
                <w:rFonts w:hint="eastAsia" w:cs="Times New Roman"/>
                <w:color w:val="auto"/>
                <w:sz w:val="24"/>
                <w:szCs w:val="24"/>
                <w:lang w:eastAsia="zh-CN"/>
              </w:rPr>
              <w:t>、</w:t>
            </w:r>
            <w:r>
              <w:rPr>
                <w:rFonts w:hint="eastAsia" w:ascii="Times New Roman" w:hAnsi="Times New Roman" w:eastAsia="宋体" w:cs="Times New Roman"/>
                <w:color w:val="auto"/>
                <w:sz w:val="24"/>
                <w:szCs w:val="24"/>
              </w:rPr>
              <w:t>餐饮废水共计</w:t>
            </w:r>
            <w:r>
              <w:rPr>
                <w:rFonts w:hint="eastAsia" w:cs="Times New Roman"/>
                <w:color w:val="auto"/>
                <w:sz w:val="24"/>
                <w:szCs w:val="24"/>
                <w:lang w:val="en-US" w:eastAsia="zh-CN"/>
              </w:rPr>
              <w:t>108145</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/a</w:t>
            </w:r>
            <w:r>
              <w:rPr>
                <w:rFonts w:hint="eastAsia" w:ascii="Times New Roman" w:hAnsi="Times New Roman" w:eastAsia="宋体" w:cs="Times New Roman"/>
                <w:color w:val="auto"/>
                <w:sz w:val="24"/>
                <w:szCs w:val="24"/>
              </w:rPr>
              <w:t>；</w:t>
            </w:r>
            <w:r>
              <w:rPr>
                <w:rFonts w:hint="eastAsia" w:cs="Times New Roman"/>
                <w:color w:val="auto"/>
                <w:sz w:val="24"/>
                <w:szCs w:val="24"/>
                <w:lang w:val="en-US" w:eastAsia="zh-CN"/>
              </w:rPr>
              <w:t>食堂</w:t>
            </w:r>
            <w:r>
              <w:rPr>
                <w:rFonts w:hint="eastAsia" w:ascii="Times New Roman" w:hAnsi="Times New Roman" w:eastAsia="宋体" w:cs="Times New Roman"/>
                <w:color w:val="auto"/>
                <w:sz w:val="24"/>
                <w:szCs w:val="24"/>
              </w:rPr>
              <w:t>废水经过隔油池隔油后与其他生活废水一起排入化粪池，最终</w:t>
            </w:r>
            <w:r>
              <w:rPr>
                <w:rFonts w:hint="eastAsia" w:cs="Times New Roman"/>
                <w:color w:val="auto"/>
                <w:sz w:val="24"/>
                <w:szCs w:val="24"/>
                <w:lang w:val="en-US" w:eastAsia="zh-CN"/>
              </w:rPr>
              <w:t>通过</w:t>
            </w:r>
            <w:r>
              <w:rPr>
                <w:rFonts w:hint="eastAsia" w:ascii="Times New Roman" w:hAnsi="Times New Roman" w:eastAsia="宋体" w:cs="Times New Roman"/>
                <w:color w:val="auto"/>
                <w:sz w:val="24"/>
                <w:szCs w:val="24"/>
              </w:rPr>
              <w:t>市政污水管网，</w:t>
            </w:r>
            <w:r>
              <w:rPr>
                <w:rFonts w:hint="eastAsia" w:cs="Times New Roman"/>
                <w:color w:val="auto"/>
                <w:sz w:val="24"/>
                <w:szCs w:val="24"/>
                <w:lang w:val="en-US" w:eastAsia="zh-CN"/>
              </w:rPr>
              <w:t>进入泾河第三污水厂，处理后排入泾河。</w:t>
            </w:r>
          </w:p>
          <w:p>
            <w:pPr>
              <w:spacing w:line="360" w:lineRule="auto"/>
              <w:ind w:firstLine="480" w:firstLineChars="200"/>
              <w:rPr>
                <w:rFonts w:hint="eastAsia" w:ascii="Times New Roman" w:hAnsi="Times New Roman" w:eastAsia="宋体" w:cs="Times New Roman"/>
                <w:color w:val="auto"/>
                <w:sz w:val="24"/>
                <w:szCs w:val="24"/>
                <w:shd w:val="clear" w:color="auto" w:fill="FFFFFF"/>
                <w:lang w:val="en-US" w:eastAsia="zh-CN"/>
              </w:rPr>
            </w:pPr>
            <w:r>
              <w:rPr>
                <w:rFonts w:ascii="Times New Roman" w:hAnsi="Times New Roman" w:eastAsia="宋体" w:cs="Times New Roman"/>
                <w:color w:val="auto"/>
                <w:sz w:val="24"/>
                <w:szCs w:val="24"/>
                <w:shd w:val="clear" w:color="auto" w:fill="FFFFFF"/>
              </w:rPr>
              <w:t>项目中</w:t>
            </w:r>
            <w:r>
              <w:rPr>
                <w:rFonts w:ascii="Times New Roman" w:hAnsi="Times New Roman" w:eastAsia="宋体" w:cs="Times New Roman"/>
                <w:color w:val="auto"/>
                <w:sz w:val="24"/>
                <w:szCs w:val="24"/>
              </w:rPr>
              <w:t>娱乐用水经“</w:t>
            </w:r>
            <w:r>
              <w:rPr>
                <w:rFonts w:hint="eastAsia" w:ascii="Times New Roman" w:hAnsi="Times New Roman" w:eastAsia="宋体" w:cs="Times New Roman"/>
                <w:color w:val="auto"/>
                <w:sz w:val="24"/>
                <w:szCs w:val="24"/>
              </w:rPr>
              <w:t>循环水泵+过滤砂缸</w:t>
            </w:r>
            <w:r>
              <w:rPr>
                <w:rFonts w:ascii="Times New Roman" w:hAnsi="Times New Roman" w:eastAsia="宋体" w:cs="Times New Roman"/>
                <w:color w:val="auto"/>
                <w:sz w:val="24"/>
                <w:szCs w:val="24"/>
              </w:rPr>
              <w:t>+紫外线消毒</w:t>
            </w:r>
            <w:r>
              <w:rPr>
                <w:rFonts w:hint="eastAsia" w:ascii="Times New Roman" w:hAnsi="Times New Roman" w:eastAsia="宋体" w:cs="Times New Roman"/>
                <w:color w:val="auto"/>
                <w:sz w:val="24"/>
                <w:szCs w:val="24"/>
              </w:rPr>
              <w:t>+</w:t>
            </w:r>
            <w:r>
              <w:rPr>
                <w:rFonts w:ascii="Times New Roman" w:hAnsi="Times New Roman" w:eastAsia="宋体" w:cs="Times New Roman"/>
                <w:color w:val="auto"/>
                <w:sz w:val="24"/>
                <w:szCs w:val="24"/>
              </w:rPr>
              <w:t>消毒剂（次氯酸钠）投药”处理后循环使用</w:t>
            </w:r>
            <w:r>
              <w:rPr>
                <w:rFonts w:ascii="Times New Roman" w:hAnsi="Times New Roman" w:eastAsia="宋体" w:cs="Times New Roman"/>
                <w:color w:val="auto"/>
                <w:sz w:val="24"/>
                <w:szCs w:val="24"/>
                <w:shd w:val="clear" w:color="auto" w:fill="FFFFFF"/>
              </w:rPr>
              <w:t>。</w:t>
            </w:r>
            <w:r>
              <w:rPr>
                <w:rFonts w:hint="eastAsia" w:cs="Times New Roman"/>
                <w:color w:val="auto"/>
                <w:sz w:val="24"/>
                <w:szCs w:val="24"/>
                <w:shd w:val="clear" w:color="auto" w:fill="FFFFFF"/>
                <w:lang w:val="en-US" w:eastAsia="zh-CN"/>
              </w:rPr>
              <w:t>但</w:t>
            </w:r>
            <w:r>
              <w:rPr>
                <w:rFonts w:hint="eastAsia" w:ascii="Times New Roman" w:hAnsi="Times New Roman" w:eastAsia="宋体" w:cs="Times New Roman"/>
                <w:color w:val="auto"/>
                <w:sz w:val="24"/>
                <w:szCs w:val="24"/>
                <w:shd w:val="clear" w:color="auto" w:fill="FFFFFF"/>
              </w:rPr>
              <w:t>互动战船和情景激流勇进</w:t>
            </w:r>
            <w:r>
              <w:rPr>
                <w:rFonts w:hint="eastAsia" w:cs="Times New Roman"/>
                <w:color w:val="auto"/>
                <w:sz w:val="24"/>
                <w:szCs w:val="24"/>
                <w:shd w:val="clear" w:color="auto" w:fill="FFFFFF"/>
                <w:lang w:val="en-US" w:eastAsia="zh-CN"/>
              </w:rPr>
              <w:t>2个</w:t>
            </w:r>
            <w:r>
              <w:rPr>
                <w:rFonts w:hint="eastAsia" w:ascii="Times New Roman" w:hAnsi="Times New Roman" w:eastAsia="宋体" w:cs="Times New Roman"/>
                <w:color w:val="auto"/>
                <w:sz w:val="24"/>
                <w:szCs w:val="24"/>
              </w:rPr>
              <w:t>游乐设备</w:t>
            </w:r>
            <w:r>
              <w:rPr>
                <w:rFonts w:hint="eastAsia" w:ascii="Times New Roman" w:hAnsi="Times New Roman" w:cs="Times New Roman"/>
                <w:color w:val="auto"/>
                <w:sz w:val="24"/>
                <w:szCs w:val="24"/>
                <w:lang w:val="en-US" w:eastAsia="zh-CN"/>
              </w:rPr>
              <w:t>定期</w:t>
            </w:r>
            <w:r>
              <w:rPr>
                <w:rFonts w:hint="eastAsia" w:ascii="Times New Roman" w:hAnsi="Times New Roman" w:eastAsia="宋体" w:cs="Times New Roman"/>
                <w:color w:val="auto"/>
                <w:sz w:val="24"/>
                <w:szCs w:val="24"/>
              </w:rPr>
              <w:t>排放</w:t>
            </w:r>
            <w:r>
              <w:rPr>
                <w:rFonts w:hint="eastAsia" w:cs="Times New Roman"/>
                <w:color w:val="auto"/>
                <w:sz w:val="24"/>
                <w:szCs w:val="24"/>
                <w:lang w:val="en-US" w:eastAsia="zh-CN"/>
              </w:rPr>
              <w:t>废水</w:t>
            </w:r>
            <w:r>
              <w:rPr>
                <w:rFonts w:hint="eastAsia" w:ascii="Times New Roman" w:hAnsi="Times New Roman" w:eastAsia="宋体" w:cs="Times New Roman"/>
                <w:color w:val="auto"/>
                <w:sz w:val="24"/>
                <w:szCs w:val="24"/>
              </w:rPr>
              <w:t>量</w:t>
            </w:r>
            <w:r>
              <w:rPr>
                <w:rFonts w:hint="eastAsia" w:cs="Times New Roman"/>
                <w:color w:val="auto"/>
                <w:sz w:val="24"/>
                <w:szCs w:val="24"/>
                <w:lang w:val="en-US" w:eastAsia="zh-CN"/>
              </w:rPr>
              <w:t>与</w:t>
            </w:r>
            <w:r>
              <w:rPr>
                <w:rFonts w:hint="eastAsia" w:ascii="Times New Roman" w:hAnsi="Times New Roman" w:eastAsia="宋体" w:cs="Times New Roman"/>
                <w:color w:val="auto"/>
                <w:sz w:val="24"/>
                <w:szCs w:val="24"/>
              </w:rPr>
              <w:t>反冲洗废水排入市政污水管网；</w:t>
            </w:r>
            <w:r>
              <w:rPr>
                <w:rFonts w:hint="eastAsia" w:cs="Times New Roman"/>
                <w:color w:val="auto"/>
                <w:sz w:val="24"/>
                <w:szCs w:val="24"/>
                <w:shd w:val="clear" w:color="auto" w:fill="FFFFFF"/>
                <w:lang w:val="en-US" w:eastAsia="zh-CN"/>
              </w:rPr>
              <w:t>冷却塔排水</w:t>
            </w:r>
            <w:r>
              <w:rPr>
                <w:rFonts w:hint="eastAsia" w:ascii="Times New Roman" w:hAnsi="Times New Roman" w:eastAsia="宋体" w:cs="Times New Roman"/>
                <w:color w:val="auto"/>
                <w:sz w:val="24"/>
                <w:szCs w:val="24"/>
              </w:rPr>
              <w:t>排入市政污水管网</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废水经处理后</w:t>
            </w:r>
            <w:r>
              <w:rPr>
                <w:rFonts w:hint="eastAsia"/>
                <w:color w:val="auto"/>
                <w:sz w:val="24"/>
                <w:szCs w:val="24"/>
                <w:lang w:val="en-US" w:eastAsia="zh-CN"/>
              </w:rPr>
              <w:t>均满足</w:t>
            </w:r>
            <w:r>
              <w:rPr>
                <w:rFonts w:hint="eastAsia"/>
                <w:color w:val="auto"/>
                <w:sz w:val="24"/>
                <w:lang w:val="en-GB" w:eastAsia="zh-CN"/>
              </w:rPr>
              <w:t>GB8978-1996三级标准</w:t>
            </w:r>
            <w:r>
              <w:rPr>
                <w:rFonts w:hint="eastAsia"/>
                <w:color w:val="auto"/>
                <w:sz w:val="24"/>
                <w:lang w:val="en-US" w:eastAsia="zh-CN"/>
              </w:rPr>
              <w:t>及GB/T31962-2015中的B级标准</w:t>
            </w:r>
            <w:r>
              <w:rPr>
                <w:rFonts w:hint="default"/>
                <w:color w:val="auto"/>
                <w:sz w:val="24"/>
                <w:lang w:val="en-US" w:eastAsia="zh-CN"/>
              </w:rPr>
              <w:t>要求</w:t>
            </w:r>
            <w:r>
              <w:rPr>
                <w:rFonts w:hint="eastAsia"/>
                <w:color w:val="auto"/>
                <w:sz w:val="24"/>
                <w:szCs w:val="24"/>
                <w:lang w:val="en-US" w:eastAsia="zh-CN"/>
              </w:rPr>
              <w:t>，通过市政污水管网排入泾河第三污水处理厂，处理达标后排入泾河。</w:t>
            </w:r>
          </w:p>
          <w:p>
            <w:pPr>
              <w:widowControl w:val="0"/>
              <w:adjustRightInd w:val="0"/>
              <w:snapToGrid w:val="0"/>
              <w:spacing w:line="360" w:lineRule="auto"/>
              <w:ind w:firstLine="482" w:firstLineChars="200"/>
              <w:jc w:val="both"/>
              <w:rPr>
                <w:rFonts w:hint="eastAsia"/>
                <w:b/>
                <w:bCs/>
                <w:color w:val="auto"/>
                <w:sz w:val="24"/>
                <w:szCs w:val="24"/>
                <w:lang w:val="en-US" w:eastAsia="zh-CN"/>
              </w:rPr>
            </w:pPr>
            <w:bookmarkStart w:id="8" w:name="_Toc23259"/>
            <w:r>
              <w:rPr>
                <w:rFonts w:hint="eastAsia"/>
                <w:b/>
                <w:bCs/>
                <w:color w:val="auto"/>
                <w:sz w:val="24"/>
                <w:szCs w:val="24"/>
                <w:lang w:val="en-US" w:eastAsia="zh-CN"/>
              </w:rPr>
              <w:t>2.2水处理工艺可行性分析</w:t>
            </w:r>
            <w:bookmarkEnd w:id="8"/>
          </w:p>
          <w:p>
            <w:pPr>
              <w:widowControl w:val="0"/>
              <w:adjustRightInd w:val="0"/>
              <w:snapToGrid w:val="0"/>
              <w:spacing w:line="360" w:lineRule="auto"/>
              <w:ind w:firstLine="480" w:firstLineChars="200"/>
              <w:jc w:val="both"/>
              <w:rPr>
                <w:rFonts w:ascii="Times New Roman" w:hAnsi="Times New Roman" w:eastAsia="宋体" w:cs="Times New Roman"/>
                <w:color w:val="auto"/>
                <w:sz w:val="24"/>
                <w:szCs w:val="24"/>
                <w:shd w:val="clear" w:color="auto" w:fill="FFFFFF"/>
              </w:rPr>
            </w:pPr>
            <w:r>
              <w:rPr>
                <w:rFonts w:hint="eastAsia" w:ascii="Times New Roman" w:hAnsi="Times New Roman" w:eastAsia="宋体" w:cs="Times New Roman"/>
                <w:color w:val="auto"/>
                <w:sz w:val="24"/>
                <w:szCs w:val="24"/>
                <w:shd w:val="clear" w:color="auto" w:fill="FFFFFF"/>
              </w:rPr>
              <w:t>园区中有</w:t>
            </w:r>
            <w:r>
              <w:rPr>
                <w:rFonts w:hint="eastAsia" w:cs="Times New Roman"/>
                <w:color w:val="auto"/>
                <w:sz w:val="24"/>
                <w:szCs w:val="24"/>
                <w:shd w:val="clear" w:color="auto" w:fill="FFFFFF"/>
                <w:lang w:val="en-US" w:eastAsia="zh-CN"/>
              </w:rPr>
              <w:t>3</w:t>
            </w:r>
            <w:r>
              <w:rPr>
                <w:rFonts w:hint="eastAsia" w:ascii="Times New Roman" w:hAnsi="Times New Roman" w:eastAsia="宋体" w:cs="Times New Roman"/>
                <w:color w:val="auto"/>
                <w:sz w:val="24"/>
                <w:szCs w:val="24"/>
                <w:shd w:val="clear" w:color="auto" w:fill="FFFFFF"/>
              </w:rPr>
              <w:t>个游乐设备需要补水，分别是</w:t>
            </w:r>
            <w:r>
              <w:rPr>
                <w:rFonts w:hint="eastAsia" w:ascii="Times New Roman" w:hAnsi="Times New Roman" w:eastAsia="宋体" w:cs="Times New Roman"/>
                <w:color w:val="auto"/>
                <w:sz w:val="24"/>
                <w:szCs w:val="24"/>
                <w:shd w:val="clear" w:color="auto" w:fill="FFFFFF"/>
                <w:lang w:val="en-US" w:eastAsia="zh-CN"/>
              </w:rPr>
              <w:t>特技剧场、互动战船和情景激流勇进</w:t>
            </w:r>
            <w:r>
              <w:rPr>
                <w:rFonts w:hint="eastAsia" w:ascii="Times New Roman" w:hAnsi="Times New Roman" w:eastAsia="宋体" w:cs="Times New Roman"/>
                <w:color w:val="auto"/>
                <w:sz w:val="24"/>
                <w:szCs w:val="24"/>
                <w:shd w:val="clear" w:color="auto" w:fill="FFFFFF"/>
              </w:rPr>
              <w:t>，</w:t>
            </w:r>
            <w:r>
              <w:rPr>
                <w:rFonts w:hint="eastAsia" w:cs="Times New Roman"/>
                <w:color w:val="auto"/>
                <w:sz w:val="24"/>
                <w:szCs w:val="24"/>
                <w:shd w:val="clear" w:color="auto" w:fill="FFFFFF"/>
                <w:lang w:val="en-US" w:eastAsia="zh-CN"/>
              </w:rPr>
              <w:t>其中：</w:t>
            </w:r>
            <w:r>
              <w:rPr>
                <w:rFonts w:hint="eastAsia" w:ascii="Times New Roman" w:hAnsi="Times New Roman" w:eastAsia="宋体" w:cs="Times New Roman"/>
                <w:color w:val="auto"/>
                <w:sz w:val="24"/>
                <w:szCs w:val="24"/>
                <w:shd w:val="clear" w:color="auto" w:fill="FFFFFF"/>
                <w:lang w:val="en-US" w:eastAsia="zh-CN"/>
              </w:rPr>
              <w:t>特技剧场</w:t>
            </w:r>
            <w:r>
              <w:rPr>
                <w:rFonts w:hint="eastAsia" w:cs="Times New Roman"/>
                <w:color w:val="auto"/>
                <w:sz w:val="24"/>
                <w:szCs w:val="24"/>
                <w:shd w:val="clear" w:color="auto" w:fill="FFFFFF"/>
                <w:lang w:val="en-US" w:eastAsia="zh-CN"/>
              </w:rPr>
              <w:t>仅需补水，水质无需循环处理，也不排放废水；其余</w:t>
            </w:r>
            <w:r>
              <w:rPr>
                <w:rFonts w:hint="eastAsia" w:ascii="Times New Roman" w:hAnsi="Times New Roman" w:eastAsia="宋体" w:cs="Times New Roman"/>
                <w:color w:val="auto"/>
                <w:sz w:val="24"/>
                <w:szCs w:val="24"/>
                <w:shd w:val="clear" w:color="auto" w:fill="FFFFFF"/>
                <w:lang w:val="en-US" w:eastAsia="zh-CN"/>
              </w:rPr>
              <w:t>互动战船和情景激流勇进</w:t>
            </w:r>
            <w:r>
              <w:rPr>
                <w:rFonts w:hint="eastAsia" w:cs="Times New Roman"/>
                <w:color w:val="auto"/>
                <w:sz w:val="24"/>
                <w:szCs w:val="24"/>
                <w:shd w:val="clear" w:color="auto" w:fill="FFFFFF"/>
                <w:lang w:val="en-US" w:eastAsia="zh-CN"/>
              </w:rPr>
              <w:t>2个游乐设备，需</w:t>
            </w:r>
            <w:r>
              <w:rPr>
                <w:rFonts w:hint="eastAsia" w:ascii="Times New Roman" w:hAnsi="Times New Roman" w:eastAsia="宋体" w:cs="Times New Roman"/>
                <w:color w:val="auto"/>
                <w:sz w:val="24"/>
                <w:szCs w:val="24"/>
                <w:shd w:val="clear" w:color="auto" w:fill="FFFFFF"/>
              </w:rPr>
              <w:t>通过水处理系统（“砂缸”工艺）循环利用，具体工艺为循环水泵+过滤砂缸</w:t>
            </w:r>
            <w:r>
              <w:rPr>
                <w:rFonts w:ascii="Times New Roman" w:hAnsi="Times New Roman" w:eastAsia="宋体" w:cs="Times New Roman"/>
                <w:color w:val="auto"/>
                <w:sz w:val="24"/>
                <w:szCs w:val="24"/>
                <w:shd w:val="clear" w:color="auto" w:fill="FFFFFF"/>
              </w:rPr>
              <w:t>+紫外线消毒</w:t>
            </w:r>
            <w:r>
              <w:rPr>
                <w:rFonts w:hint="eastAsia" w:ascii="Times New Roman" w:hAnsi="Times New Roman" w:eastAsia="宋体" w:cs="Times New Roman"/>
                <w:color w:val="auto"/>
                <w:sz w:val="24"/>
                <w:szCs w:val="24"/>
                <w:shd w:val="clear" w:color="auto" w:fill="FFFFFF"/>
              </w:rPr>
              <w:t>+</w:t>
            </w:r>
            <w:r>
              <w:rPr>
                <w:rFonts w:ascii="Times New Roman" w:hAnsi="Times New Roman" w:eastAsia="宋体" w:cs="Times New Roman"/>
                <w:color w:val="auto"/>
                <w:sz w:val="24"/>
                <w:szCs w:val="24"/>
                <w:shd w:val="clear" w:color="auto" w:fill="FFFFFF"/>
              </w:rPr>
              <w:t>消毒剂（次氯酸钠）投药</w:t>
            </w:r>
            <w:r>
              <w:rPr>
                <w:rFonts w:hint="eastAsia" w:ascii="Times New Roman" w:hAnsi="Times New Roman" w:eastAsia="宋体" w:cs="Times New Roman"/>
                <w:color w:val="auto"/>
                <w:sz w:val="24"/>
                <w:szCs w:val="24"/>
                <w:shd w:val="clear" w:color="auto" w:fill="FFFFFF"/>
              </w:rPr>
              <w:t>。</w:t>
            </w:r>
          </w:p>
          <w:p>
            <w:pPr>
              <w:widowControl w:val="0"/>
              <w:adjustRightInd w:val="0"/>
              <w:snapToGrid w:val="0"/>
              <w:spacing w:line="360" w:lineRule="auto"/>
              <w:ind w:firstLine="480" w:firstLineChars="200"/>
              <w:jc w:val="both"/>
              <w:rPr>
                <w:rFonts w:ascii="Times New Roman" w:hAnsi="Times New Roman" w:eastAsia="宋体" w:cs="Times New Roman"/>
                <w:color w:val="auto"/>
                <w:sz w:val="24"/>
                <w:szCs w:val="24"/>
                <w:shd w:val="clear" w:color="auto" w:fill="FFFFFF"/>
              </w:rPr>
            </w:pPr>
            <w:r>
              <w:rPr>
                <w:rFonts w:hint="eastAsia" w:ascii="Times New Roman" w:hAnsi="Times New Roman" w:eastAsia="宋体" w:cs="Times New Roman"/>
                <w:color w:val="auto"/>
                <w:sz w:val="24"/>
                <w:szCs w:val="24"/>
                <w:shd w:val="clear" w:color="auto" w:fill="FFFFFF"/>
              </w:rPr>
              <w:t>砂缸的工作原理：砂缸是利用特殊的滤沙将池中的微小污物消除。滤沙作为清除污物的介质，被装填在过滤器内的腔体内。当控制旋钮打到“</w:t>
            </w:r>
            <w:r>
              <w:rPr>
                <w:rFonts w:ascii="Times New Roman" w:hAnsi="Times New Roman" w:eastAsia="宋体" w:cs="Times New Roman"/>
                <w:color w:val="auto"/>
                <w:sz w:val="24"/>
                <w:szCs w:val="24"/>
                <w:shd w:val="clear" w:color="auto" w:fill="FFFFFF"/>
              </w:rPr>
              <w:t>FILTER"位置时，含有悬浮的污物微粒的池水由泵压入过滤装置中，再由控制开关的引导到达过滤器的出水口。</w:t>
            </w:r>
          </w:p>
          <w:p>
            <w:pPr>
              <w:widowControl w:val="0"/>
              <w:adjustRightInd w:val="0"/>
              <w:snapToGrid w:val="0"/>
              <w:spacing w:line="360" w:lineRule="auto"/>
              <w:ind w:firstLine="480" w:firstLineChars="200"/>
              <w:jc w:val="both"/>
              <w:rPr>
                <w:rFonts w:hint="eastAsia" w:cs="Times New Roman"/>
                <w:color w:val="auto"/>
                <w:sz w:val="24"/>
                <w:szCs w:val="24"/>
                <w:shd w:val="clear" w:color="auto" w:fill="FFFFFF"/>
                <w:lang w:val="en-US" w:eastAsia="zh-CN"/>
              </w:rPr>
            </w:pPr>
            <w:r>
              <w:rPr>
                <w:rFonts w:hint="eastAsia" w:ascii="Times New Roman" w:hAnsi="Times New Roman" w:eastAsia="宋体" w:cs="Times New Roman"/>
                <w:color w:val="auto"/>
                <w:sz w:val="24"/>
                <w:szCs w:val="24"/>
                <w:shd w:val="clear" w:color="auto" w:fill="FFFFFF"/>
                <w:lang w:val="en-US" w:eastAsia="zh-CN"/>
              </w:rPr>
              <w:t>互动战船和情景激流勇进</w:t>
            </w:r>
            <w:r>
              <w:rPr>
                <w:rFonts w:hint="eastAsia" w:cs="Times New Roman"/>
                <w:color w:val="auto"/>
                <w:sz w:val="24"/>
                <w:szCs w:val="24"/>
                <w:shd w:val="clear" w:color="auto" w:fill="FFFFFF"/>
                <w:lang w:val="en-US" w:eastAsia="zh-CN"/>
              </w:rPr>
              <w:t>2个游乐设备</w:t>
            </w:r>
            <w:r>
              <w:rPr>
                <w:rFonts w:hint="eastAsia" w:ascii="Times New Roman" w:hAnsi="Times New Roman" w:eastAsia="宋体" w:cs="Times New Roman"/>
                <w:color w:val="auto"/>
                <w:sz w:val="24"/>
                <w:szCs w:val="24"/>
                <w:shd w:val="clear" w:color="auto" w:fill="FFFFFF"/>
              </w:rPr>
              <w:t>用水循环利用，每三个月完全排放一次</w:t>
            </w:r>
            <w:r>
              <w:rPr>
                <w:rFonts w:hint="eastAsia" w:cs="Times New Roman"/>
                <w:color w:val="auto"/>
                <w:sz w:val="24"/>
                <w:szCs w:val="24"/>
                <w:shd w:val="clear" w:color="auto" w:fill="FFFFFF"/>
                <w:lang w:eastAsia="zh-CN"/>
              </w:rPr>
              <w:t>，</w:t>
            </w:r>
            <w:r>
              <w:rPr>
                <w:rFonts w:hint="eastAsia" w:cs="Times New Roman"/>
                <w:color w:val="auto"/>
                <w:sz w:val="24"/>
                <w:szCs w:val="24"/>
                <w:shd w:val="clear" w:color="auto" w:fill="FFFFFF"/>
                <w:lang w:val="en-US" w:eastAsia="zh-CN"/>
              </w:rPr>
              <w:t>最大</w:t>
            </w:r>
            <w:r>
              <w:rPr>
                <w:rFonts w:hint="eastAsia" w:ascii="Times New Roman" w:hAnsi="Times New Roman" w:eastAsia="宋体" w:cs="Times New Roman"/>
                <w:color w:val="auto"/>
                <w:sz w:val="24"/>
                <w:szCs w:val="24"/>
                <w:shd w:val="clear" w:color="auto" w:fill="FFFFFF"/>
              </w:rPr>
              <w:t>排放量为</w:t>
            </w:r>
            <w:r>
              <w:rPr>
                <w:rFonts w:hint="eastAsia" w:cs="Times New Roman"/>
                <w:color w:val="auto"/>
                <w:sz w:val="24"/>
                <w:szCs w:val="24"/>
                <w:lang w:val="en-US" w:eastAsia="zh-CN"/>
              </w:rPr>
              <w:t>360</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/d</w:t>
            </w:r>
            <w:r>
              <w:rPr>
                <w:rFonts w:hint="eastAsia"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11</w:t>
            </w:r>
            <w:r>
              <w:rPr>
                <w:rFonts w:hint="eastAsia" w:cs="Times New Roman"/>
                <w:color w:val="auto"/>
                <w:sz w:val="24"/>
                <w:szCs w:val="24"/>
                <w:lang w:val="en-US" w:eastAsia="zh-CN"/>
              </w:rPr>
              <w:t>198.2</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/a</w:t>
            </w:r>
            <w:r>
              <w:rPr>
                <w:rFonts w:hint="eastAsia"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shd w:val="clear" w:color="auto" w:fill="FFFFFF"/>
              </w:rPr>
              <w:t>，反冲洗废水每2</w:t>
            </w:r>
            <w:r>
              <w:rPr>
                <w:rFonts w:ascii="Times New Roman" w:hAnsi="Times New Roman" w:eastAsia="宋体" w:cs="Times New Roman"/>
                <w:color w:val="auto"/>
                <w:sz w:val="24"/>
                <w:szCs w:val="24"/>
                <w:shd w:val="clear" w:color="auto" w:fill="FFFFFF"/>
              </w:rPr>
              <w:t>0</w:t>
            </w:r>
            <w:r>
              <w:rPr>
                <w:rFonts w:hint="eastAsia" w:ascii="Times New Roman" w:hAnsi="Times New Roman" w:eastAsia="宋体" w:cs="Times New Roman"/>
                <w:color w:val="auto"/>
                <w:sz w:val="24"/>
                <w:szCs w:val="24"/>
                <w:shd w:val="clear" w:color="auto" w:fill="FFFFFF"/>
              </w:rPr>
              <w:t>天排放一次，排放量为</w:t>
            </w:r>
            <w:r>
              <w:rPr>
                <w:rFonts w:hint="eastAsia" w:cs="Times New Roman"/>
                <w:color w:val="auto"/>
                <w:sz w:val="24"/>
                <w:szCs w:val="24"/>
                <w:shd w:val="clear" w:color="auto" w:fill="FFFFFF"/>
                <w:lang w:val="en-US" w:eastAsia="zh-CN"/>
              </w:rPr>
              <w:t>3.48</w:t>
            </w:r>
            <w:r>
              <w:rPr>
                <w:rFonts w:ascii="Times New Roman" w:hAnsi="Times New Roman" w:eastAsia="宋体" w:cs="Times New Roman"/>
                <w:color w:val="auto"/>
                <w:sz w:val="24"/>
                <w:szCs w:val="24"/>
                <w:shd w:val="clear" w:color="auto" w:fill="FFFFFF"/>
              </w:rPr>
              <w:t>m</w:t>
            </w:r>
            <w:r>
              <w:rPr>
                <w:rFonts w:ascii="Times New Roman" w:hAnsi="Times New Roman" w:eastAsia="宋体" w:cs="Times New Roman"/>
                <w:color w:val="auto"/>
                <w:sz w:val="24"/>
                <w:szCs w:val="24"/>
                <w:shd w:val="clear" w:color="auto" w:fill="FFFFFF"/>
                <w:vertAlign w:val="superscript"/>
              </w:rPr>
              <w:t>3</w:t>
            </w:r>
            <w:r>
              <w:rPr>
                <w:rFonts w:ascii="Times New Roman" w:hAnsi="Times New Roman" w:eastAsia="宋体" w:cs="Times New Roman"/>
                <w:color w:val="auto"/>
                <w:sz w:val="24"/>
                <w:szCs w:val="24"/>
                <w:shd w:val="clear" w:color="auto" w:fill="FFFFFF"/>
              </w:rPr>
              <w:t>/d</w:t>
            </w:r>
            <w:r>
              <w:rPr>
                <w:rFonts w:hint="eastAsia" w:ascii="Times New Roman" w:hAnsi="Times New Roman" w:eastAsia="宋体" w:cs="Times New Roman"/>
                <w:color w:val="auto"/>
                <w:sz w:val="24"/>
                <w:szCs w:val="24"/>
                <w:shd w:val="clear" w:color="auto" w:fill="FFFFFF"/>
              </w:rPr>
              <w:t>（</w:t>
            </w:r>
            <w:r>
              <w:rPr>
                <w:rFonts w:hint="eastAsia" w:cs="Times New Roman"/>
                <w:color w:val="auto"/>
                <w:sz w:val="24"/>
                <w:szCs w:val="24"/>
                <w:shd w:val="clear" w:color="auto" w:fill="FFFFFF"/>
                <w:lang w:val="en-US" w:eastAsia="zh-CN"/>
              </w:rPr>
              <w:t>1270.2</w:t>
            </w:r>
            <w:r>
              <w:rPr>
                <w:rFonts w:ascii="Times New Roman" w:hAnsi="Times New Roman" w:eastAsia="宋体" w:cs="Times New Roman"/>
                <w:color w:val="auto"/>
                <w:sz w:val="24"/>
                <w:szCs w:val="24"/>
                <w:shd w:val="clear" w:color="auto" w:fill="FFFFFF"/>
              </w:rPr>
              <w:t>m</w:t>
            </w:r>
            <w:r>
              <w:rPr>
                <w:rFonts w:ascii="Times New Roman" w:hAnsi="Times New Roman" w:eastAsia="宋体" w:cs="Times New Roman"/>
                <w:color w:val="auto"/>
                <w:sz w:val="24"/>
                <w:szCs w:val="24"/>
                <w:shd w:val="clear" w:color="auto" w:fill="FFFFFF"/>
                <w:vertAlign w:val="superscript"/>
              </w:rPr>
              <w:t>3</w:t>
            </w:r>
            <w:r>
              <w:rPr>
                <w:rFonts w:ascii="Times New Roman" w:hAnsi="Times New Roman" w:eastAsia="宋体" w:cs="Times New Roman"/>
                <w:color w:val="auto"/>
                <w:sz w:val="24"/>
                <w:szCs w:val="24"/>
                <w:shd w:val="clear" w:color="auto" w:fill="FFFFFF"/>
              </w:rPr>
              <w:t>/a</w:t>
            </w:r>
            <w:r>
              <w:rPr>
                <w:rFonts w:hint="eastAsia" w:ascii="Times New Roman" w:hAnsi="Times New Roman" w:eastAsia="宋体" w:cs="Times New Roman"/>
                <w:color w:val="auto"/>
                <w:sz w:val="24"/>
                <w:szCs w:val="24"/>
                <w:shd w:val="clear" w:color="auto" w:fill="FFFFFF"/>
              </w:rPr>
              <w:t>），娱乐废水共计</w:t>
            </w:r>
            <w:r>
              <w:rPr>
                <w:rFonts w:hint="eastAsia" w:cs="Times New Roman"/>
                <w:color w:val="auto"/>
                <w:sz w:val="24"/>
                <w:szCs w:val="24"/>
                <w:lang w:val="en-US" w:eastAsia="zh-CN"/>
              </w:rPr>
              <w:t>12468.4</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/a</w:t>
            </w:r>
            <w:r>
              <w:rPr>
                <w:rFonts w:hint="eastAsia" w:ascii="Times New Roman" w:hAnsi="Times New Roman" w:eastAsia="宋体" w:cs="Times New Roman"/>
                <w:color w:val="auto"/>
                <w:sz w:val="24"/>
                <w:szCs w:val="24"/>
                <w:shd w:val="clear" w:color="auto" w:fill="FFFFFF"/>
              </w:rPr>
              <w:t>。</w:t>
            </w:r>
            <w:r>
              <w:rPr>
                <w:rFonts w:ascii="Times New Roman" w:hAnsi="Times New Roman" w:eastAsia="宋体" w:cs="Times New Roman"/>
                <w:color w:val="auto"/>
                <w:sz w:val="24"/>
                <w:szCs w:val="24"/>
                <w:shd w:val="clear" w:color="auto" w:fill="FFFFFF"/>
              </w:rPr>
              <w:t>通过采取上述措施后，本项目游乐设施用水经循环净化系统处理后</w:t>
            </w:r>
            <w:r>
              <w:rPr>
                <w:rFonts w:hint="eastAsia" w:cs="Times New Roman"/>
                <w:color w:val="auto"/>
                <w:sz w:val="24"/>
                <w:szCs w:val="24"/>
                <w:shd w:val="clear" w:color="auto" w:fill="FFFFFF"/>
                <w:lang w:val="en-US" w:eastAsia="zh-CN"/>
              </w:rPr>
              <w:t>回用</w:t>
            </w:r>
            <w:r>
              <w:rPr>
                <w:rFonts w:ascii="Times New Roman" w:hAnsi="Times New Roman" w:eastAsia="宋体" w:cs="Times New Roman"/>
                <w:color w:val="auto"/>
                <w:sz w:val="24"/>
                <w:szCs w:val="24"/>
                <w:shd w:val="clear" w:color="auto" w:fill="FFFFFF"/>
              </w:rPr>
              <w:t>，</w:t>
            </w:r>
            <w:r>
              <w:rPr>
                <w:rFonts w:hint="eastAsia" w:cs="Times New Roman"/>
                <w:color w:val="auto"/>
                <w:sz w:val="24"/>
                <w:szCs w:val="24"/>
                <w:shd w:val="clear" w:color="auto" w:fill="FFFFFF"/>
                <w:lang w:val="en-US" w:eastAsia="zh-CN"/>
              </w:rPr>
              <w:t>该措施可行。</w:t>
            </w:r>
          </w:p>
          <w:p>
            <w:pPr>
              <w:widowControl w:val="0"/>
              <w:adjustRightInd w:val="0"/>
              <w:snapToGrid w:val="0"/>
              <w:spacing w:line="360" w:lineRule="auto"/>
              <w:ind w:firstLine="482" w:firstLineChars="200"/>
              <w:jc w:val="both"/>
              <w:rPr>
                <w:rFonts w:hint="eastAsia"/>
                <w:b/>
                <w:bCs/>
                <w:color w:val="auto"/>
                <w:sz w:val="24"/>
                <w:szCs w:val="24"/>
                <w:lang w:val="en-US" w:eastAsia="zh-CN"/>
              </w:rPr>
            </w:pPr>
            <w:r>
              <w:rPr>
                <w:rFonts w:hint="eastAsia"/>
                <w:b/>
                <w:bCs/>
                <w:color w:val="auto"/>
                <w:sz w:val="24"/>
                <w:szCs w:val="24"/>
                <w:lang w:val="en-US" w:eastAsia="zh-CN"/>
              </w:rPr>
              <w:t>2.3污水处理厂接纳项目污水可行性分析</w:t>
            </w:r>
          </w:p>
          <w:p>
            <w:pPr>
              <w:widowControl w:val="0"/>
              <w:adjustRightInd w:val="0"/>
              <w:snapToGrid w:val="0"/>
              <w:spacing w:line="360" w:lineRule="auto"/>
              <w:ind w:firstLine="480" w:firstLineChars="200"/>
              <w:jc w:val="both"/>
              <w:rPr>
                <w:rFonts w:hint="eastAsia"/>
                <w:color w:val="auto"/>
                <w:sz w:val="24"/>
                <w:szCs w:val="24"/>
                <w:lang w:val="en-US" w:eastAsia="zh-CN"/>
              </w:rPr>
            </w:pPr>
            <w:r>
              <w:rPr>
                <w:rFonts w:hint="eastAsia" w:ascii="Times New Roman" w:hAnsi="Times New Roman" w:eastAsia="宋体" w:cs="Times New Roman"/>
                <w:color w:val="auto"/>
                <w:sz w:val="24"/>
                <w:szCs w:val="24"/>
                <w:shd w:val="clear" w:color="auto" w:fill="FFFFFF"/>
                <w:lang w:val="en-US" w:eastAsia="zh-CN"/>
              </w:rPr>
              <w:t>泾河新城第三污水处理厂位于泾河新城高庄镇寿平村。是采用</w:t>
            </w:r>
            <w:r>
              <w:rPr>
                <w:rFonts w:hint="default" w:ascii="Times New Roman" w:hAnsi="Times New Roman" w:eastAsia="宋体" w:cs="Times New Roman"/>
                <w:color w:val="auto"/>
                <w:sz w:val="24"/>
                <w:szCs w:val="24"/>
                <w:shd w:val="clear" w:color="auto" w:fill="FFFFFF"/>
                <w:lang w:val="en-US" w:eastAsia="zh-CN"/>
              </w:rPr>
              <w:t>BOT模式投资建设并运营管理，总投资6006.34万元，</w:t>
            </w:r>
            <w:r>
              <w:rPr>
                <w:rFonts w:hint="eastAsia" w:ascii="Times New Roman" w:hAnsi="Times New Roman" w:eastAsia="宋体" w:cs="Times New Roman"/>
                <w:color w:val="auto"/>
                <w:sz w:val="24"/>
                <w:szCs w:val="24"/>
                <w:shd w:val="clear" w:color="auto" w:fill="FFFFFF"/>
                <w:lang w:val="en-US" w:eastAsia="zh-CN"/>
              </w:rPr>
              <w:t>服务范围包括泾河以南、茶马大道以东，规划东边界以西及南边界以北围合的范围，总服务面积约</w:t>
            </w:r>
            <w:r>
              <w:rPr>
                <w:rFonts w:hint="default" w:ascii="Times New Roman" w:hAnsi="Times New Roman" w:eastAsia="宋体" w:cs="Times New Roman"/>
                <w:color w:val="auto"/>
                <w:sz w:val="24"/>
                <w:szCs w:val="24"/>
                <w:shd w:val="clear" w:color="auto" w:fill="FFFFFF"/>
                <w:lang w:val="en-US" w:eastAsia="zh-CN"/>
              </w:rPr>
              <w:t>1758公顷。设计总规模为处理城市生活污水</w:t>
            </w:r>
            <w:r>
              <w:rPr>
                <w:rFonts w:hint="eastAsia" w:cs="Times New Roman"/>
                <w:color w:val="auto"/>
                <w:sz w:val="24"/>
                <w:szCs w:val="24"/>
                <w:shd w:val="clear" w:color="auto" w:fill="FFFFFF"/>
                <w:lang w:val="en-US" w:eastAsia="zh-CN"/>
              </w:rPr>
              <w:t>6.5</w:t>
            </w:r>
            <w:r>
              <w:rPr>
                <w:rFonts w:hint="default" w:ascii="Times New Roman" w:hAnsi="Times New Roman" w:eastAsia="宋体" w:cs="Times New Roman"/>
                <w:color w:val="auto"/>
                <w:sz w:val="24"/>
                <w:szCs w:val="24"/>
                <w:shd w:val="clear" w:color="auto" w:fill="FFFFFF"/>
                <w:lang w:val="en-US" w:eastAsia="zh-CN"/>
              </w:rPr>
              <w:t>万</w:t>
            </w:r>
            <w:r>
              <w:rPr>
                <w:rFonts w:hint="eastAsia" w:cs="Times New Roman"/>
                <w:color w:val="auto"/>
                <w:sz w:val="24"/>
                <w:szCs w:val="24"/>
                <w:shd w:val="clear" w:color="auto" w:fill="FFFFFF"/>
                <w:lang w:val="en-US" w:eastAsia="zh-CN"/>
              </w:rPr>
              <w:t>t</w:t>
            </w:r>
            <w:r>
              <w:rPr>
                <w:rFonts w:hint="default" w:ascii="Times New Roman" w:hAnsi="Times New Roman" w:eastAsia="宋体" w:cs="Times New Roman"/>
                <w:color w:val="auto"/>
                <w:sz w:val="24"/>
                <w:szCs w:val="24"/>
                <w:shd w:val="clear" w:color="auto" w:fill="FFFFFF"/>
                <w:lang w:val="en-US" w:eastAsia="zh-CN"/>
              </w:rPr>
              <w:t>/日，项目分两期建设，一期规模2万</w:t>
            </w:r>
            <w:r>
              <w:rPr>
                <w:rFonts w:hint="eastAsia" w:cs="Times New Roman"/>
                <w:color w:val="auto"/>
                <w:sz w:val="24"/>
                <w:szCs w:val="24"/>
                <w:shd w:val="clear" w:color="auto" w:fill="FFFFFF"/>
                <w:lang w:val="en-US" w:eastAsia="zh-CN"/>
              </w:rPr>
              <w:t>t</w:t>
            </w:r>
            <w:r>
              <w:rPr>
                <w:rFonts w:hint="default" w:ascii="Times New Roman" w:hAnsi="Times New Roman" w:eastAsia="宋体" w:cs="Times New Roman"/>
                <w:color w:val="auto"/>
                <w:sz w:val="24"/>
                <w:szCs w:val="24"/>
                <w:shd w:val="clear" w:color="auto" w:fill="FFFFFF"/>
                <w:lang w:val="en-US" w:eastAsia="zh-CN"/>
              </w:rPr>
              <w:t>/日，项目于2016年3月31日开工，2017年1月15日正式进水调试，2017年3月项目全面完工</w:t>
            </w:r>
            <w:r>
              <w:rPr>
                <w:rFonts w:hint="eastAsia" w:ascii="Times New Roman" w:hAnsi="Times New Roman" w:eastAsia="宋体" w:cs="Times New Roman"/>
                <w:color w:val="auto"/>
                <w:sz w:val="24"/>
                <w:szCs w:val="24"/>
                <w:shd w:val="clear" w:color="auto" w:fill="FFFFFF"/>
                <w:lang w:val="en-US" w:eastAsia="zh-CN"/>
              </w:rPr>
              <w:t>投入营运，</w:t>
            </w:r>
            <w:r>
              <w:rPr>
                <w:rFonts w:hint="default" w:ascii="Times New Roman" w:hAnsi="Times New Roman" w:eastAsia="宋体" w:cs="Times New Roman"/>
                <w:color w:val="auto"/>
                <w:sz w:val="24"/>
                <w:szCs w:val="24"/>
                <w:shd w:val="clear" w:color="auto" w:fill="FFFFFF"/>
                <w:lang w:val="en-US" w:eastAsia="zh-CN"/>
              </w:rPr>
              <w:t>污水处理采用A</w:t>
            </w:r>
            <w:r>
              <w:rPr>
                <w:rFonts w:hint="default" w:ascii="Times New Roman" w:hAnsi="Times New Roman" w:eastAsia="宋体" w:cs="Times New Roman"/>
                <w:color w:val="auto"/>
                <w:sz w:val="24"/>
                <w:szCs w:val="24"/>
                <w:shd w:val="clear" w:color="auto" w:fill="FFFFFF"/>
                <w:vertAlign w:val="superscript"/>
                <w:lang w:val="en-US" w:eastAsia="zh-CN"/>
              </w:rPr>
              <w:t>2</w:t>
            </w:r>
            <w:r>
              <w:rPr>
                <w:rFonts w:hint="default" w:ascii="Times New Roman" w:hAnsi="Times New Roman" w:eastAsia="宋体" w:cs="Times New Roman"/>
                <w:color w:val="auto"/>
                <w:sz w:val="24"/>
                <w:szCs w:val="24"/>
                <w:shd w:val="clear" w:color="auto" w:fill="FFFFFF"/>
                <w:lang w:val="en-US" w:eastAsia="zh-CN"/>
              </w:rPr>
              <w:t>O工艺，排水执行GB18918-2002《城镇污水处理厂污染物排放标准》中一级A类标准。污水处理厂出水最终流入泾河。</w:t>
            </w:r>
            <w:r>
              <w:rPr>
                <w:rFonts w:hint="eastAsia"/>
                <w:color w:val="auto"/>
                <w:sz w:val="24"/>
                <w:szCs w:val="24"/>
                <w:lang w:val="en-US" w:eastAsia="zh-CN"/>
              </w:rPr>
              <w:t>项目所在地位于该污水处理厂的收纳范围内，项目废水</w:t>
            </w:r>
            <w:r>
              <w:rPr>
                <w:rFonts w:hint="eastAsia"/>
                <w:color w:val="auto"/>
                <w:sz w:val="24"/>
                <w:szCs w:val="24"/>
                <w:lang w:val="en-GB" w:eastAsia="zh-CN"/>
              </w:rPr>
              <w:t>经预处理后的水质满足污水处理厂进水水质要求。</w:t>
            </w:r>
            <w:r>
              <w:rPr>
                <w:rFonts w:hint="eastAsia"/>
                <w:color w:val="auto"/>
                <w:sz w:val="24"/>
                <w:szCs w:val="24"/>
                <w:lang w:val="en-US" w:eastAsia="zh-CN"/>
              </w:rPr>
              <w:t>目前</w:t>
            </w:r>
            <w:r>
              <w:rPr>
                <w:rFonts w:hint="eastAsia" w:ascii="Times New Roman" w:hAnsi="Times New Roman" w:eastAsia="宋体" w:cs="Times New Roman"/>
                <w:color w:val="auto"/>
                <w:sz w:val="24"/>
                <w:szCs w:val="24"/>
                <w:shd w:val="clear" w:color="auto" w:fill="FFFFFF"/>
                <w:lang w:val="en-US" w:eastAsia="zh-CN"/>
              </w:rPr>
              <w:t>泾河新城第三污水处理厂</w:t>
            </w:r>
            <w:r>
              <w:rPr>
                <w:rFonts w:hint="eastAsia" w:cs="Times New Roman"/>
                <w:color w:val="auto"/>
                <w:sz w:val="24"/>
                <w:szCs w:val="24"/>
                <w:shd w:val="clear" w:color="auto" w:fill="FFFFFF"/>
                <w:lang w:val="en-US" w:eastAsia="zh-CN"/>
              </w:rPr>
              <w:t>还有余量8000m</w:t>
            </w:r>
            <w:r>
              <w:rPr>
                <w:rFonts w:hint="eastAsia" w:cs="Times New Roman"/>
                <w:color w:val="auto"/>
                <w:sz w:val="24"/>
                <w:szCs w:val="24"/>
                <w:shd w:val="clear" w:color="auto" w:fill="FFFFFF"/>
                <w:vertAlign w:val="superscript"/>
                <w:lang w:val="en-US" w:eastAsia="zh-CN"/>
              </w:rPr>
              <w:t>3</w:t>
            </w:r>
            <w:r>
              <w:rPr>
                <w:rFonts w:hint="eastAsia" w:cs="Times New Roman"/>
                <w:color w:val="auto"/>
                <w:sz w:val="24"/>
                <w:szCs w:val="24"/>
                <w:shd w:val="clear" w:color="auto" w:fill="FFFFFF"/>
                <w:lang w:val="en-US" w:eastAsia="zh-CN"/>
              </w:rPr>
              <w:t>/d，本项目污水产生最大量为948.68m</w:t>
            </w:r>
            <w:r>
              <w:rPr>
                <w:rFonts w:hint="eastAsia" w:cs="Times New Roman"/>
                <w:color w:val="auto"/>
                <w:sz w:val="24"/>
                <w:szCs w:val="24"/>
                <w:shd w:val="clear" w:color="auto" w:fill="FFFFFF"/>
                <w:vertAlign w:val="superscript"/>
                <w:lang w:val="en-US" w:eastAsia="zh-CN"/>
              </w:rPr>
              <w:t>3</w:t>
            </w:r>
            <w:r>
              <w:rPr>
                <w:rFonts w:hint="eastAsia" w:cs="Times New Roman"/>
                <w:color w:val="auto"/>
                <w:sz w:val="24"/>
                <w:szCs w:val="24"/>
                <w:shd w:val="clear" w:color="auto" w:fill="FFFFFF"/>
                <w:lang w:val="en-US" w:eastAsia="zh-CN"/>
              </w:rPr>
              <w:t>/d，污水厂可容纳本项目废水量，本项目营运时间为2022年12月，若营运期时污水厂一期工程余量不足，</w:t>
            </w:r>
            <w:r>
              <w:rPr>
                <w:rFonts w:hint="eastAsia"/>
                <w:color w:val="auto"/>
                <w:sz w:val="24"/>
                <w:szCs w:val="24"/>
                <w:lang w:val="en-US" w:eastAsia="zh-CN"/>
              </w:rPr>
              <w:t>根据咨询泾河新城相关管理部门可知，由泾河新城负责，会同秦汉新城，将尽快启动泾河新城第三污水厂（二期）（规模为4.5万m</w:t>
            </w:r>
            <w:r>
              <w:rPr>
                <w:rFonts w:hint="eastAsia"/>
                <w:color w:val="auto"/>
                <w:sz w:val="24"/>
                <w:szCs w:val="24"/>
                <w:vertAlign w:val="superscript"/>
                <w:lang w:val="en-US" w:eastAsia="zh-CN"/>
              </w:rPr>
              <w:t>3</w:t>
            </w:r>
            <w:r>
              <w:rPr>
                <w:rFonts w:hint="eastAsia"/>
                <w:color w:val="auto"/>
                <w:sz w:val="24"/>
                <w:szCs w:val="24"/>
                <w:lang w:val="en-US" w:eastAsia="zh-CN"/>
              </w:rPr>
              <w:t>/d）及配套工程建设，预计污水厂二期工程2022年10月投入营运，可确保本项目营运期废水进入城市污水厂处理，</w:t>
            </w:r>
            <w:r>
              <w:rPr>
                <w:rFonts w:hint="eastAsia"/>
                <w:color w:val="auto"/>
                <w:sz w:val="24"/>
                <w:szCs w:val="24"/>
                <w:lang w:val="en-GB" w:eastAsia="zh-CN"/>
              </w:rPr>
              <w:t>可见，</w:t>
            </w:r>
            <w:r>
              <w:rPr>
                <w:rFonts w:hint="eastAsia"/>
                <w:color w:val="auto"/>
                <w:sz w:val="24"/>
                <w:szCs w:val="24"/>
                <w:lang w:val="en-US" w:eastAsia="zh-CN"/>
              </w:rPr>
              <w:t>本项目废水处理依托泾河第三污水处理厂是可行、可靠的。</w:t>
            </w:r>
          </w:p>
          <w:p>
            <w:pPr>
              <w:widowControl w:val="0"/>
              <w:adjustRightInd w:val="0"/>
              <w:snapToGrid w:val="0"/>
              <w:spacing w:line="360" w:lineRule="auto"/>
              <w:ind w:firstLine="480" w:firstLineChars="200"/>
              <w:jc w:val="both"/>
              <w:rPr>
                <w:rFonts w:hint="eastAsia" w:ascii="Times New Roman" w:hAnsi="Times New Roman" w:eastAsia="宋体" w:cs="Times New Roman"/>
                <w:color w:val="auto"/>
                <w:sz w:val="24"/>
                <w:szCs w:val="24"/>
                <w:shd w:val="clear" w:color="auto" w:fill="FFFFFF"/>
                <w:lang w:val="en-US" w:eastAsia="zh-CN"/>
              </w:rPr>
            </w:pPr>
            <w:r>
              <w:rPr>
                <w:rFonts w:hint="eastAsia" w:cs="Times New Roman"/>
                <w:color w:val="auto"/>
                <w:sz w:val="24"/>
                <w:szCs w:val="24"/>
                <w:shd w:val="clear" w:color="auto" w:fill="FFFFFF"/>
                <w:lang w:val="en-US" w:eastAsia="zh-CN"/>
              </w:rPr>
              <w:t>建议：</w:t>
            </w:r>
            <w:r>
              <w:rPr>
                <w:rFonts w:hint="eastAsia" w:ascii="Times New Roman" w:hAnsi="Times New Roman" w:eastAsia="宋体" w:cs="Times New Roman"/>
                <w:color w:val="auto"/>
                <w:sz w:val="24"/>
                <w:szCs w:val="24"/>
                <w:shd w:val="clear" w:color="auto" w:fill="FFFFFF"/>
                <w:lang w:val="en-US" w:eastAsia="zh-CN"/>
              </w:rPr>
              <w:t>西咸新区是海绵城市试点区域，</w:t>
            </w:r>
            <w:r>
              <w:rPr>
                <w:rFonts w:hint="eastAsia" w:cs="Times New Roman"/>
                <w:color w:val="auto"/>
                <w:sz w:val="24"/>
                <w:szCs w:val="24"/>
                <w:shd w:val="clear" w:color="auto" w:fill="FFFFFF"/>
                <w:lang w:val="en-US" w:eastAsia="zh-CN"/>
              </w:rPr>
              <w:t>环评建议本</w:t>
            </w:r>
            <w:r>
              <w:rPr>
                <w:rFonts w:hint="eastAsia" w:ascii="Times New Roman" w:hAnsi="Times New Roman" w:eastAsia="宋体" w:cs="Times New Roman"/>
                <w:color w:val="auto"/>
                <w:sz w:val="24"/>
                <w:szCs w:val="24"/>
                <w:shd w:val="clear" w:color="auto" w:fill="FFFFFF"/>
                <w:lang w:val="en-US" w:eastAsia="zh-CN"/>
              </w:rPr>
              <w:t>项目区的道路、广场应按照海绵城市要求设计和建设</w:t>
            </w:r>
            <w:r>
              <w:rPr>
                <w:rFonts w:hint="eastAsia" w:cs="Times New Roman"/>
                <w:color w:val="auto"/>
                <w:sz w:val="24"/>
                <w:szCs w:val="24"/>
                <w:shd w:val="clear" w:color="auto" w:fill="FFFFFF"/>
                <w:lang w:val="en-US" w:eastAsia="zh-CN"/>
              </w:rPr>
              <w:t>，建议对雨水进行收集，处理后用于绿化用水，</w:t>
            </w:r>
            <w:r>
              <w:rPr>
                <w:rFonts w:hint="eastAsia" w:ascii="Times New Roman" w:hAnsi="Times New Roman" w:eastAsia="宋体" w:cs="Times New Roman"/>
                <w:color w:val="auto"/>
                <w:sz w:val="24"/>
                <w:szCs w:val="24"/>
                <w:shd w:val="clear" w:color="auto" w:fill="FFFFFF"/>
                <w:lang w:val="en-US" w:eastAsia="zh-CN"/>
              </w:rPr>
              <w:t>项目占地面积大，需水量大，</w:t>
            </w:r>
            <w:r>
              <w:rPr>
                <w:rFonts w:hint="eastAsia" w:cs="Times New Roman"/>
                <w:color w:val="auto"/>
                <w:sz w:val="24"/>
                <w:szCs w:val="24"/>
                <w:shd w:val="clear" w:color="auto" w:fill="FFFFFF"/>
                <w:lang w:val="en-US" w:eastAsia="zh-CN"/>
              </w:rPr>
              <w:t>从</w:t>
            </w:r>
            <w:r>
              <w:rPr>
                <w:rFonts w:hint="eastAsia" w:ascii="Times New Roman" w:hAnsi="Times New Roman" w:eastAsia="宋体" w:cs="Times New Roman"/>
                <w:color w:val="auto"/>
                <w:sz w:val="24"/>
                <w:szCs w:val="24"/>
                <w:shd w:val="clear" w:color="auto" w:fill="FFFFFF"/>
                <w:lang w:val="en-US" w:eastAsia="zh-CN"/>
              </w:rPr>
              <w:t>节水、中水回用</w:t>
            </w:r>
            <w:r>
              <w:rPr>
                <w:rFonts w:hint="eastAsia" w:cs="Times New Roman"/>
                <w:color w:val="auto"/>
                <w:sz w:val="24"/>
                <w:szCs w:val="24"/>
                <w:shd w:val="clear" w:color="auto" w:fill="FFFFFF"/>
                <w:lang w:val="en-US" w:eastAsia="zh-CN"/>
              </w:rPr>
              <w:t>角度考虑</w:t>
            </w:r>
            <w:r>
              <w:rPr>
                <w:rFonts w:hint="eastAsia" w:ascii="Times New Roman" w:hAnsi="Times New Roman" w:eastAsia="宋体" w:cs="Times New Roman"/>
                <w:color w:val="auto"/>
                <w:sz w:val="24"/>
                <w:szCs w:val="24"/>
                <w:shd w:val="clear" w:color="auto" w:fill="FFFFFF"/>
                <w:lang w:val="en-US" w:eastAsia="zh-CN"/>
              </w:rPr>
              <w:t>，</w:t>
            </w:r>
            <w:r>
              <w:rPr>
                <w:rFonts w:hint="eastAsia" w:cs="Times New Roman"/>
                <w:color w:val="auto"/>
                <w:sz w:val="24"/>
                <w:szCs w:val="24"/>
                <w:shd w:val="clear" w:color="auto" w:fill="FFFFFF"/>
                <w:lang w:val="en-US" w:eastAsia="zh-CN"/>
              </w:rPr>
              <w:t>项目地预留</w:t>
            </w:r>
            <w:r>
              <w:rPr>
                <w:rFonts w:hint="eastAsia" w:ascii="Times New Roman" w:hAnsi="Times New Roman" w:eastAsia="宋体" w:cs="Times New Roman"/>
                <w:color w:val="auto"/>
                <w:sz w:val="24"/>
                <w:szCs w:val="24"/>
                <w:shd w:val="clear" w:color="auto" w:fill="FFFFFF"/>
                <w:lang w:val="en-US" w:eastAsia="zh-CN"/>
              </w:rPr>
              <w:t>雨水收集回用系统、预留中水回用接口等。</w:t>
            </w:r>
          </w:p>
          <w:p>
            <w:pPr>
              <w:widowControl w:val="0"/>
              <w:adjustRightInd w:val="0"/>
              <w:snapToGrid w:val="0"/>
              <w:spacing w:line="360" w:lineRule="auto"/>
              <w:ind w:firstLine="480" w:firstLineChars="200"/>
              <w:jc w:val="both"/>
              <w:rPr>
                <w:rFonts w:hint="eastAsia" w:ascii="Times New Roman" w:hAnsi="Times New Roman" w:eastAsia="宋体" w:cs="Times New Roman"/>
                <w:b/>
                <w:bCs/>
                <w:color w:val="auto"/>
                <w:sz w:val="24"/>
                <w:szCs w:val="24"/>
                <w:shd w:val="clear" w:color="auto" w:fill="FFFFFF"/>
                <w:lang w:val="en-US" w:eastAsia="zh-CN"/>
              </w:rPr>
            </w:pPr>
            <w:r>
              <w:rPr>
                <w:rFonts w:hint="eastAsia" w:ascii="Times New Roman" w:hAnsi="Times New Roman" w:eastAsia="宋体" w:cs="Times New Roman"/>
                <w:b/>
                <w:bCs/>
                <w:color w:val="auto"/>
                <w:sz w:val="24"/>
                <w:szCs w:val="24"/>
                <w:shd w:val="clear" w:color="auto" w:fill="FFFFFF"/>
                <w:lang w:val="en-US" w:eastAsia="zh-CN"/>
              </w:rPr>
              <w:t>3、声环境保护措施</w:t>
            </w:r>
          </w:p>
          <w:p>
            <w:pPr>
              <w:widowControl w:val="0"/>
              <w:adjustRightInd w:val="0"/>
              <w:snapToGrid w:val="0"/>
              <w:spacing w:line="360" w:lineRule="auto"/>
              <w:ind w:firstLine="480" w:firstLineChars="200"/>
              <w:jc w:val="both"/>
              <w:rPr>
                <w:rFonts w:hint="eastAsia" w:ascii="Times New Roman" w:hAnsi="Times New Roman" w:eastAsia="宋体" w:cs="Times New Roman"/>
                <w:color w:val="auto"/>
                <w:sz w:val="24"/>
                <w:szCs w:val="24"/>
                <w:shd w:val="clear" w:color="auto" w:fill="FFFFFF"/>
                <w:lang w:val="en-US" w:eastAsia="zh-CN"/>
              </w:rPr>
            </w:pPr>
            <w:r>
              <w:rPr>
                <w:rFonts w:hint="eastAsia" w:ascii="Times New Roman" w:hAnsi="Times New Roman" w:eastAsia="宋体" w:cs="Times New Roman"/>
                <w:color w:val="auto"/>
                <w:sz w:val="24"/>
                <w:szCs w:val="24"/>
                <w:shd w:val="clear" w:color="auto" w:fill="FFFFFF"/>
                <w:lang w:val="en-US" w:eastAsia="zh-CN"/>
              </w:rPr>
              <w:t>噪声防治措施如下：</w:t>
            </w:r>
          </w:p>
          <w:p>
            <w:pPr>
              <w:widowControl w:val="0"/>
              <w:adjustRightInd w:val="0"/>
              <w:snapToGrid w:val="0"/>
              <w:spacing w:line="360" w:lineRule="auto"/>
              <w:ind w:firstLine="480" w:firstLineChars="200"/>
              <w:jc w:val="both"/>
              <w:rPr>
                <w:rFonts w:hint="eastAsia" w:ascii="Times New Roman" w:hAnsi="Times New Roman" w:eastAsia="宋体" w:cs="Times New Roman"/>
                <w:color w:val="auto"/>
                <w:sz w:val="24"/>
                <w:szCs w:val="24"/>
                <w:shd w:val="clear" w:color="auto" w:fill="FFFFFF"/>
                <w:lang w:val="en-US" w:eastAsia="zh-CN"/>
              </w:rPr>
            </w:pPr>
            <w:r>
              <w:rPr>
                <w:rFonts w:hint="eastAsia" w:ascii="Times New Roman" w:hAnsi="Times New Roman" w:eastAsia="宋体" w:cs="Times New Roman"/>
                <w:color w:val="auto"/>
                <w:sz w:val="24"/>
                <w:szCs w:val="24"/>
                <w:shd w:val="clear" w:color="auto" w:fill="FFFFFF"/>
                <w:lang w:val="en-US" w:eastAsia="zh-CN"/>
              </w:rPr>
              <w:t>（1）企业应合理规划园区内各建筑物的布局，尽量将噪声较高的建筑物布置在园区中心位置。严格各功能区块分界线，功能区之间保留绿化隔离防护带，减少设备运营对外环境产生的噪声。项目周边进行合理的绿化设计，形成乔、灌、草复层绿化屏障，选择吸声能力强的树种，可起到较好的减噪效果，以减少噪声对周围环境的影响。</w:t>
            </w:r>
          </w:p>
          <w:p>
            <w:pPr>
              <w:numPr>
                <w:ilvl w:val="0"/>
                <w:numId w:val="0"/>
              </w:numPr>
              <w:spacing w:line="360" w:lineRule="auto"/>
              <w:ind w:firstLine="480"/>
              <w:rPr>
                <w:rFonts w:hint="eastAsia" w:ascii="Times New Roman" w:hAnsi="Times New Roman" w:cs="Times New Roman"/>
                <w:color w:val="auto"/>
                <w:kern w:val="0"/>
                <w:sz w:val="24"/>
                <w:lang w:val="en-US" w:eastAsia="zh-CN"/>
              </w:rPr>
            </w:pPr>
            <w:r>
              <w:rPr>
                <w:rFonts w:hint="eastAsia" w:cs="Times New Roman"/>
                <w:color w:val="auto"/>
                <w:kern w:val="0"/>
                <w:sz w:val="24"/>
                <w:lang w:val="en-US" w:eastAsia="zh-CN"/>
              </w:rPr>
              <w:t>（2）设备噪声防治措施</w:t>
            </w:r>
          </w:p>
          <w:p>
            <w:pPr>
              <w:numPr>
                <w:ilvl w:val="0"/>
                <w:numId w:val="0"/>
              </w:numPr>
              <w:spacing w:line="360" w:lineRule="auto"/>
              <w:ind w:firstLine="480"/>
              <w:rPr>
                <w:rFonts w:hint="eastAsia" w:cs="Times New Roman"/>
                <w:color w:val="auto"/>
                <w:kern w:val="0"/>
                <w:sz w:val="24"/>
                <w:lang w:val="en-US" w:eastAsia="zh-CN"/>
              </w:rPr>
            </w:pPr>
            <w:r>
              <w:rPr>
                <w:rFonts w:hint="eastAsia" w:cs="Times New Roman"/>
                <w:color w:val="auto"/>
                <w:kern w:val="0"/>
                <w:sz w:val="24"/>
                <w:lang w:val="en-US" w:eastAsia="zh-CN"/>
              </w:rPr>
              <w:t>①在总平面布置过程中将高噪声设备尽可能设置在远离噪声敏感点的地方；</w:t>
            </w:r>
          </w:p>
          <w:p>
            <w:pPr>
              <w:numPr>
                <w:ilvl w:val="0"/>
                <w:numId w:val="0"/>
              </w:numPr>
              <w:spacing w:line="360" w:lineRule="auto"/>
              <w:ind w:firstLine="480"/>
              <w:rPr>
                <w:rFonts w:hint="eastAsia" w:ascii="Times New Roman" w:hAnsi="Times New Roman" w:cs="Times New Roman"/>
                <w:color w:val="auto"/>
                <w:kern w:val="0"/>
                <w:sz w:val="24"/>
                <w:lang w:val="en-US" w:eastAsia="zh-CN"/>
              </w:rPr>
            </w:pPr>
            <w:r>
              <w:rPr>
                <w:rFonts w:hint="eastAsia" w:cs="Times New Roman"/>
                <w:color w:val="auto"/>
                <w:kern w:val="0"/>
                <w:sz w:val="24"/>
                <w:lang w:val="en-US" w:eastAsia="zh-CN"/>
              </w:rPr>
              <w:t>②</w:t>
            </w:r>
            <w:r>
              <w:rPr>
                <w:rFonts w:hint="eastAsia" w:ascii="Times New Roman" w:hAnsi="Times New Roman" w:cs="Times New Roman"/>
                <w:color w:val="auto"/>
                <w:kern w:val="0"/>
                <w:sz w:val="24"/>
                <w:lang w:val="en-US" w:eastAsia="zh-CN"/>
              </w:rPr>
              <w:t>选择低噪声设备；</w:t>
            </w:r>
          </w:p>
          <w:p>
            <w:pPr>
              <w:spacing w:line="360" w:lineRule="auto"/>
              <w:ind w:firstLine="480" w:firstLineChars="200"/>
              <w:rPr>
                <w:rFonts w:hint="eastAsia" w:ascii="Times New Roman" w:hAnsi="Times New Roman" w:cs="Times New Roman"/>
                <w:color w:val="auto"/>
                <w:kern w:val="0"/>
                <w:sz w:val="24"/>
                <w:lang w:val="en-US" w:eastAsia="zh-CN"/>
              </w:rPr>
            </w:pPr>
            <w:r>
              <w:rPr>
                <w:rFonts w:hint="eastAsia" w:cs="Times New Roman"/>
                <w:color w:val="auto"/>
                <w:kern w:val="0"/>
                <w:sz w:val="24"/>
                <w:lang w:val="en-US" w:eastAsia="zh-CN"/>
              </w:rPr>
              <w:t>③</w:t>
            </w:r>
            <w:r>
              <w:rPr>
                <w:rFonts w:hint="eastAsia" w:ascii="Times New Roman" w:hAnsi="Times New Roman" w:cs="Times New Roman"/>
                <w:color w:val="auto"/>
                <w:kern w:val="0"/>
                <w:sz w:val="24"/>
                <w:lang w:val="en-US" w:eastAsia="zh-CN"/>
              </w:rPr>
              <w:t>加强设备的维护保养，减少不良运行产生的设备噪声</w:t>
            </w:r>
            <w:r>
              <w:rPr>
                <w:rFonts w:hint="eastAsia" w:cs="Times New Roman"/>
                <w:color w:val="auto"/>
                <w:kern w:val="0"/>
                <w:sz w:val="24"/>
                <w:lang w:val="en-US" w:eastAsia="zh-CN"/>
              </w:rPr>
              <w:t>；</w:t>
            </w:r>
          </w:p>
          <w:p>
            <w:pPr>
              <w:spacing w:line="360" w:lineRule="auto"/>
              <w:ind w:firstLine="480" w:firstLineChars="200"/>
              <w:rPr>
                <w:rFonts w:hint="eastAsia" w:ascii="Times New Roman" w:hAnsi="Times New Roman" w:cs="Times New Roman"/>
                <w:color w:val="auto"/>
                <w:kern w:val="0"/>
                <w:sz w:val="24"/>
                <w:lang w:val="en-US" w:eastAsia="zh-CN"/>
              </w:rPr>
            </w:pPr>
            <w:r>
              <w:rPr>
                <w:rFonts w:hint="eastAsia" w:cs="Times New Roman"/>
                <w:color w:val="auto"/>
                <w:kern w:val="0"/>
                <w:sz w:val="24"/>
                <w:lang w:val="en-US" w:eastAsia="zh-CN"/>
              </w:rPr>
              <w:t>④</w:t>
            </w:r>
            <w:r>
              <w:rPr>
                <w:rFonts w:hint="eastAsia" w:ascii="Times New Roman" w:hAnsi="Times New Roman" w:cs="Times New Roman"/>
                <w:color w:val="auto"/>
                <w:kern w:val="0"/>
                <w:sz w:val="24"/>
                <w:lang w:val="en-US" w:eastAsia="zh-CN"/>
              </w:rPr>
              <w:t>设备放置于室内，起到隔声效果</w:t>
            </w:r>
            <w:r>
              <w:rPr>
                <w:rFonts w:hint="eastAsia" w:cs="Times New Roman"/>
                <w:color w:val="auto"/>
                <w:kern w:val="0"/>
                <w:sz w:val="24"/>
                <w:lang w:val="en-US" w:eastAsia="zh-CN"/>
              </w:rPr>
              <w:t>；</w:t>
            </w:r>
          </w:p>
          <w:p>
            <w:pPr>
              <w:spacing w:line="360" w:lineRule="auto"/>
              <w:ind w:firstLine="480" w:firstLineChars="200"/>
              <w:rPr>
                <w:rFonts w:hint="eastAsia" w:ascii="Times New Roman" w:hAnsi="Times New Roman" w:cs="Times New Roman"/>
                <w:color w:val="auto"/>
                <w:kern w:val="0"/>
                <w:sz w:val="24"/>
                <w:lang w:val="en-US" w:eastAsia="zh-CN"/>
              </w:rPr>
            </w:pPr>
            <w:r>
              <w:rPr>
                <w:rFonts w:hint="eastAsia" w:cs="Times New Roman"/>
                <w:color w:val="auto"/>
                <w:kern w:val="0"/>
                <w:sz w:val="24"/>
                <w:lang w:val="en-US" w:eastAsia="zh-CN"/>
              </w:rPr>
              <w:t>⑤</w:t>
            </w:r>
            <w:r>
              <w:rPr>
                <w:rFonts w:hint="eastAsia" w:ascii="Times New Roman" w:hAnsi="Times New Roman" w:cs="Times New Roman"/>
                <w:color w:val="auto"/>
                <w:kern w:val="0"/>
                <w:sz w:val="24"/>
                <w:lang w:val="en-US" w:eastAsia="zh-CN"/>
              </w:rPr>
              <w:t>对水泵等高噪声设备安装消声装置、隔声罩等；在设备的基础与地面之间安装减振垫，水泵进出口设可曲挠性软接头</w:t>
            </w:r>
            <w:r>
              <w:rPr>
                <w:rFonts w:hint="eastAsia" w:cs="Times New Roman"/>
                <w:color w:val="auto"/>
                <w:kern w:val="0"/>
                <w:sz w:val="24"/>
                <w:lang w:val="en-US" w:eastAsia="zh-CN"/>
              </w:rPr>
              <w:t>，</w:t>
            </w:r>
            <w:r>
              <w:rPr>
                <w:rFonts w:hint="eastAsia" w:ascii="Times New Roman" w:hAnsi="Times New Roman" w:cs="Times New Roman"/>
                <w:color w:val="auto"/>
                <w:kern w:val="0"/>
                <w:sz w:val="24"/>
                <w:lang w:val="en-US" w:eastAsia="zh-CN"/>
              </w:rPr>
              <w:t>减少机械振动产生的噪声污染；</w:t>
            </w:r>
          </w:p>
          <w:p>
            <w:pPr>
              <w:adjustRightInd w:val="0"/>
              <w:snapToGrid w:val="0"/>
              <w:spacing w:line="360" w:lineRule="auto"/>
              <w:ind w:firstLine="480" w:firstLineChars="200"/>
              <w:rPr>
                <w:rFonts w:hint="eastAsia"/>
                <w:color w:val="auto"/>
                <w:kern w:val="0"/>
                <w:sz w:val="24"/>
                <w:lang w:val="en-US" w:eastAsia="zh-CN"/>
              </w:rPr>
            </w:pPr>
            <w:r>
              <w:rPr>
                <w:rFonts w:hint="eastAsia"/>
                <w:color w:val="auto"/>
                <w:kern w:val="0"/>
                <w:sz w:val="24"/>
                <w:lang w:val="en-US" w:eastAsia="zh-CN"/>
              </w:rPr>
              <w:t>⑥风机安装消声装置，在进出口管道增加柔性接头；</w:t>
            </w:r>
          </w:p>
          <w:p>
            <w:pPr>
              <w:adjustRightInd w:val="0"/>
              <w:snapToGrid w:val="0"/>
              <w:spacing w:line="360" w:lineRule="auto"/>
              <w:ind w:firstLine="480" w:firstLineChars="200"/>
              <w:rPr>
                <w:rFonts w:hint="eastAsia"/>
                <w:color w:val="auto"/>
                <w:kern w:val="0"/>
                <w:sz w:val="24"/>
              </w:rPr>
            </w:pPr>
            <w:r>
              <w:rPr>
                <w:rFonts w:hint="eastAsia"/>
                <w:color w:val="auto"/>
                <w:kern w:val="0"/>
                <w:sz w:val="24"/>
                <w:lang w:val="en-US" w:eastAsia="zh-CN"/>
              </w:rPr>
              <w:t>⑦冷却塔</w:t>
            </w:r>
            <w:r>
              <w:rPr>
                <w:rFonts w:hint="eastAsia"/>
                <w:color w:val="auto"/>
                <w:kern w:val="0"/>
                <w:sz w:val="24"/>
              </w:rPr>
              <w:t>选用低噪声设备，安装隔振基础，四周做带消声进风口的隔声屏障，顶部安装出风消声器</w:t>
            </w:r>
            <w:r>
              <w:rPr>
                <w:rFonts w:hint="eastAsia"/>
                <w:color w:val="auto"/>
                <w:kern w:val="0"/>
                <w:sz w:val="24"/>
                <w:lang w:eastAsia="zh-CN"/>
              </w:rPr>
              <w:t>；</w:t>
            </w:r>
          </w:p>
          <w:p>
            <w:pPr>
              <w:adjustRightInd w:val="0"/>
              <w:snapToGrid w:val="0"/>
              <w:spacing w:line="360" w:lineRule="auto"/>
              <w:ind w:firstLine="480" w:firstLineChars="200"/>
              <w:rPr>
                <w:rFonts w:hint="eastAsia"/>
                <w:color w:val="auto"/>
                <w:kern w:val="0"/>
                <w:sz w:val="24"/>
              </w:rPr>
            </w:pPr>
            <w:r>
              <w:rPr>
                <w:rFonts w:hint="eastAsia"/>
                <w:color w:val="auto"/>
                <w:kern w:val="0"/>
                <w:sz w:val="24"/>
                <w:lang w:val="en-US" w:eastAsia="zh-CN"/>
              </w:rPr>
              <w:t>⑧</w:t>
            </w:r>
            <w:r>
              <w:rPr>
                <w:rFonts w:hint="eastAsia"/>
                <w:color w:val="auto"/>
                <w:kern w:val="0"/>
                <w:sz w:val="24"/>
              </w:rPr>
              <w:t>发电机设于</w:t>
            </w:r>
            <w:r>
              <w:rPr>
                <w:rFonts w:hint="eastAsia"/>
                <w:color w:val="auto"/>
                <w:kern w:val="0"/>
                <w:sz w:val="24"/>
                <w:lang w:val="en-US" w:eastAsia="zh-CN"/>
              </w:rPr>
              <w:t>设备房内</w:t>
            </w:r>
            <w:r>
              <w:rPr>
                <w:rFonts w:hint="eastAsia"/>
                <w:color w:val="auto"/>
                <w:kern w:val="0"/>
                <w:sz w:val="24"/>
              </w:rPr>
              <w:t>，设备房密闭隔音、安装隔音门、隔音窗等；设置防震支座和减震垫</w:t>
            </w:r>
            <w:r>
              <w:rPr>
                <w:rFonts w:hint="eastAsia"/>
                <w:color w:val="auto"/>
                <w:kern w:val="0"/>
                <w:sz w:val="24"/>
                <w:lang w:eastAsia="zh-CN"/>
              </w:rPr>
              <w:t>。</w:t>
            </w:r>
          </w:p>
          <w:p>
            <w:pPr>
              <w:spacing w:line="360" w:lineRule="auto"/>
              <w:ind w:firstLine="480" w:firstLineChars="200"/>
              <w:rPr>
                <w:rFonts w:ascii="宋体" w:hAnsi="宋体"/>
                <w:color w:val="auto"/>
                <w:sz w:val="24"/>
              </w:rPr>
            </w:pPr>
            <w:r>
              <w:rPr>
                <w:rFonts w:hint="eastAsia" w:ascii="宋体" w:hAnsi="宋体"/>
                <w:color w:val="auto"/>
                <w:sz w:val="24"/>
              </w:rPr>
              <w:t>通过各种噪声防治措施，加强娱乐活动噪声管理，可使项目排放噪声达到《社会生活环境噪声排放标准》（G</w:t>
            </w:r>
            <w:r>
              <w:rPr>
                <w:rFonts w:ascii="宋体" w:hAnsi="宋体"/>
                <w:color w:val="auto"/>
                <w:sz w:val="24"/>
              </w:rPr>
              <w:t>B22337-2008</w:t>
            </w:r>
            <w:r>
              <w:rPr>
                <w:rFonts w:hint="eastAsia" w:ascii="宋体" w:hAnsi="宋体"/>
                <w:color w:val="auto"/>
                <w:sz w:val="24"/>
              </w:rPr>
              <w:t>）中2</w:t>
            </w:r>
            <w:r>
              <w:rPr>
                <w:rFonts w:hint="eastAsia" w:ascii="宋体" w:hAnsi="宋体"/>
                <w:color w:val="auto"/>
                <w:sz w:val="24"/>
                <w:lang w:eastAsia="zh-CN"/>
              </w:rPr>
              <w:t>、</w:t>
            </w:r>
            <w:r>
              <w:rPr>
                <w:rFonts w:hint="eastAsia" w:ascii="宋体" w:hAnsi="宋体"/>
                <w:color w:val="auto"/>
                <w:sz w:val="24"/>
                <w:lang w:val="en-US" w:eastAsia="zh-CN"/>
              </w:rPr>
              <w:t>4</w:t>
            </w:r>
            <w:r>
              <w:rPr>
                <w:rFonts w:hint="eastAsia" w:ascii="宋体" w:hAnsi="宋体"/>
                <w:color w:val="auto"/>
                <w:sz w:val="24"/>
              </w:rPr>
              <w:t>类标准要求，对周围声环境影响不大。</w:t>
            </w:r>
          </w:p>
          <w:p>
            <w:pPr>
              <w:spacing w:line="360" w:lineRule="auto"/>
              <w:ind w:firstLine="480" w:firstLineChars="200"/>
              <w:rPr>
                <w:rFonts w:hint="default" w:ascii="Times New Roman" w:hAnsi="Times New Roman" w:cs="Times New Roman"/>
                <w:b/>
                <w:bCs/>
                <w:color w:val="auto"/>
                <w:sz w:val="24"/>
                <w:lang w:val="en-US" w:eastAsia="zh-CN"/>
              </w:rPr>
            </w:pPr>
            <w:r>
              <w:rPr>
                <w:rFonts w:hint="default" w:ascii="Times New Roman" w:hAnsi="Times New Roman" w:cs="Times New Roman"/>
                <w:b/>
                <w:bCs/>
                <w:color w:val="auto"/>
                <w:sz w:val="24"/>
                <w:lang w:val="en-US" w:eastAsia="zh-CN"/>
              </w:rPr>
              <w:t>4、固体废物治理措施</w:t>
            </w:r>
          </w:p>
          <w:p>
            <w:pPr>
              <w:spacing w:line="360" w:lineRule="auto"/>
              <w:ind w:firstLine="480" w:firstLineChars="200"/>
              <w:rPr>
                <w:rFonts w:hint="default" w:ascii="Times New Roman" w:hAnsi="Times New Roman" w:cs="Times New Roman"/>
                <w:b/>
                <w:bCs/>
                <w:color w:val="auto"/>
                <w:sz w:val="24"/>
                <w:lang w:val="en-US" w:eastAsia="zh-CN"/>
              </w:rPr>
            </w:pPr>
            <w:r>
              <w:rPr>
                <w:rFonts w:hint="eastAsia" w:cs="Times New Roman"/>
                <w:b/>
                <w:bCs/>
                <w:color w:val="auto"/>
                <w:sz w:val="24"/>
                <w:lang w:val="en-US" w:eastAsia="zh-CN"/>
              </w:rPr>
              <w:t>4.1固废治理措施</w:t>
            </w:r>
          </w:p>
          <w:p>
            <w:pPr>
              <w:spacing w:line="360" w:lineRule="auto"/>
              <w:ind w:firstLine="480" w:firstLineChars="200"/>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w:t>
            </w:r>
            <w:r>
              <w:rPr>
                <w:rFonts w:hint="eastAsia" w:cs="Times New Roman"/>
                <w:color w:val="auto"/>
                <w:sz w:val="24"/>
                <w:lang w:val="en-US" w:eastAsia="zh-CN"/>
              </w:rPr>
              <w:t>1</w:t>
            </w:r>
            <w:r>
              <w:rPr>
                <w:rFonts w:hint="default" w:ascii="Times New Roman" w:hAnsi="Times New Roman" w:cs="Times New Roman"/>
                <w:color w:val="auto"/>
                <w:sz w:val="24"/>
                <w:lang w:val="en-US" w:eastAsia="zh-CN"/>
              </w:rPr>
              <w:t>）生活垃圾及餐饮垃圾</w:t>
            </w:r>
          </w:p>
          <w:p>
            <w:pPr>
              <w:spacing w:line="360" w:lineRule="auto"/>
              <w:ind w:firstLine="480" w:firstLineChars="200"/>
              <w:rPr>
                <w:rFonts w:hint="eastAsia" w:cs="Times New Roman"/>
                <w:color w:val="auto"/>
                <w:sz w:val="24"/>
                <w:lang w:val="en-US" w:eastAsia="zh-CN"/>
              </w:rPr>
            </w:pPr>
            <w:r>
              <w:rPr>
                <w:rFonts w:hint="default" w:ascii="Times New Roman" w:hAnsi="Times New Roman" w:cs="Times New Roman"/>
                <w:color w:val="auto"/>
                <w:sz w:val="24"/>
                <w:lang w:val="en-US" w:eastAsia="zh-CN"/>
              </w:rPr>
              <w:t>生活垃圾应分类收集于垃圾桶内，并定期由环卫部门清运处理</w:t>
            </w:r>
            <w:r>
              <w:rPr>
                <w:rFonts w:hint="eastAsia" w:cs="Times New Roman"/>
                <w:color w:val="auto"/>
                <w:sz w:val="24"/>
                <w:lang w:val="en-US" w:eastAsia="zh-CN"/>
              </w:rPr>
              <w:t>。</w:t>
            </w:r>
          </w:p>
          <w:p>
            <w:pPr>
              <w:spacing w:line="360" w:lineRule="auto"/>
              <w:ind w:firstLine="480" w:firstLineChars="200"/>
              <w:rPr>
                <w:rFonts w:hint="default" w:ascii="Times New Roman" w:hAnsi="Times New Roman" w:cs="Times New Roman"/>
                <w:color w:val="auto"/>
                <w:sz w:val="24"/>
                <w:lang w:val="en-US" w:eastAsia="zh-CN"/>
              </w:rPr>
            </w:pPr>
            <w:r>
              <w:rPr>
                <w:rFonts w:hint="eastAsia" w:cs="Times New Roman"/>
                <w:color w:val="auto"/>
                <w:sz w:val="24"/>
                <w:lang w:val="en-US" w:eastAsia="zh-CN"/>
              </w:rPr>
              <w:t>（2）餐饮垃圾</w:t>
            </w:r>
          </w:p>
          <w:p>
            <w:pPr>
              <w:spacing w:line="360" w:lineRule="auto"/>
              <w:ind w:firstLine="480" w:firstLineChars="200"/>
              <w:contextualSpacing/>
              <w:rPr>
                <w:rFonts w:hint="eastAsia"/>
                <w:color w:val="auto"/>
                <w:sz w:val="24"/>
              </w:rPr>
            </w:pPr>
            <w:r>
              <w:rPr>
                <w:rFonts w:hint="eastAsia"/>
                <w:color w:val="auto"/>
                <w:sz w:val="24"/>
              </w:rPr>
              <w:t>本次评价要求园区内的餐厨垃圾由专用的潲水桶收集，最后与隔油池</w:t>
            </w:r>
            <w:r>
              <w:rPr>
                <w:rFonts w:hint="eastAsia"/>
                <w:color w:val="auto"/>
                <w:sz w:val="24"/>
                <w:lang w:val="en-US" w:eastAsia="zh-CN"/>
              </w:rPr>
              <w:t>废油</w:t>
            </w:r>
            <w:r>
              <w:rPr>
                <w:rFonts w:hint="eastAsia"/>
                <w:color w:val="auto"/>
                <w:sz w:val="24"/>
              </w:rPr>
              <w:t>一起由园区统一委托有资质的餐厨垃圾处理企业进行收集、运输、处理。</w:t>
            </w:r>
          </w:p>
          <w:p>
            <w:pPr>
              <w:spacing w:line="360" w:lineRule="auto"/>
              <w:ind w:firstLine="480" w:firstLineChars="200"/>
              <w:contextualSpacing/>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w:t>
            </w:r>
            <w:r>
              <w:rPr>
                <w:rFonts w:ascii="Times New Roman" w:hAnsi="Times New Roman" w:eastAsia="宋体" w:cs="Times New Roman"/>
                <w:color w:val="auto"/>
                <w:sz w:val="24"/>
                <w:szCs w:val="24"/>
              </w:rPr>
              <w:t>3</w:t>
            </w:r>
            <w:r>
              <w:rPr>
                <w:rFonts w:hint="eastAsia" w:ascii="Times New Roman" w:hAnsi="Times New Roman" w:eastAsia="宋体" w:cs="Times New Roman"/>
                <w:color w:val="auto"/>
                <w:sz w:val="24"/>
                <w:szCs w:val="24"/>
              </w:rPr>
              <w:t>）过滤产生的滤渣毛发</w:t>
            </w:r>
          </w:p>
          <w:p>
            <w:pPr>
              <w:spacing w:line="360" w:lineRule="auto"/>
              <w:ind w:firstLine="480" w:firstLineChars="200"/>
              <w:contextualSpacing/>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根据可研单位提供资料，本项目过滤产生的滤渣毛发交由环卫部门清运。</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（4）危险废物</w:t>
            </w:r>
          </w:p>
          <w:p>
            <w:pPr>
              <w:tabs>
                <w:tab w:val="left" w:pos="2610"/>
              </w:tabs>
              <w:adjustRightInd w:val="0"/>
              <w:snapToGrid w:val="0"/>
              <w:spacing w:line="360" w:lineRule="auto"/>
              <w:ind w:firstLine="48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lang w:val="en-US" w:eastAsia="zh-CN"/>
              </w:rPr>
              <w:t>①设备维护、检修过程中产生的</w:t>
            </w:r>
            <w:r>
              <w:rPr>
                <w:rFonts w:hint="eastAsia" w:ascii="Times New Roman" w:hAnsi="Times New Roman" w:eastAsia="宋体" w:cs="Times New Roman"/>
                <w:color w:val="auto"/>
                <w:kern w:val="0"/>
                <w:sz w:val="24"/>
                <w:szCs w:val="24"/>
              </w:rPr>
              <w:t>废机油</w:t>
            </w:r>
            <w:r>
              <w:rPr>
                <w:rFonts w:hint="eastAsia" w:ascii="Times New Roman" w:hAnsi="Times New Roman" w:eastAsia="宋体" w:cs="Times New Roman"/>
                <w:color w:val="auto"/>
                <w:kern w:val="0"/>
                <w:sz w:val="24"/>
                <w:szCs w:val="24"/>
                <w:lang w:val="en-US" w:eastAsia="zh-CN"/>
              </w:rPr>
              <w:t>、</w:t>
            </w:r>
            <w:r>
              <w:rPr>
                <w:rFonts w:hint="eastAsia" w:ascii="Times New Roman" w:hAnsi="Times New Roman" w:eastAsia="宋体" w:cs="Times New Roman"/>
                <w:color w:val="auto"/>
                <w:kern w:val="0"/>
                <w:sz w:val="24"/>
                <w:szCs w:val="24"/>
              </w:rPr>
              <w:t>废含油手套、抹布，</w:t>
            </w:r>
            <w:r>
              <w:rPr>
                <w:rFonts w:hint="eastAsia" w:ascii="Times New Roman" w:hAnsi="Times New Roman" w:eastAsia="宋体" w:cs="Times New Roman"/>
                <w:color w:val="auto"/>
                <w:kern w:val="0"/>
                <w:sz w:val="24"/>
                <w:szCs w:val="24"/>
                <w:lang w:val="en-US" w:eastAsia="zh-CN"/>
              </w:rPr>
              <w:t>环评要求</w:t>
            </w:r>
            <w:r>
              <w:rPr>
                <w:rFonts w:hint="eastAsia" w:cs="Times New Roman"/>
                <w:color w:val="auto"/>
                <w:kern w:val="0"/>
                <w:sz w:val="24"/>
                <w:szCs w:val="24"/>
                <w:lang w:val="en-US" w:eastAsia="zh-CN" w:bidi="ar"/>
              </w:rPr>
              <w:t>本项目设置1座</w:t>
            </w:r>
            <w:r>
              <w:rPr>
                <w:rFonts w:hint="eastAsia" w:ascii="Times New Roman" w:hAnsi="Times New Roman" w:eastAsia="宋体" w:cs="Times New Roman"/>
                <w:color w:val="auto"/>
                <w:kern w:val="0"/>
                <w:sz w:val="24"/>
                <w:szCs w:val="24"/>
                <w:lang w:bidi="ar"/>
              </w:rPr>
              <w:t>危废暂存间</w:t>
            </w:r>
            <w:r>
              <w:rPr>
                <w:rFonts w:hint="eastAsia" w:cs="Times New Roman"/>
                <w:color w:val="auto"/>
                <w:kern w:val="0"/>
                <w:sz w:val="24"/>
                <w:szCs w:val="24"/>
                <w:lang w:val="en-US" w:eastAsia="zh-CN" w:bidi="ar"/>
              </w:rPr>
              <w:t>对危险废物进行暂存，</w:t>
            </w:r>
            <w:r>
              <w:rPr>
                <w:rFonts w:hint="eastAsia" w:ascii="Times New Roman" w:hAnsi="Times New Roman" w:eastAsia="宋体" w:cs="Times New Roman"/>
                <w:color w:val="auto"/>
                <w:kern w:val="0"/>
                <w:sz w:val="24"/>
                <w:szCs w:val="24"/>
                <w:lang w:bidi="ar"/>
              </w:rPr>
              <w:t>定期交有资质单位处理。</w:t>
            </w:r>
          </w:p>
          <w:p>
            <w:pPr>
              <w:spacing w:line="360" w:lineRule="auto"/>
              <w:ind w:firstLine="480" w:firstLineChars="200"/>
              <w:rPr>
                <w:rFonts w:ascii="Times New Roman" w:hAnsi="Times New Roman" w:eastAsia="宋体" w:cs="Times New Roman"/>
                <w:color w:val="auto"/>
                <w:sz w:val="24"/>
                <w:szCs w:val="24"/>
              </w:rPr>
            </w:pPr>
            <w:r>
              <w:rPr>
                <w:rFonts w:hint="eastAsia" w:cs="Times New Roman"/>
                <w:color w:val="auto"/>
                <w:sz w:val="24"/>
                <w:szCs w:val="24"/>
                <w:lang w:val="en-US" w:eastAsia="zh-CN"/>
              </w:rPr>
              <w:t>②医务室产生的沾染病人血液、排泄物的棉球、棉签、纱布及敷料的</w:t>
            </w:r>
            <w:r>
              <w:rPr>
                <w:rFonts w:hint="eastAsia" w:ascii="Times New Roman" w:hAnsi="Times New Roman" w:eastAsia="宋体" w:cs="Times New Roman"/>
                <w:color w:val="auto"/>
                <w:sz w:val="24"/>
                <w:szCs w:val="24"/>
              </w:rPr>
              <w:t>医疗废物</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rPr>
              <w:t>集中收集后，在医疗废物暂存间分类贮存，项目</w:t>
            </w:r>
            <w:r>
              <w:rPr>
                <w:rFonts w:hint="eastAsia" w:cs="Times New Roman"/>
                <w:color w:val="auto"/>
                <w:sz w:val="24"/>
                <w:szCs w:val="24"/>
                <w:lang w:val="en-US" w:eastAsia="zh-CN"/>
              </w:rPr>
              <w:t>设1座</w:t>
            </w:r>
            <w:r>
              <w:rPr>
                <w:rFonts w:hint="eastAsia" w:ascii="Times New Roman" w:hAnsi="Times New Roman" w:eastAsia="宋体" w:cs="Times New Roman"/>
                <w:color w:val="auto"/>
                <w:sz w:val="24"/>
                <w:szCs w:val="24"/>
              </w:rPr>
              <w:t>医疗废物暂存间</w:t>
            </w:r>
            <w:r>
              <w:rPr>
                <w:rFonts w:hint="eastAsia" w:cs="Times New Roman"/>
                <w:color w:val="auto"/>
                <w:sz w:val="24"/>
                <w:szCs w:val="24"/>
                <w:lang w:eastAsia="zh-CN"/>
              </w:rPr>
              <w:t>，</w:t>
            </w:r>
            <w:r>
              <w:rPr>
                <w:rFonts w:ascii="Times New Roman" w:hAnsi="Times New Roman" w:eastAsia="宋体" w:cs="Times New Roman"/>
                <w:color w:val="auto"/>
                <w:sz w:val="24"/>
              </w:rPr>
              <w:t>位于</w:t>
            </w:r>
            <w:r>
              <w:rPr>
                <w:rFonts w:hint="eastAsia" w:ascii="Times New Roman" w:hAnsi="Times New Roman" w:eastAsia="宋体" w:cs="Times New Roman"/>
                <w:color w:val="auto"/>
                <w:sz w:val="24"/>
              </w:rPr>
              <w:t>园区中部的医务室内</w:t>
            </w:r>
            <w:r>
              <w:rPr>
                <w:rFonts w:ascii="Times New Roman" w:hAnsi="Times New Roman" w:eastAsia="宋体" w:cs="Times New Roman"/>
                <w:color w:val="auto"/>
                <w:sz w:val="24"/>
              </w:rPr>
              <w:t>，</w:t>
            </w:r>
            <w:r>
              <w:rPr>
                <w:rFonts w:hint="eastAsia" w:ascii="Times New Roman" w:hAnsi="Times New Roman" w:eastAsia="宋体" w:cs="Times New Roman"/>
                <w:color w:val="auto"/>
                <w:sz w:val="24"/>
              </w:rPr>
              <w:t>地面防渗处理，</w:t>
            </w:r>
            <w:r>
              <w:rPr>
                <w:rFonts w:ascii="Times New Roman" w:hAnsi="Times New Roman" w:eastAsia="宋体" w:cs="Times New Roman"/>
                <w:color w:val="auto"/>
                <w:sz w:val="24"/>
              </w:rPr>
              <w:t>医疗废物</w:t>
            </w:r>
            <w:r>
              <w:rPr>
                <w:rFonts w:hint="eastAsia" w:ascii="Times New Roman" w:hAnsi="Times New Roman" w:eastAsia="宋体" w:cs="Times New Roman"/>
                <w:color w:val="auto"/>
                <w:sz w:val="24"/>
              </w:rPr>
              <w:t>交由有资质的公司处置</w:t>
            </w:r>
            <w:r>
              <w:rPr>
                <w:rFonts w:ascii="Times New Roman" w:hAnsi="Times New Roman" w:eastAsia="宋体" w:cs="Times New Roman"/>
                <w:color w:val="auto"/>
                <w:sz w:val="24"/>
              </w:rPr>
              <w:t>。</w:t>
            </w:r>
          </w:p>
          <w:p>
            <w:pPr>
              <w:spacing w:line="360" w:lineRule="auto"/>
              <w:ind w:firstLine="480" w:firstLineChars="200"/>
              <w:rPr>
                <w:rFonts w:hint="default" w:ascii="Times New Roman" w:hAnsi="Times New Roman" w:cs="Times New Roman"/>
                <w:b/>
                <w:bCs/>
                <w:color w:val="auto"/>
                <w:sz w:val="24"/>
                <w:lang w:val="en-US" w:eastAsia="zh-CN"/>
              </w:rPr>
            </w:pPr>
            <w:r>
              <w:rPr>
                <w:rFonts w:hint="eastAsia" w:ascii="Times New Roman" w:hAnsi="Times New Roman" w:cs="Times New Roman"/>
                <w:b/>
                <w:bCs/>
                <w:color w:val="auto"/>
                <w:sz w:val="24"/>
                <w:lang w:val="en-US" w:eastAsia="zh-CN"/>
              </w:rPr>
              <w:t>4.2</w:t>
            </w:r>
            <w:r>
              <w:rPr>
                <w:rFonts w:hint="default" w:ascii="Times New Roman" w:hAnsi="Times New Roman" w:cs="Times New Roman"/>
                <w:b/>
                <w:bCs/>
                <w:color w:val="auto"/>
                <w:sz w:val="24"/>
                <w:lang w:val="en-US" w:eastAsia="zh-CN"/>
              </w:rPr>
              <w:t>一般固体废物处理处置规范要求</w:t>
            </w:r>
          </w:p>
          <w:p>
            <w:pPr>
              <w:spacing w:line="360" w:lineRule="auto"/>
              <w:ind w:firstLine="480" w:firstLineChars="200"/>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园区内一般工业固体废弃物临时集中堆场按照《一般工业固体废物贮存、处置场污染控制标准》（GB18599-2001）中的第Ⅰ类一般工业固体废物标准规定设置：</w:t>
            </w:r>
          </w:p>
          <w:p>
            <w:pPr>
              <w:spacing w:line="360" w:lineRule="auto"/>
              <w:ind w:firstLine="480" w:firstLineChars="200"/>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a、禁止危险废物混入。</w:t>
            </w:r>
          </w:p>
          <w:p>
            <w:pPr>
              <w:spacing w:line="360" w:lineRule="auto"/>
              <w:ind w:firstLine="480" w:firstLineChars="200"/>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b、储存地点必须具备可防雨、防火、防风等作用的场地。</w:t>
            </w:r>
          </w:p>
          <w:p>
            <w:pPr>
              <w:spacing w:line="360" w:lineRule="auto"/>
              <w:ind w:firstLine="480" w:firstLineChars="200"/>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c、储存地点按废物分类原则设置特定区域。</w:t>
            </w:r>
          </w:p>
          <w:p>
            <w:pPr>
              <w:spacing w:line="360" w:lineRule="auto"/>
              <w:ind w:firstLine="480" w:firstLineChars="200"/>
              <w:rPr>
                <w:rFonts w:hint="default" w:ascii="Times New Roman" w:hAnsi="Times New Roman" w:cs="Times New Roman"/>
                <w:b/>
                <w:bCs/>
                <w:color w:val="auto"/>
                <w:sz w:val="24"/>
                <w:lang w:val="en-US" w:eastAsia="zh-CN"/>
              </w:rPr>
            </w:pPr>
            <w:r>
              <w:rPr>
                <w:rFonts w:hint="eastAsia" w:cs="Times New Roman"/>
                <w:b/>
                <w:bCs/>
                <w:color w:val="auto"/>
                <w:sz w:val="24"/>
                <w:lang w:val="en-US" w:eastAsia="zh-CN"/>
              </w:rPr>
              <w:t>4.3</w:t>
            </w:r>
            <w:r>
              <w:rPr>
                <w:rFonts w:hint="default" w:ascii="Times New Roman" w:hAnsi="Times New Roman" w:cs="Times New Roman"/>
                <w:b/>
                <w:bCs/>
                <w:color w:val="auto"/>
                <w:sz w:val="24"/>
                <w:lang w:val="en-US" w:eastAsia="zh-CN"/>
              </w:rPr>
              <w:t>危险废物处理处置规范要求</w:t>
            </w:r>
          </w:p>
          <w:p>
            <w:pPr>
              <w:spacing w:line="360" w:lineRule="auto"/>
              <w:ind w:firstLine="480" w:firstLineChars="200"/>
              <w:contextualSpacing/>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1）危险废物管理要求</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根据国家《危险废物贮存污染控制标准》，建设单位必须将危险废物装入专用容器内，对危险废物的容器设置危险废物识别标志，并且粘贴标签，在厂区设置</w:t>
            </w:r>
            <w:r>
              <w:rPr>
                <w:rFonts w:hint="eastAsia" w:cs="Times New Roman"/>
                <w:color w:val="auto"/>
                <w:sz w:val="24"/>
                <w:szCs w:val="24"/>
                <w:lang w:val="en-US" w:eastAsia="zh-CN"/>
              </w:rPr>
              <w:t>1座危废</w:t>
            </w:r>
            <w:r>
              <w:rPr>
                <w:rFonts w:hint="eastAsia" w:ascii="Times New Roman" w:hAnsi="Times New Roman" w:eastAsia="宋体" w:cs="Times New Roman"/>
                <w:color w:val="auto"/>
                <w:sz w:val="24"/>
                <w:szCs w:val="24"/>
              </w:rPr>
              <w:t>暂存间，定期交由有危废处置资质的单位进行处理，不得随意丢弃。并需严格按《危险废物贮存污染控制标准》（GB18597-2001）和《危险废物转移联单管理办法》（国家环保总局5号令）相关要求对其进行贮存及转移，危险废物必须填写转移联单。</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①危险废物贮存容器应符合下列要求：</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a、应使用符合国家标准的容器盛装危险废物。</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b、贮存容器必须具有耐腐蚀、耐压、密封和不与所贮存的废物发生反应等特性。</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c、贮存容器应保证完好无损并具有明显标志。</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d、液体危险废物可注入开孔直径不超过70mm并有放气孔的桶中。</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②危险废物贮存设施应满足以下要求：</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a、危险废物贮存场所必须符合《危险废物贮存污染控制标准》（GB18597-2001）中有关规定，有符合《环境保护图形标志-固体废物贮存（处置）场》（GB15562.2-1995）的专用标志。</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b、应建有堵截泄漏的裙角，地面与裙角要用兼顾防渗的材料建造，建筑材料必须与危险废物相容。</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c、必须有泄漏液体收集装置及气体导出口和气体净化装置。</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d、应有安全照明观察窗口，并应设有应急防护设施。</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e、应有隔离设施、报警装置和防风、防晒、防雨设施以及消防设施。</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f、墙面、棚面应防吸附，用于存放装载液体、半固体危险废物容器的地方，必须有耐腐蚀的硬化地面，且表面无裂隙。</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g、贮存库容量的设计应考虑工艺运行的要求并应满足设备大修（一般以15天为宜）。</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rPr>
              <w:t>医疗废物</w:t>
            </w:r>
            <w:r>
              <w:rPr>
                <w:rFonts w:hint="eastAsia" w:ascii="Times New Roman" w:hAnsi="Times New Roman" w:eastAsia="宋体" w:cs="Times New Roman"/>
                <w:color w:val="auto"/>
                <w:sz w:val="24"/>
                <w:szCs w:val="24"/>
                <w:lang w:val="en-US" w:eastAsia="zh-CN"/>
              </w:rPr>
              <w:t>管理要求</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项目医疗废物经分类收集后暂存于</w:t>
            </w:r>
            <w:r>
              <w:rPr>
                <w:rFonts w:hint="eastAsia" w:cs="Times New Roman"/>
                <w:color w:val="auto"/>
                <w:sz w:val="24"/>
                <w:szCs w:val="24"/>
                <w:lang w:val="en-US" w:eastAsia="zh-CN"/>
              </w:rPr>
              <w:t>1座</w:t>
            </w:r>
            <w:r>
              <w:rPr>
                <w:rFonts w:hint="eastAsia" w:ascii="Times New Roman" w:hAnsi="Times New Roman" w:eastAsia="宋体" w:cs="Times New Roman"/>
                <w:color w:val="auto"/>
                <w:sz w:val="24"/>
                <w:szCs w:val="24"/>
              </w:rPr>
              <w:t xml:space="preserve">医疗废物暂存间。按照《危险废物贮存污染控制标准》（GB18597-2001）及标准修改单中相关要求，项目医疗废物委托有资质的单位妥善处置。医院医疗废物应建立“三级登记”制度，即使用登记、收集登记、处理登记，确保医疗废物最终妥善处置，避免医疗废物污染周围环境。 </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医疗废物属于危险废物，应严格按照《医疗废物管理条例》（国务院令第380号）、《危险废物贮存污染控制标准》（GB18597-2001）及其他相关规定进行妥善收集、贮存、运输、处置，具体防治措施：</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1）分类收集</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根据医疗废物的类别，将医疗废物分置于符合《医疗废物专用包装物、容器的标准和警示标识的规定》的包装物或者容器内；在盛装医疗废物前，应当对医疗废物包装物或者容器进行认真检查，确保无破损、渗漏和其它缺陷。</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2）贮存</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xml:space="preserve">医疗废物的暂时贮存设施、设备应当定期消毒和清洁，且应满足《危险废物贮存污染控制标准》（GB18597-2001），医疗废物暂时贮存设施、设备，不得露天存放医疗废物；根据《医疗废物管理条例》“第二十五条 医疗废物集中处置单位应当至少每2天到医疗卫生机构收集、运送一次医疗废物，并负责医疗废物的贮存、处置”。 </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3）运输</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医疗废物运送应当使用专用车辆。车辆厢体应与驾驶室分离并密闭；厢体应达到气密性要求，内壁光滑平整，易于清洗消毒；厢体材料防水、耐腐蚀；厢体底部防液体渗漏，并设清洗污水的排水收集装置。运送车辆应符合《医疗废物转运车技术要求》（GB19217）。</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在医疗废物运输过程中必须认真填写“危险废物转移五联单”，其中废物名称、类别、数量、废物特性、形态、包装方式、主要危险成份、应急措施及废物处置方式等一定要填写清楚，以便对卫生院废物的管理。</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4）处置</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①医疗卫生机构应当委托有资质的单位处置，依照危险废物转移联单制度填写和保存转移联单。</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②医疗卫生机构应当对医疗废物进行登记，登记内容应当包括医疗废物的来源、种类、重量或者数量、交接时间、最终去向以及经办人签名等项目。登记资料至少保存3年。</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③医疗废物转交出去后，应当对暂时贮存地点、设施及时进行清洁和消毒处理。</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④禁止医疗卫生机构及其工作人员转让、买卖医疗废物。禁止在非收集、非暂时贮存地点倾倒、堆放医疗废物，禁止将医疗废物混入其它废物和生活垃圾。</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综上所述，本项目产生的固体废弃物经上述处理处置后，处理处置率达100％，符合国家固体废弃物处理处置政策，不会产生二次污染，不会对环境产生不利影响，处理处置措施可行。</w:t>
            </w:r>
          </w:p>
          <w:p>
            <w:pPr>
              <w:adjustRightInd w:val="0"/>
              <w:snapToGrid w:val="0"/>
              <w:spacing w:line="360" w:lineRule="auto"/>
              <w:ind w:firstLine="482" w:firstLineChars="200"/>
              <w:jc w:val="left"/>
              <w:rPr>
                <w:b/>
                <w:bCs/>
                <w:color w:val="auto"/>
                <w:kern w:val="0"/>
                <w:sz w:val="24"/>
              </w:rPr>
            </w:pPr>
            <w:r>
              <w:rPr>
                <w:rFonts w:hint="eastAsia"/>
                <w:b/>
                <w:bCs/>
                <w:color w:val="auto"/>
                <w:kern w:val="0"/>
                <w:sz w:val="24"/>
              </w:rPr>
              <w:t>5、风险防范措施</w:t>
            </w:r>
          </w:p>
          <w:p>
            <w:pPr>
              <w:keepNext/>
              <w:keepLines/>
              <w:spacing w:line="360" w:lineRule="auto"/>
              <w:outlineLvl w:val="2"/>
              <w:rPr>
                <w:rFonts w:hint="eastAsia" w:eastAsia="黑体"/>
                <w:b/>
                <w:bCs/>
                <w:color w:val="auto"/>
                <w:sz w:val="24"/>
                <w:lang w:val="en-US" w:eastAsia="zh-CN"/>
              </w:rPr>
            </w:pPr>
            <w:r>
              <w:rPr>
                <w:rFonts w:hint="eastAsia"/>
                <w:color w:val="auto"/>
                <w:sz w:val="24"/>
                <w:szCs w:val="24"/>
                <w:lang w:val="en-US" w:eastAsia="zh-CN"/>
              </w:rPr>
              <w:t xml:space="preserve">   </w:t>
            </w:r>
            <w:r>
              <w:rPr>
                <w:rFonts w:hint="eastAsia"/>
                <w:b/>
                <w:bCs/>
                <w:color w:val="auto"/>
                <w:sz w:val="24"/>
                <w:szCs w:val="24"/>
                <w:lang w:val="en-US" w:eastAsia="zh-CN"/>
              </w:rPr>
              <w:t xml:space="preserve"> 5.1环境风险管理要求</w:t>
            </w:r>
          </w:p>
          <w:p>
            <w:pPr>
              <w:autoSpaceDE w:val="0"/>
              <w:autoSpaceDN w:val="0"/>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建立健全严格的管理制度。应在以下几个方面予以关注：</w:t>
            </w:r>
          </w:p>
          <w:p>
            <w:pPr>
              <w:autoSpaceDE w:val="0"/>
              <w:autoSpaceDN w:val="0"/>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①加强对化学药品的管理，指定专人进行管理，定期进行药品贮存情况的核查，明确药品的数量及现状，药品的每次使用应由使用人登记使用数量和名称。</w:t>
            </w:r>
          </w:p>
          <w:p>
            <w:pPr>
              <w:autoSpaceDE w:val="0"/>
              <w:autoSpaceDN w:val="0"/>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②本项目对化学药品要按储存注意事项中规定存放，对于应设立单独的储存间，贮存于阴凉、干燥通风，避免阳光直射；保持容器紧密，未使用时亦应紧盖；远离热源、火焰和火花。</w:t>
            </w:r>
          </w:p>
          <w:p>
            <w:pPr>
              <w:keepNext/>
              <w:keepLines/>
              <w:spacing w:line="360" w:lineRule="auto"/>
              <w:outlineLvl w:val="2"/>
              <w:rPr>
                <w:bCs/>
                <w:color w:val="auto"/>
                <w:sz w:val="24"/>
              </w:rPr>
            </w:pPr>
            <w:r>
              <w:rPr>
                <w:rFonts w:hint="eastAsia"/>
                <w:color w:val="auto"/>
                <w:sz w:val="24"/>
                <w:szCs w:val="24"/>
                <w:lang w:val="en-US" w:eastAsia="zh-CN"/>
              </w:rPr>
              <w:t xml:space="preserve">   </w:t>
            </w:r>
            <w:r>
              <w:rPr>
                <w:rFonts w:hint="eastAsia"/>
                <w:b/>
                <w:bCs/>
                <w:color w:val="auto"/>
                <w:sz w:val="24"/>
                <w:szCs w:val="24"/>
                <w:lang w:val="en-US" w:eastAsia="zh-CN"/>
              </w:rPr>
              <w:t xml:space="preserve"> 5.2环境风险防范措施</w:t>
            </w:r>
          </w:p>
          <w:p>
            <w:pPr>
              <w:pStyle w:val="51"/>
              <w:spacing w:line="360" w:lineRule="auto"/>
              <w:ind w:firstLine="480" w:firstLineChars="200"/>
              <w:jc w:val="both"/>
              <w:rPr>
                <w:rFonts w:hint="default" w:ascii="Times New Roman" w:hAnsi="Times New Roman" w:cs="Times New Roman"/>
                <w:color w:val="auto"/>
              </w:rPr>
            </w:pPr>
            <w:r>
              <w:rPr>
                <w:rFonts w:hint="eastAsia" w:ascii="Times New Roman" w:hAnsi="Times New Roman" w:cs="Times New Roman"/>
                <w:color w:val="auto"/>
                <w:lang w:val="en-US" w:eastAsia="zh-CN"/>
              </w:rPr>
              <w:t>①</w:t>
            </w:r>
            <w:r>
              <w:rPr>
                <w:rFonts w:hint="eastAsia" w:ascii="Times New Roman" w:hAnsi="Times New Roman" w:cs="Times New Roman"/>
                <w:color w:val="auto"/>
              </w:rPr>
              <w:t>次氯酸钠单独运输，并在运输车辆配备了相应品种和数量的消防器材。运输车辆装卸前后都进行了彻底清扫、洗净。</w:t>
            </w:r>
          </w:p>
          <w:p>
            <w:pPr>
              <w:pStyle w:val="51"/>
              <w:spacing w:line="360" w:lineRule="auto"/>
              <w:ind w:firstLine="480" w:firstLineChars="200"/>
              <w:jc w:val="both"/>
              <w:rPr>
                <w:color w:val="auto"/>
                <w:kern w:val="0"/>
                <w:sz w:val="24"/>
              </w:rPr>
            </w:pPr>
            <w:r>
              <w:rPr>
                <w:rFonts w:hint="eastAsia" w:ascii="Times New Roman" w:hAnsi="Times New Roman" w:cs="Times New Roman"/>
                <w:color w:val="auto"/>
                <w:lang w:val="en-US" w:eastAsia="zh-CN"/>
              </w:rPr>
              <w:t>②</w:t>
            </w:r>
            <w:r>
              <w:rPr>
                <w:rFonts w:hint="eastAsia" w:ascii="Times New Roman" w:hAnsi="Times New Roman" w:cs="Times New Roman"/>
                <w:color w:val="auto"/>
              </w:rPr>
              <w:t>库房进行了防渗处理，并设置了消防沙、灭火器。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jc w:val="center"/>
        </w:trPr>
        <w:tc>
          <w:tcPr>
            <w:tcW w:w="677" w:type="dxa"/>
            <w:vAlign w:val="center"/>
          </w:tcPr>
          <w:p>
            <w:pPr>
              <w:adjustRightInd w:val="0"/>
              <w:snapToGrid w:val="0"/>
              <w:jc w:val="center"/>
              <w:rPr>
                <w:rFonts w:ascii="宋体" w:hAnsi="宋体" w:cs="宋体"/>
                <w:bCs/>
                <w:color w:val="auto"/>
                <w:spacing w:val="10"/>
                <w:sz w:val="24"/>
              </w:rPr>
            </w:pPr>
            <w:r>
              <w:rPr>
                <w:rFonts w:hint="eastAsia" w:ascii="宋体" w:hAnsi="宋体"/>
                <w:bCs/>
                <w:color w:val="auto"/>
                <w:sz w:val="24"/>
              </w:rPr>
              <w:t>其他</w:t>
            </w:r>
          </w:p>
        </w:tc>
        <w:tc>
          <w:tcPr>
            <w:tcW w:w="8533" w:type="dxa"/>
            <w:vAlign w:val="center"/>
          </w:tcPr>
          <w:p>
            <w:pPr>
              <w:adjustRightInd w:val="0"/>
              <w:snapToGrid w:val="0"/>
              <w:jc w:val="center"/>
              <w:rPr>
                <w:rFonts w:ascii="宋体" w:hAnsi="宋体" w:cs="宋体"/>
                <w:bCs/>
                <w:color w:val="auto"/>
                <w:spacing w:val="10"/>
                <w:sz w:val="24"/>
              </w:rPr>
            </w:pPr>
            <w:r>
              <w:rPr>
                <w:rFonts w:hint="eastAsia" w:ascii="宋体" w:hAnsi="宋体" w:cs="宋体"/>
                <w:bCs/>
                <w:color w:val="auto"/>
                <w:spacing w:val="10"/>
                <w:sz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121" w:hRule="atLeast"/>
          <w:jc w:val="center"/>
        </w:trPr>
        <w:tc>
          <w:tcPr>
            <w:tcW w:w="677" w:type="dxa"/>
            <w:vAlign w:val="center"/>
          </w:tcPr>
          <w:p>
            <w:pPr>
              <w:adjustRightInd w:val="0"/>
              <w:snapToGrid w:val="0"/>
              <w:jc w:val="center"/>
              <w:rPr>
                <w:rFonts w:ascii="宋体" w:hAnsi="宋体" w:cs="宋体"/>
                <w:bCs/>
                <w:color w:val="auto"/>
                <w:spacing w:val="10"/>
                <w:sz w:val="24"/>
              </w:rPr>
            </w:pPr>
            <w:r>
              <w:rPr>
                <w:rFonts w:hint="eastAsia" w:ascii="宋体" w:hAnsi="宋体"/>
                <w:bCs/>
                <w:color w:val="auto"/>
                <w:sz w:val="24"/>
              </w:rPr>
              <w:t>环保投资</w:t>
            </w:r>
          </w:p>
        </w:tc>
        <w:tc>
          <w:tcPr>
            <w:tcW w:w="8533" w:type="dxa"/>
          </w:tcPr>
          <w:p>
            <w:pPr>
              <w:spacing w:before="53"/>
              <w:ind w:right="-20" w:firstLine="480" w:firstLineChars="200"/>
              <w:rPr>
                <w:color w:val="auto"/>
                <w:sz w:val="24"/>
              </w:rPr>
            </w:pPr>
            <w:r>
              <w:rPr>
                <w:color w:val="auto"/>
                <w:sz w:val="24"/>
              </w:rPr>
              <w:t>建设项目总投</w:t>
            </w:r>
            <w:r>
              <w:rPr>
                <w:color w:val="auto"/>
                <w:spacing w:val="1"/>
                <w:sz w:val="24"/>
              </w:rPr>
              <w:t>资</w:t>
            </w:r>
            <w:r>
              <w:rPr>
                <w:color w:val="auto"/>
                <w:sz w:val="24"/>
              </w:rPr>
              <w:t>为</w:t>
            </w:r>
            <w:r>
              <w:rPr>
                <w:rFonts w:hint="eastAsia"/>
                <w:color w:val="auto"/>
                <w:sz w:val="24"/>
                <w:lang w:val="en-US" w:eastAsia="zh-CN"/>
              </w:rPr>
              <w:t>490000万</w:t>
            </w:r>
            <w:r>
              <w:rPr>
                <w:color w:val="auto"/>
                <w:sz w:val="24"/>
              </w:rPr>
              <w:t>元人民币</w:t>
            </w:r>
            <w:r>
              <w:rPr>
                <w:color w:val="auto"/>
                <w:spacing w:val="-14"/>
                <w:sz w:val="24"/>
              </w:rPr>
              <w:t>，</w:t>
            </w:r>
            <w:r>
              <w:rPr>
                <w:color w:val="auto"/>
                <w:sz w:val="24"/>
              </w:rPr>
              <w:t>其中环保投资</w:t>
            </w:r>
            <w:r>
              <w:rPr>
                <w:rFonts w:hint="eastAsia"/>
                <w:color w:val="auto"/>
                <w:sz w:val="24"/>
                <w:lang w:val="en-US" w:eastAsia="zh-CN"/>
              </w:rPr>
              <w:t>247</w:t>
            </w:r>
            <w:r>
              <w:rPr>
                <w:color w:val="auto"/>
                <w:sz w:val="24"/>
              </w:rPr>
              <w:t>万</w:t>
            </w:r>
            <w:r>
              <w:rPr>
                <w:color w:val="auto"/>
                <w:spacing w:val="-14"/>
                <w:sz w:val="24"/>
              </w:rPr>
              <w:t>元</w:t>
            </w:r>
            <w:r>
              <w:rPr>
                <w:color w:val="auto"/>
                <w:sz w:val="24"/>
              </w:rPr>
              <w:t>，占总投资</w:t>
            </w:r>
            <w:r>
              <w:rPr>
                <w:rFonts w:hint="eastAsia"/>
                <w:color w:val="auto"/>
                <w:sz w:val="24"/>
              </w:rPr>
              <w:t>0</w:t>
            </w:r>
            <w:r>
              <w:rPr>
                <w:color w:val="auto"/>
                <w:sz w:val="24"/>
              </w:rPr>
              <w:t>.</w:t>
            </w:r>
            <w:r>
              <w:rPr>
                <w:rFonts w:hint="eastAsia"/>
                <w:color w:val="auto"/>
                <w:sz w:val="24"/>
                <w:lang w:val="en-US" w:eastAsia="zh-CN"/>
              </w:rPr>
              <w:t>05</w:t>
            </w:r>
            <w:r>
              <w:rPr>
                <w:rFonts w:hint="eastAsia"/>
                <w:color w:val="auto"/>
                <w:sz w:val="24"/>
              </w:rPr>
              <w:t>%。</w:t>
            </w:r>
          </w:p>
          <w:p>
            <w:pPr>
              <w:spacing w:line="360" w:lineRule="auto"/>
              <w:ind w:firstLine="2160" w:firstLineChars="900"/>
              <w:rPr>
                <w:rFonts w:ascii="Times New Roman" w:hAnsi="Times New Roman" w:cs="Times New Roman"/>
                <w:color w:val="auto"/>
                <w:sz w:val="24"/>
                <w:szCs w:val="24"/>
              </w:rPr>
            </w:pPr>
            <w:r>
              <w:rPr>
                <w:rFonts w:ascii="Times New Roman" w:hAnsi="Times New Roman" w:cs="Times New Roman"/>
                <w:b/>
                <w:bCs/>
                <w:color w:val="auto"/>
                <w:sz w:val="24"/>
                <w:szCs w:val="24"/>
              </w:rPr>
              <w:t>表</w:t>
            </w:r>
            <w:r>
              <w:rPr>
                <w:rFonts w:hint="eastAsia" w:cs="Times New Roman"/>
                <w:b/>
                <w:bCs/>
                <w:color w:val="auto"/>
                <w:sz w:val="24"/>
                <w:szCs w:val="24"/>
                <w:lang w:val="en-US" w:eastAsia="zh-CN"/>
              </w:rPr>
              <w:t>39</w:t>
            </w:r>
            <w:r>
              <w:rPr>
                <w:rFonts w:ascii="Times New Roman" w:hAnsi="Times New Roman" w:cs="Times New Roman"/>
                <w:b/>
                <w:bCs/>
                <w:color w:val="auto"/>
                <w:sz w:val="24"/>
                <w:szCs w:val="24"/>
              </w:rPr>
              <w:t xml:space="preserve">     项目环保设施投资估算表</w:t>
            </w:r>
          </w:p>
          <w:tbl>
            <w:tblPr>
              <w:tblStyle w:val="24"/>
              <w:tblW w:w="828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
            <w:tblGrid>
              <w:gridCol w:w="225"/>
              <w:gridCol w:w="1386"/>
              <w:gridCol w:w="1280"/>
              <w:gridCol w:w="1710"/>
              <w:gridCol w:w="680"/>
              <w:gridCol w:w="800"/>
              <w:gridCol w:w="950"/>
              <w:gridCol w:w="12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Ex>
              <w:trPr>
                <w:trHeight w:val="990" w:hRule="atLeast"/>
                <w:jc w:val="center"/>
              </w:trPr>
              <w:tc>
                <w:tcPr>
                  <w:tcW w:w="1611" w:type="dxa"/>
                  <w:gridSpan w:val="2"/>
                  <w:tcMar>
                    <w:left w:w="17" w:type="dxa"/>
                    <w:right w:w="17" w:type="dxa"/>
                  </w:tcMar>
                  <w:vAlign w:val="center"/>
                </w:tcPr>
                <w:p>
                  <w:pPr>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污染类别</w:t>
                  </w:r>
                </w:p>
              </w:tc>
              <w:tc>
                <w:tcPr>
                  <w:tcW w:w="1280" w:type="dxa"/>
                  <w:tcMar>
                    <w:left w:w="17" w:type="dxa"/>
                    <w:right w:w="17" w:type="dxa"/>
                  </w:tcMar>
                  <w:vAlign w:val="center"/>
                </w:tcPr>
                <w:p>
                  <w:pPr>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污染源</w:t>
                  </w:r>
                </w:p>
              </w:tc>
              <w:tc>
                <w:tcPr>
                  <w:tcW w:w="1710" w:type="dxa"/>
                  <w:tcMar>
                    <w:left w:w="17" w:type="dxa"/>
                    <w:right w:w="17" w:type="dxa"/>
                  </w:tcMar>
                  <w:vAlign w:val="center"/>
                </w:tcPr>
                <w:p>
                  <w:pPr>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治理措施</w:t>
                  </w:r>
                </w:p>
              </w:tc>
              <w:tc>
                <w:tcPr>
                  <w:tcW w:w="1480" w:type="dxa"/>
                  <w:gridSpan w:val="2"/>
                  <w:vAlign w:val="center"/>
                </w:tcPr>
                <w:p>
                  <w:pPr>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数量</w:t>
                  </w:r>
                </w:p>
              </w:tc>
              <w:tc>
                <w:tcPr>
                  <w:tcW w:w="950" w:type="dxa"/>
                  <w:vAlign w:val="center"/>
                </w:tcPr>
                <w:p>
                  <w:pPr>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投资估算</w:t>
                  </w:r>
                </w:p>
                <w:p>
                  <w:pPr>
                    <w:spacing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(万元)</w:t>
                  </w:r>
                </w:p>
              </w:tc>
              <w:tc>
                <w:tcPr>
                  <w:tcW w:w="1256" w:type="dxa"/>
                  <w:vAlign w:val="center"/>
                </w:tcPr>
                <w:p>
                  <w:pPr>
                    <w:spacing w:line="320" w:lineRule="exact"/>
                    <w:ind w:firstLine="180" w:firstLineChars="100"/>
                    <w:rPr>
                      <w:rFonts w:ascii="Times New Roman" w:hAnsi="Times New Roman" w:cs="Times New Roman"/>
                      <w:color w:val="auto"/>
                      <w:sz w:val="18"/>
                      <w:szCs w:val="18"/>
                    </w:rPr>
                  </w:pPr>
                  <w:r>
                    <w:rPr>
                      <w:rFonts w:ascii="Times New Roman" w:hAnsi="Times New Roman" w:cs="Times New Roman"/>
                      <w:color w:val="auto"/>
                      <w:sz w:val="18"/>
                      <w:szCs w:val="18"/>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Ex>
              <w:trPr>
                <w:trHeight w:val="316" w:hRule="atLeast"/>
                <w:jc w:val="center"/>
              </w:trPr>
              <w:tc>
                <w:tcPr>
                  <w:tcW w:w="225" w:type="dxa"/>
                  <w:vMerge w:val="restart"/>
                  <w:tcMar>
                    <w:left w:w="17" w:type="dxa"/>
                    <w:right w:w="17" w:type="dxa"/>
                  </w:tcMar>
                  <w:vAlign w:val="center"/>
                </w:tcPr>
                <w:p>
                  <w:pPr>
                    <w:spacing w:after="100" w:afterAutospacing="1"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废气</w:t>
                  </w:r>
                </w:p>
              </w:tc>
              <w:tc>
                <w:tcPr>
                  <w:tcW w:w="1386" w:type="dxa"/>
                  <w:vMerge w:val="restart"/>
                  <w:tcMar>
                    <w:left w:w="17" w:type="dxa"/>
                    <w:right w:w="17" w:type="dxa"/>
                  </w:tcMar>
                  <w:vAlign w:val="center"/>
                </w:tcPr>
                <w:p>
                  <w:pPr>
                    <w:spacing w:after="100" w:afterAutospacing="1" w:line="320" w:lineRule="exact"/>
                    <w:jc w:val="center"/>
                    <w:rPr>
                      <w:rFonts w:ascii="Times New Roman" w:hAnsi="Times New Roman" w:cs="Times New Roman"/>
                      <w:color w:val="auto"/>
                      <w:sz w:val="18"/>
                      <w:szCs w:val="18"/>
                    </w:rPr>
                  </w:pPr>
                  <w:r>
                    <w:rPr>
                      <w:rFonts w:hint="eastAsia" w:cs="Times New Roman"/>
                      <w:color w:val="auto"/>
                      <w:sz w:val="18"/>
                      <w:szCs w:val="18"/>
                      <w:lang w:val="en-US" w:eastAsia="zh-CN"/>
                    </w:rPr>
                    <w:t>食堂油烟</w:t>
                  </w:r>
                </w:p>
              </w:tc>
              <w:tc>
                <w:tcPr>
                  <w:tcW w:w="1280" w:type="dxa"/>
                  <w:tcBorders>
                    <w:bottom w:val="single" w:color="auto" w:sz="6" w:space="0"/>
                  </w:tcBorders>
                  <w:tcMar>
                    <w:left w:w="17" w:type="dxa"/>
                    <w:right w:w="17" w:type="dxa"/>
                  </w:tcMar>
                  <w:vAlign w:val="center"/>
                </w:tcPr>
                <w:p>
                  <w:pPr>
                    <w:spacing w:line="260" w:lineRule="exact"/>
                    <w:jc w:val="center"/>
                    <w:rPr>
                      <w:rFonts w:hint="eastAsia" w:ascii="Times New Roman" w:hAnsi="Times New Roman" w:eastAsia="宋体" w:cs="Times New Roman"/>
                      <w:color w:val="auto"/>
                      <w:sz w:val="18"/>
                      <w:szCs w:val="18"/>
                      <w:lang w:eastAsia="zh-CN"/>
                    </w:rPr>
                  </w:pPr>
                  <w:r>
                    <w:rPr>
                      <w:rFonts w:hint="eastAsia" w:cs="Times New Roman"/>
                      <w:color w:val="auto"/>
                      <w:sz w:val="18"/>
                      <w:szCs w:val="18"/>
                      <w:lang w:val="en-US" w:eastAsia="zh-CN"/>
                    </w:rPr>
                    <w:t>油烟</w:t>
                  </w:r>
                </w:p>
              </w:tc>
              <w:tc>
                <w:tcPr>
                  <w:tcW w:w="1710" w:type="dxa"/>
                  <w:tcMar>
                    <w:left w:w="17" w:type="dxa"/>
                    <w:right w:w="17" w:type="dxa"/>
                  </w:tcMar>
                  <w:vAlign w:val="center"/>
                </w:tcPr>
                <w:p>
                  <w:pPr>
                    <w:spacing w:after="100" w:afterAutospacing="1" w:line="320" w:lineRule="exact"/>
                    <w:jc w:val="center"/>
                    <w:rPr>
                      <w:rFonts w:hint="eastAsia"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油烟净化设施</w:t>
                  </w:r>
                </w:p>
              </w:tc>
              <w:tc>
                <w:tcPr>
                  <w:tcW w:w="1480" w:type="dxa"/>
                  <w:gridSpan w:val="2"/>
                  <w:vAlign w:val="center"/>
                </w:tcPr>
                <w:p>
                  <w:pPr>
                    <w:spacing w:after="100" w:afterAutospacing="1" w:line="320" w:lineRule="exact"/>
                    <w:jc w:val="center"/>
                    <w:rPr>
                      <w:rFonts w:hint="eastAsia" w:ascii="Times New Roman" w:hAnsi="Times New Roman" w:eastAsia="宋体" w:cs="Times New Roman"/>
                      <w:color w:val="auto"/>
                      <w:sz w:val="18"/>
                      <w:szCs w:val="18"/>
                      <w:lang w:eastAsia="zh-CN"/>
                    </w:rPr>
                  </w:pPr>
                  <w:r>
                    <w:rPr>
                      <w:rFonts w:hint="eastAsia" w:cs="Times New Roman"/>
                      <w:color w:val="auto"/>
                      <w:sz w:val="18"/>
                      <w:szCs w:val="18"/>
                      <w:lang w:val="en-US" w:eastAsia="zh-CN"/>
                    </w:rPr>
                    <w:t>1套</w:t>
                  </w:r>
                </w:p>
              </w:tc>
              <w:tc>
                <w:tcPr>
                  <w:tcW w:w="950" w:type="dxa"/>
                  <w:vAlign w:val="center"/>
                </w:tcPr>
                <w:p>
                  <w:pPr>
                    <w:spacing w:after="100" w:afterAutospacing="1" w:line="320" w:lineRule="exact"/>
                    <w:jc w:val="center"/>
                    <w:rPr>
                      <w:rFonts w:hint="eastAsia"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2.0</w:t>
                  </w:r>
                </w:p>
              </w:tc>
              <w:tc>
                <w:tcPr>
                  <w:tcW w:w="1256" w:type="dxa"/>
                  <w:vAlign w:val="center"/>
                </w:tcPr>
                <w:p>
                  <w:pPr>
                    <w:spacing w:after="100" w:afterAutospacing="1" w:line="320" w:lineRule="exact"/>
                    <w:jc w:val="center"/>
                    <w:rPr>
                      <w:rFonts w:ascii="Times New Roman" w:hAnsi="Times New Roman" w:cs="Times New Roman"/>
                      <w:color w:val="auto"/>
                      <w:sz w:val="18"/>
                      <w:szCs w:val="18"/>
                    </w:rPr>
                  </w:pPr>
                  <w:r>
                    <w:rPr>
                      <w:rFonts w:hint="eastAsia"/>
                      <w:color w:val="auto"/>
                      <w:sz w:val="18"/>
                      <w:szCs w:val="18"/>
                      <w:lang w:val="en-US" w:eastAsia="zh-CN"/>
                    </w:rPr>
                    <w:t>107#单体食堂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Ex>
              <w:trPr>
                <w:trHeight w:val="255" w:hRule="atLeast"/>
                <w:jc w:val="center"/>
              </w:trPr>
              <w:tc>
                <w:tcPr>
                  <w:tcW w:w="225" w:type="dxa"/>
                  <w:vMerge w:val="continue"/>
                  <w:tcMar>
                    <w:left w:w="17" w:type="dxa"/>
                    <w:right w:w="17" w:type="dxa"/>
                  </w:tcMar>
                  <w:vAlign w:val="center"/>
                </w:tcPr>
                <w:p>
                  <w:pPr>
                    <w:spacing w:after="100" w:afterAutospacing="1" w:line="320" w:lineRule="exact"/>
                    <w:jc w:val="center"/>
                    <w:rPr>
                      <w:rFonts w:ascii="Times New Roman" w:hAnsi="Times New Roman" w:cs="Times New Roman"/>
                      <w:color w:val="auto"/>
                      <w:sz w:val="18"/>
                      <w:szCs w:val="18"/>
                    </w:rPr>
                  </w:pPr>
                </w:p>
              </w:tc>
              <w:tc>
                <w:tcPr>
                  <w:tcW w:w="1386" w:type="dxa"/>
                  <w:vMerge w:val="continue"/>
                  <w:tcMar>
                    <w:left w:w="17" w:type="dxa"/>
                    <w:right w:w="17" w:type="dxa"/>
                  </w:tcMar>
                  <w:vAlign w:val="center"/>
                </w:tcPr>
                <w:p>
                  <w:pPr>
                    <w:spacing w:after="100" w:afterAutospacing="1" w:line="320" w:lineRule="exact"/>
                    <w:jc w:val="center"/>
                    <w:rPr>
                      <w:rFonts w:ascii="Times New Roman" w:hAnsi="Times New Roman" w:cs="Times New Roman"/>
                      <w:color w:val="auto"/>
                      <w:sz w:val="18"/>
                      <w:szCs w:val="18"/>
                    </w:rPr>
                  </w:pPr>
                </w:p>
              </w:tc>
              <w:tc>
                <w:tcPr>
                  <w:tcW w:w="1280" w:type="dxa"/>
                  <w:tcMar>
                    <w:left w:w="17" w:type="dxa"/>
                    <w:right w:w="17" w:type="dxa"/>
                  </w:tcMar>
                  <w:vAlign w:val="center"/>
                </w:tcPr>
                <w:p>
                  <w:pPr>
                    <w:spacing w:line="260" w:lineRule="exact"/>
                    <w:jc w:val="center"/>
                    <w:rPr>
                      <w:rFonts w:hint="eastAsia" w:ascii="Times New Roman" w:hAnsi="Times New Roman" w:eastAsia="宋体" w:cs="Times New Roman"/>
                      <w:color w:val="auto"/>
                      <w:sz w:val="18"/>
                      <w:szCs w:val="18"/>
                      <w:lang w:eastAsia="zh-CN"/>
                    </w:rPr>
                  </w:pPr>
                  <w:r>
                    <w:rPr>
                      <w:rFonts w:hint="eastAsia" w:cs="Times New Roman"/>
                      <w:color w:val="auto"/>
                      <w:sz w:val="18"/>
                      <w:szCs w:val="18"/>
                      <w:lang w:val="en-US" w:eastAsia="zh-CN"/>
                    </w:rPr>
                    <w:t>油烟</w:t>
                  </w:r>
                </w:p>
              </w:tc>
              <w:tc>
                <w:tcPr>
                  <w:tcW w:w="1710" w:type="dxa"/>
                  <w:tcMar>
                    <w:left w:w="17" w:type="dxa"/>
                    <w:right w:w="17" w:type="dxa"/>
                  </w:tcMar>
                  <w:vAlign w:val="center"/>
                </w:tcPr>
                <w:p>
                  <w:pPr>
                    <w:spacing w:after="100" w:afterAutospacing="1" w:line="320" w:lineRule="exact"/>
                    <w:jc w:val="center"/>
                    <w:rPr>
                      <w:rFonts w:ascii="Times New Roman" w:hAnsi="Times New Roman" w:cs="Times New Roman"/>
                      <w:color w:val="auto"/>
                      <w:sz w:val="18"/>
                      <w:szCs w:val="18"/>
                    </w:rPr>
                  </w:pPr>
                  <w:r>
                    <w:rPr>
                      <w:rFonts w:hint="eastAsia" w:cs="Times New Roman"/>
                      <w:color w:val="auto"/>
                      <w:sz w:val="18"/>
                      <w:szCs w:val="18"/>
                      <w:lang w:val="en-US" w:eastAsia="zh-CN"/>
                    </w:rPr>
                    <w:t>油烟净化设施</w:t>
                  </w:r>
                </w:p>
              </w:tc>
              <w:tc>
                <w:tcPr>
                  <w:tcW w:w="1480" w:type="dxa"/>
                  <w:gridSpan w:val="2"/>
                  <w:vAlign w:val="center"/>
                </w:tcPr>
                <w:p>
                  <w:pPr>
                    <w:spacing w:after="100" w:afterAutospacing="1" w:line="320" w:lineRule="exact"/>
                    <w:jc w:val="center"/>
                    <w:rPr>
                      <w:rFonts w:hint="eastAsia"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1套</w:t>
                  </w:r>
                </w:p>
              </w:tc>
              <w:tc>
                <w:tcPr>
                  <w:tcW w:w="950" w:type="dxa"/>
                  <w:vAlign w:val="center"/>
                </w:tcPr>
                <w:p>
                  <w:pPr>
                    <w:spacing w:after="100" w:afterAutospacing="1" w:line="320" w:lineRule="exact"/>
                    <w:jc w:val="center"/>
                    <w:rPr>
                      <w:rFonts w:hint="eastAsia"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2.0</w:t>
                  </w:r>
                </w:p>
              </w:tc>
              <w:tc>
                <w:tcPr>
                  <w:tcW w:w="1256" w:type="dxa"/>
                  <w:vAlign w:val="center"/>
                </w:tcPr>
                <w:p>
                  <w:pPr>
                    <w:spacing w:after="100" w:afterAutospacing="1" w:line="320" w:lineRule="exact"/>
                    <w:jc w:val="center"/>
                    <w:rPr>
                      <w:rFonts w:ascii="Times New Roman" w:hAnsi="Times New Roman" w:cs="Times New Roman"/>
                      <w:color w:val="auto"/>
                      <w:sz w:val="18"/>
                      <w:szCs w:val="18"/>
                    </w:rPr>
                  </w:pPr>
                  <w:r>
                    <w:rPr>
                      <w:rFonts w:hint="eastAsia"/>
                      <w:color w:val="auto"/>
                      <w:sz w:val="18"/>
                      <w:szCs w:val="18"/>
                      <w:lang w:val="en-US" w:eastAsia="zh-CN"/>
                    </w:rPr>
                    <w:t>108#单体食堂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Ex>
              <w:trPr>
                <w:trHeight w:val="225" w:hRule="atLeast"/>
                <w:jc w:val="center"/>
              </w:trPr>
              <w:tc>
                <w:tcPr>
                  <w:tcW w:w="225" w:type="dxa"/>
                  <w:vMerge w:val="continue"/>
                  <w:tcMar>
                    <w:left w:w="17" w:type="dxa"/>
                    <w:right w:w="17" w:type="dxa"/>
                  </w:tcMar>
                  <w:vAlign w:val="center"/>
                </w:tcPr>
                <w:p>
                  <w:pPr>
                    <w:spacing w:after="100" w:afterAutospacing="1" w:line="320" w:lineRule="exact"/>
                    <w:jc w:val="center"/>
                    <w:rPr>
                      <w:rFonts w:ascii="Times New Roman" w:hAnsi="Times New Roman" w:cs="Times New Roman"/>
                      <w:color w:val="auto"/>
                      <w:sz w:val="18"/>
                      <w:szCs w:val="18"/>
                    </w:rPr>
                  </w:pPr>
                </w:p>
              </w:tc>
              <w:tc>
                <w:tcPr>
                  <w:tcW w:w="1386" w:type="dxa"/>
                  <w:vMerge w:val="continue"/>
                  <w:tcMar>
                    <w:left w:w="17" w:type="dxa"/>
                    <w:right w:w="17" w:type="dxa"/>
                  </w:tcMar>
                  <w:vAlign w:val="center"/>
                </w:tcPr>
                <w:p>
                  <w:pPr>
                    <w:spacing w:after="100" w:afterAutospacing="1" w:line="320" w:lineRule="exact"/>
                    <w:jc w:val="center"/>
                    <w:rPr>
                      <w:rFonts w:ascii="Times New Roman" w:hAnsi="Times New Roman" w:cs="Times New Roman"/>
                      <w:color w:val="auto"/>
                      <w:sz w:val="18"/>
                      <w:szCs w:val="18"/>
                    </w:rPr>
                  </w:pPr>
                </w:p>
              </w:tc>
              <w:tc>
                <w:tcPr>
                  <w:tcW w:w="1280" w:type="dxa"/>
                  <w:tcMar>
                    <w:left w:w="17" w:type="dxa"/>
                    <w:right w:w="17" w:type="dxa"/>
                  </w:tcMar>
                  <w:vAlign w:val="center"/>
                </w:tcPr>
                <w:p>
                  <w:pPr>
                    <w:spacing w:line="260" w:lineRule="exact"/>
                    <w:jc w:val="center"/>
                    <w:rPr>
                      <w:rFonts w:hint="eastAsia" w:ascii="Times New Roman" w:hAnsi="Times New Roman" w:eastAsia="宋体" w:cs="Times New Roman"/>
                      <w:color w:val="auto"/>
                      <w:sz w:val="18"/>
                      <w:szCs w:val="18"/>
                      <w:lang w:eastAsia="zh-CN"/>
                    </w:rPr>
                  </w:pPr>
                  <w:r>
                    <w:rPr>
                      <w:rFonts w:hint="eastAsia" w:cs="Times New Roman"/>
                      <w:color w:val="auto"/>
                      <w:sz w:val="18"/>
                      <w:szCs w:val="18"/>
                      <w:lang w:val="en-US" w:eastAsia="zh-CN"/>
                    </w:rPr>
                    <w:t>油烟</w:t>
                  </w:r>
                </w:p>
              </w:tc>
              <w:tc>
                <w:tcPr>
                  <w:tcW w:w="1710" w:type="dxa"/>
                  <w:tcMar>
                    <w:left w:w="17" w:type="dxa"/>
                    <w:right w:w="17" w:type="dxa"/>
                  </w:tcMar>
                  <w:vAlign w:val="center"/>
                </w:tcPr>
                <w:p>
                  <w:pPr>
                    <w:spacing w:after="100" w:afterAutospacing="1" w:line="320" w:lineRule="exact"/>
                    <w:jc w:val="center"/>
                    <w:rPr>
                      <w:rFonts w:ascii="Times New Roman" w:hAnsi="Times New Roman" w:cs="Times New Roman"/>
                      <w:color w:val="auto"/>
                      <w:sz w:val="18"/>
                      <w:szCs w:val="18"/>
                    </w:rPr>
                  </w:pPr>
                  <w:r>
                    <w:rPr>
                      <w:rFonts w:hint="eastAsia" w:cs="Times New Roman"/>
                      <w:color w:val="auto"/>
                      <w:sz w:val="18"/>
                      <w:szCs w:val="18"/>
                      <w:lang w:val="en-US" w:eastAsia="zh-CN"/>
                    </w:rPr>
                    <w:t>油烟净化设施</w:t>
                  </w:r>
                </w:p>
              </w:tc>
              <w:tc>
                <w:tcPr>
                  <w:tcW w:w="1480" w:type="dxa"/>
                  <w:gridSpan w:val="2"/>
                  <w:vAlign w:val="center"/>
                </w:tcPr>
                <w:p>
                  <w:pPr>
                    <w:spacing w:after="100" w:afterAutospacing="1" w:line="320" w:lineRule="exact"/>
                    <w:jc w:val="center"/>
                    <w:rPr>
                      <w:rFonts w:hint="eastAsia"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1套</w:t>
                  </w:r>
                </w:p>
              </w:tc>
              <w:tc>
                <w:tcPr>
                  <w:tcW w:w="950" w:type="dxa"/>
                  <w:vAlign w:val="center"/>
                </w:tcPr>
                <w:p>
                  <w:pPr>
                    <w:spacing w:after="100" w:afterAutospacing="1" w:line="320" w:lineRule="exact"/>
                    <w:jc w:val="center"/>
                    <w:rPr>
                      <w:rFonts w:hint="eastAsia"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2.0</w:t>
                  </w:r>
                </w:p>
              </w:tc>
              <w:tc>
                <w:tcPr>
                  <w:tcW w:w="1256" w:type="dxa"/>
                  <w:vAlign w:val="center"/>
                </w:tcPr>
                <w:p>
                  <w:pPr>
                    <w:spacing w:after="100" w:afterAutospacing="1" w:line="320" w:lineRule="exact"/>
                    <w:jc w:val="center"/>
                    <w:rPr>
                      <w:rFonts w:ascii="Times New Roman" w:hAnsi="Times New Roman" w:cs="Times New Roman"/>
                      <w:color w:val="auto"/>
                      <w:sz w:val="18"/>
                      <w:szCs w:val="18"/>
                    </w:rPr>
                  </w:pPr>
                  <w:r>
                    <w:rPr>
                      <w:rFonts w:hint="eastAsia"/>
                      <w:color w:val="auto"/>
                      <w:sz w:val="18"/>
                      <w:szCs w:val="18"/>
                      <w:lang w:val="en-US" w:eastAsia="zh-CN"/>
                    </w:rPr>
                    <w:t>217#单体食堂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Ex>
              <w:trPr>
                <w:trHeight w:val="208" w:hRule="atLeast"/>
                <w:jc w:val="center"/>
              </w:trPr>
              <w:tc>
                <w:tcPr>
                  <w:tcW w:w="225" w:type="dxa"/>
                  <w:vMerge w:val="continue"/>
                  <w:tcMar>
                    <w:left w:w="17" w:type="dxa"/>
                    <w:right w:w="17" w:type="dxa"/>
                  </w:tcMar>
                  <w:vAlign w:val="center"/>
                </w:tcPr>
                <w:p>
                  <w:pPr>
                    <w:spacing w:line="260" w:lineRule="exact"/>
                    <w:jc w:val="center"/>
                    <w:rPr>
                      <w:rFonts w:ascii="Times New Roman" w:hAnsi="Times New Roman" w:cs="Times New Roman"/>
                      <w:color w:val="auto"/>
                      <w:sz w:val="18"/>
                      <w:szCs w:val="18"/>
                    </w:rPr>
                  </w:pPr>
                </w:p>
              </w:tc>
              <w:tc>
                <w:tcPr>
                  <w:tcW w:w="1386" w:type="dxa"/>
                  <w:vMerge w:val="continue"/>
                  <w:tcMar>
                    <w:left w:w="17" w:type="dxa"/>
                    <w:right w:w="17" w:type="dxa"/>
                  </w:tcMar>
                  <w:vAlign w:val="center"/>
                </w:tcPr>
                <w:p>
                  <w:pPr>
                    <w:spacing w:after="100" w:afterAutospacing="1" w:line="320" w:lineRule="exact"/>
                    <w:jc w:val="center"/>
                    <w:rPr>
                      <w:rFonts w:ascii="Times New Roman" w:hAnsi="Times New Roman" w:cs="Times New Roman"/>
                      <w:color w:val="auto"/>
                      <w:sz w:val="18"/>
                      <w:szCs w:val="18"/>
                    </w:rPr>
                  </w:pPr>
                </w:p>
              </w:tc>
              <w:tc>
                <w:tcPr>
                  <w:tcW w:w="1280" w:type="dxa"/>
                  <w:tcMar>
                    <w:left w:w="17" w:type="dxa"/>
                    <w:right w:w="17" w:type="dxa"/>
                  </w:tcMar>
                  <w:vAlign w:val="center"/>
                </w:tcPr>
                <w:p>
                  <w:pPr>
                    <w:spacing w:line="260" w:lineRule="exact"/>
                    <w:jc w:val="center"/>
                    <w:rPr>
                      <w:rFonts w:hint="eastAsia" w:ascii="Times New Roman" w:hAnsi="Times New Roman" w:eastAsia="宋体" w:cs="Times New Roman"/>
                      <w:color w:val="auto"/>
                      <w:sz w:val="18"/>
                      <w:szCs w:val="18"/>
                      <w:lang w:eastAsia="zh-CN"/>
                    </w:rPr>
                  </w:pPr>
                  <w:r>
                    <w:rPr>
                      <w:rFonts w:hint="eastAsia" w:cs="Times New Roman"/>
                      <w:color w:val="auto"/>
                      <w:sz w:val="18"/>
                      <w:szCs w:val="18"/>
                      <w:lang w:val="en-US" w:eastAsia="zh-CN"/>
                    </w:rPr>
                    <w:t>油烟</w:t>
                  </w:r>
                </w:p>
              </w:tc>
              <w:tc>
                <w:tcPr>
                  <w:tcW w:w="1710" w:type="dxa"/>
                  <w:tcMar>
                    <w:left w:w="17" w:type="dxa"/>
                    <w:right w:w="17" w:type="dxa"/>
                  </w:tcMar>
                  <w:vAlign w:val="center"/>
                </w:tcPr>
                <w:p>
                  <w:pPr>
                    <w:spacing w:after="100" w:afterAutospacing="1" w:line="320" w:lineRule="exact"/>
                    <w:jc w:val="center"/>
                    <w:rPr>
                      <w:rFonts w:ascii="Times New Roman" w:hAnsi="Times New Roman" w:cs="Times New Roman"/>
                      <w:color w:val="auto"/>
                      <w:sz w:val="18"/>
                      <w:szCs w:val="18"/>
                    </w:rPr>
                  </w:pPr>
                  <w:r>
                    <w:rPr>
                      <w:rFonts w:hint="eastAsia" w:cs="Times New Roman"/>
                      <w:color w:val="auto"/>
                      <w:sz w:val="18"/>
                      <w:szCs w:val="18"/>
                      <w:lang w:val="en-US" w:eastAsia="zh-CN"/>
                    </w:rPr>
                    <w:t>油烟净化设施</w:t>
                  </w:r>
                </w:p>
              </w:tc>
              <w:tc>
                <w:tcPr>
                  <w:tcW w:w="1480" w:type="dxa"/>
                  <w:gridSpan w:val="2"/>
                  <w:vAlign w:val="center"/>
                </w:tcPr>
                <w:p>
                  <w:pPr>
                    <w:spacing w:after="100" w:afterAutospacing="1"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1</w:t>
                  </w:r>
                  <w:r>
                    <w:rPr>
                      <w:rFonts w:hint="eastAsia" w:cs="Times New Roman"/>
                      <w:color w:val="auto"/>
                      <w:sz w:val="18"/>
                      <w:szCs w:val="18"/>
                      <w:lang w:val="en-US" w:eastAsia="zh-CN"/>
                    </w:rPr>
                    <w:t>套</w:t>
                  </w:r>
                </w:p>
              </w:tc>
              <w:tc>
                <w:tcPr>
                  <w:tcW w:w="950" w:type="dxa"/>
                  <w:vAlign w:val="center"/>
                </w:tcPr>
                <w:p>
                  <w:pPr>
                    <w:spacing w:after="100" w:afterAutospacing="1" w:line="320" w:lineRule="exact"/>
                    <w:jc w:val="center"/>
                    <w:rPr>
                      <w:rFonts w:ascii="Times New Roman" w:hAnsi="Times New Roman" w:cs="Times New Roman"/>
                      <w:color w:val="auto"/>
                      <w:sz w:val="18"/>
                      <w:szCs w:val="18"/>
                    </w:rPr>
                  </w:pPr>
                  <w:r>
                    <w:rPr>
                      <w:rFonts w:hint="eastAsia" w:cs="Times New Roman"/>
                      <w:color w:val="auto"/>
                      <w:sz w:val="18"/>
                      <w:szCs w:val="18"/>
                      <w:lang w:val="en-US" w:eastAsia="zh-CN"/>
                    </w:rPr>
                    <w:t>2</w:t>
                  </w:r>
                  <w:r>
                    <w:rPr>
                      <w:rFonts w:ascii="Times New Roman" w:hAnsi="Times New Roman" w:cs="Times New Roman"/>
                      <w:color w:val="auto"/>
                      <w:sz w:val="18"/>
                      <w:szCs w:val="18"/>
                    </w:rPr>
                    <w:t>.0</w:t>
                  </w:r>
                </w:p>
              </w:tc>
              <w:tc>
                <w:tcPr>
                  <w:tcW w:w="1256" w:type="dxa"/>
                  <w:vAlign w:val="center"/>
                </w:tcPr>
                <w:p>
                  <w:pPr>
                    <w:spacing w:line="260" w:lineRule="exact"/>
                    <w:jc w:val="center"/>
                    <w:rPr>
                      <w:rFonts w:ascii="Times New Roman" w:hAnsi="Times New Roman" w:cs="Times New Roman"/>
                      <w:color w:val="auto"/>
                      <w:sz w:val="18"/>
                      <w:szCs w:val="18"/>
                    </w:rPr>
                  </w:pPr>
                  <w:r>
                    <w:rPr>
                      <w:rFonts w:hint="eastAsia"/>
                      <w:color w:val="auto"/>
                      <w:sz w:val="18"/>
                      <w:szCs w:val="18"/>
                      <w:lang w:val="en-US" w:eastAsia="zh-CN"/>
                    </w:rPr>
                    <w:t>321#单体食堂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Ex>
              <w:trPr>
                <w:trHeight w:val="208" w:hRule="atLeast"/>
                <w:jc w:val="center"/>
              </w:trPr>
              <w:tc>
                <w:tcPr>
                  <w:tcW w:w="225" w:type="dxa"/>
                  <w:vMerge w:val="continue"/>
                  <w:tcMar>
                    <w:left w:w="17" w:type="dxa"/>
                    <w:right w:w="17" w:type="dxa"/>
                  </w:tcMar>
                  <w:vAlign w:val="center"/>
                </w:tcPr>
                <w:p>
                  <w:pPr>
                    <w:spacing w:line="260" w:lineRule="exact"/>
                    <w:jc w:val="center"/>
                    <w:rPr>
                      <w:rFonts w:ascii="Times New Roman" w:hAnsi="Times New Roman" w:cs="Times New Roman"/>
                      <w:color w:val="auto"/>
                      <w:sz w:val="18"/>
                      <w:szCs w:val="18"/>
                    </w:rPr>
                  </w:pPr>
                </w:p>
              </w:tc>
              <w:tc>
                <w:tcPr>
                  <w:tcW w:w="1386" w:type="dxa"/>
                  <w:vMerge w:val="continue"/>
                  <w:tcMar>
                    <w:left w:w="17" w:type="dxa"/>
                    <w:right w:w="17" w:type="dxa"/>
                  </w:tcMar>
                  <w:vAlign w:val="center"/>
                </w:tcPr>
                <w:p>
                  <w:pPr>
                    <w:spacing w:after="100" w:afterAutospacing="1" w:line="320" w:lineRule="exact"/>
                    <w:jc w:val="center"/>
                    <w:rPr>
                      <w:rFonts w:ascii="Times New Roman" w:hAnsi="Times New Roman" w:cs="Times New Roman"/>
                      <w:color w:val="auto"/>
                      <w:sz w:val="18"/>
                      <w:szCs w:val="18"/>
                    </w:rPr>
                  </w:pPr>
                </w:p>
              </w:tc>
              <w:tc>
                <w:tcPr>
                  <w:tcW w:w="1280" w:type="dxa"/>
                  <w:tcMar>
                    <w:left w:w="17" w:type="dxa"/>
                    <w:right w:w="17" w:type="dxa"/>
                  </w:tcMar>
                  <w:vAlign w:val="center"/>
                </w:tcPr>
                <w:p>
                  <w:pPr>
                    <w:spacing w:line="260" w:lineRule="exact"/>
                    <w:jc w:val="center"/>
                    <w:rPr>
                      <w:rFonts w:hint="eastAsia" w:cs="Times New Roman"/>
                      <w:color w:val="auto"/>
                      <w:sz w:val="18"/>
                      <w:szCs w:val="18"/>
                      <w:lang w:val="en-US" w:eastAsia="zh-CN"/>
                    </w:rPr>
                  </w:pPr>
                  <w:r>
                    <w:rPr>
                      <w:rFonts w:hint="eastAsia" w:cs="Times New Roman"/>
                      <w:color w:val="auto"/>
                      <w:sz w:val="18"/>
                      <w:szCs w:val="18"/>
                      <w:lang w:val="en-US" w:eastAsia="zh-CN"/>
                    </w:rPr>
                    <w:t>油烟</w:t>
                  </w:r>
                </w:p>
              </w:tc>
              <w:tc>
                <w:tcPr>
                  <w:tcW w:w="1710" w:type="dxa"/>
                  <w:tcMar>
                    <w:left w:w="17" w:type="dxa"/>
                    <w:right w:w="17" w:type="dxa"/>
                  </w:tcMar>
                  <w:vAlign w:val="center"/>
                </w:tcPr>
                <w:p>
                  <w:pPr>
                    <w:spacing w:after="100" w:afterAutospacing="1" w:line="320" w:lineRule="exact"/>
                    <w:jc w:val="center"/>
                    <w:rPr>
                      <w:rFonts w:ascii="Times New Roman" w:hAnsi="Times New Roman" w:cs="Times New Roman"/>
                      <w:color w:val="auto"/>
                      <w:sz w:val="18"/>
                      <w:szCs w:val="18"/>
                    </w:rPr>
                  </w:pPr>
                  <w:r>
                    <w:rPr>
                      <w:rFonts w:hint="eastAsia" w:cs="Times New Roman"/>
                      <w:color w:val="auto"/>
                      <w:sz w:val="18"/>
                      <w:szCs w:val="18"/>
                      <w:lang w:val="en-US" w:eastAsia="zh-CN"/>
                    </w:rPr>
                    <w:t>油烟净化设施</w:t>
                  </w:r>
                </w:p>
              </w:tc>
              <w:tc>
                <w:tcPr>
                  <w:tcW w:w="1480" w:type="dxa"/>
                  <w:gridSpan w:val="2"/>
                  <w:vAlign w:val="center"/>
                </w:tcPr>
                <w:p>
                  <w:pPr>
                    <w:spacing w:after="100" w:afterAutospacing="1" w:line="320" w:lineRule="exact"/>
                    <w:jc w:val="center"/>
                    <w:rPr>
                      <w:rFonts w:hint="eastAsia"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1套</w:t>
                  </w:r>
                </w:p>
              </w:tc>
              <w:tc>
                <w:tcPr>
                  <w:tcW w:w="950" w:type="dxa"/>
                  <w:vAlign w:val="center"/>
                </w:tcPr>
                <w:p>
                  <w:pPr>
                    <w:spacing w:after="100" w:afterAutospacing="1" w:line="320" w:lineRule="exact"/>
                    <w:jc w:val="center"/>
                    <w:rPr>
                      <w:rFonts w:hint="eastAsia"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2.0</w:t>
                  </w:r>
                </w:p>
              </w:tc>
              <w:tc>
                <w:tcPr>
                  <w:tcW w:w="1256" w:type="dxa"/>
                  <w:vAlign w:val="center"/>
                </w:tcPr>
                <w:p>
                  <w:pPr>
                    <w:spacing w:line="260" w:lineRule="exact"/>
                    <w:jc w:val="center"/>
                    <w:rPr>
                      <w:rFonts w:ascii="Times New Roman" w:hAnsi="Times New Roman" w:cs="Times New Roman"/>
                      <w:color w:val="auto"/>
                      <w:sz w:val="18"/>
                      <w:szCs w:val="18"/>
                    </w:rPr>
                  </w:pPr>
                  <w:r>
                    <w:rPr>
                      <w:rFonts w:hint="eastAsia"/>
                      <w:color w:val="auto"/>
                      <w:sz w:val="18"/>
                      <w:szCs w:val="18"/>
                      <w:lang w:val="en-US" w:eastAsia="zh-CN"/>
                    </w:rPr>
                    <w:t>424#单体食堂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Ex>
              <w:trPr>
                <w:trHeight w:val="208" w:hRule="atLeast"/>
                <w:jc w:val="center"/>
              </w:trPr>
              <w:tc>
                <w:tcPr>
                  <w:tcW w:w="225" w:type="dxa"/>
                  <w:vMerge w:val="continue"/>
                  <w:tcMar>
                    <w:left w:w="17" w:type="dxa"/>
                    <w:right w:w="17" w:type="dxa"/>
                  </w:tcMar>
                  <w:vAlign w:val="center"/>
                </w:tcPr>
                <w:p>
                  <w:pPr>
                    <w:spacing w:line="260" w:lineRule="exact"/>
                    <w:jc w:val="center"/>
                    <w:rPr>
                      <w:rFonts w:ascii="Times New Roman" w:hAnsi="Times New Roman" w:cs="Times New Roman"/>
                      <w:color w:val="auto"/>
                      <w:sz w:val="18"/>
                      <w:szCs w:val="18"/>
                    </w:rPr>
                  </w:pPr>
                </w:p>
              </w:tc>
              <w:tc>
                <w:tcPr>
                  <w:tcW w:w="1386" w:type="dxa"/>
                  <w:vMerge w:val="continue"/>
                  <w:tcMar>
                    <w:left w:w="17" w:type="dxa"/>
                    <w:right w:w="17" w:type="dxa"/>
                  </w:tcMar>
                  <w:vAlign w:val="center"/>
                </w:tcPr>
                <w:p>
                  <w:pPr>
                    <w:spacing w:after="100" w:afterAutospacing="1" w:line="320" w:lineRule="exact"/>
                    <w:jc w:val="center"/>
                    <w:rPr>
                      <w:rFonts w:ascii="Times New Roman" w:hAnsi="Times New Roman" w:cs="Times New Roman"/>
                      <w:color w:val="auto"/>
                      <w:sz w:val="18"/>
                      <w:szCs w:val="18"/>
                    </w:rPr>
                  </w:pPr>
                </w:p>
              </w:tc>
              <w:tc>
                <w:tcPr>
                  <w:tcW w:w="1280" w:type="dxa"/>
                  <w:tcMar>
                    <w:left w:w="17" w:type="dxa"/>
                    <w:right w:w="17" w:type="dxa"/>
                  </w:tcMar>
                  <w:vAlign w:val="center"/>
                </w:tcPr>
                <w:p>
                  <w:pPr>
                    <w:spacing w:line="260" w:lineRule="exact"/>
                    <w:jc w:val="center"/>
                    <w:rPr>
                      <w:rFonts w:hint="eastAsia" w:cs="Times New Roman"/>
                      <w:color w:val="auto"/>
                      <w:sz w:val="18"/>
                      <w:szCs w:val="18"/>
                      <w:lang w:val="en-US" w:eastAsia="zh-CN"/>
                    </w:rPr>
                  </w:pPr>
                  <w:r>
                    <w:rPr>
                      <w:rFonts w:hint="eastAsia" w:cs="Times New Roman"/>
                      <w:color w:val="auto"/>
                      <w:sz w:val="18"/>
                      <w:szCs w:val="18"/>
                      <w:lang w:val="en-US" w:eastAsia="zh-CN"/>
                    </w:rPr>
                    <w:t>油烟</w:t>
                  </w:r>
                </w:p>
              </w:tc>
              <w:tc>
                <w:tcPr>
                  <w:tcW w:w="1710" w:type="dxa"/>
                  <w:tcMar>
                    <w:left w:w="17" w:type="dxa"/>
                    <w:right w:w="17" w:type="dxa"/>
                  </w:tcMar>
                  <w:vAlign w:val="center"/>
                </w:tcPr>
                <w:p>
                  <w:pPr>
                    <w:spacing w:after="100" w:afterAutospacing="1" w:line="320" w:lineRule="exact"/>
                    <w:jc w:val="center"/>
                    <w:rPr>
                      <w:rFonts w:ascii="Times New Roman" w:hAnsi="Times New Roman" w:cs="Times New Roman"/>
                      <w:color w:val="auto"/>
                      <w:sz w:val="18"/>
                      <w:szCs w:val="18"/>
                    </w:rPr>
                  </w:pPr>
                  <w:r>
                    <w:rPr>
                      <w:rFonts w:hint="eastAsia" w:cs="Times New Roman"/>
                      <w:color w:val="auto"/>
                      <w:sz w:val="18"/>
                      <w:szCs w:val="18"/>
                      <w:lang w:val="en-US" w:eastAsia="zh-CN"/>
                    </w:rPr>
                    <w:t>油烟净化设施</w:t>
                  </w:r>
                </w:p>
              </w:tc>
              <w:tc>
                <w:tcPr>
                  <w:tcW w:w="1480" w:type="dxa"/>
                  <w:gridSpan w:val="2"/>
                  <w:vAlign w:val="center"/>
                </w:tcPr>
                <w:p>
                  <w:pPr>
                    <w:spacing w:after="100" w:afterAutospacing="1" w:line="320" w:lineRule="exact"/>
                    <w:jc w:val="center"/>
                    <w:rPr>
                      <w:rFonts w:hint="eastAsia"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1套</w:t>
                  </w:r>
                </w:p>
              </w:tc>
              <w:tc>
                <w:tcPr>
                  <w:tcW w:w="950" w:type="dxa"/>
                  <w:vAlign w:val="center"/>
                </w:tcPr>
                <w:p>
                  <w:pPr>
                    <w:spacing w:after="100" w:afterAutospacing="1" w:line="320" w:lineRule="exact"/>
                    <w:jc w:val="center"/>
                    <w:rPr>
                      <w:rFonts w:hint="eastAsia"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2.0</w:t>
                  </w:r>
                </w:p>
              </w:tc>
              <w:tc>
                <w:tcPr>
                  <w:tcW w:w="1256" w:type="dxa"/>
                  <w:vAlign w:val="center"/>
                </w:tcPr>
                <w:p>
                  <w:pPr>
                    <w:spacing w:line="260" w:lineRule="exact"/>
                    <w:jc w:val="center"/>
                    <w:rPr>
                      <w:rFonts w:ascii="Times New Roman" w:hAnsi="Times New Roman" w:cs="Times New Roman"/>
                      <w:color w:val="auto"/>
                      <w:sz w:val="18"/>
                      <w:szCs w:val="18"/>
                    </w:rPr>
                  </w:pPr>
                  <w:r>
                    <w:rPr>
                      <w:rFonts w:hint="eastAsia"/>
                      <w:color w:val="auto"/>
                      <w:sz w:val="18"/>
                      <w:szCs w:val="18"/>
                      <w:lang w:val="en-US" w:eastAsia="zh-CN"/>
                    </w:rPr>
                    <w:t>633#单体食堂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Ex>
              <w:trPr>
                <w:trHeight w:val="208" w:hRule="atLeast"/>
                <w:jc w:val="center"/>
              </w:trPr>
              <w:tc>
                <w:tcPr>
                  <w:tcW w:w="225" w:type="dxa"/>
                  <w:vMerge w:val="continue"/>
                  <w:tcMar>
                    <w:left w:w="17" w:type="dxa"/>
                    <w:right w:w="17" w:type="dxa"/>
                  </w:tcMar>
                  <w:vAlign w:val="center"/>
                </w:tcPr>
                <w:p>
                  <w:pPr>
                    <w:spacing w:line="260" w:lineRule="exact"/>
                    <w:jc w:val="center"/>
                    <w:rPr>
                      <w:rFonts w:ascii="Times New Roman" w:hAnsi="Times New Roman" w:cs="Times New Roman"/>
                      <w:color w:val="auto"/>
                      <w:sz w:val="18"/>
                      <w:szCs w:val="18"/>
                    </w:rPr>
                  </w:pPr>
                </w:p>
              </w:tc>
              <w:tc>
                <w:tcPr>
                  <w:tcW w:w="1386" w:type="dxa"/>
                  <w:vMerge w:val="restart"/>
                  <w:tcMar>
                    <w:left w:w="17" w:type="dxa"/>
                    <w:right w:w="17" w:type="dxa"/>
                  </w:tcMar>
                  <w:vAlign w:val="center"/>
                </w:tcPr>
                <w:p>
                  <w:pPr>
                    <w:spacing w:after="100" w:afterAutospacing="1" w:line="320" w:lineRule="exact"/>
                    <w:jc w:val="center"/>
                    <w:rPr>
                      <w:rFonts w:hint="eastAsia"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停车场汽车尾气</w:t>
                  </w:r>
                </w:p>
              </w:tc>
              <w:tc>
                <w:tcPr>
                  <w:tcW w:w="1280" w:type="dxa"/>
                  <w:tcMar>
                    <w:left w:w="17" w:type="dxa"/>
                    <w:right w:w="17" w:type="dxa"/>
                  </w:tcMar>
                  <w:vAlign w:val="center"/>
                </w:tcPr>
                <w:p>
                  <w:pPr>
                    <w:spacing w:line="260" w:lineRule="exact"/>
                    <w:jc w:val="center"/>
                    <w:rPr>
                      <w:rFonts w:hint="eastAsia" w:cs="Times New Roman"/>
                      <w:color w:val="auto"/>
                      <w:sz w:val="18"/>
                      <w:szCs w:val="18"/>
                      <w:lang w:val="en-US" w:eastAsia="zh-CN"/>
                    </w:rPr>
                  </w:pPr>
                  <w:r>
                    <w:rPr>
                      <w:rFonts w:hint="eastAsia" w:ascii="Times New Roman" w:hAnsi="Times New Roman" w:eastAsia="宋体" w:cs="Times New Roman"/>
                      <w:color w:val="auto"/>
                      <w:sz w:val="18"/>
                      <w:szCs w:val="18"/>
                      <w:shd w:val="clear" w:color="auto" w:fill="FFFFFF"/>
                    </w:rPr>
                    <w:t>C</w:t>
                  </w:r>
                  <w:r>
                    <w:rPr>
                      <w:rFonts w:ascii="Times New Roman" w:hAnsi="Times New Roman" w:eastAsia="宋体" w:cs="Times New Roman"/>
                      <w:color w:val="auto"/>
                      <w:sz w:val="18"/>
                      <w:szCs w:val="18"/>
                      <w:shd w:val="clear" w:color="auto" w:fill="FFFFFF"/>
                    </w:rPr>
                    <w:t>O</w:t>
                  </w:r>
                </w:p>
              </w:tc>
              <w:tc>
                <w:tcPr>
                  <w:tcW w:w="1710" w:type="dxa"/>
                  <w:vMerge w:val="restart"/>
                  <w:tcMar>
                    <w:left w:w="17" w:type="dxa"/>
                    <w:right w:w="17" w:type="dxa"/>
                  </w:tcMar>
                  <w:vAlign w:val="center"/>
                </w:tcPr>
                <w:p>
                  <w:pPr>
                    <w:autoSpaceDE w:val="0"/>
                    <w:autoSpaceDN w:val="0"/>
                    <w:adjustRightInd w:val="0"/>
                    <w:spacing w:line="360" w:lineRule="auto"/>
                    <w:rPr>
                      <w:rFonts w:hint="eastAsia" w:cs="Times New Roman"/>
                      <w:color w:val="auto"/>
                      <w:sz w:val="18"/>
                      <w:szCs w:val="18"/>
                      <w:lang w:val="en-US" w:eastAsia="zh-CN"/>
                    </w:rPr>
                  </w:pPr>
                  <w:r>
                    <w:rPr>
                      <w:rFonts w:hint="default" w:ascii="Times New Roman" w:hAnsi="Times New Roman" w:cs="Times New Roman"/>
                      <w:color w:val="auto"/>
                      <w:sz w:val="18"/>
                      <w:szCs w:val="18"/>
                      <w:lang w:val="en-US" w:eastAsia="zh-CN"/>
                    </w:rPr>
                    <w:t>配套</w:t>
                  </w:r>
                  <w:r>
                    <w:rPr>
                      <w:rFonts w:hint="eastAsia" w:ascii="Times New Roman" w:hAnsi="Times New Roman" w:cs="Times New Roman"/>
                      <w:color w:val="auto"/>
                      <w:sz w:val="18"/>
                      <w:szCs w:val="18"/>
                      <w:lang w:val="en-US" w:eastAsia="zh-CN"/>
                    </w:rPr>
                    <w:t>17套机械排放系统，</w:t>
                  </w:r>
                  <w:r>
                    <w:rPr>
                      <w:rFonts w:hint="default" w:ascii="Times New Roman" w:hAnsi="Times New Roman" w:cs="Times New Roman"/>
                      <w:color w:val="auto"/>
                      <w:sz w:val="18"/>
                      <w:szCs w:val="18"/>
                      <w:lang w:val="en-US" w:eastAsia="zh-CN"/>
                    </w:rPr>
                    <w:t>每台风机换气次数不小于6次/h</w:t>
                  </w:r>
                  <w:r>
                    <w:rPr>
                      <w:rFonts w:hint="eastAsia" w:ascii="Times New Roman" w:hAnsi="Times New Roman" w:cs="Times New Roman"/>
                      <w:color w:val="auto"/>
                      <w:sz w:val="18"/>
                      <w:szCs w:val="18"/>
                      <w:lang w:val="en-US" w:eastAsia="zh-CN"/>
                    </w:rPr>
                    <w:t>，</w:t>
                  </w:r>
                  <w:r>
                    <w:rPr>
                      <w:rFonts w:hint="default" w:ascii="Times New Roman" w:hAnsi="Times New Roman" w:cs="Times New Roman"/>
                      <w:color w:val="auto"/>
                      <w:sz w:val="18"/>
                      <w:szCs w:val="18"/>
                      <w:lang w:val="en-US" w:eastAsia="zh-CN"/>
                    </w:rPr>
                    <w:t>地下停车库的废气</w:t>
                  </w:r>
                  <w:r>
                    <w:rPr>
                      <w:rFonts w:hint="eastAsia" w:ascii="Times New Roman" w:hAnsi="Times New Roman" w:cs="Times New Roman"/>
                      <w:color w:val="auto"/>
                      <w:sz w:val="18"/>
                      <w:szCs w:val="18"/>
                      <w:lang w:val="en-US" w:eastAsia="zh-CN"/>
                    </w:rPr>
                    <w:t>设置14</w:t>
                  </w:r>
                  <w:r>
                    <w:rPr>
                      <w:rFonts w:hint="default" w:ascii="Times New Roman" w:hAnsi="Times New Roman" w:cs="Times New Roman"/>
                      <w:color w:val="auto"/>
                      <w:sz w:val="18"/>
                      <w:szCs w:val="18"/>
                      <w:lang w:val="en-US" w:eastAsia="zh-CN"/>
                    </w:rPr>
                    <w:t>排风口，排风口</w:t>
                  </w:r>
                  <w:r>
                    <w:rPr>
                      <w:rFonts w:hint="eastAsia" w:ascii="Times New Roman" w:hAnsi="Times New Roman" w:cs="Times New Roman"/>
                      <w:color w:val="auto"/>
                      <w:sz w:val="18"/>
                      <w:szCs w:val="18"/>
                      <w:lang w:val="en-US" w:eastAsia="zh-CN"/>
                    </w:rPr>
                    <w:t>以室外百叶或室外排烟口形式排放。</w:t>
                  </w:r>
                </w:p>
              </w:tc>
              <w:tc>
                <w:tcPr>
                  <w:tcW w:w="1480" w:type="dxa"/>
                  <w:gridSpan w:val="2"/>
                  <w:vMerge w:val="restart"/>
                  <w:vAlign w:val="center"/>
                </w:tcPr>
                <w:p>
                  <w:pPr>
                    <w:spacing w:after="100" w:afterAutospacing="1" w:line="320" w:lineRule="exact"/>
                    <w:jc w:val="center"/>
                    <w:rPr>
                      <w:rFonts w:hint="eastAsia" w:cs="Times New Roman"/>
                      <w:color w:val="auto"/>
                      <w:sz w:val="18"/>
                      <w:szCs w:val="18"/>
                      <w:lang w:val="en-US" w:eastAsia="zh-CN"/>
                    </w:rPr>
                  </w:pPr>
                  <w:r>
                    <w:rPr>
                      <w:rFonts w:hint="eastAsia" w:cs="Times New Roman"/>
                      <w:color w:val="auto"/>
                      <w:sz w:val="18"/>
                      <w:szCs w:val="18"/>
                      <w:lang w:val="en-US" w:eastAsia="zh-CN"/>
                    </w:rPr>
                    <w:t>17套</w:t>
                  </w:r>
                </w:p>
              </w:tc>
              <w:tc>
                <w:tcPr>
                  <w:tcW w:w="950" w:type="dxa"/>
                  <w:vMerge w:val="restart"/>
                  <w:vAlign w:val="center"/>
                </w:tcPr>
                <w:p>
                  <w:pPr>
                    <w:spacing w:after="100" w:afterAutospacing="1" w:line="320" w:lineRule="exact"/>
                    <w:jc w:val="center"/>
                    <w:rPr>
                      <w:rFonts w:hint="eastAsia" w:cs="Times New Roman"/>
                      <w:color w:val="auto"/>
                      <w:sz w:val="18"/>
                      <w:szCs w:val="18"/>
                      <w:lang w:val="en-US" w:eastAsia="zh-CN"/>
                    </w:rPr>
                  </w:pPr>
                  <w:r>
                    <w:rPr>
                      <w:rFonts w:hint="eastAsia" w:cs="Times New Roman"/>
                      <w:color w:val="auto"/>
                      <w:sz w:val="18"/>
                      <w:szCs w:val="18"/>
                      <w:lang w:val="en-US" w:eastAsia="zh-CN"/>
                    </w:rPr>
                    <w:t>170</w:t>
                  </w:r>
                </w:p>
              </w:tc>
              <w:tc>
                <w:tcPr>
                  <w:tcW w:w="1256" w:type="dxa"/>
                  <w:vMerge w:val="restart"/>
                  <w:vAlign w:val="center"/>
                </w:tcPr>
                <w:p>
                  <w:pPr>
                    <w:spacing w:line="260" w:lineRule="exact"/>
                    <w:jc w:val="center"/>
                    <w:rPr>
                      <w:rFonts w:hint="eastAsia"/>
                      <w:color w:val="auto"/>
                      <w:sz w:val="18"/>
                      <w:szCs w:val="18"/>
                      <w:lang w:val="en-US" w:eastAsia="zh-CN"/>
                    </w:rPr>
                  </w:pPr>
                  <w:r>
                    <w:rPr>
                      <w:rFonts w:hint="eastAsia"/>
                      <w:color w:val="auto"/>
                      <w:sz w:val="18"/>
                      <w:szCs w:val="18"/>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Ex>
              <w:trPr>
                <w:trHeight w:val="208" w:hRule="atLeast"/>
                <w:jc w:val="center"/>
              </w:trPr>
              <w:tc>
                <w:tcPr>
                  <w:tcW w:w="225" w:type="dxa"/>
                  <w:vMerge w:val="continue"/>
                  <w:tcMar>
                    <w:left w:w="17" w:type="dxa"/>
                    <w:right w:w="17" w:type="dxa"/>
                  </w:tcMar>
                  <w:vAlign w:val="center"/>
                </w:tcPr>
                <w:p>
                  <w:pPr>
                    <w:spacing w:line="260" w:lineRule="exact"/>
                    <w:jc w:val="center"/>
                    <w:rPr>
                      <w:rFonts w:ascii="Times New Roman" w:hAnsi="Times New Roman" w:cs="Times New Roman"/>
                      <w:color w:val="auto"/>
                      <w:sz w:val="18"/>
                      <w:szCs w:val="18"/>
                    </w:rPr>
                  </w:pPr>
                </w:p>
              </w:tc>
              <w:tc>
                <w:tcPr>
                  <w:tcW w:w="1386" w:type="dxa"/>
                  <w:vMerge w:val="continue"/>
                  <w:tcMar>
                    <w:left w:w="17" w:type="dxa"/>
                    <w:right w:w="17" w:type="dxa"/>
                  </w:tcMar>
                  <w:vAlign w:val="center"/>
                </w:tcPr>
                <w:p>
                  <w:pPr>
                    <w:spacing w:after="100" w:afterAutospacing="1" w:line="320" w:lineRule="exact"/>
                    <w:jc w:val="center"/>
                    <w:rPr>
                      <w:rFonts w:hint="eastAsia" w:cs="Times New Roman"/>
                      <w:color w:val="auto"/>
                      <w:sz w:val="18"/>
                      <w:szCs w:val="18"/>
                      <w:lang w:val="en-US" w:eastAsia="zh-CN"/>
                    </w:rPr>
                  </w:pPr>
                </w:p>
              </w:tc>
              <w:tc>
                <w:tcPr>
                  <w:tcW w:w="1280" w:type="dxa"/>
                  <w:tcMar>
                    <w:left w:w="17" w:type="dxa"/>
                    <w:right w:w="17" w:type="dxa"/>
                  </w:tcMar>
                  <w:vAlign w:val="center"/>
                </w:tcPr>
                <w:p>
                  <w:pPr>
                    <w:spacing w:line="260" w:lineRule="exact"/>
                    <w:jc w:val="center"/>
                    <w:rPr>
                      <w:rFonts w:hint="eastAsia" w:cs="Times New Roman"/>
                      <w:color w:val="auto"/>
                      <w:sz w:val="18"/>
                      <w:szCs w:val="18"/>
                      <w:lang w:val="en-US" w:eastAsia="zh-CN"/>
                    </w:rPr>
                  </w:pPr>
                  <w:r>
                    <w:rPr>
                      <w:rFonts w:ascii="Times New Roman" w:hAnsi="Times New Roman" w:eastAsia="宋体" w:cs="Times New Roman"/>
                      <w:color w:val="auto"/>
                      <w:sz w:val="18"/>
                      <w:szCs w:val="18"/>
                      <w:shd w:val="clear" w:color="auto" w:fill="FFFFFF"/>
                    </w:rPr>
                    <w:t>HC</w:t>
                  </w:r>
                </w:p>
              </w:tc>
              <w:tc>
                <w:tcPr>
                  <w:tcW w:w="1710" w:type="dxa"/>
                  <w:vMerge w:val="continue"/>
                  <w:tcMar>
                    <w:left w:w="17" w:type="dxa"/>
                    <w:right w:w="17" w:type="dxa"/>
                  </w:tcMar>
                  <w:vAlign w:val="center"/>
                </w:tcPr>
                <w:p>
                  <w:pPr>
                    <w:spacing w:after="100" w:afterAutospacing="1" w:line="320" w:lineRule="exact"/>
                    <w:jc w:val="center"/>
                    <w:rPr>
                      <w:rFonts w:hint="eastAsia" w:cs="Times New Roman"/>
                      <w:color w:val="auto"/>
                      <w:sz w:val="18"/>
                      <w:szCs w:val="18"/>
                      <w:lang w:val="en-US" w:eastAsia="zh-CN"/>
                    </w:rPr>
                  </w:pPr>
                </w:p>
              </w:tc>
              <w:tc>
                <w:tcPr>
                  <w:tcW w:w="1480" w:type="dxa"/>
                  <w:gridSpan w:val="2"/>
                  <w:vMerge w:val="continue"/>
                  <w:vAlign w:val="center"/>
                </w:tcPr>
                <w:p>
                  <w:pPr>
                    <w:spacing w:after="100" w:afterAutospacing="1" w:line="320" w:lineRule="exact"/>
                    <w:jc w:val="center"/>
                    <w:rPr>
                      <w:rFonts w:hint="eastAsia" w:cs="Times New Roman"/>
                      <w:color w:val="auto"/>
                      <w:sz w:val="18"/>
                      <w:szCs w:val="18"/>
                      <w:lang w:val="en-US" w:eastAsia="zh-CN"/>
                    </w:rPr>
                  </w:pPr>
                </w:p>
              </w:tc>
              <w:tc>
                <w:tcPr>
                  <w:tcW w:w="950" w:type="dxa"/>
                  <w:vMerge w:val="continue"/>
                  <w:vAlign w:val="center"/>
                </w:tcPr>
                <w:p>
                  <w:pPr>
                    <w:spacing w:after="100" w:afterAutospacing="1" w:line="320" w:lineRule="exact"/>
                    <w:jc w:val="center"/>
                    <w:rPr>
                      <w:rFonts w:hint="eastAsia" w:cs="Times New Roman"/>
                      <w:color w:val="auto"/>
                      <w:sz w:val="18"/>
                      <w:szCs w:val="18"/>
                      <w:lang w:val="en-US" w:eastAsia="zh-CN"/>
                    </w:rPr>
                  </w:pPr>
                </w:p>
              </w:tc>
              <w:tc>
                <w:tcPr>
                  <w:tcW w:w="1256" w:type="dxa"/>
                  <w:vMerge w:val="continue"/>
                  <w:vAlign w:val="center"/>
                </w:tcPr>
                <w:p>
                  <w:pPr>
                    <w:spacing w:line="260" w:lineRule="exact"/>
                    <w:jc w:val="center"/>
                    <w:rPr>
                      <w:rFonts w:hint="eastAsia"/>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Ex>
              <w:trPr>
                <w:trHeight w:val="208" w:hRule="atLeast"/>
                <w:jc w:val="center"/>
              </w:trPr>
              <w:tc>
                <w:tcPr>
                  <w:tcW w:w="225" w:type="dxa"/>
                  <w:vMerge w:val="continue"/>
                  <w:tcMar>
                    <w:left w:w="17" w:type="dxa"/>
                    <w:right w:w="17" w:type="dxa"/>
                  </w:tcMar>
                  <w:vAlign w:val="center"/>
                </w:tcPr>
                <w:p>
                  <w:pPr>
                    <w:spacing w:line="260" w:lineRule="exact"/>
                    <w:jc w:val="center"/>
                    <w:rPr>
                      <w:rFonts w:ascii="Times New Roman" w:hAnsi="Times New Roman" w:cs="Times New Roman"/>
                      <w:color w:val="auto"/>
                      <w:sz w:val="18"/>
                      <w:szCs w:val="18"/>
                    </w:rPr>
                  </w:pPr>
                </w:p>
              </w:tc>
              <w:tc>
                <w:tcPr>
                  <w:tcW w:w="1386" w:type="dxa"/>
                  <w:vMerge w:val="continue"/>
                  <w:tcMar>
                    <w:left w:w="17" w:type="dxa"/>
                    <w:right w:w="17" w:type="dxa"/>
                  </w:tcMar>
                  <w:vAlign w:val="center"/>
                </w:tcPr>
                <w:p>
                  <w:pPr>
                    <w:spacing w:after="100" w:afterAutospacing="1" w:line="320" w:lineRule="exact"/>
                    <w:jc w:val="center"/>
                    <w:rPr>
                      <w:rFonts w:hint="eastAsia" w:cs="Times New Roman"/>
                      <w:color w:val="auto"/>
                      <w:sz w:val="18"/>
                      <w:szCs w:val="18"/>
                      <w:lang w:val="en-US" w:eastAsia="zh-CN"/>
                    </w:rPr>
                  </w:pPr>
                </w:p>
              </w:tc>
              <w:tc>
                <w:tcPr>
                  <w:tcW w:w="1280" w:type="dxa"/>
                  <w:tcMar>
                    <w:left w:w="17" w:type="dxa"/>
                    <w:right w:w="17" w:type="dxa"/>
                  </w:tcMar>
                  <w:vAlign w:val="center"/>
                </w:tcPr>
                <w:p>
                  <w:pPr>
                    <w:spacing w:line="260" w:lineRule="exact"/>
                    <w:jc w:val="center"/>
                    <w:rPr>
                      <w:rFonts w:hint="eastAsia" w:cs="Times New Roman"/>
                      <w:color w:val="auto"/>
                      <w:sz w:val="18"/>
                      <w:szCs w:val="18"/>
                      <w:lang w:val="en-US" w:eastAsia="zh-CN"/>
                    </w:rPr>
                  </w:pPr>
                  <w:r>
                    <w:rPr>
                      <w:rFonts w:ascii="Times New Roman" w:hAnsi="Times New Roman" w:eastAsia="宋体" w:cs="Times New Roman"/>
                      <w:color w:val="auto"/>
                      <w:sz w:val="18"/>
                      <w:szCs w:val="18"/>
                      <w:shd w:val="clear" w:color="auto" w:fill="FFFFFF"/>
                    </w:rPr>
                    <w:t>NO</w:t>
                  </w:r>
                  <w:r>
                    <w:rPr>
                      <w:rFonts w:ascii="Times New Roman" w:hAnsi="Times New Roman" w:eastAsia="宋体" w:cs="Times New Roman"/>
                      <w:color w:val="auto"/>
                      <w:sz w:val="18"/>
                      <w:szCs w:val="18"/>
                      <w:shd w:val="clear" w:color="auto" w:fill="FFFFFF"/>
                      <w:vertAlign w:val="subscript"/>
                    </w:rPr>
                    <w:t>X</w:t>
                  </w:r>
                </w:p>
              </w:tc>
              <w:tc>
                <w:tcPr>
                  <w:tcW w:w="1710" w:type="dxa"/>
                  <w:vMerge w:val="continue"/>
                  <w:tcMar>
                    <w:left w:w="17" w:type="dxa"/>
                    <w:right w:w="17" w:type="dxa"/>
                  </w:tcMar>
                  <w:vAlign w:val="center"/>
                </w:tcPr>
                <w:p>
                  <w:pPr>
                    <w:spacing w:after="100" w:afterAutospacing="1" w:line="320" w:lineRule="exact"/>
                    <w:jc w:val="center"/>
                    <w:rPr>
                      <w:rFonts w:hint="eastAsia" w:cs="Times New Roman"/>
                      <w:color w:val="auto"/>
                      <w:sz w:val="18"/>
                      <w:szCs w:val="18"/>
                      <w:lang w:val="en-US" w:eastAsia="zh-CN"/>
                    </w:rPr>
                  </w:pPr>
                </w:p>
              </w:tc>
              <w:tc>
                <w:tcPr>
                  <w:tcW w:w="1480" w:type="dxa"/>
                  <w:gridSpan w:val="2"/>
                  <w:vMerge w:val="continue"/>
                  <w:vAlign w:val="center"/>
                </w:tcPr>
                <w:p>
                  <w:pPr>
                    <w:spacing w:after="100" w:afterAutospacing="1" w:line="320" w:lineRule="exact"/>
                    <w:jc w:val="center"/>
                    <w:rPr>
                      <w:rFonts w:hint="eastAsia" w:cs="Times New Roman"/>
                      <w:color w:val="auto"/>
                      <w:sz w:val="18"/>
                      <w:szCs w:val="18"/>
                      <w:lang w:val="en-US" w:eastAsia="zh-CN"/>
                    </w:rPr>
                  </w:pPr>
                </w:p>
              </w:tc>
              <w:tc>
                <w:tcPr>
                  <w:tcW w:w="950" w:type="dxa"/>
                  <w:vMerge w:val="continue"/>
                  <w:vAlign w:val="center"/>
                </w:tcPr>
                <w:p>
                  <w:pPr>
                    <w:spacing w:after="100" w:afterAutospacing="1" w:line="320" w:lineRule="exact"/>
                    <w:jc w:val="center"/>
                    <w:rPr>
                      <w:rFonts w:hint="eastAsia" w:cs="Times New Roman"/>
                      <w:color w:val="auto"/>
                      <w:sz w:val="18"/>
                      <w:szCs w:val="18"/>
                      <w:lang w:val="en-US" w:eastAsia="zh-CN"/>
                    </w:rPr>
                  </w:pPr>
                </w:p>
              </w:tc>
              <w:tc>
                <w:tcPr>
                  <w:tcW w:w="1256" w:type="dxa"/>
                  <w:vMerge w:val="continue"/>
                  <w:vAlign w:val="center"/>
                </w:tcPr>
                <w:p>
                  <w:pPr>
                    <w:spacing w:line="260" w:lineRule="exact"/>
                    <w:jc w:val="center"/>
                    <w:rPr>
                      <w:rFonts w:hint="eastAsia"/>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Ex>
              <w:trPr>
                <w:trHeight w:val="208" w:hRule="atLeast"/>
                <w:jc w:val="center"/>
              </w:trPr>
              <w:tc>
                <w:tcPr>
                  <w:tcW w:w="225" w:type="dxa"/>
                  <w:vMerge w:val="continue"/>
                  <w:tcMar>
                    <w:left w:w="17" w:type="dxa"/>
                    <w:right w:w="17" w:type="dxa"/>
                  </w:tcMar>
                  <w:vAlign w:val="center"/>
                </w:tcPr>
                <w:p>
                  <w:pPr>
                    <w:spacing w:line="260" w:lineRule="exact"/>
                    <w:jc w:val="center"/>
                    <w:rPr>
                      <w:rFonts w:ascii="Times New Roman" w:hAnsi="Times New Roman" w:cs="Times New Roman"/>
                      <w:color w:val="auto"/>
                      <w:sz w:val="18"/>
                      <w:szCs w:val="18"/>
                    </w:rPr>
                  </w:pPr>
                </w:p>
              </w:tc>
              <w:tc>
                <w:tcPr>
                  <w:tcW w:w="1386" w:type="dxa"/>
                  <w:tcMar>
                    <w:left w:w="17" w:type="dxa"/>
                    <w:right w:w="17" w:type="dxa"/>
                  </w:tcMar>
                  <w:vAlign w:val="center"/>
                </w:tcPr>
                <w:p>
                  <w:pPr>
                    <w:spacing w:after="100" w:afterAutospacing="1" w:line="320" w:lineRule="exact"/>
                    <w:jc w:val="center"/>
                    <w:rPr>
                      <w:rFonts w:hint="eastAsia"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备用发电机</w:t>
                  </w:r>
                  <w:r>
                    <w:rPr>
                      <w:rFonts w:hint="eastAsia" w:ascii="Times New Roman" w:hAnsi="Times New Roman" w:cs="Times New Roman"/>
                      <w:color w:val="auto"/>
                      <w:sz w:val="18"/>
                      <w:szCs w:val="18"/>
                      <w:lang w:val="en-US" w:eastAsia="zh-CN"/>
                    </w:rPr>
                    <w:t>尾气</w:t>
                  </w:r>
                </w:p>
              </w:tc>
              <w:tc>
                <w:tcPr>
                  <w:tcW w:w="1280" w:type="dxa"/>
                  <w:tcMar>
                    <w:left w:w="17" w:type="dxa"/>
                    <w:right w:w="17" w:type="dxa"/>
                  </w:tcMar>
                  <w:vAlign w:val="center"/>
                </w:tcPr>
                <w:p>
                  <w:pPr>
                    <w:spacing w:line="260" w:lineRule="exact"/>
                    <w:jc w:val="center"/>
                    <w:rPr>
                      <w:rFonts w:hint="default" w:ascii="Times New Roman" w:hAnsi="Times New Roman" w:cs="Times New Roman"/>
                      <w:color w:val="auto"/>
                      <w:sz w:val="18"/>
                      <w:szCs w:val="18"/>
                      <w:lang w:val="en-US" w:eastAsia="zh-CN"/>
                    </w:rPr>
                  </w:pPr>
                  <w:r>
                    <w:rPr>
                      <w:rFonts w:hint="default" w:ascii="Times New Roman" w:hAnsi="Times New Roman" w:eastAsia="宋体" w:cs="Times New Roman"/>
                      <w:color w:val="auto"/>
                      <w:sz w:val="18"/>
                      <w:szCs w:val="18"/>
                      <w:shd w:val="clear" w:color="auto" w:fill="FFFFFF"/>
                    </w:rPr>
                    <w:t>CO、HC、NO</w:t>
                  </w:r>
                  <w:r>
                    <w:rPr>
                      <w:rFonts w:hint="default" w:ascii="Times New Roman" w:hAnsi="Times New Roman" w:eastAsia="宋体" w:cs="Times New Roman"/>
                      <w:color w:val="auto"/>
                      <w:sz w:val="18"/>
                      <w:szCs w:val="18"/>
                      <w:shd w:val="clear" w:color="auto" w:fill="FFFFFF"/>
                      <w:vertAlign w:val="subscript"/>
                    </w:rPr>
                    <w:t>X</w:t>
                  </w:r>
                  <w:r>
                    <w:rPr>
                      <w:rFonts w:hint="default" w:ascii="Times New Roman" w:hAnsi="Times New Roman" w:eastAsia="宋体" w:cs="Times New Roman"/>
                      <w:color w:val="auto"/>
                      <w:sz w:val="18"/>
                      <w:szCs w:val="18"/>
                      <w:shd w:val="clear" w:color="auto" w:fill="FFFFFF"/>
                    </w:rPr>
                    <w:t>、PM</w:t>
                  </w:r>
                  <w:r>
                    <w:rPr>
                      <w:rFonts w:hint="default" w:ascii="Times New Roman" w:hAnsi="Times New Roman" w:eastAsia="宋体" w:cs="Times New Roman"/>
                      <w:color w:val="auto"/>
                      <w:sz w:val="18"/>
                      <w:szCs w:val="18"/>
                      <w:shd w:val="clear" w:color="auto" w:fill="FFFFFF"/>
                      <w:vertAlign w:val="subscript"/>
                    </w:rPr>
                    <w:t>2.5</w:t>
                  </w:r>
                  <w:r>
                    <w:rPr>
                      <w:rFonts w:hint="default" w:ascii="Times New Roman" w:hAnsi="Times New Roman" w:eastAsia="宋体" w:cs="Times New Roman"/>
                      <w:color w:val="auto"/>
                      <w:sz w:val="18"/>
                      <w:szCs w:val="18"/>
                      <w:shd w:val="clear" w:color="auto" w:fill="FFFFFF"/>
                    </w:rPr>
                    <w:t>和PM</w:t>
                  </w:r>
                  <w:r>
                    <w:rPr>
                      <w:rFonts w:hint="default" w:ascii="Times New Roman" w:hAnsi="Times New Roman" w:eastAsia="宋体" w:cs="Times New Roman"/>
                      <w:color w:val="auto"/>
                      <w:sz w:val="18"/>
                      <w:szCs w:val="18"/>
                      <w:shd w:val="clear" w:color="auto" w:fill="FFFFFF"/>
                      <w:vertAlign w:val="subscript"/>
                    </w:rPr>
                    <w:t>10</w:t>
                  </w:r>
                </w:p>
              </w:tc>
              <w:tc>
                <w:tcPr>
                  <w:tcW w:w="1710" w:type="dxa"/>
                  <w:tcMar>
                    <w:left w:w="17" w:type="dxa"/>
                    <w:right w:w="17" w:type="dxa"/>
                  </w:tcMar>
                  <w:vAlign w:val="center"/>
                </w:tcPr>
                <w:p>
                  <w:pPr>
                    <w:spacing w:after="100" w:afterAutospacing="1" w:line="320" w:lineRule="exact"/>
                    <w:jc w:val="center"/>
                    <w:rPr>
                      <w:rFonts w:hint="eastAsia" w:cs="Times New Roman"/>
                      <w:color w:val="auto"/>
                      <w:sz w:val="18"/>
                      <w:szCs w:val="18"/>
                      <w:lang w:val="en-US" w:eastAsia="zh-CN"/>
                    </w:rPr>
                  </w:pPr>
                  <w:r>
                    <w:rPr>
                      <w:rFonts w:hint="eastAsia" w:cs="Times New Roman"/>
                      <w:color w:val="auto"/>
                      <w:sz w:val="18"/>
                      <w:szCs w:val="18"/>
                      <w:lang w:val="en-US" w:eastAsia="zh-CN"/>
                    </w:rPr>
                    <w:t>使用频率低，定期保养设备</w:t>
                  </w:r>
                </w:p>
              </w:tc>
              <w:tc>
                <w:tcPr>
                  <w:tcW w:w="1480" w:type="dxa"/>
                  <w:gridSpan w:val="2"/>
                  <w:vAlign w:val="center"/>
                </w:tcPr>
                <w:p>
                  <w:pPr>
                    <w:spacing w:after="100" w:afterAutospacing="1" w:line="320" w:lineRule="exact"/>
                    <w:jc w:val="center"/>
                    <w:rPr>
                      <w:rFonts w:hint="eastAsia" w:cs="Times New Roman"/>
                      <w:color w:val="auto"/>
                      <w:sz w:val="18"/>
                      <w:szCs w:val="18"/>
                      <w:lang w:val="en-US" w:eastAsia="zh-CN"/>
                    </w:rPr>
                  </w:pPr>
                  <w:r>
                    <w:rPr>
                      <w:rFonts w:hint="eastAsia" w:cs="Times New Roman"/>
                      <w:color w:val="auto"/>
                      <w:sz w:val="18"/>
                      <w:szCs w:val="18"/>
                      <w:lang w:val="en-US" w:eastAsia="zh-CN"/>
                    </w:rPr>
                    <w:t>/</w:t>
                  </w:r>
                </w:p>
              </w:tc>
              <w:tc>
                <w:tcPr>
                  <w:tcW w:w="950" w:type="dxa"/>
                  <w:vAlign w:val="center"/>
                </w:tcPr>
                <w:p>
                  <w:pPr>
                    <w:spacing w:after="100" w:afterAutospacing="1" w:line="320" w:lineRule="exact"/>
                    <w:jc w:val="center"/>
                    <w:rPr>
                      <w:rFonts w:hint="eastAsia" w:cs="Times New Roman"/>
                      <w:color w:val="auto"/>
                      <w:sz w:val="18"/>
                      <w:szCs w:val="18"/>
                      <w:lang w:val="en-US" w:eastAsia="zh-CN"/>
                    </w:rPr>
                  </w:pPr>
                  <w:r>
                    <w:rPr>
                      <w:rFonts w:hint="eastAsia" w:cs="Times New Roman"/>
                      <w:color w:val="auto"/>
                      <w:sz w:val="18"/>
                      <w:szCs w:val="18"/>
                      <w:lang w:val="en-US" w:eastAsia="zh-CN"/>
                    </w:rPr>
                    <w:t>/</w:t>
                  </w:r>
                </w:p>
              </w:tc>
              <w:tc>
                <w:tcPr>
                  <w:tcW w:w="1256" w:type="dxa"/>
                  <w:vAlign w:val="center"/>
                </w:tcPr>
                <w:p>
                  <w:pPr>
                    <w:spacing w:line="260" w:lineRule="exact"/>
                    <w:jc w:val="center"/>
                    <w:rPr>
                      <w:rFonts w:hint="eastAsia"/>
                      <w:color w:val="auto"/>
                      <w:sz w:val="18"/>
                      <w:szCs w:val="18"/>
                      <w:lang w:val="en-US" w:eastAsia="zh-CN"/>
                    </w:rPr>
                  </w:pPr>
                  <w:r>
                    <w:rPr>
                      <w:rFonts w:hint="eastAsia"/>
                      <w:color w:val="auto"/>
                      <w:sz w:val="18"/>
                      <w:szCs w:val="18"/>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Ex>
              <w:trPr>
                <w:trHeight w:val="308" w:hRule="atLeast"/>
                <w:jc w:val="center"/>
              </w:trPr>
              <w:tc>
                <w:tcPr>
                  <w:tcW w:w="225" w:type="dxa"/>
                  <w:vMerge w:val="restart"/>
                  <w:tcMar>
                    <w:left w:w="17" w:type="dxa"/>
                    <w:right w:w="17" w:type="dxa"/>
                  </w:tcMar>
                  <w:vAlign w:val="center"/>
                </w:tcPr>
                <w:p>
                  <w:pPr>
                    <w:spacing w:after="100" w:afterAutospacing="1" w:line="320" w:lineRule="exact"/>
                    <w:jc w:val="center"/>
                    <w:rPr>
                      <w:rFonts w:hint="eastAsia"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废水</w:t>
                  </w:r>
                </w:p>
              </w:tc>
              <w:tc>
                <w:tcPr>
                  <w:tcW w:w="1386" w:type="dxa"/>
                  <w:vMerge w:val="restart"/>
                  <w:tcMar>
                    <w:left w:w="17" w:type="dxa"/>
                    <w:right w:w="17" w:type="dxa"/>
                  </w:tcMar>
                  <w:vAlign w:val="center"/>
                </w:tcPr>
                <w:p>
                  <w:pPr>
                    <w:spacing w:after="100" w:afterAutospacing="1"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生活污水</w:t>
                  </w:r>
                  <w:r>
                    <w:rPr>
                      <w:rFonts w:hint="eastAsia" w:cs="Times New Roman"/>
                      <w:color w:val="auto"/>
                      <w:sz w:val="18"/>
                      <w:szCs w:val="18"/>
                      <w:lang w:eastAsia="zh-CN"/>
                    </w:rPr>
                    <w:t>（</w:t>
                  </w:r>
                  <w:r>
                    <w:rPr>
                      <w:rFonts w:hint="eastAsia" w:cs="Times New Roman"/>
                      <w:color w:val="auto"/>
                      <w:sz w:val="18"/>
                      <w:szCs w:val="18"/>
                      <w:lang w:val="en-US" w:eastAsia="zh-CN"/>
                    </w:rPr>
                    <w:t>含食堂废水）</w:t>
                  </w:r>
                </w:p>
              </w:tc>
              <w:tc>
                <w:tcPr>
                  <w:tcW w:w="1280" w:type="dxa"/>
                  <w:vMerge w:val="restart"/>
                  <w:tcMar>
                    <w:left w:w="17" w:type="dxa"/>
                    <w:right w:w="17" w:type="dxa"/>
                  </w:tcMar>
                  <w:vAlign w:val="center"/>
                </w:tcPr>
                <w:p>
                  <w:pPr>
                    <w:spacing w:line="2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COD</w:t>
                  </w:r>
                </w:p>
                <w:p>
                  <w:pPr>
                    <w:spacing w:line="260" w:lineRule="exact"/>
                    <w:jc w:val="center"/>
                    <w:rPr>
                      <w:rFonts w:hint="default" w:ascii="Times New Roman" w:hAnsi="Times New Roman" w:eastAsia="宋体" w:cs="Times New Roman"/>
                      <w:color w:val="auto"/>
                      <w:sz w:val="18"/>
                      <w:szCs w:val="18"/>
                      <w:shd w:val="clear" w:color="auto" w:fill="FFFFFF"/>
                    </w:rPr>
                  </w:pPr>
                  <w:r>
                    <w:rPr>
                      <w:rFonts w:hint="default" w:ascii="Times New Roman" w:hAnsi="Times New Roman" w:eastAsia="宋体" w:cs="Times New Roman"/>
                      <w:color w:val="auto"/>
                      <w:sz w:val="18"/>
                      <w:szCs w:val="18"/>
                      <w:shd w:val="clear" w:color="auto" w:fill="FFFFFF"/>
                    </w:rPr>
                    <w:t>氨氮</w:t>
                  </w:r>
                </w:p>
                <w:p>
                  <w:pPr>
                    <w:spacing w:line="260" w:lineRule="exact"/>
                    <w:jc w:val="center"/>
                    <w:rPr>
                      <w:rFonts w:hint="default" w:ascii="Times New Roman" w:hAnsi="Times New Roman" w:cs="Times New Roman"/>
                      <w:color w:val="auto"/>
                      <w:sz w:val="18"/>
                      <w:szCs w:val="18"/>
                    </w:rPr>
                  </w:pPr>
                  <w:r>
                    <w:rPr>
                      <w:rFonts w:hint="default" w:ascii="Times New Roman" w:hAnsi="Times New Roman" w:eastAsia="宋体" w:cs="Times New Roman"/>
                      <w:color w:val="auto"/>
                      <w:sz w:val="18"/>
                      <w:szCs w:val="18"/>
                      <w:shd w:val="clear" w:color="auto" w:fill="FFFFFF"/>
                    </w:rPr>
                    <w:t>动植物油</w:t>
                  </w:r>
                </w:p>
              </w:tc>
              <w:tc>
                <w:tcPr>
                  <w:tcW w:w="1710" w:type="dxa"/>
                  <w:vMerge w:val="restart"/>
                  <w:tcMar>
                    <w:left w:w="17" w:type="dxa"/>
                    <w:right w:w="17" w:type="dxa"/>
                  </w:tcMar>
                  <w:vAlign w:val="center"/>
                </w:tcPr>
                <w:p>
                  <w:pPr>
                    <w:spacing w:after="100" w:afterAutospacing="1"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依托化粪池处理，</w:t>
                  </w:r>
                  <w:r>
                    <w:rPr>
                      <w:rFonts w:hint="eastAsia" w:cs="Times New Roman"/>
                      <w:color w:val="auto"/>
                      <w:sz w:val="18"/>
                      <w:szCs w:val="18"/>
                      <w:lang w:val="en-US" w:eastAsia="zh-CN"/>
                    </w:rPr>
                    <w:t>与其它娱乐废水、冷却塔排水一并</w:t>
                  </w:r>
                  <w:r>
                    <w:rPr>
                      <w:rFonts w:ascii="Times New Roman" w:hAnsi="Times New Roman" w:cs="Times New Roman"/>
                      <w:color w:val="auto"/>
                      <w:sz w:val="18"/>
                      <w:szCs w:val="18"/>
                    </w:rPr>
                    <w:t>排入城市污水厂</w:t>
                  </w:r>
                </w:p>
              </w:tc>
              <w:tc>
                <w:tcPr>
                  <w:tcW w:w="680" w:type="dxa"/>
                  <w:vAlign w:val="center"/>
                </w:tcPr>
                <w:p>
                  <w:pPr>
                    <w:spacing w:after="100" w:afterAutospacing="1"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化粪池</w:t>
                  </w:r>
                </w:p>
              </w:tc>
              <w:tc>
                <w:tcPr>
                  <w:tcW w:w="800" w:type="dxa"/>
                  <w:vAlign w:val="center"/>
                </w:tcPr>
                <w:p>
                  <w:pPr>
                    <w:spacing w:after="100" w:afterAutospacing="1" w:line="320" w:lineRule="exact"/>
                    <w:jc w:val="center"/>
                    <w:rPr>
                      <w:rFonts w:ascii="Times New Roman" w:hAnsi="Times New Roman" w:cs="Times New Roman"/>
                      <w:color w:val="auto"/>
                      <w:sz w:val="18"/>
                      <w:szCs w:val="18"/>
                    </w:rPr>
                  </w:pPr>
                  <w:r>
                    <w:rPr>
                      <w:rFonts w:hint="eastAsia" w:cs="Times New Roman"/>
                      <w:color w:val="auto"/>
                      <w:sz w:val="18"/>
                      <w:szCs w:val="18"/>
                      <w:lang w:val="en-US" w:eastAsia="zh-CN"/>
                    </w:rPr>
                    <w:t>11</w:t>
                  </w:r>
                  <w:r>
                    <w:rPr>
                      <w:rFonts w:ascii="Times New Roman" w:hAnsi="Times New Roman" w:cs="Times New Roman"/>
                      <w:color w:val="auto"/>
                      <w:sz w:val="18"/>
                      <w:szCs w:val="18"/>
                    </w:rPr>
                    <w:t>座</w:t>
                  </w:r>
                </w:p>
              </w:tc>
              <w:tc>
                <w:tcPr>
                  <w:tcW w:w="950" w:type="dxa"/>
                  <w:vAlign w:val="center"/>
                </w:tcPr>
                <w:p>
                  <w:pPr>
                    <w:spacing w:after="100" w:afterAutospacing="1" w:line="320" w:lineRule="exact"/>
                    <w:jc w:val="center"/>
                    <w:rPr>
                      <w:rFonts w:hint="eastAsia" w:ascii="Times New Roman" w:hAnsi="Times New Roman" w:eastAsia="宋体" w:cs="Times New Roman"/>
                      <w:color w:val="auto"/>
                      <w:sz w:val="18"/>
                      <w:szCs w:val="18"/>
                      <w:lang w:eastAsia="zh-CN"/>
                    </w:rPr>
                  </w:pPr>
                  <w:r>
                    <w:rPr>
                      <w:rFonts w:hint="eastAsia" w:cs="Times New Roman"/>
                      <w:color w:val="auto"/>
                      <w:sz w:val="18"/>
                      <w:szCs w:val="18"/>
                      <w:lang w:val="en-US" w:eastAsia="zh-CN"/>
                    </w:rPr>
                    <w:t>22</w:t>
                  </w:r>
                </w:p>
              </w:tc>
              <w:tc>
                <w:tcPr>
                  <w:tcW w:w="1256" w:type="dxa"/>
                  <w:vAlign w:val="center"/>
                </w:tcPr>
                <w:p>
                  <w:pPr>
                    <w:spacing w:after="100" w:afterAutospacing="1" w:line="320" w:lineRule="exact"/>
                    <w:jc w:val="center"/>
                    <w:rPr>
                      <w:rFonts w:hint="eastAsia"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Ex>
              <w:trPr>
                <w:trHeight w:val="308" w:hRule="atLeast"/>
                <w:jc w:val="center"/>
              </w:trPr>
              <w:tc>
                <w:tcPr>
                  <w:tcW w:w="225" w:type="dxa"/>
                  <w:vMerge w:val="continue"/>
                  <w:tcMar>
                    <w:left w:w="17" w:type="dxa"/>
                    <w:right w:w="17" w:type="dxa"/>
                  </w:tcMar>
                  <w:vAlign w:val="center"/>
                </w:tcPr>
                <w:p>
                  <w:pPr>
                    <w:spacing w:after="100" w:afterAutospacing="1" w:line="320" w:lineRule="exact"/>
                    <w:jc w:val="center"/>
                    <w:rPr>
                      <w:rFonts w:hint="eastAsia" w:cs="Times New Roman"/>
                      <w:color w:val="auto"/>
                      <w:sz w:val="18"/>
                      <w:szCs w:val="18"/>
                      <w:lang w:val="en-US" w:eastAsia="zh-CN"/>
                    </w:rPr>
                  </w:pPr>
                </w:p>
              </w:tc>
              <w:tc>
                <w:tcPr>
                  <w:tcW w:w="1386" w:type="dxa"/>
                  <w:vMerge w:val="continue"/>
                  <w:tcMar>
                    <w:left w:w="17" w:type="dxa"/>
                    <w:right w:w="17" w:type="dxa"/>
                  </w:tcMar>
                  <w:vAlign w:val="center"/>
                </w:tcPr>
                <w:p>
                  <w:pPr>
                    <w:spacing w:after="100" w:afterAutospacing="1" w:line="320" w:lineRule="exact"/>
                    <w:jc w:val="center"/>
                    <w:rPr>
                      <w:rFonts w:ascii="Times New Roman" w:hAnsi="Times New Roman" w:cs="Times New Roman"/>
                      <w:color w:val="auto"/>
                      <w:sz w:val="18"/>
                      <w:szCs w:val="18"/>
                    </w:rPr>
                  </w:pPr>
                </w:p>
              </w:tc>
              <w:tc>
                <w:tcPr>
                  <w:tcW w:w="1280" w:type="dxa"/>
                  <w:vMerge w:val="continue"/>
                  <w:tcMar>
                    <w:left w:w="17" w:type="dxa"/>
                    <w:right w:w="17" w:type="dxa"/>
                  </w:tcMar>
                  <w:vAlign w:val="center"/>
                </w:tcPr>
                <w:p>
                  <w:pPr>
                    <w:spacing w:line="260" w:lineRule="exact"/>
                    <w:jc w:val="center"/>
                    <w:rPr>
                      <w:rFonts w:hint="default" w:ascii="Times New Roman" w:hAnsi="Times New Roman" w:eastAsia="宋体" w:cs="Times New Roman"/>
                      <w:color w:val="auto"/>
                      <w:sz w:val="18"/>
                      <w:szCs w:val="18"/>
                      <w:shd w:val="clear" w:color="auto" w:fill="FFFFFF"/>
                    </w:rPr>
                  </w:pPr>
                </w:p>
              </w:tc>
              <w:tc>
                <w:tcPr>
                  <w:tcW w:w="1710" w:type="dxa"/>
                  <w:vMerge w:val="continue"/>
                  <w:tcMar>
                    <w:left w:w="17" w:type="dxa"/>
                    <w:right w:w="17" w:type="dxa"/>
                  </w:tcMar>
                  <w:vAlign w:val="center"/>
                </w:tcPr>
                <w:p>
                  <w:pPr>
                    <w:spacing w:after="100" w:afterAutospacing="1" w:line="320" w:lineRule="exact"/>
                    <w:jc w:val="center"/>
                    <w:rPr>
                      <w:rFonts w:ascii="Times New Roman" w:hAnsi="Times New Roman" w:cs="Times New Roman"/>
                      <w:color w:val="auto"/>
                      <w:sz w:val="18"/>
                      <w:szCs w:val="18"/>
                    </w:rPr>
                  </w:pPr>
                </w:p>
              </w:tc>
              <w:tc>
                <w:tcPr>
                  <w:tcW w:w="680" w:type="dxa"/>
                  <w:vAlign w:val="center"/>
                </w:tcPr>
                <w:p>
                  <w:pPr>
                    <w:spacing w:after="100" w:afterAutospacing="1" w:line="320" w:lineRule="exact"/>
                    <w:jc w:val="center"/>
                    <w:rPr>
                      <w:rFonts w:hint="eastAsia"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隔油池</w:t>
                  </w:r>
                </w:p>
              </w:tc>
              <w:tc>
                <w:tcPr>
                  <w:tcW w:w="800" w:type="dxa"/>
                  <w:vAlign w:val="center"/>
                </w:tcPr>
                <w:p>
                  <w:pPr>
                    <w:spacing w:after="100" w:afterAutospacing="1" w:line="320" w:lineRule="exact"/>
                    <w:jc w:val="center"/>
                    <w:rPr>
                      <w:rFonts w:hint="eastAsia"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6座</w:t>
                  </w:r>
                </w:p>
              </w:tc>
              <w:tc>
                <w:tcPr>
                  <w:tcW w:w="950" w:type="dxa"/>
                  <w:vAlign w:val="center"/>
                </w:tcPr>
                <w:p>
                  <w:pPr>
                    <w:spacing w:after="100" w:afterAutospacing="1" w:line="320" w:lineRule="exact"/>
                    <w:jc w:val="center"/>
                    <w:rPr>
                      <w:rFonts w:hint="eastAsia"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6</w:t>
                  </w:r>
                </w:p>
              </w:tc>
              <w:tc>
                <w:tcPr>
                  <w:tcW w:w="1256" w:type="dxa"/>
                  <w:vAlign w:val="center"/>
                </w:tcPr>
                <w:p>
                  <w:pPr>
                    <w:spacing w:after="100" w:afterAutospacing="1" w:line="320" w:lineRule="exact"/>
                    <w:jc w:val="center"/>
                    <w:rPr>
                      <w:rFonts w:hint="eastAsia" w:cs="Times New Roman"/>
                      <w:color w:val="auto"/>
                      <w:sz w:val="18"/>
                      <w:szCs w:val="18"/>
                      <w:lang w:val="en-US" w:eastAsia="zh-CN"/>
                    </w:rPr>
                  </w:pPr>
                  <w:r>
                    <w:rPr>
                      <w:rFonts w:hint="eastAsia" w:cs="Times New Roman"/>
                      <w:color w:val="auto"/>
                      <w:sz w:val="18"/>
                      <w:szCs w:val="18"/>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Ex>
              <w:trPr>
                <w:trHeight w:val="308" w:hRule="atLeast"/>
                <w:jc w:val="center"/>
              </w:trPr>
              <w:tc>
                <w:tcPr>
                  <w:tcW w:w="225" w:type="dxa"/>
                  <w:vMerge w:val="continue"/>
                  <w:tcMar>
                    <w:left w:w="17" w:type="dxa"/>
                    <w:right w:w="17" w:type="dxa"/>
                  </w:tcMar>
                  <w:vAlign w:val="center"/>
                </w:tcPr>
                <w:p>
                  <w:pPr>
                    <w:spacing w:after="100" w:afterAutospacing="1" w:line="320" w:lineRule="exact"/>
                    <w:jc w:val="center"/>
                    <w:rPr>
                      <w:rFonts w:ascii="Times New Roman" w:hAnsi="Times New Roman" w:cs="Times New Roman"/>
                      <w:color w:val="auto"/>
                      <w:sz w:val="18"/>
                      <w:szCs w:val="18"/>
                    </w:rPr>
                  </w:pPr>
                </w:p>
              </w:tc>
              <w:tc>
                <w:tcPr>
                  <w:tcW w:w="1386" w:type="dxa"/>
                  <w:tcMar>
                    <w:left w:w="17" w:type="dxa"/>
                    <w:right w:w="17" w:type="dxa"/>
                  </w:tcMar>
                  <w:vAlign w:val="center"/>
                </w:tcPr>
                <w:p>
                  <w:pPr>
                    <w:spacing w:after="100" w:afterAutospacing="1" w:line="320" w:lineRule="exact"/>
                    <w:jc w:val="center"/>
                    <w:rPr>
                      <w:rFonts w:ascii="Times New Roman" w:hAnsi="Times New Roman" w:cs="Times New Roman"/>
                      <w:color w:val="auto"/>
                      <w:sz w:val="18"/>
                      <w:szCs w:val="18"/>
                    </w:rPr>
                  </w:pPr>
                  <w:r>
                    <w:rPr>
                      <w:rFonts w:ascii="Times New Roman" w:hAnsi="Times New Roman" w:eastAsia="宋体" w:cs="Times New Roman"/>
                      <w:color w:val="auto"/>
                      <w:kern w:val="0"/>
                      <w:sz w:val="18"/>
                      <w:szCs w:val="18"/>
                    </w:rPr>
                    <w:t>娱乐废水</w:t>
                  </w:r>
                </w:p>
              </w:tc>
              <w:tc>
                <w:tcPr>
                  <w:tcW w:w="1280" w:type="dxa"/>
                  <w:tcMar>
                    <w:left w:w="17" w:type="dxa"/>
                    <w:right w:w="17" w:type="dxa"/>
                  </w:tcMar>
                  <w:vAlign w:val="center"/>
                </w:tcPr>
                <w:p>
                  <w:pPr>
                    <w:spacing w:line="2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COD</w:t>
                  </w:r>
                </w:p>
                <w:p>
                  <w:pPr>
                    <w:spacing w:line="260" w:lineRule="exact"/>
                    <w:jc w:val="center"/>
                    <w:rPr>
                      <w:rFonts w:hint="default" w:ascii="Times New Roman" w:hAnsi="Times New Roman" w:eastAsia="宋体" w:cs="Times New Roman"/>
                      <w:color w:val="auto"/>
                      <w:sz w:val="18"/>
                      <w:szCs w:val="18"/>
                      <w:shd w:val="clear" w:color="auto" w:fill="FFFFFF"/>
                    </w:rPr>
                  </w:pPr>
                  <w:r>
                    <w:rPr>
                      <w:rFonts w:hint="default" w:ascii="Times New Roman" w:hAnsi="Times New Roman" w:eastAsia="宋体" w:cs="Times New Roman"/>
                      <w:color w:val="auto"/>
                      <w:sz w:val="18"/>
                      <w:szCs w:val="18"/>
                      <w:shd w:val="clear" w:color="auto" w:fill="FFFFFF"/>
                    </w:rPr>
                    <w:t>氨氮</w:t>
                  </w:r>
                </w:p>
                <w:p>
                  <w:pPr>
                    <w:spacing w:line="260" w:lineRule="exact"/>
                    <w:jc w:val="center"/>
                    <w:rPr>
                      <w:rFonts w:hint="default" w:ascii="Times New Roman" w:hAnsi="Times New Roman" w:cs="Times New Roman"/>
                      <w:color w:val="auto"/>
                      <w:sz w:val="18"/>
                      <w:szCs w:val="18"/>
                    </w:rPr>
                  </w:pPr>
                  <w:r>
                    <w:rPr>
                      <w:rFonts w:hint="default" w:ascii="Times New Roman" w:hAnsi="Times New Roman" w:eastAsia="宋体" w:cs="Times New Roman"/>
                      <w:color w:val="auto"/>
                      <w:kern w:val="0"/>
                      <w:sz w:val="18"/>
                      <w:szCs w:val="18"/>
                    </w:rPr>
                    <w:t>磷酸盐</w:t>
                  </w:r>
                </w:p>
              </w:tc>
              <w:tc>
                <w:tcPr>
                  <w:tcW w:w="1710" w:type="dxa"/>
                  <w:tcMar>
                    <w:left w:w="17" w:type="dxa"/>
                    <w:right w:w="17" w:type="dxa"/>
                  </w:tcMar>
                  <w:vAlign w:val="center"/>
                </w:tcPr>
                <w:p>
                  <w:pPr>
                    <w:spacing w:after="100" w:afterAutospacing="1" w:line="320" w:lineRule="exact"/>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循环水泵+过滤砂缸</w:t>
                  </w:r>
                  <w:r>
                    <w:rPr>
                      <w:rFonts w:ascii="Times New Roman" w:hAnsi="Times New Roman" w:cs="Times New Roman"/>
                      <w:color w:val="auto"/>
                      <w:sz w:val="18"/>
                      <w:szCs w:val="18"/>
                    </w:rPr>
                    <w:t>+紫外线消毒</w:t>
                  </w:r>
                  <w:r>
                    <w:rPr>
                      <w:rFonts w:hint="eastAsia" w:ascii="Times New Roman" w:hAnsi="Times New Roman" w:cs="Times New Roman"/>
                      <w:color w:val="auto"/>
                      <w:sz w:val="18"/>
                      <w:szCs w:val="18"/>
                    </w:rPr>
                    <w:t>+</w:t>
                  </w:r>
                  <w:r>
                    <w:rPr>
                      <w:rFonts w:ascii="Times New Roman" w:hAnsi="Times New Roman" w:cs="Times New Roman"/>
                      <w:color w:val="auto"/>
                      <w:sz w:val="18"/>
                      <w:szCs w:val="18"/>
                    </w:rPr>
                    <w:t>消毒剂（次氯酸钠）投药，排入城市污水厂</w:t>
                  </w:r>
                </w:p>
              </w:tc>
              <w:tc>
                <w:tcPr>
                  <w:tcW w:w="680" w:type="dxa"/>
                  <w:vAlign w:val="center"/>
                </w:tcPr>
                <w:p>
                  <w:pPr>
                    <w:spacing w:after="100" w:afterAutospacing="1"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污水站</w:t>
                  </w:r>
                </w:p>
              </w:tc>
              <w:tc>
                <w:tcPr>
                  <w:tcW w:w="800" w:type="dxa"/>
                  <w:vAlign w:val="center"/>
                </w:tcPr>
                <w:p>
                  <w:pPr>
                    <w:spacing w:after="100" w:afterAutospacing="1"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1座</w:t>
                  </w:r>
                </w:p>
              </w:tc>
              <w:tc>
                <w:tcPr>
                  <w:tcW w:w="950" w:type="dxa"/>
                  <w:vAlign w:val="center"/>
                </w:tcPr>
                <w:p>
                  <w:pPr>
                    <w:spacing w:after="100" w:afterAutospacing="1"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w:t>
                  </w:r>
                </w:p>
              </w:tc>
              <w:tc>
                <w:tcPr>
                  <w:tcW w:w="1256" w:type="dxa"/>
                  <w:vAlign w:val="center"/>
                </w:tcPr>
                <w:p>
                  <w:pPr>
                    <w:spacing w:after="100" w:afterAutospacing="1" w:line="320" w:lineRule="exact"/>
                    <w:jc w:val="center"/>
                    <w:rPr>
                      <w:rFonts w:hint="eastAsia"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属于工程自带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Ex>
              <w:trPr>
                <w:trHeight w:val="308" w:hRule="atLeast"/>
                <w:jc w:val="center"/>
              </w:trPr>
              <w:tc>
                <w:tcPr>
                  <w:tcW w:w="225" w:type="dxa"/>
                  <w:vMerge w:val="continue"/>
                  <w:tcMar>
                    <w:left w:w="17" w:type="dxa"/>
                    <w:right w:w="17" w:type="dxa"/>
                  </w:tcMar>
                  <w:vAlign w:val="center"/>
                </w:tcPr>
                <w:p>
                  <w:pPr>
                    <w:spacing w:after="100" w:afterAutospacing="1" w:line="320" w:lineRule="exact"/>
                    <w:jc w:val="center"/>
                    <w:rPr>
                      <w:rFonts w:ascii="Times New Roman" w:hAnsi="Times New Roman" w:cs="Times New Roman"/>
                      <w:color w:val="auto"/>
                      <w:sz w:val="18"/>
                      <w:szCs w:val="18"/>
                    </w:rPr>
                  </w:pPr>
                </w:p>
              </w:tc>
              <w:tc>
                <w:tcPr>
                  <w:tcW w:w="1386" w:type="dxa"/>
                  <w:tcMar>
                    <w:left w:w="17" w:type="dxa"/>
                    <w:right w:w="17" w:type="dxa"/>
                  </w:tcMar>
                  <w:vAlign w:val="center"/>
                </w:tcPr>
                <w:p>
                  <w:pPr>
                    <w:spacing w:after="100" w:afterAutospacing="1" w:line="320" w:lineRule="exact"/>
                    <w:jc w:val="center"/>
                    <w:rPr>
                      <w:rFonts w:ascii="Times New Roman" w:hAnsi="Times New Roman" w:eastAsia="宋体" w:cs="Times New Roman"/>
                      <w:color w:val="auto"/>
                      <w:kern w:val="0"/>
                      <w:sz w:val="18"/>
                      <w:szCs w:val="18"/>
                    </w:rPr>
                  </w:pPr>
                  <w:r>
                    <w:rPr>
                      <w:rFonts w:hint="eastAsia" w:cs="Times New Roman"/>
                      <w:color w:val="auto"/>
                      <w:kern w:val="0"/>
                      <w:sz w:val="18"/>
                      <w:szCs w:val="18"/>
                      <w:lang w:val="en-US" w:eastAsia="zh-CN"/>
                    </w:rPr>
                    <w:t>冷却塔排水</w:t>
                  </w:r>
                </w:p>
              </w:tc>
              <w:tc>
                <w:tcPr>
                  <w:tcW w:w="1280" w:type="dxa"/>
                  <w:tcMar>
                    <w:left w:w="17" w:type="dxa"/>
                    <w:right w:w="17" w:type="dxa"/>
                  </w:tcMar>
                  <w:vAlign w:val="center"/>
                </w:tcPr>
                <w:p>
                  <w:pPr>
                    <w:spacing w:line="260" w:lineRule="exact"/>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COD</w:t>
                  </w:r>
                </w:p>
                <w:p>
                  <w:pPr>
                    <w:pStyle w:val="2"/>
                    <w:ind w:left="0" w:leftChars="0" w:firstLine="0" w:firstLineChars="0"/>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kern w:val="0"/>
                      <w:sz w:val="18"/>
                      <w:szCs w:val="18"/>
                      <w:lang w:val="en-US" w:eastAsia="zh-CN"/>
                    </w:rPr>
                    <w:t>SS</w:t>
                  </w:r>
                </w:p>
              </w:tc>
              <w:tc>
                <w:tcPr>
                  <w:tcW w:w="1710" w:type="dxa"/>
                  <w:tcMar>
                    <w:left w:w="17" w:type="dxa"/>
                    <w:right w:w="17" w:type="dxa"/>
                  </w:tcMar>
                  <w:vAlign w:val="center"/>
                </w:tcPr>
                <w:p>
                  <w:pPr>
                    <w:spacing w:after="100" w:afterAutospacing="1" w:line="320" w:lineRule="exact"/>
                    <w:jc w:val="center"/>
                    <w:rPr>
                      <w:rFonts w:hint="eastAsia"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与生活污水、娱乐废水混合，一并排入城市污水厂</w:t>
                  </w:r>
                </w:p>
              </w:tc>
              <w:tc>
                <w:tcPr>
                  <w:tcW w:w="680" w:type="dxa"/>
                  <w:vAlign w:val="center"/>
                </w:tcPr>
                <w:p>
                  <w:pPr>
                    <w:spacing w:after="100" w:afterAutospacing="1" w:line="320" w:lineRule="exact"/>
                    <w:jc w:val="center"/>
                    <w:rPr>
                      <w:rFonts w:hint="eastAsia"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w:t>
                  </w:r>
                </w:p>
              </w:tc>
              <w:tc>
                <w:tcPr>
                  <w:tcW w:w="800" w:type="dxa"/>
                  <w:vAlign w:val="center"/>
                </w:tcPr>
                <w:p>
                  <w:pPr>
                    <w:spacing w:after="100" w:afterAutospacing="1" w:line="320" w:lineRule="exact"/>
                    <w:jc w:val="center"/>
                    <w:rPr>
                      <w:rFonts w:hint="eastAsia"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w:t>
                  </w:r>
                </w:p>
              </w:tc>
              <w:tc>
                <w:tcPr>
                  <w:tcW w:w="950" w:type="dxa"/>
                  <w:vAlign w:val="center"/>
                </w:tcPr>
                <w:p>
                  <w:pPr>
                    <w:spacing w:after="100" w:afterAutospacing="1" w:line="320" w:lineRule="exact"/>
                    <w:jc w:val="center"/>
                    <w:rPr>
                      <w:rFonts w:hint="eastAsia"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w:t>
                  </w:r>
                </w:p>
              </w:tc>
              <w:tc>
                <w:tcPr>
                  <w:tcW w:w="1256" w:type="dxa"/>
                  <w:vAlign w:val="center"/>
                </w:tcPr>
                <w:p>
                  <w:pPr>
                    <w:spacing w:after="100" w:afterAutospacing="1" w:line="320" w:lineRule="exact"/>
                    <w:jc w:val="center"/>
                    <w:rPr>
                      <w:rFonts w:hint="eastAsia"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Ex>
              <w:trPr>
                <w:trHeight w:val="1832" w:hRule="atLeast"/>
                <w:jc w:val="center"/>
              </w:trPr>
              <w:tc>
                <w:tcPr>
                  <w:tcW w:w="225" w:type="dxa"/>
                  <w:tcMar>
                    <w:left w:w="17" w:type="dxa"/>
                    <w:right w:w="17" w:type="dxa"/>
                  </w:tcMar>
                  <w:vAlign w:val="center"/>
                </w:tcPr>
                <w:p>
                  <w:pPr>
                    <w:spacing w:after="100" w:afterAutospacing="1" w:line="32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噪声</w:t>
                  </w:r>
                </w:p>
              </w:tc>
              <w:tc>
                <w:tcPr>
                  <w:tcW w:w="1386" w:type="dxa"/>
                  <w:tcMar>
                    <w:left w:w="17" w:type="dxa"/>
                    <w:right w:w="17" w:type="dxa"/>
                  </w:tcMar>
                  <w:vAlign w:val="center"/>
                </w:tcPr>
                <w:p>
                  <w:pPr>
                    <w:spacing w:line="26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设备噪声</w:t>
                  </w:r>
                </w:p>
              </w:tc>
              <w:tc>
                <w:tcPr>
                  <w:tcW w:w="1280" w:type="dxa"/>
                  <w:tcMar>
                    <w:left w:w="17" w:type="dxa"/>
                    <w:right w:w="17" w:type="dxa"/>
                  </w:tcMar>
                </w:tcPr>
                <w:p>
                  <w:pPr>
                    <w:spacing w:line="260" w:lineRule="exact"/>
                    <w:jc w:val="center"/>
                    <w:rPr>
                      <w:rFonts w:hint="eastAsia"/>
                      <w:color w:val="auto"/>
                      <w:sz w:val="18"/>
                      <w:szCs w:val="18"/>
                      <w:lang w:val="en-US" w:eastAsia="zh-CN"/>
                    </w:rPr>
                  </w:pPr>
                  <w:r>
                    <w:rPr>
                      <w:rFonts w:hint="eastAsia"/>
                      <w:color w:val="auto"/>
                      <w:sz w:val="18"/>
                      <w:szCs w:val="18"/>
                      <w:lang w:val="en-US" w:eastAsia="zh-CN"/>
                    </w:rPr>
                    <w:t>娱乐设施</w:t>
                  </w:r>
                </w:p>
                <w:p>
                  <w:pPr>
                    <w:spacing w:line="260" w:lineRule="exact"/>
                    <w:jc w:val="center"/>
                    <w:rPr>
                      <w:color w:val="auto"/>
                      <w:sz w:val="18"/>
                      <w:szCs w:val="18"/>
                    </w:rPr>
                  </w:pPr>
                  <w:r>
                    <w:rPr>
                      <w:color w:val="auto"/>
                      <w:sz w:val="18"/>
                      <w:szCs w:val="18"/>
                    </w:rPr>
                    <w:t>水泵</w:t>
                  </w:r>
                </w:p>
                <w:p>
                  <w:pPr>
                    <w:spacing w:line="260" w:lineRule="exact"/>
                    <w:jc w:val="center"/>
                    <w:rPr>
                      <w:color w:val="auto"/>
                      <w:sz w:val="18"/>
                      <w:szCs w:val="18"/>
                    </w:rPr>
                  </w:pPr>
                  <w:r>
                    <w:rPr>
                      <w:color w:val="auto"/>
                      <w:sz w:val="18"/>
                      <w:szCs w:val="18"/>
                    </w:rPr>
                    <w:t>风机</w:t>
                  </w:r>
                </w:p>
                <w:p>
                  <w:pPr>
                    <w:spacing w:line="260" w:lineRule="exact"/>
                    <w:jc w:val="center"/>
                    <w:rPr>
                      <w:rFonts w:hint="eastAsia"/>
                      <w:color w:val="auto"/>
                      <w:sz w:val="18"/>
                      <w:szCs w:val="18"/>
                      <w:lang w:val="en-US" w:eastAsia="zh-CN"/>
                    </w:rPr>
                  </w:pPr>
                  <w:r>
                    <w:rPr>
                      <w:rFonts w:hint="eastAsia"/>
                      <w:color w:val="auto"/>
                      <w:sz w:val="18"/>
                      <w:szCs w:val="18"/>
                      <w:lang w:val="en-US" w:eastAsia="zh-CN"/>
                    </w:rPr>
                    <w:t>备用发电机</w:t>
                  </w:r>
                </w:p>
                <w:p>
                  <w:pPr>
                    <w:pStyle w:val="2"/>
                    <w:ind w:left="0" w:leftChars="0" w:firstLine="0" w:firstLineChars="0"/>
                    <w:jc w:val="center"/>
                    <w:rPr>
                      <w:rFonts w:hint="eastAsia"/>
                      <w:color w:val="auto"/>
                      <w:sz w:val="18"/>
                      <w:szCs w:val="18"/>
                      <w:lang w:val="en-US" w:eastAsia="zh-CN"/>
                    </w:rPr>
                  </w:pPr>
                  <w:r>
                    <w:rPr>
                      <w:rFonts w:hint="eastAsia"/>
                      <w:color w:val="auto"/>
                      <w:sz w:val="18"/>
                      <w:szCs w:val="18"/>
                      <w:lang w:val="en-US" w:eastAsia="zh-CN"/>
                    </w:rPr>
                    <w:t>冷却塔</w:t>
                  </w:r>
                </w:p>
                <w:p>
                  <w:pPr>
                    <w:jc w:val="center"/>
                    <w:rPr>
                      <w:rFonts w:hint="eastAsia"/>
                      <w:color w:val="auto"/>
                      <w:sz w:val="18"/>
                      <w:szCs w:val="18"/>
                      <w:lang w:val="en-US" w:eastAsia="zh-CN"/>
                    </w:rPr>
                  </w:pPr>
                  <w:r>
                    <w:rPr>
                      <w:rFonts w:hint="eastAsia"/>
                      <w:color w:val="auto"/>
                      <w:sz w:val="18"/>
                      <w:szCs w:val="18"/>
                      <w:lang w:val="en-US" w:eastAsia="zh-CN"/>
                    </w:rPr>
                    <w:t>中央空调主机</w:t>
                  </w:r>
                </w:p>
                <w:p>
                  <w:pPr>
                    <w:pStyle w:val="2"/>
                    <w:ind w:left="0" w:leftChars="0" w:firstLine="0" w:firstLineChars="0"/>
                    <w:jc w:val="center"/>
                    <w:rPr>
                      <w:rFonts w:hint="eastAsia"/>
                      <w:color w:val="auto"/>
                      <w:lang w:val="en-US" w:eastAsia="zh-CN"/>
                    </w:rPr>
                  </w:pPr>
                  <w:r>
                    <w:rPr>
                      <w:rFonts w:hint="eastAsia" w:cs="Times New Roman"/>
                      <w:color w:val="auto"/>
                      <w:sz w:val="18"/>
                      <w:szCs w:val="18"/>
                      <w:lang w:val="en-US" w:eastAsia="zh-CN"/>
                    </w:rPr>
                    <w:t>换热器</w:t>
                  </w:r>
                </w:p>
              </w:tc>
              <w:tc>
                <w:tcPr>
                  <w:tcW w:w="1710" w:type="dxa"/>
                  <w:vMerge w:val="restart"/>
                  <w:tcMar>
                    <w:left w:w="17" w:type="dxa"/>
                    <w:right w:w="17" w:type="dxa"/>
                  </w:tcMar>
                </w:tcPr>
                <w:p>
                  <w:pPr>
                    <w:spacing w:line="320" w:lineRule="exact"/>
                    <w:jc w:val="center"/>
                    <w:rPr>
                      <w:rFonts w:ascii="Times New Roman" w:hAnsi="Times New Roman" w:cs="Times New Roman"/>
                      <w:color w:val="auto"/>
                      <w:sz w:val="18"/>
                      <w:szCs w:val="18"/>
                    </w:rPr>
                  </w:pPr>
                  <w:r>
                    <w:rPr>
                      <w:rFonts w:hint="eastAsia" w:cs="Times New Roman"/>
                      <w:color w:val="auto"/>
                      <w:sz w:val="18"/>
                      <w:szCs w:val="18"/>
                      <w:lang w:val="en-US" w:eastAsia="zh-CN"/>
                    </w:rPr>
                    <w:t>低噪声设备</w:t>
                  </w:r>
                  <w:r>
                    <w:rPr>
                      <w:rFonts w:hint="eastAsia" w:cs="Times New Roman"/>
                      <w:color w:val="auto"/>
                      <w:sz w:val="18"/>
                      <w:szCs w:val="18"/>
                      <w:lang w:eastAsia="zh-CN"/>
                    </w:rPr>
                    <w:t>、</w:t>
                  </w:r>
                  <w:r>
                    <w:rPr>
                      <w:rFonts w:ascii="Times New Roman" w:hAnsi="Times New Roman" w:cs="Times New Roman"/>
                      <w:color w:val="auto"/>
                      <w:sz w:val="18"/>
                      <w:szCs w:val="18"/>
                    </w:rPr>
                    <w:t>房间隔声，减振</w:t>
                  </w:r>
                </w:p>
                <w:p>
                  <w:pPr>
                    <w:spacing w:line="30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消声、</w:t>
                  </w:r>
                </w:p>
              </w:tc>
              <w:tc>
                <w:tcPr>
                  <w:tcW w:w="1480" w:type="dxa"/>
                  <w:gridSpan w:val="2"/>
                </w:tcPr>
                <w:p>
                  <w:pPr>
                    <w:spacing w:line="320" w:lineRule="exact"/>
                    <w:jc w:val="center"/>
                    <w:rPr>
                      <w:rFonts w:hint="eastAsia" w:ascii="Times New Roman" w:hAnsi="Times New Roman" w:eastAsia="宋体" w:cs="Times New Roman"/>
                      <w:color w:val="auto"/>
                      <w:sz w:val="18"/>
                      <w:szCs w:val="18"/>
                      <w:lang w:eastAsia="zh-CN"/>
                    </w:rPr>
                  </w:pPr>
                  <w:r>
                    <w:rPr>
                      <w:rFonts w:hint="eastAsia" w:cs="Times New Roman"/>
                      <w:color w:val="auto"/>
                      <w:sz w:val="18"/>
                      <w:szCs w:val="18"/>
                      <w:lang w:val="en-US" w:eastAsia="zh-CN"/>
                    </w:rPr>
                    <w:t>若干</w:t>
                  </w:r>
                </w:p>
              </w:tc>
              <w:tc>
                <w:tcPr>
                  <w:tcW w:w="950" w:type="dxa"/>
                  <w:vAlign w:val="center"/>
                </w:tcPr>
                <w:p>
                  <w:pPr>
                    <w:spacing w:after="100" w:afterAutospacing="1" w:line="320" w:lineRule="exact"/>
                    <w:jc w:val="center"/>
                    <w:rPr>
                      <w:rFonts w:hint="eastAsia"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25.0</w:t>
                  </w:r>
                </w:p>
              </w:tc>
              <w:tc>
                <w:tcPr>
                  <w:tcW w:w="1256" w:type="dxa"/>
                  <w:vAlign w:val="center"/>
                </w:tcPr>
                <w:p>
                  <w:pPr>
                    <w:spacing w:after="100" w:afterAutospacing="1"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Ex>
              <w:trPr>
                <w:trHeight w:val="805" w:hRule="atLeast"/>
                <w:jc w:val="center"/>
              </w:trPr>
              <w:tc>
                <w:tcPr>
                  <w:tcW w:w="225" w:type="dxa"/>
                  <w:vMerge w:val="restart"/>
                  <w:tcMar>
                    <w:left w:w="17" w:type="dxa"/>
                    <w:right w:w="17" w:type="dxa"/>
                  </w:tcMar>
                  <w:vAlign w:val="center"/>
                </w:tcPr>
                <w:p>
                  <w:pPr>
                    <w:spacing w:after="100" w:afterAutospacing="1" w:line="320" w:lineRule="exact"/>
                    <w:jc w:val="center"/>
                    <w:rPr>
                      <w:rFonts w:hint="eastAsia"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固废</w:t>
                  </w:r>
                </w:p>
              </w:tc>
              <w:tc>
                <w:tcPr>
                  <w:tcW w:w="1386" w:type="dxa"/>
                  <w:vMerge w:val="restart"/>
                  <w:tcMar>
                    <w:left w:w="17" w:type="dxa"/>
                    <w:right w:w="17" w:type="dxa"/>
                  </w:tcMar>
                  <w:vAlign w:val="center"/>
                </w:tcPr>
                <w:p>
                  <w:pPr>
                    <w:spacing w:line="260" w:lineRule="exact"/>
                    <w:jc w:val="center"/>
                    <w:rPr>
                      <w:rFonts w:hint="eastAsia" w:ascii="Times New Roman" w:hAnsi="Times New Roman" w:cs="Times New Roman"/>
                      <w:color w:val="auto"/>
                      <w:sz w:val="18"/>
                      <w:szCs w:val="18"/>
                    </w:rPr>
                  </w:pPr>
                  <w:r>
                    <w:rPr>
                      <w:rFonts w:ascii="Times New Roman" w:hAnsi="Times New Roman" w:cs="Times New Roman"/>
                      <w:color w:val="auto"/>
                      <w:sz w:val="18"/>
                      <w:szCs w:val="18"/>
                    </w:rPr>
                    <w:t>危险废物</w:t>
                  </w:r>
                </w:p>
                <w:p>
                  <w:pPr>
                    <w:spacing w:line="260" w:lineRule="exact"/>
                    <w:jc w:val="center"/>
                    <w:rPr>
                      <w:rFonts w:ascii="Times New Roman" w:hAnsi="Times New Roman" w:cs="Times New Roman"/>
                      <w:color w:val="auto"/>
                      <w:sz w:val="18"/>
                      <w:szCs w:val="18"/>
                    </w:rPr>
                  </w:pPr>
                </w:p>
              </w:tc>
              <w:tc>
                <w:tcPr>
                  <w:tcW w:w="1280" w:type="dxa"/>
                  <w:tcMar>
                    <w:left w:w="17" w:type="dxa"/>
                    <w:right w:w="17" w:type="dxa"/>
                  </w:tcMar>
                  <w:textDirection w:val="lrTb"/>
                  <w:vAlign w:val="center"/>
                </w:tcPr>
                <w:p>
                  <w:pPr>
                    <w:adjustRightInd w:val="0"/>
                    <w:snapToGrid w:val="0"/>
                    <w:jc w:val="center"/>
                    <w:rPr>
                      <w:rFonts w:ascii="Times New Roman" w:hAnsi="Times New Roman" w:cs="Times New Roman"/>
                      <w:color w:val="auto"/>
                      <w:sz w:val="18"/>
                      <w:szCs w:val="18"/>
                    </w:rPr>
                  </w:pPr>
                  <w:r>
                    <w:rPr>
                      <w:rFonts w:hint="eastAsia"/>
                      <w:color w:val="auto"/>
                      <w:kern w:val="0"/>
                      <w:sz w:val="18"/>
                      <w:szCs w:val="18"/>
                    </w:rPr>
                    <w:t>废机油</w:t>
                  </w:r>
                  <w:r>
                    <w:rPr>
                      <w:rFonts w:hint="eastAsia"/>
                      <w:color w:val="auto"/>
                      <w:sz w:val="18"/>
                      <w:szCs w:val="18"/>
                    </w:rPr>
                    <w:t>、</w:t>
                  </w:r>
                  <w:r>
                    <w:rPr>
                      <w:rFonts w:hint="eastAsia"/>
                      <w:color w:val="auto"/>
                      <w:kern w:val="0"/>
                      <w:sz w:val="18"/>
                      <w:szCs w:val="18"/>
                    </w:rPr>
                    <w:t>废油抹布</w:t>
                  </w:r>
                </w:p>
              </w:tc>
              <w:tc>
                <w:tcPr>
                  <w:tcW w:w="1710" w:type="dxa"/>
                  <w:tcMar>
                    <w:left w:w="17" w:type="dxa"/>
                    <w:right w:w="17" w:type="dxa"/>
                  </w:tcMar>
                  <w:vAlign w:val="center"/>
                </w:tcPr>
                <w:p>
                  <w:pPr>
                    <w:spacing w:line="260" w:lineRule="exact"/>
                    <w:jc w:val="center"/>
                    <w:rPr>
                      <w:rFonts w:ascii="Times New Roman" w:hAnsi="Times New Roman" w:cs="Times New Roman"/>
                      <w:color w:val="auto"/>
                      <w:sz w:val="18"/>
                      <w:szCs w:val="18"/>
                    </w:rPr>
                  </w:pPr>
                  <w:r>
                    <w:rPr>
                      <w:rFonts w:hint="eastAsia" w:cs="Times New Roman"/>
                      <w:color w:val="auto"/>
                      <w:sz w:val="18"/>
                      <w:szCs w:val="18"/>
                      <w:lang w:val="en-US" w:eastAsia="zh-CN"/>
                    </w:rPr>
                    <w:t>设</w:t>
                  </w:r>
                  <w:r>
                    <w:rPr>
                      <w:rFonts w:ascii="Times New Roman" w:hAnsi="Times New Roman" w:cs="Times New Roman"/>
                      <w:color w:val="auto"/>
                      <w:sz w:val="18"/>
                      <w:szCs w:val="18"/>
                    </w:rPr>
                    <w:t>危废暂存间，交由有资质危废单位进行处置</w:t>
                  </w:r>
                </w:p>
              </w:tc>
              <w:tc>
                <w:tcPr>
                  <w:tcW w:w="1480" w:type="dxa"/>
                  <w:gridSpan w:val="2"/>
                  <w:vAlign w:val="center"/>
                </w:tcPr>
                <w:p>
                  <w:pPr>
                    <w:spacing w:after="100" w:afterAutospacing="1"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1间</w:t>
                  </w:r>
                </w:p>
              </w:tc>
              <w:tc>
                <w:tcPr>
                  <w:tcW w:w="950" w:type="dxa"/>
                  <w:vAlign w:val="center"/>
                </w:tcPr>
                <w:p>
                  <w:pPr>
                    <w:spacing w:after="100" w:afterAutospacing="1" w:line="320" w:lineRule="exact"/>
                    <w:jc w:val="center"/>
                    <w:rPr>
                      <w:rFonts w:hint="eastAsia"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5.0</w:t>
                  </w:r>
                </w:p>
              </w:tc>
              <w:tc>
                <w:tcPr>
                  <w:tcW w:w="1256" w:type="dxa"/>
                  <w:vAlign w:val="center"/>
                </w:tcPr>
                <w:p>
                  <w:pPr>
                    <w:spacing w:after="100" w:afterAutospacing="1" w:line="320" w:lineRule="exact"/>
                    <w:jc w:val="center"/>
                    <w:rPr>
                      <w:rFonts w:hint="eastAsia"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Ex>
              <w:trPr>
                <w:jc w:val="center"/>
              </w:trPr>
              <w:tc>
                <w:tcPr>
                  <w:tcW w:w="225" w:type="dxa"/>
                  <w:vMerge w:val="continue"/>
                  <w:tcMar>
                    <w:left w:w="17" w:type="dxa"/>
                    <w:right w:w="17" w:type="dxa"/>
                  </w:tcMar>
                  <w:vAlign w:val="center"/>
                </w:tcPr>
                <w:p>
                  <w:pPr>
                    <w:spacing w:after="100" w:afterAutospacing="1" w:line="320" w:lineRule="exact"/>
                    <w:jc w:val="center"/>
                    <w:rPr>
                      <w:rFonts w:ascii="Times New Roman" w:hAnsi="Times New Roman" w:cs="Times New Roman"/>
                      <w:color w:val="auto"/>
                      <w:sz w:val="18"/>
                      <w:szCs w:val="18"/>
                    </w:rPr>
                  </w:pPr>
                </w:p>
              </w:tc>
              <w:tc>
                <w:tcPr>
                  <w:tcW w:w="1386" w:type="dxa"/>
                  <w:vMerge w:val="continue"/>
                  <w:tcMar>
                    <w:left w:w="17" w:type="dxa"/>
                    <w:right w:w="17" w:type="dxa"/>
                  </w:tcMar>
                  <w:vAlign w:val="center"/>
                </w:tcPr>
                <w:p>
                  <w:pPr>
                    <w:spacing w:line="260" w:lineRule="exact"/>
                    <w:jc w:val="center"/>
                    <w:rPr>
                      <w:rFonts w:ascii="Times New Roman" w:hAnsi="Times New Roman" w:cs="Times New Roman"/>
                      <w:color w:val="auto"/>
                      <w:sz w:val="18"/>
                      <w:szCs w:val="18"/>
                    </w:rPr>
                  </w:pPr>
                </w:p>
              </w:tc>
              <w:tc>
                <w:tcPr>
                  <w:tcW w:w="1280" w:type="dxa"/>
                  <w:tcMar>
                    <w:left w:w="17" w:type="dxa"/>
                    <w:right w:w="17" w:type="dxa"/>
                  </w:tcMar>
                  <w:textDirection w:val="lrTb"/>
                  <w:vAlign w:val="center"/>
                </w:tcPr>
                <w:p>
                  <w:pPr>
                    <w:adjustRightInd w:val="0"/>
                    <w:snapToGrid w:val="0"/>
                    <w:jc w:val="center"/>
                    <w:rPr>
                      <w:rFonts w:ascii="Times New Roman" w:hAnsi="Times New Roman" w:cs="Times New Roman"/>
                      <w:color w:val="auto"/>
                      <w:sz w:val="18"/>
                      <w:szCs w:val="18"/>
                    </w:rPr>
                  </w:pPr>
                  <w:r>
                    <w:rPr>
                      <w:rFonts w:hint="eastAsia"/>
                      <w:color w:val="auto"/>
                      <w:kern w:val="0"/>
                      <w:sz w:val="18"/>
                      <w:szCs w:val="18"/>
                    </w:rPr>
                    <w:t>医疗废物</w:t>
                  </w:r>
                </w:p>
              </w:tc>
              <w:tc>
                <w:tcPr>
                  <w:tcW w:w="1710" w:type="dxa"/>
                  <w:tcMar>
                    <w:left w:w="17" w:type="dxa"/>
                    <w:right w:w="17" w:type="dxa"/>
                  </w:tcMar>
                  <w:vAlign w:val="center"/>
                </w:tcPr>
                <w:p>
                  <w:pPr>
                    <w:spacing w:line="260" w:lineRule="exact"/>
                    <w:jc w:val="center"/>
                    <w:rPr>
                      <w:rFonts w:ascii="Times New Roman" w:hAnsi="Times New Roman" w:cs="Times New Roman"/>
                      <w:color w:val="auto"/>
                      <w:sz w:val="18"/>
                      <w:szCs w:val="18"/>
                    </w:rPr>
                  </w:pPr>
                  <w:r>
                    <w:rPr>
                      <w:rFonts w:hint="eastAsia"/>
                      <w:color w:val="auto"/>
                      <w:kern w:val="0"/>
                      <w:sz w:val="18"/>
                      <w:szCs w:val="18"/>
                      <w:lang w:val="en-US" w:eastAsia="zh-CN"/>
                    </w:rPr>
                    <w:t>设</w:t>
                  </w:r>
                  <w:r>
                    <w:rPr>
                      <w:rFonts w:hint="eastAsia"/>
                      <w:color w:val="auto"/>
                      <w:kern w:val="0"/>
                      <w:sz w:val="18"/>
                      <w:szCs w:val="18"/>
                    </w:rPr>
                    <w:t>医疗废物暂存间分类贮存，交由有资质单位处置</w:t>
                  </w:r>
                </w:p>
              </w:tc>
              <w:tc>
                <w:tcPr>
                  <w:tcW w:w="1480" w:type="dxa"/>
                  <w:gridSpan w:val="2"/>
                  <w:vAlign w:val="center"/>
                </w:tcPr>
                <w:p>
                  <w:pPr>
                    <w:spacing w:after="100" w:afterAutospacing="1" w:line="320" w:lineRule="exact"/>
                    <w:jc w:val="center"/>
                    <w:rPr>
                      <w:rFonts w:hint="eastAsia"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1间</w:t>
                  </w:r>
                </w:p>
              </w:tc>
              <w:tc>
                <w:tcPr>
                  <w:tcW w:w="950" w:type="dxa"/>
                  <w:vAlign w:val="center"/>
                </w:tcPr>
                <w:p>
                  <w:pPr>
                    <w:spacing w:after="100" w:afterAutospacing="1" w:line="320" w:lineRule="exact"/>
                    <w:jc w:val="center"/>
                    <w:rPr>
                      <w:rFonts w:hint="eastAsia"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5.0</w:t>
                  </w:r>
                </w:p>
              </w:tc>
              <w:tc>
                <w:tcPr>
                  <w:tcW w:w="1256" w:type="dxa"/>
                  <w:vAlign w:val="center"/>
                </w:tcPr>
                <w:p>
                  <w:pPr>
                    <w:spacing w:after="100" w:afterAutospacing="1" w:line="320" w:lineRule="exact"/>
                    <w:jc w:val="center"/>
                    <w:rPr>
                      <w:rFonts w:hint="eastAsia"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Ex>
              <w:trPr>
                <w:jc w:val="center"/>
              </w:trPr>
              <w:tc>
                <w:tcPr>
                  <w:tcW w:w="225" w:type="dxa"/>
                  <w:vMerge w:val="continue"/>
                  <w:tcMar>
                    <w:left w:w="17" w:type="dxa"/>
                    <w:right w:w="17" w:type="dxa"/>
                  </w:tcMar>
                  <w:vAlign w:val="center"/>
                </w:tcPr>
                <w:p>
                  <w:pPr>
                    <w:spacing w:after="100" w:afterAutospacing="1" w:line="320" w:lineRule="exact"/>
                    <w:jc w:val="center"/>
                    <w:rPr>
                      <w:rFonts w:ascii="Times New Roman" w:hAnsi="Times New Roman" w:cs="Times New Roman"/>
                      <w:color w:val="auto"/>
                      <w:sz w:val="18"/>
                      <w:szCs w:val="18"/>
                    </w:rPr>
                  </w:pPr>
                </w:p>
              </w:tc>
              <w:tc>
                <w:tcPr>
                  <w:tcW w:w="1386" w:type="dxa"/>
                  <w:tcMar>
                    <w:left w:w="17" w:type="dxa"/>
                    <w:right w:w="17" w:type="dxa"/>
                  </w:tcMar>
                  <w:vAlign w:val="center"/>
                </w:tcPr>
                <w:p>
                  <w:pPr>
                    <w:spacing w:line="26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一般固废</w:t>
                  </w:r>
                </w:p>
              </w:tc>
              <w:tc>
                <w:tcPr>
                  <w:tcW w:w="1280" w:type="dxa"/>
                  <w:tcMar>
                    <w:left w:w="17" w:type="dxa"/>
                    <w:right w:w="17" w:type="dxa"/>
                  </w:tcMar>
                  <w:vAlign w:val="center"/>
                </w:tcPr>
                <w:p>
                  <w:pPr>
                    <w:spacing w:line="260" w:lineRule="exact"/>
                    <w:jc w:val="center"/>
                    <w:rPr>
                      <w:rFonts w:ascii="Times New Roman" w:hAnsi="Times New Roman" w:cs="Times New Roman"/>
                      <w:color w:val="auto"/>
                      <w:sz w:val="18"/>
                      <w:szCs w:val="18"/>
                    </w:rPr>
                  </w:pPr>
                  <w:r>
                    <w:rPr>
                      <w:rFonts w:ascii="Times New Roman" w:hAnsi="Times New Roman" w:eastAsia="宋体" w:cs="Times New Roman"/>
                      <w:color w:val="auto"/>
                      <w:kern w:val="0"/>
                      <w:sz w:val="18"/>
                      <w:szCs w:val="18"/>
                    </w:rPr>
                    <w:t>过滤产生的滤渣</w:t>
                  </w:r>
                </w:p>
              </w:tc>
              <w:tc>
                <w:tcPr>
                  <w:tcW w:w="1710" w:type="dxa"/>
                  <w:tcMar>
                    <w:left w:w="17" w:type="dxa"/>
                    <w:right w:w="17" w:type="dxa"/>
                  </w:tcMar>
                  <w:vAlign w:val="center"/>
                </w:tcPr>
                <w:p>
                  <w:pPr>
                    <w:adjustRightInd w:val="0"/>
                    <w:snapToGrid w:val="0"/>
                    <w:jc w:val="center"/>
                    <w:rPr>
                      <w:rFonts w:hint="eastAsia"/>
                      <w:color w:val="auto"/>
                      <w:kern w:val="0"/>
                      <w:sz w:val="18"/>
                      <w:szCs w:val="18"/>
                      <w:lang w:val="en-US" w:eastAsia="zh-CN"/>
                    </w:rPr>
                  </w:pPr>
                  <w:r>
                    <w:rPr>
                      <w:rFonts w:hint="eastAsia"/>
                      <w:color w:val="auto"/>
                      <w:kern w:val="0"/>
                      <w:sz w:val="18"/>
                      <w:szCs w:val="18"/>
                      <w:lang w:val="en-US" w:eastAsia="zh-CN"/>
                    </w:rPr>
                    <w:t>交由环卫部门</w:t>
                  </w:r>
                </w:p>
                <w:p>
                  <w:pPr>
                    <w:spacing w:line="260" w:lineRule="exact"/>
                    <w:jc w:val="center"/>
                    <w:rPr>
                      <w:rFonts w:ascii="Times New Roman" w:hAnsi="Times New Roman" w:cs="Times New Roman"/>
                      <w:color w:val="auto"/>
                      <w:sz w:val="18"/>
                      <w:szCs w:val="18"/>
                    </w:rPr>
                  </w:pPr>
                  <w:r>
                    <w:rPr>
                      <w:rFonts w:hint="eastAsia"/>
                      <w:color w:val="auto"/>
                      <w:kern w:val="0"/>
                      <w:sz w:val="18"/>
                      <w:szCs w:val="18"/>
                      <w:lang w:val="en-US" w:eastAsia="zh-CN"/>
                    </w:rPr>
                    <w:t>清运</w:t>
                  </w:r>
                </w:p>
              </w:tc>
              <w:tc>
                <w:tcPr>
                  <w:tcW w:w="1480" w:type="dxa"/>
                  <w:gridSpan w:val="2"/>
                  <w:vAlign w:val="center"/>
                </w:tcPr>
                <w:p>
                  <w:pPr>
                    <w:spacing w:after="100" w:afterAutospacing="1"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w:t>
                  </w:r>
                </w:p>
              </w:tc>
              <w:tc>
                <w:tcPr>
                  <w:tcW w:w="950" w:type="dxa"/>
                  <w:vAlign w:val="center"/>
                </w:tcPr>
                <w:p>
                  <w:pPr>
                    <w:spacing w:after="100" w:afterAutospacing="1"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w:t>
                  </w:r>
                </w:p>
              </w:tc>
              <w:tc>
                <w:tcPr>
                  <w:tcW w:w="1256" w:type="dxa"/>
                  <w:vAlign w:val="center"/>
                </w:tcPr>
                <w:p>
                  <w:pPr>
                    <w:spacing w:after="100" w:afterAutospacing="1"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Ex>
              <w:trPr>
                <w:jc w:val="center"/>
              </w:trPr>
              <w:tc>
                <w:tcPr>
                  <w:tcW w:w="225" w:type="dxa"/>
                  <w:vMerge w:val="continue"/>
                  <w:tcMar>
                    <w:left w:w="17" w:type="dxa"/>
                    <w:right w:w="17" w:type="dxa"/>
                  </w:tcMar>
                  <w:vAlign w:val="center"/>
                </w:tcPr>
                <w:p>
                  <w:pPr>
                    <w:spacing w:after="100" w:afterAutospacing="1" w:line="320" w:lineRule="exact"/>
                    <w:jc w:val="center"/>
                    <w:rPr>
                      <w:rFonts w:ascii="Times New Roman" w:hAnsi="Times New Roman" w:cs="Times New Roman"/>
                      <w:color w:val="auto"/>
                      <w:sz w:val="18"/>
                      <w:szCs w:val="18"/>
                    </w:rPr>
                  </w:pPr>
                </w:p>
              </w:tc>
              <w:tc>
                <w:tcPr>
                  <w:tcW w:w="1386" w:type="dxa"/>
                  <w:vMerge w:val="restart"/>
                  <w:tcMar>
                    <w:left w:w="17" w:type="dxa"/>
                    <w:right w:w="17" w:type="dxa"/>
                  </w:tcMar>
                  <w:vAlign w:val="center"/>
                </w:tcPr>
                <w:p>
                  <w:pPr>
                    <w:spacing w:line="26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生活垃圾</w:t>
                  </w:r>
                </w:p>
              </w:tc>
              <w:tc>
                <w:tcPr>
                  <w:tcW w:w="1280" w:type="dxa"/>
                  <w:vMerge w:val="restart"/>
                  <w:tcMar>
                    <w:left w:w="17" w:type="dxa"/>
                    <w:right w:w="17" w:type="dxa"/>
                  </w:tcMar>
                  <w:vAlign w:val="center"/>
                </w:tcPr>
                <w:p>
                  <w:pPr>
                    <w:spacing w:line="26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生活垃圾</w:t>
                  </w:r>
                </w:p>
              </w:tc>
              <w:tc>
                <w:tcPr>
                  <w:tcW w:w="1710" w:type="dxa"/>
                  <w:tcMar>
                    <w:left w:w="17" w:type="dxa"/>
                    <w:right w:w="17" w:type="dxa"/>
                  </w:tcMar>
                  <w:vAlign w:val="center"/>
                </w:tcPr>
                <w:p>
                  <w:pPr>
                    <w:spacing w:line="26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设垃圾桶收集</w:t>
                  </w:r>
                </w:p>
              </w:tc>
              <w:tc>
                <w:tcPr>
                  <w:tcW w:w="1480" w:type="dxa"/>
                  <w:gridSpan w:val="2"/>
                  <w:vAlign w:val="center"/>
                </w:tcPr>
                <w:p>
                  <w:pPr>
                    <w:spacing w:after="100" w:afterAutospacing="1"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若干</w:t>
                  </w:r>
                </w:p>
              </w:tc>
              <w:tc>
                <w:tcPr>
                  <w:tcW w:w="950" w:type="dxa"/>
                  <w:vAlign w:val="center"/>
                </w:tcPr>
                <w:p>
                  <w:pPr>
                    <w:spacing w:after="100" w:afterAutospacing="1" w:line="320" w:lineRule="exact"/>
                    <w:jc w:val="center"/>
                    <w:rPr>
                      <w:rFonts w:hint="eastAsia"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1.0</w:t>
                  </w:r>
                </w:p>
              </w:tc>
              <w:tc>
                <w:tcPr>
                  <w:tcW w:w="1256" w:type="dxa"/>
                  <w:vAlign w:val="center"/>
                </w:tcPr>
                <w:p>
                  <w:pPr>
                    <w:spacing w:after="100" w:afterAutospacing="1" w:line="320" w:lineRule="exact"/>
                    <w:jc w:val="center"/>
                    <w:rPr>
                      <w:rFonts w:ascii="Times New Roman" w:hAnsi="Times New Roman" w:cs="Times New Roman"/>
                      <w:color w:val="auto"/>
                      <w:sz w:val="18"/>
                      <w:szCs w:val="18"/>
                    </w:rPr>
                  </w:pPr>
                  <w:r>
                    <w:rPr>
                      <w:rFonts w:hint="eastAsia" w:cs="Times New Roman"/>
                      <w:color w:val="auto"/>
                      <w:sz w:val="18"/>
                      <w:szCs w:val="18"/>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Ex>
              <w:trPr>
                <w:jc w:val="center"/>
              </w:trPr>
              <w:tc>
                <w:tcPr>
                  <w:tcW w:w="225" w:type="dxa"/>
                  <w:vMerge w:val="continue"/>
                  <w:tcMar>
                    <w:left w:w="17" w:type="dxa"/>
                    <w:right w:w="17" w:type="dxa"/>
                  </w:tcMar>
                  <w:vAlign w:val="center"/>
                </w:tcPr>
                <w:p>
                  <w:pPr>
                    <w:spacing w:after="100" w:afterAutospacing="1" w:line="320" w:lineRule="exact"/>
                    <w:jc w:val="center"/>
                    <w:rPr>
                      <w:rFonts w:ascii="Times New Roman" w:hAnsi="Times New Roman" w:cs="Times New Roman"/>
                      <w:color w:val="auto"/>
                      <w:sz w:val="18"/>
                      <w:szCs w:val="18"/>
                    </w:rPr>
                  </w:pPr>
                </w:p>
              </w:tc>
              <w:tc>
                <w:tcPr>
                  <w:tcW w:w="1386" w:type="dxa"/>
                  <w:vMerge w:val="continue"/>
                  <w:tcMar>
                    <w:left w:w="17" w:type="dxa"/>
                    <w:right w:w="17" w:type="dxa"/>
                  </w:tcMar>
                  <w:vAlign w:val="center"/>
                </w:tcPr>
                <w:p>
                  <w:pPr>
                    <w:spacing w:line="260" w:lineRule="exact"/>
                    <w:jc w:val="center"/>
                    <w:rPr>
                      <w:rFonts w:ascii="Times New Roman" w:hAnsi="Times New Roman" w:cs="Times New Roman"/>
                      <w:color w:val="auto"/>
                      <w:sz w:val="18"/>
                      <w:szCs w:val="18"/>
                    </w:rPr>
                  </w:pPr>
                </w:p>
              </w:tc>
              <w:tc>
                <w:tcPr>
                  <w:tcW w:w="1280" w:type="dxa"/>
                  <w:vMerge w:val="continue"/>
                  <w:tcMar>
                    <w:left w:w="17" w:type="dxa"/>
                    <w:right w:w="17" w:type="dxa"/>
                  </w:tcMar>
                  <w:vAlign w:val="center"/>
                </w:tcPr>
                <w:p>
                  <w:pPr>
                    <w:spacing w:line="260" w:lineRule="exact"/>
                    <w:jc w:val="center"/>
                    <w:rPr>
                      <w:rFonts w:ascii="Times New Roman" w:hAnsi="Times New Roman" w:cs="Times New Roman"/>
                      <w:color w:val="auto"/>
                      <w:sz w:val="18"/>
                      <w:szCs w:val="18"/>
                    </w:rPr>
                  </w:pPr>
                </w:p>
              </w:tc>
              <w:tc>
                <w:tcPr>
                  <w:tcW w:w="1710" w:type="dxa"/>
                  <w:tcMar>
                    <w:left w:w="17" w:type="dxa"/>
                    <w:right w:w="17" w:type="dxa"/>
                  </w:tcMar>
                  <w:vAlign w:val="center"/>
                </w:tcPr>
                <w:p>
                  <w:pPr>
                    <w:spacing w:line="26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交由环卫部门统一清运</w:t>
                  </w:r>
                </w:p>
              </w:tc>
              <w:tc>
                <w:tcPr>
                  <w:tcW w:w="1480" w:type="dxa"/>
                  <w:gridSpan w:val="2"/>
                  <w:vAlign w:val="center"/>
                </w:tcPr>
                <w:p>
                  <w:pPr>
                    <w:spacing w:after="100" w:afterAutospacing="1"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w:t>
                  </w:r>
                </w:p>
              </w:tc>
              <w:tc>
                <w:tcPr>
                  <w:tcW w:w="950" w:type="dxa"/>
                  <w:vAlign w:val="center"/>
                </w:tcPr>
                <w:p>
                  <w:pPr>
                    <w:spacing w:after="100" w:afterAutospacing="1"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w:t>
                  </w:r>
                </w:p>
              </w:tc>
              <w:tc>
                <w:tcPr>
                  <w:tcW w:w="1256" w:type="dxa"/>
                  <w:vAlign w:val="center"/>
                </w:tcPr>
                <w:p>
                  <w:pPr>
                    <w:spacing w:after="100" w:afterAutospacing="1"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Ex>
              <w:trPr>
                <w:jc w:val="center"/>
              </w:trPr>
              <w:tc>
                <w:tcPr>
                  <w:tcW w:w="225" w:type="dxa"/>
                  <w:tcMar>
                    <w:left w:w="17" w:type="dxa"/>
                    <w:right w:w="17" w:type="dxa"/>
                  </w:tcMar>
                  <w:vAlign w:val="center"/>
                </w:tcPr>
                <w:p>
                  <w:pPr>
                    <w:spacing w:after="100" w:afterAutospacing="1" w:line="320" w:lineRule="exact"/>
                    <w:jc w:val="center"/>
                    <w:rPr>
                      <w:rFonts w:ascii="Times New Roman" w:hAnsi="Times New Roman" w:cs="Times New Roman"/>
                      <w:color w:val="auto"/>
                      <w:sz w:val="18"/>
                      <w:szCs w:val="18"/>
                    </w:rPr>
                  </w:pPr>
                </w:p>
              </w:tc>
              <w:tc>
                <w:tcPr>
                  <w:tcW w:w="1386" w:type="dxa"/>
                  <w:vMerge w:val="continue"/>
                  <w:tcMar>
                    <w:left w:w="17" w:type="dxa"/>
                    <w:right w:w="17" w:type="dxa"/>
                  </w:tcMar>
                  <w:vAlign w:val="center"/>
                </w:tcPr>
                <w:p>
                  <w:pPr>
                    <w:spacing w:line="260" w:lineRule="exact"/>
                    <w:jc w:val="center"/>
                    <w:rPr>
                      <w:rFonts w:ascii="Times New Roman" w:hAnsi="Times New Roman" w:cs="Times New Roman"/>
                      <w:color w:val="auto"/>
                      <w:sz w:val="18"/>
                      <w:szCs w:val="18"/>
                    </w:rPr>
                  </w:pPr>
                </w:p>
              </w:tc>
              <w:tc>
                <w:tcPr>
                  <w:tcW w:w="1280" w:type="dxa"/>
                  <w:tcMar>
                    <w:left w:w="17" w:type="dxa"/>
                    <w:right w:w="17" w:type="dxa"/>
                  </w:tcMar>
                  <w:vAlign w:val="center"/>
                </w:tcPr>
                <w:p>
                  <w:pPr>
                    <w:adjustRightInd w:val="0"/>
                    <w:snapToGrid w:val="0"/>
                    <w:jc w:val="center"/>
                    <w:rPr>
                      <w:rFonts w:hint="eastAsia"/>
                      <w:color w:val="auto"/>
                      <w:kern w:val="0"/>
                      <w:sz w:val="18"/>
                      <w:szCs w:val="18"/>
                    </w:rPr>
                  </w:pPr>
                  <w:r>
                    <w:rPr>
                      <w:rFonts w:hint="eastAsia"/>
                      <w:color w:val="auto"/>
                      <w:kern w:val="0"/>
                      <w:sz w:val="18"/>
                      <w:szCs w:val="18"/>
                    </w:rPr>
                    <w:t>餐饮垃圾</w:t>
                  </w:r>
                </w:p>
                <w:p>
                  <w:pPr>
                    <w:spacing w:line="260" w:lineRule="exact"/>
                    <w:jc w:val="center"/>
                    <w:rPr>
                      <w:rFonts w:ascii="Times New Roman" w:hAnsi="Times New Roman" w:cs="Times New Roman"/>
                      <w:color w:val="auto"/>
                      <w:sz w:val="18"/>
                      <w:szCs w:val="18"/>
                    </w:rPr>
                  </w:pPr>
                  <w:r>
                    <w:rPr>
                      <w:rFonts w:hint="eastAsia"/>
                      <w:color w:val="auto"/>
                      <w:kern w:val="0"/>
                      <w:sz w:val="18"/>
                      <w:szCs w:val="18"/>
                      <w:lang w:eastAsia="zh-CN"/>
                    </w:rPr>
                    <w:t>（</w:t>
                  </w:r>
                  <w:r>
                    <w:rPr>
                      <w:rFonts w:hint="eastAsia"/>
                      <w:color w:val="auto"/>
                      <w:kern w:val="0"/>
                      <w:sz w:val="18"/>
                      <w:szCs w:val="18"/>
                      <w:lang w:val="en-US" w:eastAsia="zh-CN"/>
                    </w:rPr>
                    <w:t>包括废油脂）</w:t>
                  </w:r>
                </w:p>
              </w:tc>
              <w:tc>
                <w:tcPr>
                  <w:tcW w:w="1710" w:type="dxa"/>
                  <w:tcMar>
                    <w:left w:w="17" w:type="dxa"/>
                    <w:right w:w="17" w:type="dxa"/>
                  </w:tcMar>
                  <w:vAlign w:val="center"/>
                </w:tcPr>
                <w:p>
                  <w:pPr>
                    <w:spacing w:line="260" w:lineRule="exact"/>
                    <w:jc w:val="center"/>
                    <w:rPr>
                      <w:rFonts w:ascii="Times New Roman" w:hAnsi="Times New Roman" w:cs="Times New Roman"/>
                      <w:color w:val="auto"/>
                      <w:sz w:val="18"/>
                      <w:szCs w:val="18"/>
                    </w:rPr>
                  </w:pPr>
                  <w:r>
                    <w:rPr>
                      <w:rFonts w:hint="eastAsia"/>
                      <w:color w:val="auto"/>
                      <w:kern w:val="0"/>
                      <w:sz w:val="18"/>
                      <w:szCs w:val="18"/>
                    </w:rPr>
                    <w:t>交由有资质的餐厨垃圾处理企业</w:t>
                  </w:r>
                </w:p>
              </w:tc>
              <w:tc>
                <w:tcPr>
                  <w:tcW w:w="1480" w:type="dxa"/>
                  <w:gridSpan w:val="2"/>
                  <w:vAlign w:val="center"/>
                </w:tcPr>
                <w:p>
                  <w:pPr>
                    <w:spacing w:after="100" w:afterAutospacing="1" w:line="320" w:lineRule="exact"/>
                    <w:jc w:val="center"/>
                    <w:rPr>
                      <w:rFonts w:hint="eastAsia"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w:t>
                  </w:r>
                </w:p>
              </w:tc>
              <w:tc>
                <w:tcPr>
                  <w:tcW w:w="950" w:type="dxa"/>
                  <w:vAlign w:val="center"/>
                </w:tcPr>
                <w:p>
                  <w:pPr>
                    <w:spacing w:after="100" w:afterAutospacing="1" w:line="320" w:lineRule="exact"/>
                    <w:jc w:val="center"/>
                    <w:rPr>
                      <w:rFonts w:hint="eastAsia"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1.0</w:t>
                  </w:r>
                </w:p>
              </w:tc>
              <w:tc>
                <w:tcPr>
                  <w:tcW w:w="1256" w:type="dxa"/>
                  <w:vAlign w:val="center"/>
                </w:tcPr>
                <w:p>
                  <w:pPr>
                    <w:spacing w:after="100" w:afterAutospacing="1" w:line="320" w:lineRule="exact"/>
                    <w:jc w:val="center"/>
                    <w:rPr>
                      <w:rFonts w:hint="eastAsia"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Ex>
              <w:trPr>
                <w:jc w:val="center"/>
              </w:trPr>
              <w:tc>
                <w:tcPr>
                  <w:tcW w:w="6081" w:type="dxa"/>
                  <w:gridSpan w:val="6"/>
                  <w:tcMar>
                    <w:left w:w="17" w:type="dxa"/>
                    <w:right w:w="17" w:type="dxa"/>
                  </w:tcMar>
                  <w:vAlign w:val="center"/>
                </w:tcPr>
                <w:p>
                  <w:pPr>
                    <w:spacing w:after="100" w:afterAutospacing="1" w:line="320" w:lineRule="exact"/>
                    <w:ind w:firstLine="2610" w:firstLineChars="1450"/>
                    <w:rPr>
                      <w:rFonts w:ascii="Times New Roman" w:hAnsi="Times New Roman" w:cs="Times New Roman"/>
                      <w:color w:val="auto"/>
                      <w:sz w:val="18"/>
                      <w:szCs w:val="18"/>
                    </w:rPr>
                  </w:pPr>
                  <w:r>
                    <w:rPr>
                      <w:rFonts w:ascii="Times New Roman" w:hAnsi="Times New Roman" w:cs="Times New Roman"/>
                      <w:color w:val="auto"/>
                      <w:sz w:val="18"/>
                      <w:szCs w:val="18"/>
                    </w:rPr>
                    <w:t>合计</w:t>
                  </w:r>
                </w:p>
              </w:tc>
              <w:tc>
                <w:tcPr>
                  <w:tcW w:w="950" w:type="dxa"/>
                  <w:vAlign w:val="center"/>
                </w:tcPr>
                <w:p>
                  <w:pPr>
                    <w:spacing w:after="100" w:afterAutospacing="1" w:line="320" w:lineRule="exact"/>
                    <w:jc w:val="center"/>
                    <w:rPr>
                      <w:rFonts w:hint="eastAsia" w:ascii="Times New Roman" w:hAnsi="Times New Roman" w:eastAsia="宋体" w:cs="Times New Roman"/>
                      <w:color w:val="auto"/>
                      <w:sz w:val="18"/>
                      <w:szCs w:val="18"/>
                      <w:lang w:eastAsia="zh-CN"/>
                    </w:rPr>
                  </w:pPr>
                  <w:r>
                    <w:rPr>
                      <w:rFonts w:hint="eastAsia" w:cs="Times New Roman"/>
                      <w:color w:val="auto"/>
                      <w:sz w:val="18"/>
                      <w:szCs w:val="18"/>
                      <w:lang w:val="en-US" w:eastAsia="zh-CN"/>
                    </w:rPr>
                    <w:t>247</w:t>
                  </w:r>
                </w:p>
              </w:tc>
              <w:tc>
                <w:tcPr>
                  <w:tcW w:w="1256" w:type="dxa"/>
                  <w:vAlign w:val="center"/>
                </w:tcPr>
                <w:p>
                  <w:pPr>
                    <w:spacing w:after="100" w:afterAutospacing="1" w:line="32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w:t>
                  </w:r>
                </w:p>
              </w:tc>
            </w:tr>
          </w:tbl>
          <w:p>
            <w:pPr>
              <w:adjustRightInd w:val="0"/>
              <w:snapToGrid w:val="0"/>
              <w:rPr>
                <w:rFonts w:ascii="宋体" w:hAnsi="宋体" w:cs="宋体"/>
                <w:bCs/>
                <w:color w:val="auto"/>
                <w:spacing w:val="10"/>
                <w:sz w:val="24"/>
              </w:rPr>
            </w:pPr>
          </w:p>
        </w:tc>
      </w:tr>
    </w:tbl>
    <w:p>
      <w:pPr>
        <w:rPr>
          <w:rFonts w:ascii="宋体" w:hAnsi="宋体" w:cs="宋体"/>
          <w:bCs/>
          <w:color w:val="auto"/>
          <w:spacing w:val="10"/>
          <w:sz w:val="24"/>
        </w:rPr>
      </w:pPr>
    </w:p>
    <w:p>
      <w:pPr>
        <w:rPr>
          <w:color w:val="auto"/>
        </w:rPr>
      </w:pPr>
    </w:p>
    <w:p>
      <w:pPr>
        <w:rPr>
          <w:color w:val="auto"/>
        </w:rPr>
      </w:pPr>
    </w:p>
    <w:p>
      <w:pPr>
        <w:rPr>
          <w:color w:val="auto"/>
        </w:rPr>
        <w:sectPr>
          <w:pgSz w:w="11907" w:h="16840"/>
          <w:pgMar w:top="1440" w:right="1797" w:bottom="1440" w:left="1797" w:header="851" w:footer="1077" w:gutter="0"/>
          <w:pgBorders>
            <w:top w:val="none" w:sz="0" w:space="0"/>
            <w:left w:val="none" w:sz="0" w:space="0"/>
            <w:bottom w:val="none" w:sz="0" w:space="0"/>
            <w:right w:val="none" w:sz="0" w:space="0"/>
          </w:pgBorders>
          <w:cols w:space="425" w:num="1"/>
          <w:docGrid w:linePitch="312" w:charSpace="0"/>
        </w:sectPr>
      </w:pPr>
    </w:p>
    <w:p>
      <w:pPr>
        <w:pStyle w:val="19"/>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六、生态环境保护措施监督检查清单</w:t>
      </w:r>
    </w:p>
    <w:tbl>
      <w:tblPr>
        <w:tblStyle w:val="24"/>
        <w:tblW w:w="1417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045"/>
        <w:gridCol w:w="4358"/>
        <w:gridCol w:w="2009"/>
        <w:gridCol w:w="3266"/>
        <w:gridCol w:w="249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045" w:type="dxa"/>
            <w:vMerge w:val="restart"/>
            <w:tcBorders>
              <w:tl2br w:val="single" w:color="auto" w:sz="4" w:space="0"/>
            </w:tcBorders>
          </w:tcPr>
          <w:p>
            <w:pPr>
              <w:pStyle w:val="19"/>
              <w:adjustRightInd w:val="0"/>
              <w:snapToGrid w:val="0"/>
              <w:spacing w:before="72" w:beforeLines="30" w:beforeAutospacing="0" w:after="0" w:afterAutospacing="0"/>
              <w:jc w:val="center"/>
              <w:outlineLvl w:val="0"/>
              <w:rPr>
                <w:rFonts w:ascii="黑体" w:hAnsi="黑体" w:eastAsia="黑体" w:cs="宋体"/>
                <w:color w:val="auto"/>
                <w:kern w:val="2"/>
                <w:sz w:val="21"/>
                <w:szCs w:val="21"/>
              </w:rPr>
            </w:pPr>
          </w:p>
          <w:p>
            <w:pPr>
              <w:pStyle w:val="19"/>
              <w:adjustRightInd w:val="0"/>
              <w:snapToGrid w:val="0"/>
              <w:spacing w:before="72" w:beforeLines="30" w:beforeAutospacing="0" w:after="0" w:afterAutospacing="0"/>
              <w:jc w:val="center"/>
              <w:outlineLvl w:val="0"/>
              <w:rPr>
                <w:rFonts w:ascii="黑体" w:hAnsi="黑体" w:eastAsia="黑体" w:cs="宋体"/>
                <w:color w:val="auto"/>
                <w:kern w:val="2"/>
                <w:sz w:val="21"/>
                <w:szCs w:val="21"/>
              </w:rPr>
            </w:pPr>
            <w:r>
              <w:rPr>
                <w:rFonts w:hint="eastAsia" w:ascii="黑体" w:hAnsi="黑体" w:eastAsia="黑体" w:cs="宋体"/>
                <w:color w:val="auto"/>
                <w:kern w:val="2"/>
                <w:sz w:val="21"/>
                <w:szCs w:val="21"/>
              </w:rPr>
              <w:t xml:space="preserve">           内容</w:t>
            </w:r>
          </w:p>
          <w:p>
            <w:pPr>
              <w:pStyle w:val="19"/>
              <w:adjustRightInd w:val="0"/>
              <w:snapToGrid w:val="0"/>
              <w:spacing w:before="0" w:beforeAutospacing="0" w:after="0" w:afterAutospacing="0" w:line="14" w:lineRule="auto"/>
              <w:outlineLvl w:val="0"/>
              <w:rPr>
                <w:rFonts w:ascii="黑体" w:hAnsi="黑体" w:eastAsia="黑体" w:cs="宋体"/>
                <w:color w:val="auto"/>
                <w:kern w:val="2"/>
                <w:sz w:val="21"/>
                <w:szCs w:val="21"/>
              </w:rPr>
            </w:pPr>
            <w:r>
              <w:rPr>
                <w:rFonts w:hint="eastAsia" w:ascii="黑体" w:hAnsi="黑体" w:eastAsia="黑体" w:cs="宋体"/>
                <w:color w:val="auto"/>
                <w:kern w:val="2"/>
                <w:sz w:val="21"/>
                <w:szCs w:val="21"/>
              </w:rPr>
              <w:t xml:space="preserve">  </w:t>
            </w:r>
          </w:p>
          <w:p>
            <w:pPr>
              <w:pStyle w:val="19"/>
              <w:adjustRightInd w:val="0"/>
              <w:snapToGrid w:val="0"/>
              <w:spacing w:before="0" w:beforeAutospacing="0" w:after="0" w:afterAutospacing="0"/>
              <w:outlineLvl w:val="0"/>
              <w:rPr>
                <w:rFonts w:ascii="黑体" w:hAnsi="黑体" w:eastAsia="黑体" w:cs="宋体"/>
                <w:color w:val="auto"/>
                <w:kern w:val="2"/>
                <w:sz w:val="21"/>
                <w:szCs w:val="21"/>
              </w:rPr>
            </w:pPr>
            <w:r>
              <w:rPr>
                <w:rFonts w:hint="eastAsia" w:ascii="黑体" w:hAnsi="黑体" w:eastAsia="黑体" w:cs="宋体"/>
                <w:color w:val="auto"/>
                <w:kern w:val="2"/>
                <w:sz w:val="21"/>
                <w:szCs w:val="21"/>
              </w:rPr>
              <w:t>要素</w:t>
            </w:r>
          </w:p>
        </w:tc>
        <w:tc>
          <w:tcPr>
            <w:tcW w:w="6367" w:type="dxa"/>
            <w:gridSpan w:val="2"/>
            <w:vAlign w:val="center"/>
          </w:tcPr>
          <w:p>
            <w:pPr>
              <w:pStyle w:val="19"/>
              <w:adjustRightInd w:val="0"/>
              <w:snapToGrid w:val="0"/>
              <w:spacing w:before="0" w:beforeAutospacing="0" w:after="0" w:afterAutospacing="0"/>
              <w:jc w:val="center"/>
              <w:outlineLvl w:val="0"/>
              <w:rPr>
                <w:rFonts w:ascii="黑体" w:hAnsi="黑体" w:eastAsia="黑体" w:cs="宋体"/>
                <w:color w:val="auto"/>
                <w:kern w:val="2"/>
                <w:sz w:val="21"/>
                <w:szCs w:val="21"/>
              </w:rPr>
            </w:pPr>
            <w:r>
              <w:rPr>
                <w:rFonts w:hint="eastAsia" w:ascii="黑体" w:hAnsi="黑体" w:eastAsia="黑体" w:cs="宋体"/>
                <w:color w:val="auto"/>
                <w:kern w:val="2"/>
                <w:sz w:val="21"/>
                <w:szCs w:val="21"/>
              </w:rPr>
              <w:t>施工期</w:t>
            </w:r>
          </w:p>
        </w:tc>
        <w:tc>
          <w:tcPr>
            <w:tcW w:w="5762" w:type="dxa"/>
            <w:gridSpan w:val="2"/>
            <w:vAlign w:val="center"/>
          </w:tcPr>
          <w:p>
            <w:pPr>
              <w:pStyle w:val="19"/>
              <w:adjustRightInd w:val="0"/>
              <w:snapToGrid w:val="0"/>
              <w:spacing w:before="0" w:beforeAutospacing="0" w:after="0" w:afterAutospacing="0"/>
              <w:jc w:val="center"/>
              <w:outlineLvl w:val="0"/>
              <w:rPr>
                <w:rFonts w:ascii="黑体" w:hAnsi="黑体" w:eastAsia="黑体" w:cs="宋体"/>
                <w:color w:val="auto"/>
                <w:kern w:val="2"/>
                <w:sz w:val="21"/>
                <w:szCs w:val="21"/>
              </w:rPr>
            </w:pPr>
            <w:r>
              <w:rPr>
                <w:rFonts w:hint="eastAsia" w:ascii="黑体" w:hAnsi="黑体" w:eastAsia="黑体" w:cs="宋体"/>
                <w:color w:val="auto"/>
                <w:kern w:val="2"/>
                <w:sz w:val="21"/>
                <w:szCs w:val="21"/>
              </w:rPr>
              <w:t>运营期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045" w:type="dxa"/>
            <w:vMerge w:val="continue"/>
          </w:tcPr>
          <w:p>
            <w:pPr>
              <w:pStyle w:val="19"/>
              <w:adjustRightInd w:val="0"/>
              <w:snapToGrid w:val="0"/>
              <w:spacing w:before="0" w:beforeAutospacing="0" w:after="0" w:afterAutospacing="0"/>
              <w:ind w:firstLine="840"/>
              <w:jc w:val="center"/>
              <w:outlineLvl w:val="0"/>
              <w:rPr>
                <w:rFonts w:ascii="黑体" w:hAnsi="黑体" w:eastAsia="黑体" w:cs="宋体"/>
                <w:color w:val="auto"/>
                <w:kern w:val="2"/>
                <w:sz w:val="21"/>
                <w:szCs w:val="21"/>
              </w:rPr>
            </w:pPr>
          </w:p>
        </w:tc>
        <w:tc>
          <w:tcPr>
            <w:tcW w:w="4358" w:type="dxa"/>
            <w:vAlign w:val="center"/>
          </w:tcPr>
          <w:p>
            <w:pPr>
              <w:pStyle w:val="19"/>
              <w:adjustRightInd w:val="0"/>
              <w:snapToGrid w:val="0"/>
              <w:spacing w:before="0" w:beforeAutospacing="0" w:after="0" w:afterAutospacing="0"/>
              <w:jc w:val="center"/>
              <w:outlineLvl w:val="0"/>
              <w:rPr>
                <w:rFonts w:ascii="黑体" w:hAnsi="黑体" w:eastAsia="黑体" w:cs="宋体"/>
                <w:color w:val="auto"/>
                <w:kern w:val="2"/>
                <w:sz w:val="21"/>
                <w:szCs w:val="21"/>
              </w:rPr>
            </w:pPr>
            <w:r>
              <w:rPr>
                <w:rFonts w:hint="eastAsia" w:ascii="黑体" w:hAnsi="黑体" w:eastAsia="黑体" w:cs="宋体"/>
                <w:color w:val="auto"/>
                <w:kern w:val="2"/>
                <w:sz w:val="21"/>
                <w:szCs w:val="21"/>
              </w:rPr>
              <w:t>环境保护措施</w:t>
            </w:r>
          </w:p>
        </w:tc>
        <w:tc>
          <w:tcPr>
            <w:tcW w:w="2009" w:type="dxa"/>
            <w:vAlign w:val="center"/>
          </w:tcPr>
          <w:p>
            <w:pPr>
              <w:pStyle w:val="19"/>
              <w:adjustRightInd w:val="0"/>
              <w:snapToGrid w:val="0"/>
              <w:spacing w:before="0" w:beforeAutospacing="0" w:after="0" w:afterAutospacing="0"/>
              <w:jc w:val="center"/>
              <w:outlineLvl w:val="0"/>
              <w:rPr>
                <w:rFonts w:ascii="黑体" w:hAnsi="黑体" w:eastAsia="黑体" w:cs="宋体"/>
                <w:color w:val="auto"/>
                <w:kern w:val="2"/>
                <w:sz w:val="21"/>
                <w:szCs w:val="21"/>
              </w:rPr>
            </w:pPr>
            <w:r>
              <w:rPr>
                <w:rFonts w:hint="eastAsia" w:ascii="黑体" w:hAnsi="黑体" w:eastAsia="黑体" w:cs="宋体"/>
                <w:color w:val="auto"/>
                <w:kern w:val="2"/>
                <w:sz w:val="21"/>
                <w:szCs w:val="21"/>
              </w:rPr>
              <w:t>验收要求</w:t>
            </w:r>
          </w:p>
        </w:tc>
        <w:tc>
          <w:tcPr>
            <w:tcW w:w="3266" w:type="dxa"/>
            <w:vAlign w:val="center"/>
          </w:tcPr>
          <w:p>
            <w:pPr>
              <w:pStyle w:val="19"/>
              <w:adjustRightInd w:val="0"/>
              <w:snapToGrid w:val="0"/>
              <w:spacing w:before="0" w:beforeAutospacing="0" w:after="0" w:afterAutospacing="0"/>
              <w:jc w:val="center"/>
              <w:outlineLvl w:val="0"/>
              <w:rPr>
                <w:rFonts w:ascii="黑体" w:hAnsi="黑体" w:eastAsia="黑体" w:cs="宋体"/>
                <w:color w:val="auto"/>
                <w:kern w:val="2"/>
                <w:sz w:val="21"/>
                <w:szCs w:val="21"/>
              </w:rPr>
            </w:pPr>
            <w:r>
              <w:rPr>
                <w:rFonts w:hint="eastAsia" w:ascii="黑体" w:hAnsi="黑体" w:eastAsia="黑体" w:cs="宋体"/>
                <w:color w:val="auto"/>
                <w:kern w:val="2"/>
                <w:sz w:val="21"/>
                <w:szCs w:val="21"/>
              </w:rPr>
              <w:t>环境保护措施</w:t>
            </w:r>
          </w:p>
        </w:tc>
        <w:tc>
          <w:tcPr>
            <w:tcW w:w="2496" w:type="dxa"/>
            <w:vAlign w:val="center"/>
          </w:tcPr>
          <w:p>
            <w:pPr>
              <w:pStyle w:val="19"/>
              <w:adjustRightInd w:val="0"/>
              <w:snapToGrid w:val="0"/>
              <w:spacing w:before="0" w:beforeAutospacing="0" w:after="0" w:afterAutospacing="0"/>
              <w:jc w:val="center"/>
              <w:outlineLvl w:val="0"/>
              <w:rPr>
                <w:rFonts w:ascii="黑体" w:hAnsi="黑体" w:eastAsia="黑体" w:cs="宋体"/>
                <w:color w:val="auto"/>
                <w:kern w:val="2"/>
                <w:sz w:val="21"/>
                <w:szCs w:val="21"/>
              </w:rPr>
            </w:pPr>
            <w:r>
              <w:rPr>
                <w:rFonts w:hint="eastAsia" w:ascii="黑体" w:hAnsi="黑体" w:eastAsia="黑体" w:cs="宋体"/>
                <w:color w:val="auto"/>
                <w:kern w:val="2"/>
                <w:sz w:val="21"/>
                <w:szCs w:val="21"/>
              </w:rPr>
              <w:t>验收要求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045" w:type="dxa"/>
            <w:vAlign w:val="center"/>
          </w:tcPr>
          <w:p>
            <w:pPr>
              <w:adjustRightInd w:val="0"/>
              <w:snapToGrid w:val="0"/>
              <w:jc w:val="center"/>
              <w:rPr>
                <w:rFonts w:ascii="宋体" w:hAnsi="宋体" w:cs="宋体"/>
                <w:color w:val="auto"/>
                <w:sz w:val="21"/>
                <w:szCs w:val="21"/>
              </w:rPr>
            </w:pPr>
            <w:r>
              <w:rPr>
                <w:rFonts w:hint="eastAsia" w:ascii="宋体" w:hAnsi="宋体" w:cs="宋体"/>
                <w:color w:val="auto"/>
                <w:sz w:val="21"/>
                <w:szCs w:val="21"/>
              </w:rPr>
              <w:t>陆生生态</w:t>
            </w:r>
          </w:p>
        </w:tc>
        <w:tc>
          <w:tcPr>
            <w:tcW w:w="4358" w:type="dxa"/>
            <w:vAlign w:val="center"/>
          </w:tcPr>
          <w:p>
            <w:pPr>
              <w:adjustRightInd w:val="0"/>
              <w:snapToGrid w:val="0"/>
              <w:rPr>
                <w:rFonts w:hint="eastAsia" w:ascii="宋体" w:hAnsi="宋体" w:cs="宋体"/>
                <w:color w:val="auto"/>
                <w:sz w:val="21"/>
                <w:szCs w:val="21"/>
              </w:rPr>
            </w:pPr>
            <w:r>
              <w:rPr>
                <w:rFonts w:hint="eastAsia" w:ascii="宋体" w:hAnsi="宋体" w:cs="宋体"/>
                <w:color w:val="auto"/>
                <w:sz w:val="21"/>
                <w:szCs w:val="21"/>
              </w:rPr>
              <w:t>（1）采用科学的施工组织方式，避免“边勘探、边设计、边施工”的做法；工程土石方开挖过程中，力求实现“挖填平衡”；</w:t>
            </w:r>
          </w:p>
          <w:p>
            <w:pPr>
              <w:adjustRightInd w:val="0"/>
              <w:snapToGrid w:val="0"/>
              <w:rPr>
                <w:rFonts w:hint="eastAsia" w:ascii="宋体" w:hAnsi="宋体" w:cs="宋体"/>
                <w:color w:val="auto"/>
                <w:sz w:val="21"/>
                <w:szCs w:val="21"/>
              </w:rPr>
            </w:pPr>
            <w:r>
              <w:rPr>
                <w:rFonts w:hint="eastAsia" w:ascii="宋体" w:hAnsi="宋体" w:cs="宋体"/>
                <w:color w:val="auto"/>
                <w:sz w:val="21"/>
                <w:szCs w:val="21"/>
              </w:rPr>
              <w:t>（2）工程土建施工尽量避免雨季施工，减少临时占地，及时对施工管网覆土、压实；施工结束时，及时进行灌草植被的种植；</w:t>
            </w:r>
          </w:p>
          <w:p>
            <w:pPr>
              <w:adjustRightInd w:val="0"/>
              <w:snapToGrid w:val="0"/>
              <w:rPr>
                <w:rFonts w:hint="eastAsia" w:ascii="宋体" w:hAnsi="宋体" w:cs="宋体"/>
                <w:color w:val="auto"/>
                <w:sz w:val="21"/>
                <w:szCs w:val="21"/>
              </w:rPr>
            </w:pPr>
            <w:r>
              <w:rPr>
                <w:rFonts w:hint="eastAsia" w:ascii="宋体" w:hAnsi="宋体" w:cs="宋体"/>
                <w:color w:val="auto"/>
                <w:sz w:val="21"/>
                <w:szCs w:val="21"/>
              </w:rPr>
              <w:t>（3）合理选择施工临时位置，工程建设过程中不允许随意占用额外土地，施工的临时占地，施工完成后应及时进行平整，恢复植被</w:t>
            </w:r>
            <w:r>
              <w:rPr>
                <w:rFonts w:hint="eastAsia" w:ascii="宋体" w:hAnsi="宋体" w:cs="宋体"/>
                <w:color w:val="auto"/>
                <w:sz w:val="21"/>
                <w:szCs w:val="21"/>
                <w:lang w:eastAsia="zh-CN"/>
              </w:rPr>
              <w:t>；</w:t>
            </w:r>
          </w:p>
          <w:p>
            <w:pPr>
              <w:adjustRightInd w:val="0"/>
              <w:snapToGrid w:val="0"/>
              <w:rPr>
                <w:rFonts w:hint="eastAsia" w:ascii="宋体" w:hAnsi="宋体" w:cs="宋体"/>
                <w:color w:val="auto"/>
                <w:sz w:val="21"/>
                <w:szCs w:val="21"/>
              </w:rPr>
            </w:pPr>
            <w:r>
              <w:rPr>
                <w:rFonts w:hint="eastAsia" w:ascii="宋体" w:hAnsi="宋体" w:cs="宋体"/>
                <w:color w:val="auto"/>
                <w:sz w:val="21"/>
                <w:szCs w:val="21"/>
              </w:rPr>
              <w:t>（</w:t>
            </w:r>
            <w:r>
              <w:rPr>
                <w:rFonts w:hint="eastAsia" w:ascii="宋体" w:hAnsi="宋体" w:cs="宋体"/>
                <w:color w:val="auto"/>
                <w:sz w:val="21"/>
                <w:szCs w:val="21"/>
                <w:lang w:val="en-US" w:eastAsia="zh-CN"/>
              </w:rPr>
              <w:t>4</w:t>
            </w:r>
            <w:r>
              <w:rPr>
                <w:rFonts w:hint="eastAsia" w:ascii="宋体" w:hAnsi="宋体" w:cs="宋体"/>
                <w:color w:val="auto"/>
                <w:sz w:val="21"/>
                <w:szCs w:val="21"/>
              </w:rPr>
              <w:t>）物料、弃土渣应就近选择低洼、平坦地段集中堆放，要设置土工布围栏、截排水沟等，并及时用于填垫平整场地。不能利用部分及时清理外运至</w:t>
            </w:r>
            <w:r>
              <w:rPr>
                <w:rFonts w:hint="eastAsia" w:ascii="宋体" w:hAnsi="宋体" w:cs="宋体"/>
                <w:color w:val="auto"/>
                <w:sz w:val="21"/>
                <w:szCs w:val="21"/>
                <w:lang w:val="en-US" w:eastAsia="zh-CN"/>
              </w:rPr>
              <w:t>秦汉</w:t>
            </w:r>
            <w:r>
              <w:rPr>
                <w:rFonts w:hint="eastAsia" w:ascii="宋体" w:hAnsi="宋体" w:cs="宋体"/>
                <w:color w:val="auto"/>
                <w:sz w:val="21"/>
                <w:szCs w:val="21"/>
              </w:rPr>
              <w:t>环卫部门指定地点统一处置，外运土石方运输车况良好、避免过量装料，防止土石料的散落，减少水土流失。</w:t>
            </w:r>
          </w:p>
          <w:p>
            <w:pPr>
              <w:adjustRightInd w:val="0"/>
              <w:snapToGrid w:val="0"/>
              <w:rPr>
                <w:rFonts w:hint="eastAsia" w:ascii="宋体" w:hAnsi="宋体" w:cs="宋体"/>
                <w:color w:val="auto"/>
                <w:sz w:val="21"/>
                <w:szCs w:val="21"/>
              </w:rPr>
            </w:pPr>
            <w:r>
              <w:rPr>
                <w:rFonts w:hint="eastAsia" w:ascii="宋体" w:hAnsi="宋体" w:cs="宋体"/>
                <w:color w:val="auto"/>
                <w:sz w:val="21"/>
                <w:szCs w:val="21"/>
              </w:rPr>
              <w:t>（</w:t>
            </w:r>
            <w:r>
              <w:rPr>
                <w:rFonts w:hint="eastAsia" w:ascii="宋体" w:hAnsi="宋体" w:cs="宋体"/>
                <w:color w:val="auto"/>
                <w:sz w:val="21"/>
                <w:szCs w:val="21"/>
                <w:lang w:val="en-US" w:eastAsia="zh-CN"/>
              </w:rPr>
              <w:t>5</w:t>
            </w:r>
            <w:r>
              <w:rPr>
                <w:rFonts w:hint="eastAsia" w:ascii="宋体" w:hAnsi="宋体" w:cs="宋体"/>
                <w:color w:val="auto"/>
                <w:sz w:val="21"/>
                <w:szCs w:val="21"/>
              </w:rPr>
              <w:t>）对占地开挖土方分层堆放，全部表土都应分层堆放并标注清楚，至少地表0.3m厚土层应被视作表土。填埋时，也应分层回填</w:t>
            </w:r>
            <w:r>
              <w:rPr>
                <w:rFonts w:hint="eastAsia" w:ascii="宋体" w:hAnsi="宋体" w:cs="宋体"/>
                <w:color w:val="auto"/>
                <w:sz w:val="21"/>
                <w:szCs w:val="21"/>
                <w:lang w:eastAsia="zh-CN"/>
              </w:rPr>
              <w:t>；</w:t>
            </w:r>
          </w:p>
          <w:p>
            <w:pPr>
              <w:adjustRightInd w:val="0"/>
              <w:snapToGrid w:val="0"/>
              <w:rPr>
                <w:rFonts w:hint="eastAsia" w:ascii="宋体" w:hAnsi="宋体" w:cs="宋体"/>
                <w:color w:val="auto"/>
                <w:sz w:val="21"/>
                <w:szCs w:val="21"/>
              </w:rPr>
            </w:pPr>
            <w:r>
              <w:rPr>
                <w:rFonts w:hint="eastAsia" w:ascii="宋体" w:hAnsi="宋体" w:cs="宋体"/>
                <w:color w:val="auto"/>
                <w:sz w:val="21"/>
                <w:szCs w:val="21"/>
              </w:rPr>
              <w:t>（</w:t>
            </w:r>
            <w:r>
              <w:rPr>
                <w:rFonts w:hint="eastAsia" w:ascii="宋体" w:hAnsi="宋体" w:cs="宋体"/>
                <w:color w:val="auto"/>
                <w:sz w:val="21"/>
                <w:szCs w:val="21"/>
                <w:lang w:val="en-US" w:eastAsia="zh-CN"/>
              </w:rPr>
              <w:t>6</w:t>
            </w:r>
            <w:r>
              <w:rPr>
                <w:rFonts w:hint="eastAsia" w:ascii="宋体" w:hAnsi="宋体" w:cs="宋体"/>
                <w:color w:val="auto"/>
                <w:sz w:val="21"/>
                <w:szCs w:val="21"/>
              </w:rPr>
              <w:t>）加强对施工人员的教育培训，提高生态环境保护意识</w:t>
            </w:r>
            <w:r>
              <w:rPr>
                <w:rFonts w:hint="eastAsia" w:ascii="宋体" w:hAnsi="宋体" w:cs="宋体"/>
                <w:color w:val="auto"/>
                <w:sz w:val="21"/>
                <w:szCs w:val="21"/>
                <w:lang w:eastAsia="zh-CN"/>
              </w:rPr>
              <w:t>。</w:t>
            </w:r>
          </w:p>
          <w:p>
            <w:pPr>
              <w:adjustRightInd w:val="0"/>
              <w:snapToGrid w:val="0"/>
              <w:rPr>
                <w:rFonts w:ascii="宋体" w:hAnsi="宋体" w:cs="宋体"/>
                <w:color w:val="auto"/>
                <w:sz w:val="21"/>
                <w:szCs w:val="21"/>
              </w:rPr>
            </w:pPr>
            <w:r>
              <w:rPr>
                <w:rFonts w:hint="eastAsia" w:ascii="宋体" w:hAnsi="宋体" w:cs="宋体"/>
                <w:color w:val="auto"/>
                <w:sz w:val="21"/>
                <w:szCs w:val="21"/>
              </w:rPr>
              <w:t>（</w:t>
            </w:r>
            <w:r>
              <w:rPr>
                <w:rFonts w:hint="eastAsia" w:ascii="宋体" w:hAnsi="宋体" w:cs="宋体"/>
                <w:color w:val="auto"/>
                <w:sz w:val="21"/>
                <w:szCs w:val="21"/>
                <w:lang w:val="en-US" w:eastAsia="zh-CN"/>
              </w:rPr>
              <w:t>7</w:t>
            </w:r>
            <w:r>
              <w:rPr>
                <w:rFonts w:hint="eastAsia" w:ascii="宋体" w:hAnsi="宋体" w:cs="宋体"/>
                <w:color w:val="auto"/>
                <w:sz w:val="21"/>
                <w:szCs w:val="21"/>
              </w:rPr>
              <w:t>）对裸露地面要尽早平整，及时绿化。</w:t>
            </w:r>
          </w:p>
        </w:tc>
        <w:tc>
          <w:tcPr>
            <w:tcW w:w="2009" w:type="dxa"/>
            <w:vAlign w:val="center"/>
          </w:tcPr>
          <w:p>
            <w:pPr>
              <w:adjustRightInd w:val="0"/>
              <w:snapToGrid w:val="0"/>
              <w:rPr>
                <w:rFonts w:ascii="宋体" w:hAnsi="宋体" w:cs="宋体"/>
                <w:color w:val="auto"/>
                <w:sz w:val="21"/>
                <w:szCs w:val="21"/>
              </w:rPr>
            </w:pPr>
            <w:r>
              <w:rPr>
                <w:rFonts w:hint="eastAsia" w:ascii="宋体" w:hAnsi="宋体" w:cs="宋体"/>
                <w:color w:val="auto"/>
                <w:sz w:val="21"/>
                <w:szCs w:val="21"/>
              </w:rPr>
              <w:t>各项环保措施符合要求，绿化面积达到计划要求</w:t>
            </w:r>
          </w:p>
        </w:tc>
        <w:tc>
          <w:tcPr>
            <w:tcW w:w="3266" w:type="dxa"/>
            <w:vAlign w:val="center"/>
          </w:tcPr>
          <w:p>
            <w:pPr>
              <w:adjustRightInd w:val="0"/>
              <w:snapToGrid w:val="0"/>
              <w:rPr>
                <w:rFonts w:hint="eastAsia" w:ascii="宋体" w:hAnsi="宋体" w:cs="宋体"/>
                <w:color w:val="auto"/>
                <w:sz w:val="21"/>
                <w:szCs w:val="21"/>
              </w:rPr>
            </w:pP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1）</w:t>
            </w:r>
            <w:r>
              <w:rPr>
                <w:rFonts w:hint="eastAsia" w:ascii="宋体" w:hAnsi="宋体" w:cs="宋体"/>
                <w:color w:val="auto"/>
                <w:sz w:val="21"/>
                <w:szCs w:val="21"/>
              </w:rPr>
              <w:t>项目建设造成的植被破坏通过种植树木等绿化措施进行切实可行的补偿措施，且增加了植被的观赏性，局部生态环境不会发生大的变化。项目总的绿化面积为24.96万m2，植被覆盖率达35.0%</w:t>
            </w:r>
            <w:r>
              <w:rPr>
                <w:rFonts w:hint="eastAsia" w:ascii="宋体" w:hAnsi="宋体" w:cs="宋体"/>
                <w:color w:val="auto"/>
                <w:sz w:val="21"/>
                <w:szCs w:val="21"/>
                <w:lang w:eastAsia="zh-CN"/>
              </w:rPr>
              <w:t>；</w:t>
            </w:r>
          </w:p>
          <w:p>
            <w:pPr>
              <w:adjustRightInd w:val="0"/>
              <w:snapToGrid w:val="0"/>
              <w:rPr>
                <w:rFonts w:hint="eastAsia" w:ascii="宋体" w:hAnsi="宋体" w:cs="宋体"/>
                <w:color w:val="auto"/>
                <w:sz w:val="21"/>
                <w:szCs w:val="21"/>
              </w:rPr>
            </w:pP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2）</w:t>
            </w:r>
            <w:r>
              <w:rPr>
                <w:rFonts w:hint="eastAsia" w:ascii="宋体" w:hAnsi="宋体" w:cs="宋体"/>
                <w:color w:val="auto"/>
                <w:sz w:val="21"/>
                <w:szCs w:val="21"/>
              </w:rPr>
              <w:t>加大宣传力度，加大绿色、低碳理念的宣传，规范游客行为；禁止游客对园区生态环境的破坏行为，严禁破坏树木、草坪、花坛等，设置专人负责，加强园区环境管理。</w:t>
            </w:r>
          </w:p>
          <w:p>
            <w:pPr>
              <w:adjustRightInd w:val="0"/>
              <w:snapToGrid w:val="0"/>
              <w:rPr>
                <w:rFonts w:hint="eastAsia" w:ascii="宋体" w:hAnsi="宋体" w:cs="宋体"/>
                <w:color w:val="auto"/>
                <w:sz w:val="21"/>
                <w:szCs w:val="21"/>
              </w:rPr>
            </w:pPr>
            <w:r>
              <w:rPr>
                <w:rFonts w:hint="eastAsia" w:ascii="宋体" w:hAnsi="宋体" w:cs="宋体"/>
                <w:color w:val="auto"/>
                <w:sz w:val="21"/>
                <w:szCs w:val="21"/>
              </w:rPr>
              <w:t>②合理设计旅游路线，对游客旅游活动范围加以合理限制，减少对植被的影响。</w:t>
            </w:r>
          </w:p>
          <w:p>
            <w:pPr>
              <w:adjustRightInd w:val="0"/>
              <w:snapToGrid w:val="0"/>
              <w:rPr>
                <w:rFonts w:hint="eastAsia" w:ascii="宋体" w:hAnsi="宋体" w:cs="宋体"/>
                <w:color w:val="auto"/>
                <w:sz w:val="21"/>
                <w:szCs w:val="21"/>
              </w:rPr>
            </w:pPr>
            <w:r>
              <w:rPr>
                <w:rFonts w:hint="eastAsia" w:ascii="宋体" w:hAnsi="宋体" w:cs="宋体"/>
                <w:color w:val="auto"/>
                <w:sz w:val="21"/>
                <w:szCs w:val="21"/>
                <w:lang w:val="en-US" w:eastAsia="zh-CN"/>
              </w:rPr>
              <w:t>③</w:t>
            </w:r>
            <w:r>
              <w:rPr>
                <w:rFonts w:hint="eastAsia" w:ascii="宋体" w:hAnsi="宋体" w:cs="宋体"/>
                <w:color w:val="auto"/>
                <w:sz w:val="21"/>
                <w:szCs w:val="21"/>
              </w:rPr>
              <w:t>景观资源保护措施与建议</w:t>
            </w:r>
          </w:p>
          <w:p>
            <w:pPr>
              <w:adjustRightInd w:val="0"/>
              <w:snapToGrid w:val="0"/>
              <w:rPr>
                <w:rFonts w:hint="eastAsia" w:ascii="宋体" w:hAnsi="宋体" w:cs="宋体"/>
                <w:color w:val="auto"/>
                <w:sz w:val="21"/>
                <w:szCs w:val="21"/>
              </w:rPr>
            </w:pPr>
            <w:r>
              <w:rPr>
                <w:rFonts w:hint="eastAsia" w:ascii="宋体" w:hAnsi="宋体" w:cs="宋体"/>
                <w:color w:val="auto"/>
                <w:sz w:val="21"/>
                <w:szCs w:val="21"/>
              </w:rPr>
              <w:t>园区内各游乐建筑单体、入口主城堡，以符合自身文化主题及游乐项目要求的形态展现，形成特有的建筑景观。配套主题园区种植植物、设置景观小品应与建筑景观相协调，力求建筑与自然环境融为一体，道路建设形成的边坡要采取绿化措施，以减少与周围环境的反差。</w:t>
            </w:r>
          </w:p>
          <w:p>
            <w:pPr>
              <w:adjustRightInd w:val="0"/>
              <w:snapToGrid w:val="0"/>
              <w:rPr>
                <w:rFonts w:ascii="宋体" w:hAnsi="宋体" w:cs="宋体"/>
                <w:color w:val="auto"/>
                <w:sz w:val="21"/>
                <w:szCs w:val="21"/>
              </w:rPr>
            </w:pPr>
          </w:p>
        </w:tc>
        <w:tc>
          <w:tcPr>
            <w:tcW w:w="2496" w:type="dxa"/>
            <w:vAlign w:val="center"/>
          </w:tcPr>
          <w:p>
            <w:pPr>
              <w:adjustRightInd w:val="0"/>
              <w:snapToGrid w:val="0"/>
              <w:rPr>
                <w:rFonts w:ascii="宋体" w:hAnsi="宋体" w:cs="宋体"/>
                <w:color w:val="auto"/>
                <w:sz w:val="21"/>
                <w:szCs w:val="21"/>
              </w:rPr>
            </w:pPr>
            <w:r>
              <w:rPr>
                <w:rFonts w:hint="eastAsia" w:ascii="宋体" w:hAnsi="宋体" w:cs="宋体"/>
                <w:color w:val="auto"/>
                <w:sz w:val="21"/>
                <w:szCs w:val="21"/>
              </w:rPr>
              <w:t>绿化率符合设计要求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045" w:type="dxa"/>
            <w:vAlign w:val="center"/>
          </w:tcPr>
          <w:p>
            <w:pPr>
              <w:adjustRightInd w:val="0"/>
              <w:snapToGrid w:val="0"/>
              <w:jc w:val="center"/>
              <w:rPr>
                <w:rFonts w:ascii="宋体" w:hAnsi="宋体" w:cs="宋体"/>
                <w:color w:val="auto"/>
                <w:sz w:val="21"/>
                <w:szCs w:val="21"/>
              </w:rPr>
            </w:pPr>
            <w:r>
              <w:rPr>
                <w:rFonts w:hint="eastAsia" w:ascii="宋体" w:hAnsi="宋体" w:cs="宋体"/>
                <w:color w:val="auto"/>
                <w:sz w:val="21"/>
                <w:szCs w:val="21"/>
              </w:rPr>
              <w:t>水生生态</w:t>
            </w:r>
          </w:p>
        </w:tc>
        <w:tc>
          <w:tcPr>
            <w:tcW w:w="4358" w:type="dxa"/>
            <w:vAlign w:val="center"/>
          </w:tcPr>
          <w:p>
            <w:pPr>
              <w:adjustRightInd w:val="0"/>
              <w:snapToGrid w:val="0"/>
              <w:jc w:val="center"/>
              <w:rPr>
                <w:rFonts w:ascii="宋体" w:hAnsi="宋体" w:cs="宋体"/>
                <w:color w:val="auto"/>
                <w:sz w:val="21"/>
                <w:szCs w:val="21"/>
              </w:rPr>
            </w:pPr>
            <w:r>
              <w:rPr>
                <w:rFonts w:hint="eastAsia" w:ascii="宋体" w:hAnsi="宋体" w:cs="宋体"/>
                <w:color w:val="auto"/>
                <w:sz w:val="21"/>
                <w:szCs w:val="21"/>
              </w:rPr>
              <w:t>/</w:t>
            </w:r>
          </w:p>
        </w:tc>
        <w:tc>
          <w:tcPr>
            <w:tcW w:w="2009" w:type="dxa"/>
            <w:vAlign w:val="center"/>
          </w:tcPr>
          <w:p>
            <w:pPr>
              <w:adjustRightInd w:val="0"/>
              <w:snapToGrid w:val="0"/>
              <w:jc w:val="center"/>
              <w:rPr>
                <w:rFonts w:ascii="宋体" w:hAnsi="宋体" w:cs="宋体"/>
                <w:color w:val="auto"/>
                <w:sz w:val="21"/>
                <w:szCs w:val="21"/>
              </w:rPr>
            </w:pPr>
            <w:r>
              <w:rPr>
                <w:rFonts w:hint="eastAsia" w:ascii="宋体" w:hAnsi="宋体" w:cs="宋体"/>
                <w:color w:val="auto"/>
                <w:sz w:val="21"/>
                <w:szCs w:val="21"/>
              </w:rPr>
              <w:t>/</w:t>
            </w:r>
          </w:p>
        </w:tc>
        <w:tc>
          <w:tcPr>
            <w:tcW w:w="3266" w:type="dxa"/>
            <w:vAlign w:val="center"/>
          </w:tcPr>
          <w:p>
            <w:pPr>
              <w:adjustRightInd w:val="0"/>
              <w:snapToGrid w:val="0"/>
              <w:jc w:val="center"/>
              <w:rPr>
                <w:rFonts w:ascii="宋体" w:hAnsi="宋体" w:cs="宋体"/>
                <w:color w:val="auto"/>
                <w:sz w:val="21"/>
                <w:szCs w:val="21"/>
              </w:rPr>
            </w:pPr>
            <w:r>
              <w:rPr>
                <w:rFonts w:hint="eastAsia" w:ascii="宋体" w:hAnsi="宋体" w:cs="宋体"/>
                <w:color w:val="auto"/>
                <w:sz w:val="21"/>
                <w:szCs w:val="21"/>
              </w:rPr>
              <w:t>/</w:t>
            </w:r>
          </w:p>
        </w:tc>
        <w:tc>
          <w:tcPr>
            <w:tcW w:w="2496" w:type="dxa"/>
            <w:vAlign w:val="center"/>
          </w:tcPr>
          <w:p>
            <w:pPr>
              <w:adjustRightInd w:val="0"/>
              <w:snapToGrid w:val="0"/>
              <w:jc w:val="center"/>
              <w:rPr>
                <w:rFonts w:ascii="宋体" w:hAnsi="宋体" w:cs="宋体"/>
                <w:color w:val="auto"/>
                <w:sz w:val="21"/>
                <w:szCs w:val="21"/>
              </w:rPr>
            </w:pPr>
            <w:r>
              <w:rPr>
                <w:rFonts w:hint="eastAsia" w:ascii="宋体" w:hAnsi="宋体" w:cs="宋体"/>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045" w:type="dxa"/>
            <w:vAlign w:val="center"/>
          </w:tcPr>
          <w:p>
            <w:pPr>
              <w:adjustRightInd w:val="0"/>
              <w:snapToGrid w:val="0"/>
              <w:jc w:val="center"/>
              <w:rPr>
                <w:rFonts w:ascii="宋体" w:hAnsi="宋体" w:cs="宋体"/>
                <w:color w:val="auto"/>
                <w:sz w:val="21"/>
                <w:szCs w:val="21"/>
              </w:rPr>
            </w:pPr>
            <w:r>
              <w:rPr>
                <w:rFonts w:hint="eastAsia" w:ascii="宋体" w:hAnsi="宋体" w:cs="宋体"/>
                <w:color w:val="auto"/>
                <w:sz w:val="21"/>
                <w:szCs w:val="21"/>
              </w:rPr>
              <w:t>地表水环境</w:t>
            </w:r>
          </w:p>
        </w:tc>
        <w:tc>
          <w:tcPr>
            <w:tcW w:w="4358" w:type="dxa"/>
            <w:vAlign w:val="center"/>
          </w:tcPr>
          <w:p>
            <w:pPr>
              <w:adjustRightInd w:val="0"/>
              <w:snapToGrid w:val="0"/>
              <w:rPr>
                <w:rFonts w:ascii="宋体" w:hAnsi="宋体" w:cs="宋体"/>
                <w:color w:val="auto"/>
                <w:sz w:val="21"/>
                <w:szCs w:val="21"/>
              </w:rPr>
            </w:pPr>
            <w:r>
              <w:rPr>
                <w:color w:val="auto"/>
                <w:sz w:val="21"/>
                <w:szCs w:val="21"/>
              </w:rPr>
              <w:t>施工废水经沉淀池澄清处理后用于施工车辆冲洗和洒水降尘；施工生活区设置</w:t>
            </w:r>
            <w:r>
              <w:rPr>
                <w:rFonts w:hint="eastAsia"/>
                <w:color w:val="auto"/>
                <w:sz w:val="21"/>
                <w:szCs w:val="21"/>
                <w:lang w:val="en-US" w:eastAsia="zh-CN"/>
              </w:rPr>
              <w:t>环保水厕</w:t>
            </w:r>
            <w:r>
              <w:rPr>
                <w:color w:val="auto"/>
                <w:sz w:val="21"/>
                <w:szCs w:val="21"/>
              </w:rPr>
              <w:t>，</w:t>
            </w:r>
            <w:r>
              <w:rPr>
                <w:rFonts w:hint="eastAsia"/>
                <w:color w:val="auto"/>
                <w:sz w:val="21"/>
                <w:szCs w:val="21"/>
                <w:lang w:val="en-US" w:eastAsia="zh-CN"/>
              </w:rPr>
              <w:t>生活污水经化粪池处理，化粪池</w:t>
            </w:r>
            <w:r>
              <w:rPr>
                <w:color w:val="auto"/>
                <w:sz w:val="21"/>
                <w:szCs w:val="21"/>
              </w:rPr>
              <w:t>定期清掏用作农肥</w:t>
            </w:r>
            <w:r>
              <w:rPr>
                <w:rFonts w:hint="eastAsia"/>
                <w:color w:val="auto"/>
                <w:sz w:val="21"/>
                <w:szCs w:val="21"/>
                <w:lang w:eastAsia="zh-CN"/>
              </w:rPr>
              <w:t>。</w:t>
            </w:r>
          </w:p>
        </w:tc>
        <w:tc>
          <w:tcPr>
            <w:tcW w:w="2009" w:type="dxa"/>
            <w:vAlign w:val="center"/>
          </w:tcPr>
          <w:p>
            <w:pPr>
              <w:adjustRightInd w:val="0"/>
              <w:snapToGrid w:val="0"/>
              <w:rPr>
                <w:rFonts w:ascii="宋体" w:hAnsi="宋体" w:cs="宋体"/>
                <w:color w:val="auto"/>
                <w:sz w:val="21"/>
                <w:szCs w:val="21"/>
              </w:rPr>
            </w:pPr>
            <w:r>
              <w:rPr>
                <w:rFonts w:hint="eastAsia" w:ascii="宋体" w:hAnsi="宋体" w:cs="宋体"/>
                <w:color w:val="auto"/>
                <w:sz w:val="21"/>
                <w:szCs w:val="21"/>
              </w:rPr>
              <w:t>废水不外排</w:t>
            </w:r>
          </w:p>
        </w:tc>
        <w:tc>
          <w:tcPr>
            <w:tcW w:w="3266" w:type="dxa"/>
            <w:vAlign w:val="center"/>
          </w:tcPr>
          <w:p>
            <w:pPr>
              <w:adjustRightInd w:val="0"/>
              <w:snapToGrid w:val="0"/>
              <w:rPr>
                <w:rFonts w:ascii="宋体" w:hAnsi="宋体" w:cs="宋体"/>
                <w:color w:val="auto"/>
                <w:sz w:val="21"/>
                <w:szCs w:val="21"/>
              </w:rPr>
            </w:pPr>
            <w:r>
              <w:rPr>
                <w:rFonts w:hint="eastAsia" w:ascii="宋体" w:hAnsi="宋体" w:cs="宋体"/>
                <w:color w:val="auto"/>
                <w:sz w:val="21"/>
                <w:szCs w:val="21"/>
              </w:rPr>
              <w:t>餐饮废水经隔油池隔油后与其他生活废水</w:t>
            </w:r>
            <w:r>
              <w:rPr>
                <w:rFonts w:hint="eastAsia" w:ascii="宋体" w:hAnsi="宋体" w:cs="宋体"/>
                <w:color w:val="auto"/>
                <w:sz w:val="21"/>
                <w:szCs w:val="21"/>
                <w:lang w:val="en-US" w:eastAsia="zh-CN"/>
              </w:rPr>
              <w:t>经</w:t>
            </w:r>
            <w:r>
              <w:rPr>
                <w:rFonts w:hint="eastAsia" w:ascii="宋体" w:hAnsi="宋体" w:cs="宋体"/>
                <w:color w:val="auto"/>
                <w:sz w:val="21"/>
                <w:szCs w:val="21"/>
              </w:rPr>
              <w:t>化粪池处理；</w:t>
            </w:r>
            <w:r>
              <w:rPr>
                <w:rFonts w:hint="eastAsia" w:ascii="宋体" w:hAnsi="宋体" w:cs="宋体"/>
                <w:color w:val="auto"/>
                <w:sz w:val="21"/>
                <w:szCs w:val="21"/>
                <w:lang w:val="en-US" w:eastAsia="zh-CN"/>
              </w:rPr>
              <w:t>娱乐废水经设备自带的</w:t>
            </w:r>
            <w:r>
              <w:rPr>
                <w:rFonts w:hint="eastAsia" w:ascii="宋体" w:hAnsi="宋体" w:cs="宋体"/>
                <w:color w:val="auto"/>
                <w:sz w:val="21"/>
                <w:szCs w:val="21"/>
              </w:rPr>
              <w:t>密闭式内循环处理</w:t>
            </w:r>
            <w:r>
              <w:rPr>
                <w:rFonts w:hint="eastAsia" w:ascii="宋体" w:hAnsi="宋体" w:cs="宋体"/>
                <w:color w:val="auto"/>
                <w:sz w:val="21"/>
                <w:szCs w:val="21"/>
                <w:lang w:val="en-US" w:eastAsia="zh-CN"/>
              </w:rPr>
              <w:t>设施</w:t>
            </w:r>
            <w:r>
              <w:rPr>
                <w:rFonts w:hint="eastAsia" w:ascii="宋体" w:hAnsi="宋体" w:cs="宋体"/>
                <w:color w:val="auto"/>
                <w:sz w:val="21"/>
                <w:szCs w:val="21"/>
              </w:rPr>
              <w:t>，产生的设备反冲洗水</w:t>
            </w:r>
            <w:r>
              <w:rPr>
                <w:rFonts w:hint="eastAsia" w:ascii="宋体" w:hAnsi="宋体" w:cs="宋体"/>
                <w:color w:val="auto"/>
                <w:sz w:val="21"/>
                <w:szCs w:val="21"/>
                <w:lang w:val="en-US" w:eastAsia="zh-CN"/>
              </w:rPr>
              <w:t>与生活污水、冷却塔排水一并</w:t>
            </w:r>
            <w:r>
              <w:rPr>
                <w:rFonts w:hint="eastAsia" w:ascii="宋体" w:hAnsi="宋体" w:cs="宋体"/>
                <w:color w:val="auto"/>
                <w:sz w:val="21"/>
                <w:szCs w:val="21"/>
              </w:rPr>
              <w:t>排入市政管网</w:t>
            </w:r>
            <w:r>
              <w:rPr>
                <w:rFonts w:hint="eastAsia" w:ascii="宋体" w:hAnsi="宋体" w:cs="宋体"/>
                <w:color w:val="auto"/>
                <w:sz w:val="21"/>
                <w:szCs w:val="21"/>
                <w:lang w:val="en-US" w:eastAsia="zh-CN"/>
              </w:rPr>
              <w:t>进入泾河新城第三污水厂。</w:t>
            </w:r>
          </w:p>
        </w:tc>
        <w:tc>
          <w:tcPr>
            <w:tcW w:w="2496" w:type="dxa"/>
            <w:vAlign w:val="center"/>
          </w:tcPr>
          <w:p>
            <w:pPr>
              <w:adjustRightInd w:val="0"/>
              <w:snapToGrid w:val="0"/>
              <w:rPr>
                <w:rFonts w:ascii="宋体" w:hAnsi="宋体" w:cs="宋体"/>
                <w:color w:val="auto"/>
                <w:sz w:val="21"/>
                <w:szCs w:val="21"/>
              </w:rPr>
            </w:pPr>
            <w:r>
              <w:rPr>
                <w:rFonts w:hint="eastAsia" w:ascii="宋体" w:hAnsi="宋体" w:cs="宋体"/>
                <w:color w:val="auto"/>
                <w:sz w:val="21"/>
                <w:szCs w:val="21"/>
              </w:rPr>
              <w:t>废水排放执行《污水综合排放标准》（GB8978-1996）三级标准和《污水排入城镇下水道水质标准》B级（GB/T31962-2015）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2045" w:type="dxa"/>
            <w:vAlign w:val="center"/>
          </w:tcPr>
          <w:p>
            <w:pPr>
              <w:adjustRightInd w:val="0"/>
              <w:snapToGrid w:val="0"/>
              <w:jc w:val="center"/>
              <w:rPr>
                <w:rFonts w:ascii="宋体" w:hAnsi="宋体" w:cs="宋体"/>
                <w:color w:val="auto"/>
                <w:sz w:val="21"/>
                <w:szCs w:val="21"/>
              </w:rPr>
            </w:pPr>
            <w:r>
              <w:rPr>
                <w:rFonts w:hint="eastAsia" w:ascii="宋体" w:hAnsi="宋体" w:cs="宋体"/>
                <w:color w:val="auto"/>
                <w:sz w:val="21"/>
                <w:szCs w:val="21"/>
              </w:rPr>
              <w:t>地下水及土壤环境</w:t>
            </w:r>
          </w:p>
        </w:tc>
        <w:tc>
          <w:tcPr>
            <w:tcW w:w="4358" w:type="dxa"/>
            <w:vAlign w:val="center"/>
          </w:tcPr>
          <w:p>
            <w:pPr>
              <w:adjustRightInd w:val="0"/>
              <w:snapToGrid w:val="0"/>
              <w:jc w:val="center"/>
              <w:rPr>
                <w:rFonts w:ascii="宋体" w:hAnsi="宋体" w:cs="宋体"/>
                <w:color w:val="auto"/>
                <w:sz w:val="21"/>
                <w:szCs w:val="21"/>
              </w:rPr>
            </w:pPr>
            <w:r>
              <w:rPr>
                <w:rFonts w:hint="eastAsia" w:ascii="宋体" w:hAnsi="宋体" w:cs="宋体"/>
                <w:color w:val="auto"/>
                <w:sz w:val="21"/>
                <w:szCs w:val="21"/>
              </w:rPr>
              <w:t>/</w:t>
            </w:r>
          </w:p>
        </w:tc>
        <w:tc>
          <w:tcPr>
            <w:tcW w:w="2009" w:type="dxa"/>
            <w:vAlign w:val="center"/>
          </w:tcPr>
          <w:p>
            <w:pPr>
              <w:adjustRightInd w:val="0"/>
              <w:snapToGrid w:val="0"/>
              <w:jc w:val="center"/>
              <w:rPr>
                <w:rFonts w:ascii="宋体" w:hAnsi="宋体" w:cs="宋体"/>
                <w:color w:val="auto"/>
                <w:sz w:val="21"/>
                <w:szCs w:val="21"/>
              </w:rPr>
            </w:pPr>
            <w:r>
              <w:rPr>
                <w:rFonts w:hint="eastAsia" w:ascii="宋体" w:hAnsi="宋体" w:cs="宋体"/>
                <w:color w:val="auto"/>
                <w:sz w:val="21"/>
                <w:szCs w:val="21"/>
              </w:rPr>
              <w:t>/</w:t>
            </w:r>
          </w:p>
        </w:tc>
        <w:tc>
          <w:tcPr>
            <w:tcW w:w="3266" w:type="dxa"/>
            <w:vAlign w:val="center"/>
          </w:tcPr>
          <w:p>
            <w:pPr>
              <w:adjustRightInd w:val="0"/>
              <w:snapToGrid w:val="0"/>
              <w:jc w:val="center"/>
              <w:rPr>
                <w:rFonts w:ascii="宋体" w:hAnsi="宋体" w:cs="宋体"/>
                <w:color w:val="auto"/>
                <w:sz w:val="21"/>
                <w:szCs w:val="21"/>
              </w:rPr>
            </w:pPr>
            <w:r>
              <w:rPr>
                <w:rFonts w:hint="eastAsia" w:ascii="宋体" w:hAnsi="宋体" w:cs="宋体"/>
                <w:color w:val="auto"/>
                <w:sz w:val="21"/>
                <w:szCs w:val="21"/>
              </w:rPr>
              <w:t>/</w:t>
            </w:r>
          </w:p>
        </w:tc>
        <w:tc>
          <w:tcPr>
            <w:tcW w:w="2496" w:type="dxa"/>
            <w:vAlign w:val="center"/>
          </w:tcPr>
          <w:p>
            <w:pPr>
              <w:adjustRightInd w:val="0"/>
              <w:snapToGrid w:val="0"/>
              <w:jc w:val="center"/>
              <w:rPr>
                <w:rFonts w:ascii="宋体" w:hAnsi="宋体" w:cs="宋体"/>
                <w:color w:val="auto"/>
                <w:sz w:val="21"/>
                <w:szCs w:val="21"/>
              </w:rPr>
            </w:pPr>
            <w:r>
              <w:rPr>
                <w:rFonts w:hint="eastAsia" w:ascii="宋体" w:hAnsi="宋体" w:cs="宋体"/>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045" w:type="dxa"/>
            <w:vAlign w:val="center"/>
          </w:tcPr>
          <w:p>
            <w:pPr>
              <w:adjustRightInd w:val="0"/>
              <w:snapToGrid w:val="0"/>
              <w:jc w:val="center"/>
              <w:rPr>
                <w:rFonts w:ascii="宋体" w:hAnsi="宋体" w:cs="宋体"/>
                <w:color w:val="auto"/>
                <w:sz w:val="21"/>
                <w:szCs w:val="21"/>
              </w:rPr>
            </w:pPr>
            <w:r>
              <w:rPr>
                <w:rFonts w:hint="eastAsia" w:ascii="宋体" w:hAnsi="宋体" w:cs="宋体"/>
                <w:color w:val="auto"/>
                <w:sz w:val="21"/>
                <w:szCs w:val="21"/>
              </w:rPr>
              <w:t>声环境</w:t>
            </w:r>
          </w:p>
        </w:tc>
        <w:tc>
          <w:tcPr>
            <w:tcW w:w="4358" w:type="dxa"/>
            <w:vAlign w:val="center"/>
          </w:tcPr>
          <w:p>
            <w:pPr>
              <w:adjustRightInd w:val="0"/>
              <w:snapToGrid w:val="0"/>
              <w:rPr>
                <w:rFonts w:ascii="宋体" w:hAnsi="宋体" w:cs="宋体"/>
                <w:color w:val="auto"/>
                <w:sz w:val="21"/>
                <w:szCs w:val="21"/>
              </w:rPr>
            </w:pPr>
            <w:r>
              <w:rPr>
                <w:rFonts w:hint="eastAsia"/>
                <w:color w:val="auto"/>
                <w:sz w:val="21"/>
                <w:szCs w:val="21"/>
              </w:rPr>
              <w:t>针对机械设备噪声和交通噪声，要求合理布置场地、安排施工工序</w:t>
            </w:r>
            <w:r>
              <w:rPr>
                <w:rFonts w:hint="eastAsia"/>
                <w:color w:val="auto"/>
                <w:sz w:val="21"/>
                <w:szCs w:val="21"/>
                <w:lang w:eastAsia="zh-CN"/>
              </w:rPr>
              <w:t>。</w:t>
            </w:r>
          </w:p>
        </w:tc>
        <w:tc>
          <w:tcPr>
            <w:tcW w:w="2009" w:type="dxa"/>
            <w:vAlign w:val="center"/>
          </w:tcPr>
          <w:p>
            <w:pPr>
              <w:adjustRightInd w:val="0"/>
              <w:snapToGrid w:val="0"/>
              <w:rPr>
                <w:rFonts w:ascii="宋体" w:hAnsi="宋体" w:cs="宋体"/>
                <w:color w:val="auto"/>
                <w:sz w:val="21"/>
                <w:szCs w:val="21"/>
              </w:rPr>
            </w:pPr>
            <w:r>
              <w:rPr>
                <w:rFonts w:hint="eastAsia" w:ascii="宋体" w:hAnsi="宋体" w:cs="宋体"/>
                <w:color w:val="auto"/>
                <w:sz w:val="21"/>
                <w:szCs w:val="21"/>
              </w:rPr>
              <w:t>满足《建筑施工场界环境噪声排放》（GB12523-2011）中相关规定</w:t>
            </w:r>
            <w:r>
              <w:rPr>
                <w:rFonts w:hint="eastAsia" w:ascii="宋体" w:hAnsi="宋体" w:cs="宋体"/>
                <w:color w:val="auto"/>
                <w:sz w:val="21"/>
                <w:szCs w:val="21"/>
                <w:lang w:eastAsia="zh-CN"/>
              </w:rPr>
              <w:t>。</w:t>
            </w:r>
          </w:p>
        </w:tc>
        <w:tc>
          <w:tcPr>
            <w:tcW w:w="3266" w:type="dxa"/>
            <w:vAlign w:val="center"/>
          </w:tcPr>
          <w:p>
            <w:pPr>
              <w:adjustRightInd w:val="0"/>
              <w:snapToGrid w:val="0"/>
              <w:rPr>
                <w:rFonts w:ascii="宋体" w:hAnsi="宋体" w:cs="宋体"/>
                <w:color w:val="auto"/>
                <w:sz w:val="21"/>
                <w:szCs w:val="21"/>
              </w:rPr>
            </w:pPr>
            <w:r>
              <w:rPr>
                <w:snapToGrid w:val="0"/>
                <w:color w:val="auto"/>
                <w:spacing w:val="-6"/>
                <w:kern w:val="0"/>
                <w:sz w:val="21"/>
                <w:szCs w:val="21"/>
              </w:rPr>
              <w:t>项目娱乐设施</w:t>
            </w:r>
            <w:r>
              <w:rPr>
                <w:rFonts w:hint="eastAsia"/>
                <w:snapToGrid w:val="0"/>
                <w:color w:val="auto"/>
                <w:spacing w:val="-6"/>
                <w:kern w:val="0"/>
                <w:sz w:val="21"/>
                <w:szCs w:val="21"/>
                <w:lang w:eastAsia="zh-CN"/>
              </w:rPr>
              <w:t>、</w:t>
            </w:r>
            <w:r>
              <w:rPr>
                <w:rFonts w:hint="eastAsia"/>
                <w:snapToGrid w:val="0"/>
                <w:color w:val="auto"/>
                <w:spacing w:val="-6"/>
                <w:kern w:val="0"/>
                <w:sz w:val="21"/>
                <w:szCs w:val="21"/>
                <w:lang w:val="en-US" w:eastAsia="zh-CN"/>
              </w:rPr>
              <w:t>风机、水泵等辅助设施</w:t>
            </w:r>
            <w:r>
              <w:rPr>
                <w:snapToGrid w:val="0"/>
                <w:color w:val="auto"/>
                <w:spacing w:val="-6"/>
                <w:kern w:val="0"/>
                <w:sz w:val="21"/>
                <w:szCs w:val="21"/>
              </w:rPr>
              <w:t>采用</w:t>
            </w:r>
            <w:r>
              <w:rPr>
                <w:rFonts w:hint="eastAsia"/>
                <w:snapToGrid w:val="0"/>
                <w:color w:val="auto"/>
                <w:spacing w:val="-6"/>
                <w:kern w:val="0"/>
                <w:sz w:val="21"/>
                <w:szCs w:val="21"/>
                <w:lang w:val="en-US" w:eastAsia="zh-CN"/>
              </w:rPr>
              <w:t>低噪声设备、</w:t>
            </w:r>
            <w:r>
              <w:rPr>
                <w:color w:val="auto"/>
                <w:sz w:val="21"/>
                <w:szCs w:val="21"/>
              </w:rPr>
              <w:t>减震、隔声处理</w:t>
            </w:r>
            <w:r>
              <w:rPr>
                <w:rFonts w:hint="eastAsia"/>
                <w:color w:val="auto"/>
                <w:sz w:val="21"/>
                <w:szCs w:val="21"/>
                <w:lang w:eastAsia="zh-CN"/>
              </w:rPr>
              <w:t>。</w:t>
            </w:r>
          </w:p>
        </w:tc>
        <w:tc>
          <w:tcPr>
            <w:tcW w:w="2496" w:type="dxa"/>
            <w:vAlign w:val="center"/>
          </w:tcPr>
          <w:p>
            <w:pPr>
              <w:adjustRightInd w:val="0"/>
              <w:snapToGrid w:val="0"/>
              <w:rPr>
                <w:rFonts w:ascii="宋体" w:hAnsi="宋体" w:cs="宋体"/>
                <w:color w:val="auto"/>
                <w:sz w:val="21"/>
                <w:szCs w:val="21"/>
              </w:rPr>
            </w:pPr>
            <w:r>
              <w:rPr>
                <w:rFonts w:hint="eastAsia" w:ascii="宋体" w:hAnsi="宋体" w:cs="宋体"/>
                <w:color w:val="auto"/>
                <w:sz w:val="21"/>
                <w:szCs w:val="21"/>
              </w:rPr>
              <w:t>《社会生活环境噪声排放标准》（GB 22337—2008）2</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4</w:t>
            </w:r>
            <w:r>
              <w:rPr>
                <w:rFonts w:hint="eastAsia" w:ascii="宋体" w:hAnsi="宋体" w:cs="宋体"/>
                <w:color w:val="auto"/>
                <w:sz w:val="21"/>
                <w:szCs w:val="21"/>
              </w:rPr>
              <w:t>类</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045" w:type="dxa"/>
            <w:vAlign w:val="center"/>
          </w:tcPr>
          <w:p>
            <w:pPr>
              <w:adjustRightInd w:val="0"/>
              <w:snapToGrid w:val="0"/>
              <w:jc w:val="center"/>
              <w:rPr>
                <w:rFonts w:ascii="宋体" w:hAnsi="宋体" w:cs="宋体"/>
                <w:color w:val="auto"/>
                <w:sz w:val="21"/>
                <w:szCs w:val="21"/>
              </w:rPr>
            </w:pPr>
            <w:r>
              <w:rPr>
                <w:rFonts w:hint="eastAsia" w:ascii="宋体" w:hAnsi="宋体" w:cs="宋体"/>
                <w:color w:val="auto"/>
                <w:sz w:val="21"/>
                <w:szCs w:val="21"/>
              </w:rPr>
              <w:t>大气环境</w:t>
            </w:r>
          </w:p>
        </w:tc>
        <w:tc>
          <w:tcPr>
            <w:tcW w:w="4358" w:type="dxa"/>
            <w:vAlign w:val="center"/>
          </w:tcPr>
          <w:p>
            <w:pPr>
              <w:adjustRightInd w:val="0"/>
              <w:snapToGrid w:val="0"/>
              <w:rPr>
                <w:rFonts w:ascii="宋体" w:hAnsi="宋体" w:cs="宋体"/>
                <w:color w:val="auto"/>
                <w:sz w:val="21"/>
                <w:szCs w:val="21"/>
              </w:rPr>
            </w:pPr>
            <w:r>
              <w:rPr>
                <w:rFonts w:hint="eastAsia" w:ascii="宋体" w:hAnsi="宋体" w:cs="宋体"/>
                <w:color w:val="auto"/>
                <w:sz w:val="21"/>
                <w:szCs w:val="21"/>
                <w:lang w:val="en-US" w:eastAsia="zh-CN"/>
              </w:rPr>
              <w:t>①在主要扬尘产生点安装扬尘在线监测监控设备，并与当地主管部门监控平台联网。②施工中使用商品混凝土。③避免了在大风天气进行物料装卸作业。④物料堆放覆盖，裸露绿化，进出车辆喷淋，拆除和土方作业喷淋。⑤设置围挡。⑥安装持续洒水降尘措施。</w:t>
            </w:r>
          </w:p>
        </w:tc>
        <w:tc>
          <w:tcPr>
            <w:tcW w:w="2009" w:type="dxa"/>
            <w:vAlign w:val="center"/>
          </w:tcPr>
          <w:p>
            <w:pPr>
              <w:adjustRightInd w:val="0"/>
              <w:snapToGrid w:val="0"/>
              <w:rPr>
                <w:rFonts w:ascii="宋体" w:hAnsi="宋体" w:cs="宋体"/>
                <w:color w:val="auto"/>
                <w:sz w:val="21"/>
                <w:szCs w:val="21"/>
              </w:rPr>
            </w:pPr>
            <w:r>
              <w:rPr>
                <w:rFonts w:hint="eastAsia" w:ascii="宋体" w:hAnsi="宋体" w:cs="宋体"/>
                <w:color w:val="auto"/>
                <w:sz w:val="21"/>
                <w:szCs w:val="21"/>
              </w:rPr>
              <w:t>满足《施工厂界扬尘排放限值》（DB61/1078-2017）中相关标准规定</w:t>
            </w:r>
            <w:r>
              <w:rPr>
                <w:rFonts w:hint="eastAsia" w:ascii="宋体" w:hAnsi="宋体" w:cs="宋体"/>
                <w:color w:val="auto"/>
                <w:sz w:val="21"/>
                <w:szCs w:val="21"/>
                <w:lang w:eastAsia="zh-CN"/>
              </w:rPr>
              <w:t>。</w:t>
            </w:r>
          </w:p>
        </w:tc>
        <w:tc>
          <w:tcPr>
            <w:tcW w:w="3266" w:type="dxa"/>
            <w:vAlign w:val="center"/>
          </w:tcPr>
          <w:p>
            <w:pPr>
              <w:adjustRightInd w:val="0"/>
              <w:snapToGrid w:val="0"/>
              <w:rPr>
                <w:rFonts w:hint="eastAsia" w:ascii="宋体" w:hAnsi="宋体" w:cs="宋体"/>
                <w:color w:val="auto"/>
                <w:sz w:val="21"/>
                <w:szCs w:val="21"/>
              </w:rPr>
            </w:pPr>
            <w:r>
              <w:rPr>
                <w:rFonts w:hint="eastAsia" w:ascii="宋体" w:hAnsi="宋体" w:cs="宋体"/>
                <w:color w:val="auto"/>
                <w:sz w:val="21"/>
                <w:szCs w:val="21"/>
              </w:rPr>
              <w:t>餐饮油烟经油烟净化器处理；地下停车汽车尾气采用机械集中送排风系统进行排气通风</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垃圾收集点及卫生间恶臭采用①</w:t>
            </w:r>
            <w:r>
              <w:rPr>
                <w:rFonts w:hint="eastAsia" w:ascii="宋体" w:hAnsi="宋体" w:cs="宋体"/>
                <w:color w:val="auto"/>
                <w:sz w:val="21"/>
                <w:szCs w:val="21"/>
              </w:rPr>
              <w:t>密闭带盖分类垃圾桶，②园区垃圾站设</w:t>
            </w:r>
            <w:r>
              <w:rPr>
                <w:rFonts w:hint="eastAsia" w:ascii="宋体" w:hAnsi="宋体" w:cs="宋体"/>
                <w:color w:val="auto"/>
                <w:sz w:val="21"/>
                <w:szCs w:val="21"/>
                <w:lang w:val="en-US" w:eastAsia="zh-CN"/>
              </w:rPr>
              <w:t>机械</w:t>
            </w:r>
            <w:r>
              <w:rPr>
                <w:rFonts w:hint="eastAsia" w:ascii="宋体" w:hAnsi="宋体" w:cs="宋体"/>
                <w:color w:val="auto"/>
                <w:sz w:val="21"/>
                <w:szCs w:val="21"/>
              </w:rPr>
              <w:t>排风系统，并安装简易喷淋除臭装置</w:t>
            </w:r>
            <w:r>
              <w:rPr>
                <w:rFonts w:hint="eastAsia" w:ascii="宋体" w:hAnsi="宋体" w:cs="宋体"/>
                <w:color w:val="auto"/>
                <w:sz w:val="21"/>
                <w:szCs w:val="21"/>
                <w:lang w:eastAsia="zh-CN"/>
              </w:rPr>
              <w:t>；</w:t>
            </w:r>
            <w:r>
              <w:rPr>
                <w:rFonts w:hint="eastAsia" w:ascii="宋体" w:hAnsi="宋体" w:cs="宋体"/>
                <w:color w:val="auto"/>
                <w:sz w:val="21"/>
                <w:szCs w:val="21"/>
              </w:rPr>
              <w:t>③安排专门的工作人员定期对公厕进行清洁，公厕内</w:t>
            </w:r>
            <w:r>
              <w:rPr>
                <w:rFonts w:hint="eastAsia" w:ascii="宋体" w:hAnsi="宋体" w:cs="宋体"/>
                <w:color w:val="auto"/>
                <w:sz w:val="21"/>
                <w:szCs w:val="21"/>
                <w:lang w:val="en-US" w:eastAsia="zh-CN"/>
              </w:rPr>
              <w:t>放置</w:t>
            </w:r>
            <w:r>
              <w:rPr>
                <w:rFonts w:hint="eastAsia" w:ascii="宋体" w:hAnsi="宋体" w:cs="宋体"/>
                <w:color w:val="auto"/>
                <w:sz w:val="21"/>
                <w:szCs w:val="21"/>
              </w:rPr>
              <w:t>除臭剂，并设置机械通风装置；喷洒消毒药剂</w:t>
            </w:r>
            <w:r>
              <w:rPr>
                <w:rFonts w:hint="eastAsia" w:ascii="宋体" w:hAnsi="宋体" w:cs="宋体"/>
                <w:color w:val="auto"/>
                <w:sz w:val="21"/>
                <w:szCs w:val="21"/>
                <w:lang w:eastAsia="zh-CN"/>
              </w:rPr>
              <w:t>；</w:t>
            </w:r>
            <w:r>
              <w:rPr>
                <w:rFonts w:hint="eastAsia" w:ascii="宋体" w:hAnsi="宋体" w:cs="宋体"/>
                <w:color w:val="auto"/>
                <w:sz w:val="21"/>
                <w:szCs w:val="21"/>
              </w:rPr>
              <w:t>④项目厂界周边加强乔木</w:t>
            </w:r>
            <w:r>
              <w:rPr>
                <w:rFonts w:hint="eastAsia" w:ascii="宋体" w:hAnsi="宋体" w:cs="宋体"/>
                <w:color w:val="auto"/>
                <w:sz w:val="21"/>
                <w:szCs w:val="21"/>
                <w:lang w:eastAsia="zh-CN"/>
              </w:rPr>
              <w:t>。</w:t>
            </w:r>
          </w:p>
          <w:p>
            <w:pPr>
              <w:adjustRightInd w:val="0"/>
              <w:snapToGrid w:val="0"/>
              <w:rPr>
                <w:rFonts w:ascii="宋体" w:hAnsi="宋体" w:cs="宋体"/>
                <w:color w:val="auto"/>
                <w:sz w:val="21"/>
                <w:szCs w:val="21"/>
              </w:rPr>
            </w:pPr>
          </w:p>
        </w:tc>
        <w:tc>
          <w:tcPr>
            <w:tcW w:w="2496" w:type="dxa"/>
            <w:vAlign w:val="center"/>
          </w:tcPr>
          <w:p>
            <w:pPr>
              <w:adjustRightInd w:val="0"/>
              <w:snapToGrid w:val="0"/>
              <w:rPr>
                <w:rFonts w:ascii="宋体" w:hAnsi="宋体" w:cs="宋体"/>
                <w:color w:val="auto"/>
                <w:sz w:val="21"/>
                <w:szCs w:val="21"/>
              </w:rPr>
            </w:pPr>
            <w:r>
              <w:rPr>
                <w:rFonts w:hint="eastAsia" w:ascii="宋体" w:hAnsi="宋体" w:cs="宋体"/>
                <w:color w:val="auto"/>
                <w:sz w:val="21"/>
                <w:szCs w:val="21"/>
              </w:rPr>
              <w:t>食堂油烟废气排放执行《饮食业油烟排放标准》（试行）（GB18483-2001）限值要求；地下停车场废气中的NOX和碳氢化合物排放标准参照执行《大气污染物综合排放标准》（GB16297-1996）中NOX和非甲烷总烃排放浓度限值</w:t>
            </w:r>
            <w:r>
              <w:rPr>
                <w:rFonts w:hint="eastAsia" w:ascii="宋体" w:hAnsi="宋体" w:cs="宋体"/>
                <w:color w:val="auto"/>
                <w:sz w:val="21"/>
                <w:szCs w:val="21"/>
                <w:lang w:eastAsia="zh-CN"/>
              </w:rPr>
              <w:t>；</w:t>
            </w:r>
            <w:r>
              <w:rPr>
                <w:rFonts w:hint="eastAsia"/>
                <w:color w:val="auto"/>
                <w:sz w:val="21"/>
                <w:szCs w:val="21"/>
                <w:lang w:val="en-US" w:eastAsia="zh-CN"/>
              </w:rPr>
              <w:t>柴油发电机执行GB20891-2014</w:t>
            </w:r>
            <w:r>
              <w:rPr>
                <w:rFonts w:hint="eastAsia" w:ascii="Times New Roman" w:hAnsi="Times New Roman" w:eastAsia="宋体" w:cs="Times New Roman"/>
                <w:color w:val="auto"/>
                <w:sz w:val="21"/>
                <w:szCs w:val="21"/>
                <w:lang w:val="en-US" w:eastAsia="zh-CN" w:bidi="en-US"/>
              </w:rPr>
              <w:t>《非道路移动机械用柴油机排气污染物排放限值及测量方法</w:t>
            </w:r>
            <w:r>
              <w:rPr>
                <w:rFonts w:hint="default" w:ascii="Times New Roman" w:hAnsi="Times New Roman" w:eastAsia="宋体" w:cs="Times New Roman"/>
                <w:color w:val="auto"/>
                <w:sz w:val="21"/>
                <w:szCs w:val="21"/>
                <w:lang w:val="en-US" w:eastAsia="zh-CN" w:bidi="en-US"/>
              </w:rPr>
              <w:t>(</w:t>
            </w:r>
            <w:r>
              <w:rPr>
                <w:rFonts w:hint="eastAsia" w:ascii="Times New Roman" w:hAnsi="Times New Roman" w:eastAsia="宋体" w:cs="Times New Roman"/>
                <w:color w:val="auto"/>
                <w:sz w:val="21"/>
                <w:szCs w:val="21"/>
                <w:lang w:val="en-US" w:eastAsia="zh-CN" w:bidi="en-US"/>
              </w:rPr>
              <w:t>中国第三、四阶段）》及其修改单中的要求</w:t>
            </w:r>
            <w:r>
              <w:rPr>
                <w:rFonts w:hint="eastAsia" w:cs="Times New Roman"/>
                <w:color w:val="auto"/>
                <w:sz w:val="21"/>
                <w:szCs w:val="21"/>
                <w:lang w:val="en-US" w:eastAsia="zh-CN" w:bidi="en-US"/>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045" w:type="dxa"/>
            <w:vAlign w:val="center"/>
          </w:tcPr>
          <w:p>
            <w:pPr>
              <w:adjustRightInd w:val="0"/>
              <w:snapToGrid w:val="0"/>
              <w:jc w:val="center"/>
              <w:rPr>
                <w:rFonts w:ascii="宋体" w:hAnsi="宋体" w:cs="宋体"/>
                <w:color w:val="auto"/>
                <w:sz w:val="21"/>
                <w:szCs w:val="21"/>
              </w:rPr>
            </w:pPr>
            <w:r>
              <w:rPr>
                <w:rFonts w:hint="eastAsia" w:ascii="宋体" w:hAnsi="宋体" w:cs="宋体"/>
                <w:color w:val="auto"/>
                <w:sz w:val="21"/>
                <w:szCs w:val="21"/>
              </w:rPr>
              <w:t>固体废物</w:t>
            </w:r>
          </w:p>
        </w:tc>
        <w:tc>
          <w:tcPr>
            <w:tcW w:w="4358" w:type="dxa"/>
            <w:vAlign w:val="center"/>
          </w:tcPr>
          <w:p>
            <w:pPr>
              <w:adjustRightInd w:val="0"/>
              <w:snapToGrid w:val="0"/>
              <w:rPr>
                <w:rFonts w:hint="eastAsia" w:ascii="宋体" w:hAnsi="宋体" w:cs="宋体"/>
                <w:color w:val="auto"/>
                <w:sz w:val="21"/>
                <w:szCs w:val="21"/>
                <w:lang w:val="en-US" w:eastAsia="zh-CN"/>
              </w:rPr>
            </w:pPr>
            <w:r>
              <w:rPr>
                <w:rFonts w:hint="eastAsia" w:ascii="宋体" w:hAnsi="宋体" w:cs="宋体"/>
                <w:color w:val="auto"/>
                <w:sz w:val="21"/>
                <w:szCs w:val="21"/>
              </w:rPr>
              <w:t>建筑垃圾运至建筑垃圾填埋场；生活垃圾由垃圾桶集中收集后，定期拉运，由环卫部门统一处理</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施工机械产生的废机油、装修期使用的涂料桶等危险废物，要求施工单位应在施工营地内设置危废暂存间，将危险废物单独收集、分类存放，再委托有危废处理资质的单位收集处理。</w:t>
            </w:r>
          </w:p>
          <w:p>
            <w:pPr>
              <w:adjustRightInd w:val="0"/>
              <w:snapToGrid w:val="0"/>
              <w:rPr>
                <w:rFonts w:hint="eastAsia" w:ascii="宋体" w:hAnsi="宋体" w:cs="宋体"/>
                <w:color w:val="auto"/>
                <w:sz w:val="21"/>
                <w:szCs w:val="21"/>
              </w:rPr>
            </w:pPr>
          </w:p>
        </w:tc>
        <w:tc>
          <w:tcPr>
            <w:tcW w:w="2009" w:type="dxa"/>
            <w:vAlign w:val="center"/>
          </w:tcPr>
          <w:p>
            <w:pPr>
              <w:adjustRightInd w:val="0"/>
              <w:snapToGrid w:val="0"/>
              <w:jc w:val="center"/>
              <w:rPr>
                <w:rFonts w:ascii="宋体" w:hAnsi="宋体" w:cs="宋体"/>
                <w:color w:val="auto"/>
                <w:sz w:val="21"/>
                <w:szCs w:val="21"/>
              </w:rPr>
            </w:pPr>
            <w:r>
              <w:rPr>
                <w:color w:val="auto"/>
                <w:sz w:val="21"/>
                <w:szCs w:val="21"/>
              </w:rPr>
              <w:t>妥善处置</w:t>
            </w:r>
          </w:p>
        </w:tc>
        <w:tc>
          <w:tcPr>
            <w:tcW w:w="3266" w:type="dxa"/>
            <w:vAlign w:val="center"/>
          </w:tcPr>
          <w:p>
            <w:pPr>
              <w:adjustRightInd w:val="0"/>
              <w:snapToGrid w:val="0"/>
              <w:rPr>
                <w:rFonts w:ascii="宋体" w:hAnsi="宋体" w:cs="宋体"/>
                <w:color w:val="auto"/>
                <w:sz w:val="21"/>
                <w:szCs w:val="21"/>
              </w:rPr>
            </w:pPr>
            <w:r>
              <w:rPr>
                <w:rFonts w:hint="eastAsia" w:ascii="宋体" w:hAnsi="宋体" w:cs="宋体"/>
                <w:color w:val="auto"/>
                <w:sz w:val="21"/>
                <w:szCs w:val="21"/>
              </w:rPr>
              <w:t>生活垃圾分类收集，环卫清运；餐饮垃圾由具有资质的公司处置；</w:t>
            </w:r>
            <w:r>
              <w:rPr>
                <w:rFonts w:hint="eastAsia" w:ascii="宋体" w:hAnsi="宋体" w:cs="宋体"/>
                <w:color w:val="auto"/>
                <w:sz w:val="21"/>
                <w:szCs w:val="21"/>
                <w:lang w:val="en-US" w:eastAsia="zh-CN"/>
              </w:rPr>
              <w:t>娱乐设施污水处理装置</w:t>
            </w:r>
            <w:r>
              <w:rPr>
                <w:rFonts w:hint="eastAsia" w:ascii="宋体" w:hAnsi="宋体" w:cs="宋体"/>
                <w:color w:val="auto"/>
                <w:sz w:val="21"/>
                <w:szCs w:val="21"/>
              </w:rPr>
              <w:t>过滤产生的滤渣毛发交由环卫部门清运</w:t>
            </w:r>
            <w:r>
              <w:rPr>
                <w:rFonts w:hint="eastAsia" w:ascii="宋体" w:hAnsi="宋体" w:cs="宋体"/>
                <w:color w:val="auto"/>
                <w:sz w:val="21"/>
                <w:szCs w:val="21"/>
                <w:lang w:eastAsia="zh-CN"/>
              </w:rPr>
              <w:t>；</w:t>
            </w:r>
            <w:r>
              <w:rPr>
                <w:rFonts w:hint="eastAsia" w:ascii="宋体" w:hAnsi="宋体" w:cs="宋体"/>
                <w:color w:val="auto"/>
                <w:sz w:val="21"/>
                <w:szCs w:val="21"/>
              </w:rPr>
              <w:t>危险废物设置危废暂存间</w:t>
            </w:r>
            <w:r>
              <w:rPr>
                <w:rFonts w:hint="eastAsia" w:ascii="宋体" w:hAnsi="宋体" w:cs="宋体"/>
                <w:color w:val="auto"/>
                <w:sz w:val="21"/>
                <w:szCs w:val="21"/>
                <w:lang w:eastAsia="zh-CN"/>
              </w:rPr>
              <w:t>，</w:t>
            </w:r>
            <w:r>
              <w:rPr>
                <w:rFonts w:hint="eastAsia" w:ascii="宋体" w:hAnsi="宋体" w:cs="宋体"/>
                <w:color w:val="auto"/>
                <w:sz w:val="21"/>
                <w:szCs w:val="21"/>
              </w:rPr>
              <w:t>收集后定期交由有资质单位处置；医疗废物设专用垃圾桶单独收集，医疗废物暂存间暂存（位于医务室），委托医疗废物处置公司处置。</w:t>
            </w:r>
          </w:p>
        </w:tc>
        <w:tc>
          <w:tcPr>
            <w:tcW w:w="2496" w:type="dxa"/>
            <w:vAlign w:val="center"/>
          </w:tcPr>
          <w:p>
            <w:pPr>
              <w:adjustRightInd w:val="0"/>
              <w:snapToGrid w:val="0"/>
              <w:rPr>
                <w:rFonts w:ascii="宋体" w:hAnsi="宋体" w:cs="宋体"/>
                <w:color w:val="auto"/>
                <w:sz w:val="21"/>
                <w:szCs w:val="21"/>
              </w:rPr>
            </w:pPr>
            <w:r>
              <w:rPr>
                <w:rFonts w:hint="eastAsia"/>
                <w:color w:val="auto"/>
                <w:sz w:val="21"/>
                <w:szCs w:val="21"/>
              </w:rPr>
              <w:t>减量化、无害化、资源化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jc w:val="center"/>
        </w:trPr>
        <w:tc>
          <w:tcPr>
            <w:tcW w:w="2045" w:type="dxa"/>
            <w:vAlign w:val="center"/>
          </w:tcPr>
          <w:p>
            <w:pPr>
              <w:adjustRightInd w:val="0"/>
              <w:snapToGrid w:val="0"/>
              <w:jc w:val="center"/>
              <w:rPr>
                <w:rFonts w:ascii="宋体" w:hAnsi="宋体" w:cs="宋体"/>
                <w:color w:val="auto"/>
                <w:sz w:val="21"/>
                <w:szCs w:val="21"/>
              </w:rPr>
            </w:pPr>
            <w:r>
              <w:rPr>
                <w:rFonts w:hint="eastAsia" w:ascii="宋体" w:hAnsi="宋体" w:cs="宋体"/>
                <w:color w:val="auto"/>
                <w:sz w:val="21"/>
                <w:szCs w:val="21"/>
              </w:rPr>
              <w:t>电磁环境</w:t>
            </w:r>
          </w:p>
        </w:tc>
        <w:tc>
          <w:tcPr>
            <w:tcW w:w="4358" w:type="dxa"/>
            <w:vAlign w:val="center"/>
          </w:tcPr>
          <w:p>
            <w:pPr>
              <w:adjustRightInd w:val="0"/>
              <w:snapToGrid w:val="0"/>
              <w:rPr>
                <w:rFonts w:hint="eastAsia" w:ascii="宋体" w:hAnsi="宋体" w:cs="宋体"/>
                <w:color w:val="auto"/>
                <w:sz w:val="21"/>
                <w:szCs w:val="21"/>
              </w:rPr>
            </w:pPr>
            <w:r>
              <w:rPr>
                <w:rFonts w:hint="eastAsia" w:ascii="宋体" w:hAnsi="宋体" w:cs="宋体"/>
                <w:color w:val="auto"/>
                <w:sz w:val="21"/>
                <w:szCs w:val="21"/>
              </w:rPr>
              <w:t>/</w:t>
            </w:r>
          </w:p>
        </w:tc>
        <w:tc>
          <w:tcPr>
            <w:tcW w:w="2009" w:type="dxa"/>
            <w:vAlign w:val="center"/>
          </w:tcPr>
          <w:p>
            <w:pPr>
              <w:adjustRightInd w:val="0"/>
              <w:snapToGrid w:val="0"/>
              <w:jc w:val="center"/>
              <w:rPr>
                <w:rFonts w:ascii="宋体" w:hAnsi="宋体" w:cs="宋体"/>
                <w:color w:val="auto"/>
                <w:sz w:val="21"/>
                <w:szCs w:val="21"/>
              </w:rPr>
            </w:pPr>
            <w:r>
              <w:rPr>
                <w:rFonts w:hint="eastAsia" w:ascii="宋体" w:hAnsi="宋体" w:cs="宋体"/>
                <w:color w:val="auto"/>
                <w:sz w:val="21"/>
                <w:szCs w:val="21"/>
              </w:rPr>
              <w:t>/</w:t>
            </w:r>
          </w:p>
        </w:tc>
        <w:tc>
          <w:tcPr>
            <w:tcW w:w="3266" w:type="dxa"/>
            <w:vAlign w:val="center"/>
          </w:tcPr>
          <w:p>
            <w:pPr>
              <w:adjustRightInd w:val="0"/>
              <w:snapToGrid w:val="0"/>
              <w:jc w:val="center"/>
              <w:rPr>
                <w:rFonts w:ascii="宋体" w:hAnsi="宋体" w:cs="宋体"/>
                <w:color w:val="auto"/>
                <w:sz w:val="21"/>
                <w:szCs w:val="21"/>
              </w:rPr>
            </w:pPr>
            <w:r>
              <w:rPr>
                <w:rFonts w:hint="eastAsia" w:ascii="宋体" w:hAnsi="宋体" w:cs="宋体"/>
                <w:color w:val="auto"/>
                <w:sz w:val="21"/>
                <w:szCs w:val="21"/>
              </w:rPr>
              <w:t>/</w:t>
            </w:r>
          </w:p>
        </w:tc>
        <w:tc>
          <w:tcPr>
            <w:tcW w:w="2496" w:type="dxa"/>
            <w:vAlign w:val="center"/>
          </w:tcPr>
          <w:p>
            <w:pPr>
              <w:adjustRightInd w:val="0"/>
              <w:snapToGrid w:val="0"/>
              <w:jc w:val="center"/>
              <w:rPr>
                <w:rFonts w:ascii="宋体" w:hAnsi="宋体" w:cs="宋体"/>
                <w:color w:val="auto"/>
                <w:sz w:val="21"/>
                <w:szCs w:val="21"/>
              </w:rPr>
            </w:pPr>
            <w:r>
              <w:rPr>
                <w:rFonts w:hint="eastAsia" w:ascii="宋体" w:hAnsi="宋体" w:cs="宋体"/>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045" w:type="dxa"/>
            <w:vAlign w:val="center"/>
          </w:tcPr>
          <w:p>
            <w:pPr>
              <w:adjustRightInd w:val="0"/>
              <w:snapToGrid w:val="0"/>
              <w:jc w:val="center"/>
              <w:rPr>
                <w:rFonts w:ascii="宋体" w:hAnsi="宋体" w:cs="宋体"/>
                <w:color w:val="auto"/>
                <w:sz w:val="21"/>
                <w:szCs w:val="21"/>
              </w:rPr>
            </w:pPr>
            <w:r>
              <w:rPr>
                <w:rFonts w:hint="eastAsia" w:ascii="宋体" w:hAnsi="宋体" w:cs="宋体"/>
                <w:color w:val="auto"/>
                <w:sz w:val="21"/>
                <w:szCs w:val="21"/>
              </w:rPr>
              <w:t>环境风险</w:t>
            </w:r>
          </w:p>
        </w:tc>
        <w:tc>
          <w:tcPr>
            <w:tcW w:w="4358" w:type="dxa"/>
            <w:vAlign w:val="center"/>
          </w:tcPr>
          <w:p>
            <w:pPr>
              <w:adjustRightInd w:val="0"/>
              <w:snapToGrid w:val="0"/>
              <w:jc w:val="center"/>
              <w:rPr>
                <w:rFonts w:ascii="宋体" w:hAnsi="宋体" w:cs="宋体"/>
                <w:color w:val="auto"/>
                <w:sz w:val="21"/>
                <w:szCs w:val="21"/>
              </w:rPr>
            </w:pPr>
            <w:r>
              <w:rPr>
                <w:rFonts w:hint="eastAsia" w:ascii="宋体" w:hAnsi="宋体" w:cs="宋体"/>
                <w:color w:val="auto"/>
                <w:sz w:val="21"/>
                <w:szCs w:val="21"/>
              </w:rPr>
              <w:t>/</w:t>
            </w:r>
          </w:p>
        </w:tc>
        <w:tc>
          <w:tcPr>
            <w:tcW w:w="2009" w:type="dxa"/>
            <w:vAlign w:val="center"/>
          </w:tcPr>
          <w:p>
            <w:pPr>
              <w:adjustRightInd w:val="0"/>
              <w:snapToGrid w:val="0"/>
              <w:jc w:val="center"/>
              <w:rPr>
                <w:rFonts w:ascii="宋体" w:hAnsi="宋体" w:cs="宋体"/>
                <w:color w:val="auto"/>
                <w:sz w:val="21"/>
                <w:szCs w:val="21"/>
              </w:rPr>
            </w:pPr>
            <w:r>
              <w:rPr>
                <w:rFonts w:hint="eastAsia" w:ascii="宋体" w:hAnsi="宋体" w:cs="宋体"/>
                <w:color w:val="auto"/>
                <w:sz w:val="21"/>
                <w:szCs w:val="21"/>
              </w:rPr>
              <w:t>/</w:t>
            </w:r>
          </w:p>
        </w:tc>
        <w:tc>
          <w:tcPr>
            <w:tcW w:w="3266" w:type="dxa"/>
            <w:vAlign w:val="center"/>
          </w:tcPr>
          <w:p>
            <w:pPr>
              <w:adjustRightInd w:val="0"/>
              <w:snapToGrid w:val="0"/>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设置专职环保安全员具体负责环境安全工作；根据所采购的设备的技术条件，制定各种符合实际的操作规程，并保证严格、熟练按照操作规程操作；定期对员工进行训练；次氯酸钠单独运输，并在运输车辆配备了相应品种和数量的消防器材。运输车辆装卸前后都进行了彻底清扫、洗净；</w:t>
            </w:r>
          </w:p>
          <w:p>
            <w:pPr>
              <w:adjustRightInd w:val="0"/>
              <w:snapToGrid w:val="0"/>
              <w:rPr>
                <w:rFonts w:ascii="宋体" w:hAnsi="宋体" w:cs="宋体"/>
                <w:color w:val="auto"/>
                <w:sz w:val="21"/>
                <w:szCs w:val="21"/>
              </w:rPr>
            </w:pPr>
            <w:r>
              <w:rPr>
                <w:rFonts w:hint="eastAsia" w:ascii="宋体" w:hAnsi="宋体" w:cs="宋体"/>
                <w:color w:val="auto"/>
                <w:sz w:val="21"/>
                <w:szCs w:val="21"/>
                <w:lang w:val="en-US" w:eastAsia="zh-CN"/>
              </w:rPr>
              <w:t>库房进行了防渗处理，并设置了消防沙、灭火器。</w:t>
            </w:r>
          </w:p>
        </w:tc>
        <w:tc>
          <w:tcPr>
            <w:tcW w:w="2496" w:type="dxa"/>
            <w:vAlign w:val="center"/>
          </w:tcPr>
          <w:p>
            <w:pPr>
              <w:adjustRightInd w:val="0"/>
              <w:snapToGrid w:val="0"/>
              <w:rPr>
                <w:rFonts w:ascii="宋体" w:hAnsi="宋体" w:cs="宋体"/>
                <w:color w:val="auto"/>
                <w:sz w:val="21"/>
                <w:szCs w:val="21"/>
              </w:rPr>
            </w:pPr>
            <w:r>
              <w:rPr>
                <w:rFonts w:hint="eastAsia" w:ascii="宋体" w:hAnsi="宋体" w:cs="宋体"/>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2045" w:type="dxa"/>
            <w:vAlign w:val="center"/>
          </w:tcPr>
          <w:p>
            <w:pPr>
              <w:adjustRightInd w:val="0"/>
              <w:snapToGrid w:val="0"/>
              <w:jc w:val="center"/>
              <w:rPr>
                <w:rFonts w:ascii="宋体" w:hAnsi="宋体" w:cs="宋体"/>
                <w:color w:val="auto"/>
                <w:sz w:val="21"/>
                <w:szCs w:val="21"/>
              </w:rPr>
            </w:pPr>
            <w:r>
              <w:rPr>
                <w:rFonts w:hint="eastAsia" w:ascii="宋体" w:hAnsi="宋体" w:cs="宋体"/>
                <w:color w:val="auto"/>
                <w:sz w:val="21"/>
                <w:szCs w:val="21"/>
              </w:rPr>
              <w:t>环境监测</w:t>
            </w:r>
          </w:p>
        </w:tc>
        <w:tc>
          <w:tcPr>
            <w:tcW w:w="4358" w:type="dxa"/>
            <w:vAlign w:val="center"/>
          </w:tcPr>
          <w:p>
            <w:pPr>
              <w:adjustRightInd w:val="0"/>
              <w:snapToGrid w:val="0"/>
              <w:jc w:val="center"/>
              <w:rPr>
                <w:rFonts w:ascii="宋体" w:hAnsi="宋体" w:cs="宋体"/>
                <w:color w:val="auto"/>
                <w:sz w:val="21"/>
                <w:szCs w:val="21"/>
              </w:rPr>
            </w:pPr>
            <w:r>
              <w:rPr>
                <w:rFonts w:hint="eastAsia" w:ascii="宋体" w:hAnsi="宋体" w:cs="宋体"/>
                <w:color w:val="auto"/>
                <w:sz w:val="21"/>
                <w:szCs w:val="21"/>
              </w:rPr>
              <w:t>/</w:t>
            </w:r>
          </w:p>
        </w:tc>
        <w:tc>
          <w:tcPr>
            <w:tcW w:w="2009" w:type="dxa"/>
            <w:vAlign w:val="center"/>
          </w:tcPr>
          <w:p>
            <w:pPr>
              <w:adjustRightInd w:val="0"/>
              <w:snapToGrid w:val="0"/>
              <w:jc w:val="center"/>
              <w:rPr>
                <w:rFonts w:ascii="宋体" w:hAnsi="宋体" w:cs="宋体"/>
                <w:color w:val="auto"/>
                <w:sz w:val="21"/>
                <w:szCs w:val="21"/>
              </w:rPr>
            </w:pPr>
            <w:r>
              <w:rPr>
                <w:rFonts w:hint="eastAsia" w:ascii="宋体" w:hAnsi="宋体" w:cs="宋体"/>
                <w:color w:val="auto"/>
                <w:sz w:val="21"/>
                <w:szCs w:val="21"/>
              </w:rPr>
              <w:t>/</w:t>
            </w:r>
          </w:p>
        </w:tc>
        <w:tc>
          <w:tcPr>
            <w:tcW w:w="3266" w:type="dxa"/>
            <w:vAlign w:val="center"/>
          </w:tcPr>
          <w:p>
            <w:pPr>
              <w:adjustRightInd w:val="0"/>
              <w:snapToGrid w:val="0"/>
              <w:jc w:val="center"/>
              <w:rPr>
                <w:rFonts w:ascii="宋体" w:hAnsi="宋体" w:cs="宋体"/>
                <w:color w:val="auto"/>
                <w:sz w:val="21"/>
                <w:szCs w:val="21"/>
              </w:rPr>
            </w:pPr>
            <w:r>
              <w:rPr>
                <w:rFonts w:hint="eastAsia" w:ascii="宋体" w:hAnsi="宋体" w:cs="宋体"/>
                <w:color w:val="auto"/>
                <w:sz w:val="21"/>
                <w:szCs w:val="21"/>
              </w:rPr>
              <w:t>见表</w:t>
            </w:r>
            <w:r>
              <w:rPr>
                <w:rFonts w:hint="eastAsia" w:ascii="宋体" w:hAnsi="宋体" w:cs="宋体"/>
                <w:color w:val="auto"/>
                <w:sz w:val="21"/>
                <w:szCs w:val="21"/>
                <w:lang w:val="en-US" w:eastAsia="zh-CN"/>
              </w:rPr>
              <w:t>29、表32、表35</w:t>
            </w:r>
          </w:p>
        </w:tc>
        <w:tc>
          <w:tcPr>
            <w:tcW w:w="2496" w:type="dxa"/>
            <w:vAlign w:val="center"/>
          </w:tcPr>
          <w:p>
            <w:pPr>
              <w:adjustRightInd w:val="0"/>
              <w:snapToGrid w:val="0"/>
              <w:rPr>
                <w:rFonts w:ascii="宋体" w:hAnsi="宋体" w:cs="宋体"/>
                <w:color w:val="auto"/>
                <w:sz w:val="21"/>
                <w:szCs w:val="21"/>
              </w:rPr>
            </w:pPr>
            <w:r>
              <w:rPr>
                <w:rFonts w:hint="eastAsia" w:ascii="宋体" w:hAnsi="宋体" w:cs="宋体"/>
                <w:color w:val="auto"/>
                <w:sz w:val="21"/>
                <w:szCs w:val="21"/>
              </w:rPr>
              <w:t>按要求进行例行监测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045" w:type="dxa"/>
            <w:vAlign w:val="center"/>
          </w:tcPr>
          <w:p>
            <w:pPr>
              <w:adjustRightInd w:val="0"/>
              <w:snapToGrid w:val="0"/>
              <w:jc w:val="center"/>
              <w:rPr>
                <w:rFonts w:ascii="宋体" w:hAnsi="宋体" w:cs="宋体"/>
                <w:color w:val="auto"/>
                <w:sz w:val="21"/>
                <w:szCs w:val="21"/>
              </w:rPr>
            </w:pPr>
            <w:r>
              <w:rPr>
                <w:rFonts w:hint="eastAsia" w:ascii="宋体" w:hAnsi="宋体" w:cs="宋体"/>
                <w:color w:val="auto"/>
                <w:sz w:val="21"/>
                <w:szCs w:val="21"/>
              </w:rPr>
              <w:t>其他</w:t>
            </w:r>
          </w:p>
        </w:tc>
        <w:tc>
          <w:tcPr>
            <w:tcW w:w="4358" w:type="dxa"/>
            <w:vAlign w:val="center"/>
          </w:tcPr>
          <w:p>
            <w:pPr>
              <w:adjustRightInd w:val="0"/>
              <w:snapToGrid w:val="0"/>
              <w:jc w:val="center"/>
              <w:rPr>
                <w:rFonts w:ascii="宋体" w:hAnsi="宋体" w:cs="宋体"/>
                <w:color w:val="auto"/>
                <w:sz w:val="21"/>
                <w:szCs w:val="21"/>
              </w:rPr>
            </w:pPr>
            <w:r>
              <w:rPr>
                <w:rFonts w:hint="eastAsia" w:ascii="宋体" w:hAnsi="宋体" w:cs="宋体"/>
                <w:color w:val="auto"/>
                <w:sz w:val="21"/>
                <w:szCs w:val="21"/>
              </w:rPr>
              <w:t>/</w:t>
            </w:r>
          </w:p>
        </w:tc>
        <w:tc>
          <w:tcPr>
            <w:tcW w:w="2009" w:type="dxa"/>
            <w:vAlign w:val="center"/>
          </w:tcPr>
          <w:p>
            <w:pPr>
              <w:adjustRightInd w:val="0"/>
              <w:snapToGrid w:val="0"/>
              <w:jc w:val="center"/>
              <w:rPr>
                <w:rFonts w:ascii="宋体" w:hAnsi="宋体" w:cs="宋体"/>
                <w:color w:val="auto"/>
                <w:sz w:val="21"/>
                <w:szCs w:val="21"/>
              </w:rPr>
            </w:pPr>
            <w:r>
              <w:rPr>
                <w:rFonts w:hint="eastAsia" w:ascii="宋体" w:hAnsi="宋体" w:cs="宋体"/>
                <w:color w:val="auto"/>
                <w:sz w:val="21"/>
                <w:szCs w:val="21"/>
              </w:rPr>
              <w:t>/</w:t>
            </w:r>
          </w:p>
        </w:tc>
        <w:tc>
          <w:tcPr>
            <w:tcW w:w="3266" w:type="dxa"/>
            <w:vAlign w:val="center"/>
          </w:tcPr>
          <w:p>
            <w:pPr>
              <w:adjustRightInd w:val="0"/>
              <w:snapToGrid w:val="0"/>
              <w:jc w:val="center"/>
              <w:rPr>
                <w:rFonts w:ascii="宋体" w:hAnsi="宋体" w:cs="宋体"/>
                <w:color w:val="auto"/>
                <w:sz w:val="21"/>
                <w:szCs w:val="21"/>
              </w:rPr>
            </w:pPr>
            <w:r>
              <w:rPr>
                <w:rFonts w:hint="eastAsia" w:ascii="宋体" w:hAnsi="宋体" w:cs="宋体"/>
                <w:color w:val="auto"/>
                <w:sz w:val="21"/>
                <w:szCs w:val="21"/>
              </w:rPr>
              <w:t>/</w:t>
            </w:r>
          </w:p>
        </w:tc>
        <w:tc>
          <w:tcPr>
            <w:tcW w:w="2496" w:type="dxa"/>
            <w:vAlign w:val="center"/>
          </w:tcPr>
          <w:p>
            <w:pPr>
              <w:adjustRightInd w:val="0"/>
              <w:snapToGrid w:val="0"/>
              <w:jc w:val="center"/>
              <w:rPr>
                <w:rFonts w:ascii="宋体" w:hAnsi="宋体" w:cs="宋体"/>
                <w:color w:val="auto"/>
                <w:sz w:val="21"/>
                <w:szCs w:val="21"/>
              </w:rPr>
            </w:pPr>
            <w:r>
              <w:rPr>
                <w:rFonts w:hint="eastAsia" w:ascii="宋体" w:hAnsi="宋体" w:cs="宋体"/>
                <w:color w:val="auto"/>
                <w:sz w:val="21"/>
                <w:szCs w:val="21"/>
              </w:rPr>
              <w:t>/</w:t>
            </w:r>
          </w:p>
        </w:tc>
      </w:tr>
    </w:tbl>
    <w:p>
      <w:pPr>
        <w:pStyle w:val="14"/>
        <w:ind w:left="5250"/>
        <w:rPr>
          <w:snapToGrid w:val="0"/>
          <w:color w:val="auto"/>
        </w:rPr>
        <w:sectPr>
          <w:pgSz w:w="16838" w:h="11906" w:orient="landscape"/>
          <w:pgMar w:top="1800" w:right="1440" w:bottom="1800" w:left="1440" w:header="851" w:footer="1077" w:gutter="0"/>
          <w:pgBorders>
            <w:top w:val="none" w:sz="0" w:space="0"/>
            <w:left w:val="none" w:sz="0" w:space="0"/>
            <w:bottom w:val="none" w:sz="0" w:space="0"/>
            <w:right w:val="none" w:sz="0" w:space="0"/>
          </w:pgBorders>
          <w:cols w:space="425" w:num="1"/>
          <w:docGrid w:linePitch="312" w:charSpace="0"/>
        </w:sectPr>
      </w:pPr>
    </w:p>
    <w:p>
      <w:pPr>
        <w:pStyle w:val="19"/>
        <w:spacing w:before="0" w:beforeAutospacing="0" w:line="14" w:lineRule="auto"/>
        <w:jc w:val="center"/>
        <w:outlineLvl w:val="0"/>
        <w:rPr>
          <w:rFonts w:ascii="黑体" w:hAnsi="黑体" w:eastAsia="黑体"/>
          <w:snapToGrid w:val="0"/>
          <w:color w:val="auto"/>
          <w:sz w:val="30"/>
          <w:szCs w:val="30"/>
        </w:rPr>
      </w:pPr>
    </w:p>
    <w:p>
      <w:pPr>
        <w:pStyle w:val="19"/>
        <w:spacing w:before="192" w:beforeLines="80" w:beforeAutospacing="0"/>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七、结论</w:t>
      </w:r>
    </w:p>
    <w:tbl>
      <w:tblPr>
        <w:tblStyle w:val="24"/>
        <w:tblW w:w="928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2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349" w:hRule="atLeast"/>
          <w:jc w:val="center"/>
        </w:trPr>
        <w:tc>
          <w:tcPr>
            <w:tcW w:w="9289" w:type="dxa"/>
            <w:vAlign w:val="center"/>
          </w:tcPr>
          <w:p>
            <w:pPr>
              <w:pStyle w:val="52"/>
              <w:numPr>
                <w:ilvl w:val="0"/>
                <w:numId w:val="0"/>
              </w:numPr>
              <w:spacing w:line="360" w:lineRule="auto"/>
              <w:ind w:left="420" w:leftChars="0" w:right="124" w:rightChars="0"/>
              <w:rPr>
                <w:rFonts w:hint="eastAsia"/>
                <w:b/>
                <w:bCs/>
                <w:color w:val="auto"/>
                <w:sz w:val="24"/>
                <w:lang w:val="sq-AL" w:eastAsia="zh-CN"/>
              </w:rPr>
            </w:pPr>
            <w:r>
              <w:rPr>
                <w:rFonts w:hint="eastAsia"/>
                <w:b/>
                <w:bCs/>
                <w:color w:val="auto"/>
                <w:sz w:val="24"/>
                <w:lang w:val="en-US" w:eastAsia="zh-CN"/>
              </w:rPr>
              <w:t>1、</w:t>
            </w:r>
            <w:r>
              <w:rPr>
                <w:rFonts w:hint="eastAsia"/>
                <w:b/>
                <w:bCs/>
                <w:color w:val="auto"/>
                <w:sz w:val="24"/>
                <w:lang w:val="sq-AL" w:eastAsia="zh-CN"/>
              </w:rPr>
              <w:t>项目概况</w:t>
            </w:r>
          </w:p>
          <w:p>
            <w:pPr>
              <w:pStyle w:val="10"/>
              <w:spacing w:after="0" w:line="360" w:lineRule="auto"/>
              <w:ind w:firstLine="480" w:firstLineChars="200"/>
              <w:contextualSpacing/>
              <w:rPr>
                <w:color w:val="auto"/>
                <w:sz w:val="24"/>
              </w:rPr>
            </w:pPr>
            <w:r>
              <w:rPr>
                <w:rFonts w:hint="eastAsia"/>
                <w:color w:val="auto"/>
                <w:sz w:val="24"/>
                <w:lang w:val="en-US" w:eastAsia="zh-CN"/>
              </w:rPr>
              <w:t>西安童世界旅游发展有限公司</w:t>
            </w:r>
            <w:r>
              <w:rPr>
                <w:rFonts w:hint="eastAsia"/>
                <w:color w:val="auto"/>
                <w:sz w:val="24"/>
              </w:rPr>
              <w:t>投资</w:t>
            </w:r>
            <w:r>
              <w:rPr>
                <w:rFonts w:hint="default" w:ascii="Times New Roman" w:hAnsi="Times New Roman" w:cs="Times New Roman"/>
                <w:color w:val="auto"/>
                <w:sz w:val="24"/>
                <w:lang w:val="en-US" w:eastAsia="zh-CN"/>
              </w:rPr>
              <w:t>490000</w:t>
            </w:r>
            <w:r>
              <w:rPr>
                <w:rFonts w:hint="eastAsia" w:cs="Times New Roman"/>
                <w:color w:val="auto"/>
                <w:sz w:val="24"/>
                <w:lang w:val="en-US" w:eastAsia="zh-CN"/>
              </w:rPr>
              <w:t>万元</w:t>
            </w:r>
            <w:r>
              <w:rPr>
                <w:rFonts w:hint="eastAsia"/>
                <w:color w:val="auto"/>
                <w:sz w:val="24"/>
              </w:rPr>
              <w:t>建设</w:t>
            </w:r>
            <w:r>
              <w:rPr>
                <w:rFonts w:hint="default" w:ascii="Times New Roman" w:hAnsi="Times New Roman" w:cs="Times New Roman"/>
                <w:color w:val="auto"/>
                <w:kern w:val="0"/>
                <w:sz w:val="24"/>
                <w:szCs w:val="24"/>
                <w:lang w:val="en-US" w:eastAsia="zh-CN"/>
              </w:rPr>
              <w:t>西安恒大童世界文化旅游项目</w:t>
            </w:r>
            <w:r>
              <w:rPr>
                <w:rFonts w:hint="eastAsia"/>
                <w:color w:val="auto"/>
                <w:sz w:val="24"/>
              </w:rPr>
              <w:t>，建设地点位于西咸新区</w:t>
            </w:r>
            <w:r>
              <w:rPr>
                <w:rFonts w:hint="eastAsia"/>
                <w:color w:val="auto"/>
                <w:sz w:val="24"/>
                <w:lang w:val="en-US" w:eastAsia="zh-CN"/>
              </w:rPr>
              <w:t>秦汉</w:t>
            </w:r>
            <w:r>
              <w:rPr>
                <w:rFonts w:hint="eastAsia"/>
                <w:color w:val="auto"/>
                <w:sz w:val="24"/>
              </w:rPr>
              <w:t>新城</w:t>
            </w:r>
            <w:r>
              <w:rPr>
                <w:rFonts w:hint="default"/>
                <w:color w:val="auto"/>
                <w:sz w:val="24"/>
                <w:lang w:val="en-US" w:eastAsia="zh-CN"/>
              </w:rPr>
              <w:t>沣泾大道以北，望夷路以南，</w:t>
            </w:r>
            <w:r>
              <w:rPr>
                <w:rFonts w:hint="eastAsia"/>
                <w:color w:val="auto"/>
                <w:sz w:val="24"/>
                <w:lang w:val="en-US" w:eastAsia="zh-CN"/>
              </w:rPr>
              <w:t>汉风路</w:t>
            </w:r>
            <w:r>
              <w:rPr>
                <w:rFonts w:hint="default"/>
                <w:color w:val="auto"/>
                <w:sz w:val="24"/>
                <w:lang w:val="en-US" w:eastAsia="zh-CN"/>
              </w:rPr>
              <w:t>以西，规划的汉风三路以东</w:t>
            </w:r>
            <w:r>
              <w:rPr>
                <w:rFonts w:hint="eastAsia"/>
                <w:color w:val="auto"/>
                <w:sz w:val="24"/>
              </w:rPr>
              <w:t>。</w:t>
            </w:r>
            <w:r>
              <w:rPr>
                <w:rFonts w:hint="eastAsia"/>
                <w:color w:val="auto"/>
                <w:sz w:val="24"/>
                <w:lang w:val="en-US" w:eastAsia="zh-CN"/>
              </w:rPr>
              <w:t>建设内容包括主城堡、六个主题区、儿童屋及配套设施，总占地面积809104.7m</w:t>
            </w:r>
            <w:r>
              <w:rPr>
                <w:rFonts w:hint="eastAsia"/>
                <w:color w:val="auto"/>
                <w:sz w:val="24"/>
                <w:vertAlign w:val="superscript"/>
                <w:lang w:val="en-US" w:eastAsia="zh-CN"/>
              </w:rPr>
              <w:t>2</w:t>
            </w:r>
            <w:r>
              <w:rPr>
                <w:rFonts w:hint="eastAsia"/>
                <w:color w:val="auto"/>
                <w:sz w:val="24"/>
                <w:lang w:val="en-US" w:eastAsia="zh-CN"/>
              </w:rPr>
              <w:t>，六个主题区分别为璀璨中华区、神秘古国区、漫游海洋区、穿越太空区、探险南美区、魔幻西欧区。</w:t>
            </w:r>
            <w:r>
              <w:rPr>
                <w:rFonts w:hint="eastAsia"/>
                <w:color w:val="auto"/>
                <w:sz w:val="24"/>
                <w:lang w:val="en-US" w:eastAsia="zh-CN"/>
              </w:rPr>
              <w:t>项目目前尚未开工建设</w:t>
            </w:r>
            <w:r>
              <w:rPr>
                <w:rFonts w:hint="eastAsia"/>
                <w:color w:val="auto"/>
                <w:sz w:val="24"/>
              </w:rPr>
              <w:t>，</w:t>
            </w:r>
            <w:r>
              <w:rPr>
                <w:rFonts w:hint="eastAsia"/>
                <w:color w:val="auto"/>
                <w:sz w:val="24"/>
              </w:rPr>
              <w:t>计划游客量为</w:t>
            </w:r>
            <w:r>
              <w:rPr>
                <w:rFonts w:hint="eastAsia"/>
                <w:color w:val="auto"/>
                <w:sz w:val="24"/>
                <w:lang w:val="en-US" w:eastAsia="zh-CN"/>
              </w:rPr>
              <w:t>6</w:t>
            </w:r>
            <w:r>
              <w:rPr>
                <w:color w:val="auto"/>
                <w:sz w:val="24"/>
              </w:rPr>
              <w:t>00万人/年</w:t>
            </w:r>
            <w:r>
              <w:rPr>
                <w:rFonts w:hint="eastAsia"/>
                <w:color w:val="auto"/>
                <w:sz w:val="24"/>
                <w:lang w:eastAsia="zh-CN"/>
              </w:rPr>
              <w:t>。</w:t>
            </w:r>
          </w:p>
          <w:p>
            <w:pPr>
              <w:pStyle w:val="52"/>
              <w:numPr>
                <w:ilvl w:val="0"/>
                <w:numId w:val="0"/>
              </w:numPr>
              <w:spacing w:line="360" w:lineRule="auto"/>
              <w:ind w:left="420" w:leftChars="0" w:right="124" w:rightChars="0"/>
              <w:rPr>
                <w:b/>
                <w:bCs/>
                <w:color w:val="auto"/>
                <w:sz w:val="24"/>
                <w:lang w:val="sq-AL"/>
              </w:rPr>
            </w:pPr>
            <w:r>
              <w:rPr>
                <w:rFonts w:hint="eastAsia"/>
                <w:b/>
                <w:bCs/>
                <w:color w:val="auto"/>
                <w:sz w:val="24"/>
                <w:lang w:val="en-US" w:eastAsia="zh-CN"/>
              </w:rPr>
              <w:t>2、</w:t>
            </w:r>
            <w:r>
              <w:rPr>
                <w:rFonts w:hint="eastAsia"/>
                <w:b/>
                <w:bCs/>
                <w:color w:val="auto"/>
                <w:sz w:val="24"/>
                <w:lang w:val="sq-AL"/>
              </w:rPr>
              <w:t>环境质量现状</w:t>
            </w:r>
          </w:p>
          <w:p>
            <w:pPr>
              <w:pStyle w:val="10"/>
              <w:spacing w:after="0" w:line="360" w:lineRule="auto"/>
              <w:ind w:firstLine="480" w:firstLineChars="200"/>
              <w:contextualSpacing/>
              <w:rPr>
                <w:rFonts w:hint="eastAsia"/>
                <w:color w:val="auto"/>
                <w:sz w:val="24"/>
                <w:lang w:val="en-US" w:eastAsia="zh-CN"/>
              </w:rPr>
            </w:pPr>
            <w:r>
              <w:rPr>
                <w:rFonts w:hint="eastAsia"/>
                <w:color w:val="auto"/>
                <w:sz w:val="24"/>
                <w:lang w:val="en-US" w:eastAsia="zh-CN"/>
              </w:rPr>
              <w:t>（1）环境空气质量现状</w:t>
            </w:r>
          </w:p>
          <w:p>
            <w:pPr>
              <w:pStyle w:val="10"/>
              <w:spacing w:after="0" w:line="360" w:lineRule="auto"/>
              <w:ind w:firstLine="480" w:firstLineChars="200"/>
              <w:contextualSpacing/>
              <w:rPr>
                <w:rFonts w:hint="eastAsia"/>
                <w:color w:val="auto"/>
                <w:sz w:val="24"/>
                <w:lang w:val="en-US" w:eastAsia="zh-CN"/>
              </w:rPr>
            </w:pPr>
            <w:r>
              <w:rPr>
                <w:rFonts w:hint="eastAsia"/>
                <w:color w:val="auto"/>
                <w:sz w:val="24"/>
                <w:lang w:val="en-US" w:eastAsia="zh-CN"/>
              </w:rPr>
              <w:t>本项目基本污染物环境质量现状数据引用陕西省生态环境厅于2021年1月26日发布的《陕西省2020年环保快报》中数据。</w:t>
            </w:r>
          </w:p>
          <w:p>
            <w:pPr>
              <w:pStyle w:val="10"/>
              <w:spacing w:after="0" w:line="360" w:lineRule="auto"/>
              <w:ind w:firstLine="480" w:firstLineChars="200"/>
              <w:contextualSpacing/>
              <w:rPr>
                <w:rFonts w:hint="eastAsia"/>
                <w:color w:val="auto"/>
                <w:sz w:val="24"/>
                <w:lang w:val="en-US" w:eastAsia="zh-CN"/>
              </w:rPr>
            </w:pPr>
            <w:r>
              <w:rPr>
                <w:rFonts w:hint="eastAsia"/>
                <w:color w:val="auto"/>
                <w:sz w:val="24"/>
                <w:lang w:val="en-US" w:eastAsia="zh-CN"/>
              </w:rPr>
              <w:t>根据监测数据可知，秦汉新城2020年的环境空气中SO</w:t>
            </w:r>
            <w:r>
              <w:rPr>
                <w:rFonts w:hint="eastAsia"/>
                <w:color w:val="auto"/>
                <w:sz w:val="24"/>
                <w:vertAlign w:val="subscript"/>
                <w:lang w:val="en-US" w:eastAsia="zh-CN"/>
              </w:rPr>
              <w:t>2</w:t>
            </w:r>
            <w:r>
              <w:rPr>
                <w:rFonts w:hint="eastAsia"/>
                <w:color w:val="auto"/>
                <w:sz w:val="24"/>
                <w:lang w:val="en-US" w:eastAsia="zh-CN"/>
              </w:rPr>
              <w:t>、NO</w:t>
            </w:r>
            <w:r>
              <w:rPr>
                <w:rFonts w:hint="eastAsia"/>
                <w:color w:val="auto"/>
                <w:sz w:val="24"/>
                <w:vertAlign w:val="subscript"/>
                <w:lang w:val="en-US" w:eastAsia="zh-CN"/>
              </w:rPr>
              <w:t>2</w:t>
            </w:r>
            <w:r>
              <w:rPr>
                <w:rFonts w:hint="eastAsia"/>
                <w:color w:val="auto"/>
                <w:sz w:val="24"/>
                <w:lang w:val="en-US" w:eastAsia="zh-CN"/>
              </w:rPr>
              <w:t>年平均浓度值、CO第95位百分位日平均浓度和O</w:t>
            </w:r>
            <w:r>
              <w:rPr>
                <w:rFonts w:hint="eastAsia"/>
                <w:color w:val="auto"/>
                <w:sz w:val="24"/>
                <w:vertAlign w:val="subscript"/>
                <w:lang w:val="en-US" w:eastAsia="zh-CN"/>
              </w:rPr>
              <w:t>3</w:t>
            </w:r>
            <w:r>
              <w:rPr>
                <w:rFonts w:hint="eastAsia"/>
                <w:color w:val="auto"/>
                <w:sz w:val="24"/>
                <w:lang w:val="en-US" w:eastAsia="zh-CN"/>
              </w:rPr>
              <w:t>第90位百分位8小时平均浓度值满足《环境空气质量标准》（GB3095-2012）中的二级标准要求；PM</w:t>
            </w:r>
            <w:r>
              <w:rPr>
                <w:rFonts w:hint="eastAsia"/>
                <w:color w:val="auto"/>
                <w:sz w:val="24"/>
                <w:vertAlign w:val="subscript"/>
                <w:lang w:val="en-US" w:eastAsia="zh-CN"/>
              </w:rPr>
              <w:t>10</w:t>
            </w:r>
            <w:r>
              <w:rPr>
                <w:rFonts w:hint="eastAsia"/>
                <w:color w:val="auto"/>
                <w:sz w:val="24"/>
                <w:lang w:val="en-US" w:eastAsia="zh-CN"/>
              </w:rPr>
              <w:t>、PM</w:t>
            </w:r>
            <w:r>
              <w:rPr>
                <w:rFonts w:hint="eastAsia"/>
                <w:color w:val="auto"/>
                <w:sz w:val="24"/>
                <w:vertAlign w:val="subscript"/>
                <w:lang w:val="en-US" w:eastAsia="zh-CN"/>
              </w:rPr>
              <w:t>2.5</w:t>
            </w:r>
            <w:r>
              <w:rPr>
                <w:rFonts w:hint="eastAsia"/>
                <w:color w:val="auto"/>
                <w:sz w:val="24"/>
                <w:lang w:val="en-US" w:eastAsia="zh-CN"/>
              </w:rPr>
              <w:t>年平均浓度值均不满足《环境空气质量标准》（GB3095-2012）中的二级标准要求。根据《环境影响评价技术导则 大气环境》（HJ2.2-2018），本项目所在区域属于不达标区域。</w:t>
            </w:r>
          </w:p>
          <w:p>
            <w:pPr>
              <w:autoSpaceDE w:val="0"/>
              <w:autoSpaceDN w:val="0"/>
              <w:adjustRightInd w:val="0"/>
              <w:snapToGrid w:val="0"/>
              <w:spacing w:line="360" w:lineRule="auto"/>
              <w:ind w:firstLine="480" w:firstLineChars="200"/>
              <w:rPr>
                <w:rFonts w:hAnsi="宋体"/>
                <w:color w:val="auto"/>
                <w:sz w:val="24"/>
              </w:rPr>
            </w:pPr>
            <w:r>
              <w:rPr>
                <w:rFonts w:hint="eastAsia"/>
                <w:bCs/>
                <w:color w:val="auto"/>
                <w:kern w:val="0"/>
                <w:sz w:val="24"/>
                <w:lang w:bidi="en-US"/>
              </w:rPr>
              <w:t>（2）</w:t>
            </w:r>
            <w:r>
              <w:rPr>
                <w:rFonts w:hint="eastAsia" w:hAnsi="宋体"/>
                <w:color w:val="auto"/>
                <w:sz w:val="24"/>
              </w:rPr>
              <w:t>地表水质量现状</w:t>
            </w:r>
          </w:p>
          <w:p>
            <w:pPr>
              <w:adjustRightInd w:val="0"/>
              <w:snapToGrid w:val="0"/>
              <w:spacing w:line="360" w:lineRule="auto"/>
              <w:ind w:firstLine="480" w:firstLineChars="200"/>
              <w:rPr>
                <w:rFonts w:hint="eastAsia" w:ascii="Times New Roman" w:hAnsi="Times New Roman" w:cs="Times New Roman"/>
                <w:color w:val="auto"/>
                <w:sz w:val="24"/>
                <w:szCs w:val="24"/>
              </w:rPr>
            </w:pPr>
            <w:bookmarkStart w:id="9" w:name="_Hlk522647956"/>
            <w:r>
              <w:rPr>
                <w:rFonts w:hint="eastAsia"/>
                <w:color w:val="auto"/>
                <w:sz w:val="24"/>
                <w:szCs w:val="24"/>
                <w:lang w:val="en-US" w:eastAsia="zh-CN"/>
              </w:rPr>
              <w:t>根据西咸新区生态环境局2021年1月29日发布的《西咸新区2020年12月水环境质量状况》，对地表水环境现状进行评价。</w:t>
            </w:r>
            <w:r>
              <w:rPr>
                <w:rFonts w:hint="eastAsia" w:ascii="Times New Roman" w:hAnsi="Times New Roman" w:cs="Times New Roman"/>
                <w:color w:val="auto"/>
                <w:sz w:val="24"/>
                <w:szCs w:val="24"/>
              </w:rPr>
              <w:t>监测结果显示，</w:t>
            </w:r>
            <w:r>
              <w:rPr>
                <w:rFonts w:hint="eastAsia" w:cs="Times New Roman"/>
                <w:color w:val="auto"/>
                <w:sz w:val="24"/>
                <w:szCs w:val="24"/>
                <w:lang w:val="en-US" w:eastAsia="zh-CN"/>
              </w:rPr>
              <w:t>该</w:t>
            </w:r>
            <w:r>
              <w:rPr>
                <w:rFonts w:hint="eastAsia" w:ascii="Times New Roman" w:hAnsi="Times New Roman" w:cs="Times New Roman"/>
                <w:color w:val="auto"/>
                <w:sz w:val="24"/>
                <w:szCs w:val="24"/>
              </w:rPr>
              <w:t>监测断面水质综合评价均达到《地表水环境质量标准》（GB 3838-2002）</w:t>
            </w:r>
            <w:r>
              <w:rPr>
                <w:rFonts w:hint="eastAsia" w:ascii="宋体" w:hAnsi="宋体" w:eastAsia="宋体" w:cs="宋体"/>
                <w:color w:val="auto"/>
                <w:sz w:val="24"/>
                <w:szCs w:val="24"/>
              </w:rPr>
              <w:t>Ⅱ</w:t>
            </w:r>
            <w:r>
              <w:rPr>
                <w:rFonts w:hint="eastAsia" w:ascii="Times New Roman" w:hAnsi="Times New Roman" w:cs="Times New Roman"/>
                <w:color w:val="auto"/>
                <w:sz w:val="24"/>
                <w:szCs w:val="24"/>
              </w:rPr>
              <w:t>类标准，</w:t>
            </w:r>
            <w:r>
              <w:rPr>
                <w:rFonts w:hint="eastAsia" w:cs="Times New Roman"/>
                <w:color w:val="auto"/>
                <w:sz w:val="24"/>
                <w:szCs w:val="24"/>
                <w:lang w:val="en-US" w:eastAsia="zh-CN"/>
              </w:rPr>
              <w:t>由于省考断面，</w:t>
            </w:r>
            <w:r>
              <w:rPr>
                <w:rFonts w:hint="eastAsia" w:ascii="Times New Roman" w:hAnsi="Times New Roman" w:cs="Times New Roman"/>
                <w:color w:val="auto"/>
                <w:sz w:val="24"/>
                <w:szCs w:val="24"/>
              </w:rPr>
              <w:t>与2019年相比水质状况明显提升。</w:t>
            </w:r>
          </w:p>
          <w:p>
            <w:pPr>
              <w:numPr>
                <w:ilvl w:val="0"/>
                <w:numId w:val="5"/>
              </w:numPr>
              <w:adjustRightInd w:val="0"/>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声环境质量现状</w:t>
            </w:r>
          </w:p>
          <w:p>
            <w:pPr>
              <w:spacing w:line="360" w:lineRule="auto"/>
              <w:ind w:firstLine="480" w:firstLineChars="200"/>
              <w:rPr>
                <w:rFonts w:hint="eastAsia" w:ascii="Times New Roman" w:hAnsi="Times New Roman" w:eastAsia="宋体" w:cs="Times New Roman"/>
                <w:color w:val="auto"/>
                <w:sz w:val="24"/>
                <w:szCs w:val="20"/>
              </w:rPr>
            </w:pPr>
            <w:r>
              <w:rPr>
                <w:rFonts w:hint="eastAsia" w:ascii="Times New Roman" w:hAnsi="Times New Roman" w:cs="Times New Roman"/>
                <w:color w:val="auto"/>
                <w:sz w:val="24"/>
                <w:szCs w:val="24"/>
              </w:rPr>
              <w:t>本次委托</w:t>
            </w:r>
            <w:r>
              <w:rPr>
                <w:rFonts w:hint="eastAsia" w:ascii="Times New Roman" w:hAnsi="Times New Roman" w:cs="Times New Roman"/>
                <w:color w:val="auto"/>
                <w:sz w:val="24"/>
                <w:szCs w:val="24"/>
                <w:lang w:val="en-US" w:eastAsia="zh-CN"/>
              </w:rPr>
              <w:t>核工业二〇三研究所</w:t>
            </w:r>
            <w:r>
              <w:rPr>
                <w:rFonts w:hint="eastAsia" w:ascii="Times New Roman" w:hAnsi="Times New Roman" w:cs="Times New Roman"/>
                <w:color w:val="auto"/>
                <w:sz w:val="24"/>
                <w:szCs w:val="24"/>
              </w:rPr>
              <w:t>对项目地</w:t>
            </w:r>
            <w:r>
              <w:rPr>
                <w:rFonts w:hint="eastAsia" w:ascii="Times New Roman" w:hAnsi="Times New Roman" w:cs="Times New Roman"/>
                <w:color w:val="auto"/>
                <w:sz w:val="24"/>
                <w:szCs w:val="24"/>
                <w:lang w:val="en-US" w:eastAsia="zh-CN"/>
              </w:rPr>
              <w:t>周围50m</w:t>
            </w:r>
            <w:r>
              <w:rPr>
                <w:rFonts w:hint="eastAsia" w:ascii="Times New Roman" w:hAnsi="Times New Roman" w:cs="Times New Roman"/>
                <w:color w:val="auto"/>
                <w:sz w:val="24"/>
                <w:szCs w:val="24"/>
              </w:rPr>
              <w:t>的</w:t>
            </w:r>
            <w:r>
              <w:rPr>
                <w:rFonts w:hint="eastAsia" w:ascii="Times New Roman" w:hAnsi="Times New Roman" w:cs="Times New Roman"/>
                <w:color w:val="auto"/>
                <w:sz w:val="24"/>
                <w:szCs w:val="24"/>
                <w:lang w:val="en-US" w:eastAsia="zh-CN"/>
              </w:rPr>
              <w:t>敏感点的</w:t>
            </w:r>
            <w:r>
              <w:rPr>
                <w:rFonts w:hint="eastAsia" w:ascii="Times New Roman" w:hAnsi="Times New Roman" w:cs="Times New Roman"/>
                <w:color w:val="auto"/>
                <w:sz w:val="24"/>
                <w:szCs w:val="24"/>
              </w:rPr>
              <w:t>声环境现状进行监测，</w:t>
            </w:r>
            <w:r>
              <w:rPr>
                <w:rFonts w:hint="eastAsia" w:cs="Times New Roman"/>
                <w:color w:val="auto"/>
                <w:sz w:val="24"/>
                <w:szCs w:val="24"/>
                <w:lang w:val="en-US" w:eastAsia="zh-CN"/>
              </w:rPr>
              <w:t>由监测数据可知，</w:t>
            </w:r>
            <w:r>
              <w:rPr>
                <w:rFonts w:hint="eastAsia" w:ascii="Times New Roman" w:hAnsi="Times New Roman" w:eastAsia="宋体" w:cs="Times New Roman"/>
                <w:color w:val="auto"/>
                <w:sz w:val="24"/>
                <w:szCs w:val="20"/>
              </w:rPr>
              <w:t>项目</w:t>
            </w:r>
            <w:r>
              <w:rPr>
                <w:rFonts w:hint="eastAsia" w:cs="Times New Roman"/>
                <w:color w:val="auto"/>
                <w:sz w:val="24"/>
                <w:szCs w:val="20"/>
                <w:lang w:val="en-US" w:eastAsia="zh-CN"/>
              </w:rPr>
              <w:t>附近敏感点噪声</w:t>
            </w:r>
            <w:r>
              <w:rPr>
                <w:rFonts w:hint="eastAsia" w:ascii="Times New Roman" w:hAnsi="Times New Roman" w:eastAsia="宋体" w:cs="Times New Roman"/>
                <w:color w:val="auto"/>
                <w:sz w:val="24"/>
                <w:szCs w:val="20"/>
              </w:rPr>
              <w:t>满足《声环境质量标准》（GB3096-2008）中2类标准。</w:t>
            </w:r>
          </w:p>
          <w:p>
            <w:pPr>
              <w:pStyle w:val="52"/>
              <w:numPr>
                <w:ilvl w:val="0"/>
                <w:numId w:val="0"/>
              </w:numPr>
              <w:spacing w:line="360" w:lineRule="auto"/>
              <w:ind w:left="420" w:leftChars="0" w:right="124" w:rightChars="0"/>
              <w:rPr>
                <w:b/>
                <w:bCs/>
                <w:color w:val="auto"/>
                <w:sz w:val="24"/>
                <w:lang w:val="en-US"/>
              </w:rPr>
            </w:pPr>
            <w:r>
              <w:rPr>
                <w:rFonts w:hint="eastAsia"/>
                <w:b/>
                <w:bCs/>
                <w:color w:val="auto"/>
                <w:sz w:val="24"/>
                <w:lang w:val="en-US" w:eastAsia="zh-CN"/>
              </w:rPr>
              <w:t>3、</w:t>
            </w:r>
            <w:bookmarkEnd w:id="9"/>
            <w:r>
              <w:rPr>
                <w:rFonts w:hint="eastAsia"/>
                <w:b/>
                <w:bCs/>
                <w:color w:val="auto"/>
                <w:sz w:val="24"/>
                <w:lang w:val="en-US" w:eastAsia="zh-CN"/>
              </w:rPr>
              <w:t>运营期主要污染源及治理措施</w:t>
            </w:r>
          </w:p>
          <w:p>
            <w:pPr>
              <w:spacing w:line="360" w:lineRule="auto"/>
              <w:ind w:firstLine="480"/>
              <w:rPr>
                <w:bCs/>
                <w:color w:val="auto"/>
                <w:sz w:val="24"/>
              </w:rPr>
            </w:pPr>
            <w:r>
              <w:rPr>
                <w:rFonts w:hint="eastAsia"/>
                <w:bCs/>
                <w:color w:val="auto"/>
                <w:sz w:val="24"/>
              </w:rPr>
              <w:t>（1）</w:t>
            </w:r>
            <w:r>
              <w:rPr>
                <w:rFonts w:hint="eastAsia"/>
                <w:bCs/>
                <w:color w:val="auto"/>
                <w:sz w:val="24"/>
                <w:lang w:val="en-US" w:eastAsia="zh-CN"/>
              </w:rPr>
              <w:t>地表水</w:t>
            </w:r>
          </w:p>
          <w:p>
            <w:pPr>
              <w:spacing w:line="360" w:lineRule="auto"/>
              <w:ind w:firstLine="480" w:firstLineChars="200"/>
              <w:rPr>
                <w:rFonts w:ascii="Times New Roman" w:hAnsi="宋体" w:eastAsia="宋体" w:cs="Times New Roman"/>
                <w:color w:val="auto"/>
                <w:sz w:val="24"/>
                <w:szCs w:val="24"/>
              </w:rPr>
            </w:pPr>
            <w:r>
              <w:rPr>
                <w:rFonts w:hint="eastAsia" w:ascii="Times New Roman" w:hAnsi="宋体" w:eastAsia="宋体" w:cs="Times New Roman"/>
                <w:color w:val="auto"/>
                <w:sz w:val="24"/>
                <w:szCs w:val="24"/>
              </w:rPr>
              <w:t>本项目废水为生产娱乐废水和生活废水。娱乐废水经水循环处理系统处理后循环利用，定期排放，系统中产生的反冲洗废水每2</w:t>
            </w:r>
            <w:r>
              <w:rPr>
                <w:rFonts w:ascii="Times New Roman" w:hAnsi="宋体" w:eastAsia="宋体" w:cs="Times New Roman"/>
                <w:color w:val="auto"/>
                <w:sz w:val="24"/>
                <w:szCs w:val="24"/>
              </w:rPr>
              <w:t>0</w:t>
            </w:r>
            <w:r>
              <w:rPr>
                <w:rFonts w:hint="eastAsia" w:ascii="Times New Roman" w:hAnsi="宋体" w:eastAsia="宋体" w:cs="Times New Roman"/>
                <w:color w:val="auto"/>
                <w:sz w:val="24"/>
                <w:szCs w:val="24"/>
              </w:rPr>
              <w:t>天排放一次，排入城市污水管网；餐饮废水经隔油池后与生活污水经化粪池处理后进入城市污水管网，排入城镇污水处理厂。</w:t>
            </w:r>
          </w:p>
          <w:p>
            <w:pPr>
              <w:spacing w:line="360" w:lineRule="auto"/>
              <w:ind w:firstLine="480"/>
              <w:rPr>
                <w:bCs/>
                <w:color w:val="auto"/>
                <w:sz w:val="24"/>
              </w:rPr>
            </w:pPr>
            <w:r>
              <w:rPr>
                <w:rFonts w:hint="eastAsia"/>
                <w:bCs/>
                <w:color w:val="auto"/>
                <w:sz w:val="24"/>
              </w:rPr>
              <w:t>（</w:t>
            </w:r>
            <w:r>
              <w:rPr>
                <w:bCs/>
                <w:color w:val="auto"/>
                <w:sz w:val="24"/>
              </w:rPr>
              <w:t>2</w:t>
            </w:r>
            <w:r>
              <w:rPr>
                <w:rFonts w:hint="eastAsia"/>
                <w:bCs/>
                <w:color w:val="auto"/>
                <w:sz w:val="24"/>
              </w:rPr>
              <w:t>）</w:t>
            </w:r>
            <w:r>
              <w:rPr>
                <w:bCs/>
                <w:color w:val="auto"/>
                <w:sz w:val="24"/>
              </w:rPr>
              <w:t>大气环境影响</w:t>
            </w:r>
          </w:p>
          <w:p>
            <w:pPr>
              <w:spacing w:line="360" w:lineRule="auto"/>
              <w:ind w:firstLine="480"/>
              <w:rPr>
                <w:rFonts w:ascii="Times New Roman" w:hAnsi="Times New Roman" w:eastAsia="宋体" w:cs="Times New Roman"/>
                <w:snapToGrid w:val="0"/>
                <w:color w:val="auto"/>
                <w:kern w:val="0"/>
                <w:sz w:val="24"/>
                <w:szCs w:val="24"/>
              </w:rPr>
            </w:pPr>
            <w:r>
              <w:rPr>
                <w:rFonts w:ascii="Times New Roman" w:hAnsi="Times New Roman" w:eastAsia="宋体" w:cs="Times New Roman"/>
                <w:color w:val="auto"/>
                <w:spacing w:val="10"/>
                <w:sz w:val="24"/>
                <w:szCs w:val="21"/>
              </w:rPr>
              <w:t>项目运营期产生的废气主要包括</w:t>
            </w:r>
            <w:r>
              <w:rPr>
                <w:rFonts w:hint="eastAsia" w:ascii="Times New Roman" w:hAnsi="Times New Roman" w:eastAsia="宋体" w:cs="Times New Roman"/>
                <w:color w:val="auto"/>
                <w:spacing w:val="10"/>
                <w:sz w:val="24"/>
                <w:szCs w:val="21"/>
              </w:rPr>
              <w:t>地下停车废气</w:t>
            </w:r>
            <w:r>
              <w:rPr>
                <w:rFonts w:ascii="Times New Roman" w:hAnsi="Times New Roman" w:eastAsia="宋体" w:cs="Times New Roman"/>
                <w:color w:val="auto"/>
                <w:spacing w:val="10"/>
                <w:sz w:val="24"/>
                <w:szCs w:val="21"/>
              </w:rPr>
              <w:t>、油烟废气</w:t>
            </w:r>
            <w:r>
              <w:rPr>
                <w:rFonts w:hint="eastAsia" w:ascii="Times New Roman" w:hAnsi="Times New Roman" w:eastAsia="宋体" w:cs="Times New Roman"/>
                <w:color w:val="auto"/>
                <w:spacing w:val="10"/>
                <w:sz w:val="24"/>
                <w:szCs w:val="21"/>
              </w:rPr>
              <w:t>。</w:t>
            </w:r>
          </w:p>
          <w:p>
            <w:pPr>
              <w:spacing w:line="360" w:lineRule="auto"/>
              <w:ind w:firstLine="480" w:firstLineChars="200"/>
              <w:rPr>
                <w:rFonts w:ascii="Times New Roman" w:hAnsi="宋体" w:eastAsia="宋体" w:cs="Times New Roman"/>
                <w:color w:val="auto"/>
                <w:sz w:val="24"/>
                <w:szCs w:val="24"/>
              </w:rPr>
            </w:pPr>
            <w:r>
              <w:rPr>
                <w:rFonts w:hint="eastAsia" w:ascii="Times New Roman" w:hAnsi="宋体" w:eastAsia="宋体" w:cs="Times New Roman"/>
                <w:color w:val="auto"/>
                <w:sz w:val="24"/>
                <w:szCs w:val="24"/>
              </w:rPr>
              <w:t>建设项目地下停车场</w:t>
            </w:r>
            <w:r>
              <w:rPr>
                <w:rFonts w:hint="eastAsia" w:ascii="Times New Roman" w:hAnsi="宋体" w:eastAsia="宋体" w:cs="Times New Roman"/>
                <w:color w:val="auto"/>
                <w:sz w:val="24"/>
                <w:szCs w:val="24"/>
                <w:lang w:val="en-US" w:eastAsia="zh-CN"/>
              </w:rPr>
              <w:t>设置机械排放装置，</w:t>
            </w:r>
            <w:r>
              <w:rPr>
                <w:rFonts w:hint="eastAsia" w:ascii="Times New Roman" w:hAnsi="宋体" w:eastAsia="宋体" w:cs="Times New Roman"/>
                <w:color w:val="auto"/>
                <w:sz w:val="24"/>
                <w:szCs w:val="24"/>
              </w:rPr>
              <w:t>汽车尾气</w:t>
            </w:r>
            <w:r>
              <w:rPr>
                <w:rFonts w:hint="eastAsia" w:ascii="Times New Roman" w:hAnsi="宋体" w:eastAsia="宋体" w:cs="Times New Roman"/>
                <w:color w:val="auto"/>
                <w:sz w:val="24"/>
                <w:szCs w:val="24"/>
                <w:lang w:val="en-US" w:eastAsia="zh-CN"/>
              </w:rPr>
              <w:t>产生量较小</w:t>
            </w:r>
            <w:r>
              <w:rPr>
                <w:rFonts w:hint="eastAsia" w:ascii="Times New Roman" w:hAnsi="宋体" w:eastAsia="宋体" w:cs="Times New Roman"/>
                <w:color w:val="auto"/>
                <w:sz w:val="24"/>
                <w:szCs w:val="24"/>
              </w:rPr>
              <w:t>，对区域环境空气质量影响不大。</w:t>
            </w:r>
            <w:r>
              <w:rPr>
                <w:rFonts w:hint="eastAsia" w:ascii="Times New Roman" w:hAnsi="宋体" w:eastAsia="宋体" w:cs="Times New Roman"/>
                <w:color w:val="auto"/>
                <w:sz w:val="24"/>
                <w:szCs w:val="24"/>
                <w:lang w:val="en-US" w:eastAsia="zh-CN"/>
              </w:rPr>
              <w:t>职工食堂</w:t>
            </w:r>
            <w:r>
              <w:rPr>
                <w:rFonts w:hint="eastAsia" w:ascii="Times New Roman" w:hAnsi="宋体" w:eastAsia="宋体" w:cs="Times New Roman"/>
                <w:color w:val="auto"/>
                <w:sz w:val="24"/>
                <w:szCs w:val="24"/>
              </w:rPr>
              <w:t>加装符合相关要求的油烟净化器，确保油烟废气达标排放，油烟废气应经烟道由楼顶达标排放，对周边环境影响较小。</w:t>
            </w:r>
          </w:p>
          <w:p>
            <w:pPr>
              <w:spacing w:line="360" w:lineRule="auto"/>
              <w:ind w:firstLine="480" w:firstLineChars="200"/>
              <w:rPr>
                <w:color w:val="auto"/>
                <w:sz w:val="24"/>
              </w:rPr>
            </w:pPr>
            <w:r>
              <w:rPr>
                <w:rFonts w:hint="eastAsia"/>
                <w:color w:val="auto"/>
                <w:sz w:val="24"/>
              </w:rPr>
              <w:t>（3）</w:t>
            </w:r>
            <w:r>
              <w:rPr>
                <w:rFonts w:hint="eastAsia"/>
                <w:color w:val="auto"/>
                <w:sz w:val="24"/>
                <w:lang w:val="sq-AL"/>
              </w:rPr>
              <w:t>噪声影响</w:t>
            </w:r>
          </w:p>
          <w:p>
            <w:pPr>
              <w:spacing w:line="360" w:lineRule="auto"/>
              <w:ind w:firstLine="480" w:firstLineChars="200"/>
              <w:rPr>
                <w:color w:val="auto"/>
                <w:sz w:val="24"/>
              </w:rPr>
            </w:pPr>
            <w:bookmarkStart w:id="10" w:name="_Hlk12949277"/>
            <w:r>
              <w:rPr>
                <w:rFonts w:hint="eastAsia"/>
                <w:color w:val="auto"/>
                <w:sz w:val="24"/>
              </w:rPr>
              <w:t>本项目噪声</w:t>
            </w:r>
            <w:r>
              <w:rPr>
                <w:color w:val="auto"/>
                <w:sz w:val="24"/>
              </w:rPr>
              <w:t>源主要</w:t>
            </w:r>
            <w:r>
              <w:rPr>
                <w:rFonts w:hint="eastAsia"/>
                <w:color w:val="auto"/>
                <w:sz w:val="24"/>
              </w:rPr>
              <w:t>来自于</w:t>
            </w:r>
            <w:r>
              <w:rPr>
                <w:rFonts w:hint="eastAsia"/>
                <w:color w:val="auto"/>
                <w:sz w:val="24"/>
                <w:lang w:val="en-US" w:eastAsia="zh-CN"/>
              </w:rPr>
              <w:t>游乐</w:t>
            </w:r>
            <w:r>
              <w:rPr>
                <w:rFonts w:hint="eastAsia"/>
                <w:color w:val="auto"/>
                <w:sz w:val="24"/>
              </w:rPr>
              <w:t>设备</w:t>
            </w:r>
            <w:r>
              <w:rPr>
                <w:rFonts w:hint="eastAsia"/>
                <w:color w:val="auto"/>
                <w:sz w:val="24"/>
                <w:lang w:eastAsia="zh-CN"/>
              </w:rPr>
              <w:t>、</w:t>
            </w:r>
            <w:r>
              <w:rPr>
                <w:rFonts w:hint="eastAsia"/>
                <w:color w:val="auto"/>
                <w:sz w:val="24"/>
                <w:lang w:val="en-US" w:eastAsia="zh-CN"/>
              </w:rPr>
              <w:t>配套设施、游客社会生活</w:t>
            </w:r>
            <w:r>
              <w:rPr>
                <w:rFonts w:hint="eastAsia"/>
                <w:color w:val="auto"/>
                <w:sz w:val="24"/>
              </w:rPr>
              <w:t>等噪声，在采取合理布置、</w:t>
            </w:r>
            <w:r>
              <w:rPr>
                <w:rFonts w:hint="eastAsia"/>
                <w:color w:val="auto"/>
                <w:sz w:val="24"/>
                <w:lang w:val="en-US" w:eastAsia="zh-CN"/>
              </w:rPr>
              <w:t>低噪声设备、</w:t>
            </w:r>
            <w:r>
              <w:rPr>
                <w:rFonts w:hint="eastAsia"/>
                <w:color w:val="auto"/>
                <w:sz w:val="24"/>
              </w:rPr>
              <w:t>设备维护、减振、</w:t>
            </w:r>
            <w:r>
              <w:rPr>
                <w:rFonts w:hint="eastAsia"/>
                <w:color w:val="auto"/>
                <w:sz w:val="24"/>
                <w:lang w:val="en-US" w:eastAsia="zh-CN"/>
              </w:rPr>
              <w:t>消声</w:t>
            </w:r>
            <w:r>
              <w:rPr>
                <w:rFonts w:hint="eastAsia"/>
                <w:color w:val="auto"/>
                <w:sz w:val="24"/>
              </w:rPr>
              <w:t>、隔声等措施后，厂界噪声可满足《社会生活环境噪声排放标准》（GB 22337</w:t>
            </w:r>
            <w:r>
              <w:rPr>
                <w:rFonts w:hint="eastAsia"/>
                <w:color w:val="auto"/>
                <w:sz w:val="24"/>
                <w:lang w:val="en-US" w:eastAsia="zh-CN"/>
              </w:rPr>
              <w:t>-</w:t>
            </w:r>
            <w:r>
              <w:rPr>
                <w:rFonts w:hint="eastAsia"/>
                <w:color w:val="auto"/>
                <w:sz w:val="24"/>
              </w:rPr>
              <w:t>2008）</w:t>
            </w:r>
            <w:r>
              <w:rPr>
                <w:color w:val="auto"/>
                <w:sz w:val="24"/>
              </w:rPr>
              <w:t>2</w:t>
            </w:r>
            <w:r>
              <w:rPr>
                <w:rFonts w:hint="eastAsia"/>
                <w:color w:val="auto"/>
                <w:sz w:val="24"/>
                <w:lang w:eastAsia="zh-CN"/>
              </w:rPr>
              <w:t>、</w:t>
            </w:r>
            <w:r>
              <w:rPr>
                <w:rFonts w:hint="eastAsia"/>
                <w:color w:val="auto"/>
                <w:sz w:val="24"/>
                <w:lang w:val="en-US" w:eastAsia="zh-CN"/>
              </w:rPr>
              <w:t>4</w:t>
            </w:r>
            <w:r>
              <w:rPr>
                <w:rFonts w:hint="eastAsia"/>
                <w:color w:val="auto"/>
                <w:sz w:val="24"/>
              </w:rPr>
              <w:t>类标准。</w:t>
            </w:r>
          </w:p>
          <w:bookmarkEnd w:id="10"/>
          <w:p>
            <w:pPr>
              <w:spacing w:line="360" w:lineRule="auto"/>
              <w:ind w:right="124" w:firstLine="480" w:firstLineChars="200"/>
              <w:rPr>
                <w:color w:val="auto"/>
                <w:sz w:val="24"/>
                <w:lang w:val="sq-AL"/>
              </w:rPr>
            </w:pPr>
            <w:r>
              <w:rPr>
                <w:rFonts w:hint="eastAsia"/>
                <w:color w:val="auto"/>
                <w:sz w:val="24"/>
                <w:lang w:val="sq-AL"/>
              </w:rPr>
              <w:t>（4）固体废弃物影响</w:t>
            </w:r>
          </w:p>
          <w:p>
            <w:pPr>
              <w:spacing w:line="360" w:lineRule="auto"/>
              <w:ind w:firstLine="480" w:firstLineChars="200"/>
              <w:rPr>
                <w:color w:val="auto"/>
                <w:sz w:val="24"/>
                <w:szCs w:val="20"/>
              </w:rPr>
            </w:pPr>
            <w:bookmarkStart w:id="11" w:name="_Hlk12949290"/>
            <w:r>
              <w:rPr>
                <w:color w:val="auto"/>
                <w:sz w:val="24"/>
                <w:szCs w:val="20"/>
              </w:rPr>
              <w:t>固体废物主要为</w:t>
            </w:r>
            <w:r>
              <w:rPr>
                <w:rFonts w:hint="eastAsia"/>
                <w:color w:val="auto"/>
                <w:sz w:val="24"/>
                <w:szCs w:val="20"/>
              </w:rPr>
              <w:t>生活垃圾、一般工业固废和危险固废。</w:t>
            </w:r>
          </w:p>
          <w:p>
            <w:pPr>
              <w:spacing w:line="360" w:lineRule="auto"/>
              <w:ind w:firstLine="480" w:firstLineChars="200"/>
              <w:rPr>
                <w:rFonts w:ascii="Times New Roman" w:hAnsi="Times New Roman" w:eastAsia="宋体" w:cs="Times New Roman"/>
                <w:color w:val="auto"/>
                <w:sz w:val="24"/>
                <w:szCs w:val="20"/>
              </w:rPr>
            </w:pPr>
            <w:r>
              <w:rPr>
                <w:color w:val="auto"/>
                <w:sz w:val="24"/>
                <w:szCs w:val="20"/>
              </w:rPr>
              <w:t>生活垃圾</w:t>
            </w:r>
            <w:r>
              <w:rPr>
                <w:rFonts w:hint="eastAsia"/>
                <w:color w:val="auto"/>
                <w:sz w:val="24"/>
                <w:szCs w:val="20"/>
                <w:lang w:val="en-US" w:eastAsia="zh-CN"/>
              </w:rPr>
              <w:t>设垃圾桶收集</w:t>
            </w:r>
            <w:r>
              <w:rPr>
                <w:rFonts w:hint="eastAsia"/>
                <w:color w:val="auto"/>
                <w:sz w:val="24"/>
                <w:szCs w:val="20"/>
              </w:rPr>
              <w:t>送环卫部门处置；餐饮垃圾交由有资质</w:t>
            </w:r>
            <w:r>
              <w:rPr>
                <w:rFonts w:hint="eastAsia"/>
                <w:color w:val="auto"/>
                <w:sz w:val="24"/>
                <w:szCs w:val="20"/>
                <w:lang w:val="en-US" w:eastAsia="zh-CN"/>
              </w:rPr>
              <w:t>餐厨垃圾收集</w:t>
            </w:r>
            <w:r>
              <w:rPr>
                <w:rFonts w:hint="eastAsia"/>
                <w:color w:val="auto"/>
                <w:sz w:val="24"/>
                <w:szCs w:val="20"/>
              </w:rPr>
              <w:t>公司处置；</w:t>
            </w:r>
            <w:r>
              <w:rPr>
                <w:rFonts w:hint="eastAsia" w:ascii="Times New Roman" w:hAnsi="Times New Roman" w:eastAsia="宋体" w:cs="Times New Roman"/>
                <w:color w:val="auto"/>
                <w:sz w:val="24"/>
                <w:szCs w:val="20"/>
              </w:rPr>
              <w:t>过滤产生的滤渣毛发交由环卫部门清运；</w:t>
            </w:r>
            <w:r>
              <w:rPr>
                <w:rFonts w:hint="eastAsia" w:ascii="Times New Roman" w:hAnsi="Times New Roman" w:eastAsia="宋体" w:cs="Times New Roman"/>
                <w:color w:val="auto"/>
                <w:sz w:val="24"/>
                <w:szCs w:val="24"/>
              </w:rPr>
              <w:t>危险废物</w:t>
            </w:r>
            <w:r>
              <w:rPr>
                <w:rFonts w:hint="eastAsia" w:ascii="Times New Roman" w:hAnsi="Times New Roman" w:eastAsia="宋体" w:cs="Times New Roman"/>
                <w:color w:val="auto"/>
                <w:sz w:val="24"/>
                <w:szCs w:val="24"/>
                <w:lang w:bidi="ar"/>
              </w:rPr>
              <w:t>均暂存于危废暂存间定期交有资质单位处理；医疗废物在医疗废物暂存间分类贮存，交由有资质单位处置。</w:t>
            </w:r>
          </w:p>
          <w:p>
            <w:pPr>
              <w:spacing w:line="360" w:lineRule="auto"/>
              <w:ind w:firstLine="480" w:firstLineChars="200"/>
              <w:rPr>
                <w:color w:val="auto"/>
                <w:sz w:val="24"/>
                <w:szCs w:val="20"/>
              </w:rPr>
            </w:pPr>
            <w:r>
              <w:rPr>
                <w:rFonts w:hint="eastAsia"/>
                <w:color w:val="auto"/>
                <w:sz w:val="24"/>
              </w:rPr>
              <w:t>本项目营运期间产生的固废种类明确，均可以得到及时的合理的处置，对周边环境产生影响小。</w:t>
            </w:r>
          </w:p>
          <w:bookmarkEnd w:id="11"/>
          <w:p>
            <w:pPr>
              <w:pStyle w:val="52"/>
              <w:numPr>
                <w:ilvl w:val="0"/>
                <w:numId w:val="0"/>
              </w:numPr>
              <w:spacing w:line="360" w:lineRule="auto"/>
              <w:ind w:left="420" w:leftChars="0" w:right="124" w:rightChars="0"/>
              <w:rPr>
                <w:rFonts w:hint="eastAsia"/>
                <w:b/>
                <w:bCs/>
                <w:color w:val="auto"/>
                <w:sz w:val="24"/>
                <w:lang w:val="en-US" w:eastAsia="zh-CN"/>
              </w:rPr>
            </w:pPr>
            <w:r>
              <w:rPr>
                <w:rFonts w:hint="eastAsia"/>
                <w:b/>
                <w:bCs/>
                <w:color w:val="auto"/>
                <w:sz w:val="24"/>
                <w:lang w:val="en-US" w:eastAsia="zh-CN"/>
              </w:rPr>
              <w:t>4、总结论</w:t>
            </w:r>
          </w:p>
          <w:p>
            <w:pPr>
              <w:spacing w:line="360" w:lineRule="auto"/>
              <w:ind w:firstLine="480" w:firstLineChars="200"/>
              <w:jc w:val="left"/>
              <w:rPr>
                <w:rFonts w:ascii="宋体" w:hAnsi="宋体"/>
                <w:color w:val="auto"/>
                <w:sz w:val="24"/>
                <w:highlight w:val="none"/>
              </w:rPr>
            </w:pPr>
            <w:r>
              <w:rPr>
                <w:rFonts w:hint="eastAsia" w:ascii="宋体" w:hAnsi="宋体"/>
                <w:bCs/>
                <w:color w:val="auto"/>
                <w:sz w:val="24"/>
                <w:highlight w:val="none"/>
              </w:rPr>
              <w:t>综上所述，评价认为，项目符合国家产业政策，在采取工程可研和本报告表提出的污染防治措施后，主要污染物可做到达标排放，对周围环境的影响能够控制在环境可接受范围内，能够满足当地环境功能的要求，且环境风险可控，从满足环境质量目标要求角度分析，项目建设可行。</w:t>
            </w:r>
          </w:p>
          <w:p>
            <w:pPr>
              <w:spacing w:line="360" w:lineRule="auto"/>
              <w:ind w:firstLine="480" w:firstLineChars="200"/>
              <w:rPr>
                <w:color w:val="auto"/>
                <w:sz w:val="24"/>
              </w:rPr>
            </w:pPr>
          </w:p>
          <w:p>
            <w:pPr>
              <w:spacing w:line="360" w:lineRule="auto"/>
              <w:ind w:firstLine="480" w:firstLineChars="200"/>
              <w:rPr>
                <w:color w:val="auto"/>
                <w:sz w:val="24"/>
              </w:rPr>
            </w:pPr>
          </w:p>
          <w:p>
            <w:pPr>
              <w:spacing w:line="360" w:lineRule="auto"/>
              <w:ind w:firstLine="480" w:firstLineChars="200"/>
              <w:rPr>
                <w:color w:val="auto"/>
                <w:sz w:val="24"/>
              </w:rPr>
            </w:pPr>
          </w:p>
          <w:p>
            <w:pPr>
              <w:spacing w:line="360" w:lineRule="auto"/>
              <w:ind w:firstLine="480" w:firstLineChars="200"/>
              <w:rPr>
                <w:color w:val="auto"/>
                <w:sz w:val="24"/>
              </w:rPr>
            </w:pPr>
          </w:p>
          <w:p>
            <w:pPr>
              <w:spacing w:line="360" w:lineRule="auto"/>
              <w:ind w:firstLine="480" w:firstLineChars="200"/>
              <w:rPr>
                <w:color w:val="auto"/>
                <w:sz w:val="24"/>
              </w:rPr>
            </w:pPr>
          </w:p>
          <w:p>
            <w:pPr>
              <w:spacing w:line="360" w:lineRule="auto"/>
              <w:ind w:firstLine="480" w:firstLineChars="200"/>
              <w:rPr>
                <w:color w:val="auto"/>
                <w:sz w:val="24"/>
              </w:rPr>
            </w:pPr>
          </w:p>
          <w:p>
            <w:pPr>
              <w:adjustRightInd w:val="0"/>
              <w:snapToGrid w:val="0"/>
              <w:ind w:firstLine="315"/>
              <w:rPr>
                <w:rFonts w:ascii="宋体" w:hAnsi="宋体" w:cs="宋体"/>
                <w:color w:val="auto"/>
                <w:szCs w:val="21"/>
              </w:rPr>
            </w:pPr>
          </w:p>
        </w:tc>
      </w:tr>
    </w:tbl>
    <w:p>
      <w:pPr>
        <w:rPr>
          <w:rFonts w:ascii="宋体"/>
          <w:color w:val="auto"/>
        </w:rPr>
      </w:pPr>
    </w:p>
    <w:sectPr>
      <w:pgSz w:w="11906" w:h="16838"/>
      <w:pgMar w:top="1440" w:right="1800" w:bottom="1440" w:left="1800" w:header="851" w:footer="1077" w:gutter="0"/>
      <w:pgBorders>
        <w:top w:val="none" w:sz="0" w:space="0"/>
        <w:left w:val="none" w:sz="0" w:space="0"/>
        <w:bottom w:val="none" w:sz="0" w:space="0"/>
        <w:right w:val="none" w:sz="0" w:space="0"/>
      </w:pgBorders>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80"/>
    <w:family w:val="auto"/>
    <w:pitch w:val="default"/>
    <w:sig w:usb0="00000000" w:usb1="00000000" w:usb2="00000000" w:usb3="00000000" w:csb0="00020000" w:csb1="00000000"/>
  </w:font>
  <w:font w:name="Arial Unicode MS">
    <w:panose1 w:val="020B0604020202020204"/>
    <w:charset w:val="86"/>
    <w:family w:val="auto"/>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 w:name="长城粗隶书">
    <w:altName w:val="宋体"/>
    <w:panose1 w:val="02010609000101010101"/>
    <w:charset w:val="86"/>
    <w:family w:val="modern"/>
    <w:pitch w:val="default"/>
    <w:sig w:usb0="00000000" w:usb1="00000000" w:usb2="00000010" w:usb3="00000000" w:csb0="00040000" w:csb1="00000000"/>
  </w:font>
  <w:font w:name="汉鼎简书宋">
    <w:altName w:val="宋体"/>
    <w:panose1 w:val="02010609010101010101"/>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方正黑体简体">
    <w:altName w:val="宋体"/>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幼圆">
    <w:panose1 w:val="02010509060101010101"/>
    <w:charset w:val="86"/>
    <w:family w:val="modern"/>
    <w:pitch w:val="default"/>
    <w:sig w:usb0="00000001" w:usb1="080E0000" w:usb2="00000000" w:usb3="00000000" w:csb0="00040000" w:csb1="00000000"/>
  </w:font>
  <w:font w:name="宋体t.祯畴_.">
    <w:altName w:val="宋体"/>
    <w:panose1 w:val="00000000000000000000"/>
    <w:charset w:val="86"/>
    <w:family w:val="roman"/>
    <w:pitch w:val="default"/>
    <w:sig w:usb0="00000000" w:usb1="00000000" w:usb2="00000010" w:usb3="00000000" w:csb0="00040000" w:csb1="00000000"/>
  </w:font>
  <w:font w:name="Garamond">
    <w:altName w:val="PMingLiU-ExtB"/>
    <w:panose1 w:val="02020404030301010803"/>
    <w:charset w:val="00"/>
    <w:family w:val="roman"/>
    <w:pitch w:val="default"/>
    <w:sig w:usb0="00000000" w:usb1="00000000" w:usb2="00000000" w:usb3="00000000" w:csb0="0000009F" w:csb1="00000000"/>
  </w:font>
  <w:font w:name="Tms Rmn">
    <w:altName w:val="Segoe Print"/>
    <w:panose1 w:val="02020603040505020304"/>
    <w:charset w:val="00"/>
    <w:family w:val="roman"/>
    <w:pitch w:val="default"/>
    <w:sig w:usb0="00000000" w:usb1="00000000" w:usb2="00000000" w:usb3="00000000" w:csb0="00000001" w:csb1="00000000"/>
  </w:font>
  <w:font w:name="Arial Black">
    <w:panose1 w:val="020B0A04020102020204"/>
    <w:charset w:val="00"/>
    <w:family w:val="swiss"/>
    <w:pitch w:val="default"/>
    <w:sig w:usb0="A00002AF" w:usb1="400078FB" w:usb2="00000000" w:usb3="00000000" w:csb0="6000009F" w:csb1="DFD70000"/>
  </w:font>
  <w:font w:name="CG Times (WN)">
    <w:altName w:val="Times New Roman"/>
    <w:panose1 w:val="00000000000000000000"/>
    <w:charset w:val="00"/>
    <w:family w:val="roman"/>
    <w:pitch w:val="default"/>
    <w:sig w:usb0="00000000" w:usb1="00000000" w:usb2="00000000" w:usb3="00000000" w:csb0="00000001" w:csb1="00000000"/>
  </w:font>
  <w:font w:name="隶书">
    <w:panose1 w:val="0201050906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Roman 10cpi">
    <w:altName w:val="MS Gothic"/>
    <w:panose1 w:val="00000000000000000000"/>
    <w:charset w:val="00"/>
    <w:family w:val="modern"/>
    <w:pitch w:val="default"/>
    <w:sig w:usb0="00000000" w:usb1="00000000" w:usb2="00000000" w:usb3="00000000" w:csb0="00000001" w:csb1="00000000"/>
  </w:font>
  <w:font w:name="-18030">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仿宋体">
    <w:altName w:val="宋体"/>
    <w:panose1 w:val="00000000000000000000"/>
    <w:charset w:val="86"/>
    <w:family w:val="roma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8" w:usb3="00000000" w:csb0="000001FF" w:csb1="00000000"/>
  </w:font>
  <w:font w:name="五">
    <w:altName w:val="黑体"/>
    <w:panose1 w:val="00000000000000000000"/>
    <w:charset w:val="86"/>
    <w:family w:val="auto"/>
    <w:pitch w:val="default"/>
    <w:sig w:usb0="00000000" w:usb1="00000000" w:usb2="00000010" w:usb3="00000000" w:csb0="00040000" w:csb1="00000000"/>
  </w:font>
  <w:font w:name="Symusic">
    <w:altName w:val="Segoe Print"/>
    <w:panose1 w:val="00000400000000000000"/>
    <w:charset w:val="00"/>
    <w:family w:val="auto"/>
    <w:pitch w:val="default"/>
    <w:sig w:usb0="00000000" w:usb1="00000000" w:usb2="00000000" w:usb3="00000000" w:csb0="000001FF" w:csb1="00000000"/>
  </w:font>
  <w:font w:name="Sim Sun">
    <w:altName w:val="宋体"/>
    <w:panose1 w:val="00000000000000000000"/>
    <w:charset w:val="86"/>
    <w:family w:val="swiss"/>
    <w:pitch w:val="default"/>
    <w:sig w:usb0="00000000" w:usb1="00000000" w:usb2="00000010" w:usb3="00000000" w:csb0="00040000" w:csb1="00000000"/>
  </w:font>
  <w:font w:name="華康中楷體">
    <w:altName w:val="Arial Unicode MS"/>
    <w:panose1 w:val="00000000000000000000"/>
    <w:charset w:val="88"/>
    <w:family w:val="modern"/>
    <w:pitch w:val="default"/>
    <w:sig w:usb0="00000000" w:usb1="00000000" w:usb2="00000010" w:usb3="00000000" w:csb0="00100000" w:csb1="00000000"/>
  </w:font>
  <w:font w:name="Times New Roman;Symbol;Arial;婼">
    <w:altName w:val="黑体"/>
    <w:panose1 w:val="00000000000000000000"/>
    <w:charset w:val="00"/>
    <w:family w:val="auto"/>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0000009F" w:csb1="00000000"/>
  </w:font>
  <w:font w:name="MS Shell Dlg">
    <w:altName w:val="Microsoft Sans Serif"/>
    <w:panose1 w:val="020B0604020202020204"/>
    <w:charset w:val="00"/>
    <w:family w:val="swiss"/>
    <w:pitch w:val="default"/>
    <w:sig w:usb0="00000000" w:usb1="00000000" w:usb2="00000008" w:usb3="00000000" w:csb0="000101FF" w:csb1="00000000"/>
  </w:font>
  <w:font w:name="TimesNewRoman">
    <w:altName w:val="宋体"/>
    <w:panose1 w:val="00000000000000000000"/>
    <w:charset w:val="86"/>
    <w:family w:val="auto"/>
    <w:pitch w:val="default"/>
    <w:sig w:usb0="00000000" w:usb1="00000000" w:usb2="00000010" w:usb3="00000000" w:csb0="00040001" w:csb1="00000000"/>
  </w:font>
  <w:font w:name="MS Gothic">
    <w:panose1 w:val="020B0609070205080204"/>
    <w:charset w:val="80"/>
    <w:family w:val="modern"/>
    <w:pitch w:val="default"/>
    <w:sig w:usb0="E00002FF" w:usb1="6AC7FDFB" w:usb2="08000012" w:usb3="00000000" w:csb0="4002009F" w:csb1="DFD70000"/>
  </w:font>
  <w:font w:name="方正书宋简体">
    <w:altName w:val="宋体"/>
    <w:panose1 w:val="00000000000000000000"/>
    <w:charset w:val="86"/>
    <w:family w:val="script"/>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Geneva">
    <w:altName w:val="Arial"/>
    <w:panose1 w:val="00000000000000000000"/>
    <w:charset w:val="00"/>
    <w:family w:val="swiss"/>
    <w:pitch w:val="default"/>
    <w:sig w:usb0="00000000" w:usb1="00000000" w:usb2="00000000" w:usb3="00000000" w:csb0="00000093" w:csb1="00000000"/>
  </w:font>
  <w:font w:name="Trebuchet MS">
    <w:panose1 w:val="020B0603020202020204"/>
    <w:charset w:val="00"/>
    <w:family w:val="swiss"/>
    <w:pitch w:val="default"/>
    <w:sig w:usb0="00000687" w:usb1="00000000" w:usb2="00000000" w:usb3="00000000" w:csb0="2000009F" w:csb1="00000000"/>
  </w:font>
  <w:font w:name="新宋体">
    <w:panose1 w:val="02010609030101010101"/>
    <w:charset w:val="86"/>
    <w:family w:val="modern"/>
    <w:pitch w:val="default"/>
    <w:sig w:usb0="00000283" w:usb1="288F0000" w:usb2="00000006" w:usb3="00000000" w:csb0="00040001" w:csb1="00000000"/>
  </w:font>
  <w:font w:name="Century Gothic">
    <w:altName w:val="Century"/>
    <w:panose1 w:val="020B0502020202020204"/>
    <w:charset w:val="00"/>
    <w:family w:val="swiss"/>
    <w:pitch w:val="default"/>
    <w:sig w:usb0="00000000" w:usb1="00000000" w:usb2="00000000" w:usb3="00000000" w:csb0="0000009F" w:csb1="00000000"/>
  </w:font>
  <w:font w:name="方正小标宋简体">
    <w:altName w:val="微软雅黑"/>
    <w:panose1 w:val="00000000000000000000"/>
    <w:charset w:val="86"/>
    <w:family w:val="script"/>
    <w:pitch w:val="default"/>
    <w:sig w:usb0="00000000" w:usb1="00000000" w:usb2="00000010" w:usb3="00000000" w:csb0="00040000" w:csb1="00000000"/>
  </w:font>
  <w:font w:name="ÃƒÂ¥Ã‚Â®Ã¢â‚¬Â¹ÃƒÂ¤Ã‚Â½Ã¢â‚¬Å“">
    <w:altName w:val="宋体"/>
    <w:panose1 w:val="00000000000000000000"/>
    <w:charset w:val="86"/>
    <w:family w:val="roman"/>
    <w:pitch w:val="default"/>
    <w:sig w:usb0="00000000" w:usb1="00000000" w:usb2="00000010" w:usb3="00000000" w:csb0="00040000" w:csb1="0000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 w:name="Microsoft Sans Serif">
    <w:panose1 w:val="020B0604020202020204"/>
    <w:charset w:val="00"/>
    <w:family w:val="auto"/>
    <w:pitch w:val="default"/>
    <w:sig w:usb0="E5002EFF" w:usb1="C000605B" w:usb2="00000029" w:usb3="00000000" w:csb0="200101FF" w:csb1="20280000"/>
  </w:font>
  <w:font w:name="Century">
    <w:panose1 w:val="02040604050505020304"/>
    <w:charset w:val="00"/>
    <w:family w:val="auto"/>
    <w:pitch w:val="default"/>
    <w:sig w:usb0="00000287" w:usb1="00000000" w:usb2="00000000" w:usb3="00000000" w:csb0="2000009F" w:csb1="DFD70000"/>
  </w:font>
  <w:font w:name="等线 Light">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Noto Sans CJK JP Regular">
    <w:altName w:val="Arial"/>
    <w:panose1 w:val="00000000000000000000"/>
    <w:charset w:val="00"/>
    <w:family w:val="swiss"/>
    <w:pitch w:val="default"/>
    <w:sig w:usb0="00000000" w:usb1="00000000" w:usb2="00000000" w:usb3="00000000" w:csb0="00000001" w:csb1="00000000"/>
  </w:font>
  <w:font w:name="”“Times New Roman”“">
    <w:altName w:val="宋体"/>
    <w:panose1 w:val="00000000000000000000"/>
    <w:charset w:val="86"/>
    <w:family w:val="roman"/>
    <w:pitch w:val="default"/>
    <w:sig w:usb0="00000000" w:usb1="00000000" w:usb2="00000010" w:usb3="00000000" w:csb0="00040000" w:csb1="00000000"/>
  </w:font>
  <w:font w:name="?? Light">
    <w:altName w:val="Times New Roman"/>
    <w:panose1 w:val="00000000000000000000"/>
    <w:charset w:val="00"/>
    <w:family w:val="auto"/>
    <w:pitch w:val="default"/>
    <w:sig w:usb0="00000000" w:usb1="00000000" w:usb2="00000000" w:usb3="00000000" w:csb0="00000001" w:csb1="00000000"/>
  </w:font>
  <w:font w:name="??_GB2312">
    <w:altName w:val="Times New Roman"/>
    <w:panose1 w:val="00000000000000000000"/>
    <w:charset w:val="00"/>
    <w:family w:val="auto"/>
    <w:pitch w:val="default"/>
    <w:sig w:usb0="00000000" w:usb1="00000000" w:usb2="00000000" w:usb3="00000000" w:csb0="00000001" w:csb1="00000000"/>
  </w:font>
  <w:font w:name="MingLiU">
    <w:altName w:val="PMingLiU-ExtB"/>
    <w:panose1 w:val="02020509000000000000"/>
    <w:charset w:val="88"/>
    <w:family w:val="modern"/>
    <w:pitch w:val="default"/>
    <w:sig w:usb0="00000000" w:usb1="00000000" w:usb2="00000016" w:usb3="00000000" w:csb0="00100001" w:csb1="00000000"/>
  </w:font>
  <w:font w:name="华文新魏">
    <w:panose1 w:val="02010800040101010101"/>
    <w:charset w:val="86"/>
    <w:family w:val="auto"/>
    <w:pitch w:val="default"/>
    <w:sig w:usb0="00000001" w:usb1="080F0000" w:usb2="00000000" w:usb3="00000000" w:csb0="00040000" w:csb1="00000000"/>
  </w:font>
  <w:font w:name="BatangChe">
    <w:altName w:val="Malgun Gothic"/>
    <w:panose1 w:val="02030609000101010101"/>
    <w:charset w:val="81"/>
    <w:family w:val="modern"/>
    <w:pitch w:val="default"/>
    <w:sig w:usb0="00000000" w:usb1="00000000" w:usb2="00000030" w:usb3="00000000" w:csb0="0008009F" w:csb1="00000000"/>
  </w:font>
  <w:font w:name="Adobe ｷﾂﾋﾎ Std R">
    <w:altName w:val="Yu Gothic"/>
    <w:panose1 w:val="00000000000000000000"/>
    <w:charset w:val="80"/>
    <w:family w:val="roman"/>
    <w:pitch w:val="default"/>
    <w:sig w:usb0="00000000" w:usb1="00000000" w:usb2="00000010" w:usb3="00000000" w:csb0="00020000"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 w:name="Calibri">
    <w:panose1 w:val="020F0502020204030204"/>
    <w:charset w:val="86"/>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Sylfaen">
    <w:panose1 w:val="010A0502050306030303"/>
    <w:charset w:val="00"/>
    <w:family w:val="roman"/>
    <w:pitch w:val="default"/>
    <w:sig w:usb0="04000687" w:usb1="00000000" w:usb2="00000000" w:usb3="00000000" w:csb0="2000009F" w:csb1="00000000"/>
  </w:font>
  <w:font w:name="AngsanaUPC">
    <w:altName w:val="Microsoft Sans Serif"/>
    <w:panose1 w:val="00000000000000000000"/>
    <w:charset w:val="DE"/>
    <w:family w:val="roman"/>
    <w:pitch w:val="default"/>
    <w:sig w:usb0="00000000" w:usb1="00000000" w:usb2="00000000" w:usb3="00000000" w:csb0="00010001" w:csb1="00000000"/>
  </w:font>
  <w:font w:name="Candara">
    <w:panose1 w:val="020E0502030303020204"/>
    <w:charset w:val="00"/>
    <w:family w:val="swiss"/>
    <w:pitch w:val="default"/>
    <w:sig w:usb0="A00002EF" w:usb1="4000A44B" w:usb2="00000000" w:usb3="00000000" w:csb0="2000019F" w:csb1="00000000"/>
  </w:font>
  <w:font w:name="Gungsuh">
    <w:altName w:val="Malgun Gothic"/>
    <w:panose1 w:val="00000000000000000000"/>
    <w:charset w:val="81"/>
    <w:family w:val="roman"/>
    <w:pitch w:val="default"/>
    <w:sig w:usb0="00000000" w:usb1="00000000" w:usb2="00000030" w:usb3="00000000" w:csb0="0008009F" w:csb1="00000000"/>
  </w:font>
  <w:font w:name="Microsoft JhengHei UI Light">
    <w:panose1 w:val="020B0304030504040204"/>
    <w:charset w:val="88"/>
    <w:family w:val="swiss"/>
    <w:pitch w:val="default"/>
    <w:sig w:usb0="800002A7" w:usb1="28CF4400" w:usb2="00000016" w:usb3="00000000" w:csb0="00100009" w:csb1="00000000"/>
  </w:font>
  <w:font w:name="TimesNewRomanPSMT">
    <w:altName w:val="Times New Roman"/>
    <w:panose1 w:val="00000000000000000000"/>
    <w:charset w:val="00"/>
    <w:family w:val="auto"/>
    <w:pitch w:val="default"/>
    <w:sig w:usb0="00000000" w:usb1="00000000" w:usb2="00000010" w:usb3="00000000" w:csb0="00060001" w:csb1="00000000"/>
  </w:font>
  <w:font w:name="MS PGothic">
    <w:panose1 w:val="020B0600070205080204"/>
    <w:charset w:val="80"/>
    <w:family w:val="auto"/>
    <w:pitch w:val="default"/>
    <w:sig w:usb0="E00002FF" w:usb1="6AC7FDFB" w:usb2="08000012" w:usb3="00000000" w:csb0="4002009F" w:csb1="DFD70000"/>
  </w:font>
  <w:font w:name="华文琥珀">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Times New Roman”“">
    <w:altName w:val="@宋体"/>
    <w:panose1 w:val="00000000000000000000"/>
    <w:charset w:val="86"/>
    <w:family w:val="roman"/>
    <w:pitch w:val="default"/>
    <w:sig w:usb0="00000000" w:usb1="00000000" w:usb2="00000010" w:usb3="00000000" w:csb0="00040000" w:csb1="00000000"/>
  </w:font>
  <w:font w:name="新宋体-18030">
    <w:altName w:val="宋体"/>
    <w:panose1 w:val="02010609060101010101"/>
    <w:charset w:val="86"/>
    <w:family w:val="modern"/>
    <w:pitch w:val="default"/>
    <w:sig w:usb0="00000000" w:usb1="00000000" w:usb2="0000005E" w:usb3="00000000" w:csb0="00040001" w:csb1="00000000"/>
  </w:font>
  <w:font w:name="Gulim">
    <w:altName w:val="Malgun Gothic"/>
    <w:panose1 w:val="020B0600000101010101"/>
    <w:charset w:val="81"/>
    <w:family w:val="swiss"/>
    <w:pitch w:val="default"/>
    <w:sig w:usb0="00000000" w:usb1="00000000" w:usb2="00000030" w:usb3="00000000" w:csb0="0008009F" w:csb1="00000000"/>
  </w:font>
  <w:font w:name="@宋体">
    <w:panose1 w:val="02010600030101010101"/>
    <w:charset w:val="86"/>
    <w:family w:val="auto"/>
    <w:pitch w:val="default"/>
    <w:sig w:usb0="00000003" w:usb1="288F0000" w:usb2="00000006" w:usb3="00000000" w:csb0="00040001" w:csb1="00000000"/>
  </w:font>
  <w:font w:name="@”“Times New Roman”“">
    <w:altName w:val="Segoe Print"/>
    <w:panose1 w:val="00000000000000000000"/>
    <w:charset w:val="00"/>
    <w:family w:val="auto"/>
    <w:pitch w:val="default"/>
    <w:sig w:usb0="00000000" w:usb1="00000000" w:usb2="00000000" w:usb3="00000000" w:csb0="00000000" w:csb1="00000000"/>
  </w:font>
  <w:font w:name="Microsoft YaHei UI">
    <w:panose1 w:val="020B0503020204020204"/>
    <w:charset w:val="86"/>
    <w:family w:val="swiss"/>
    <w:pitch w:val="default"/>
    <w:sig w:usb0="80000287" w:usb1="2ACF3C50" w:usb2="00000016" w:usb3="00000000" w:csb0="0004001F" w:csb1="00000000"/>
  </w:font>
  <w:font w:name="F1">
    <w:altName w:val="方正舒体"/>
    <w:panose1 w:val="00000000000000000000"/>
    <w:charset w:val="86"/>
    <w:family w:val="auto"/>
    <w:pitch w:val="default"/>
    <w:sig w:usb0="00000000" w:usb1="00000000" w:usb2="00000010" w:usb3="00000000" w:csb0="00040000" w:csb1="00000000"/>
  </w:font>
  <w:font w:name="Bold">
    <w:altName w:val="Times New Roman"/>
    <w:panose1 w:val="00000000000000000000"/>
    <w:charset w:val="00"/>
    <w:family w:val="roman"/>
    <w:pitch w:val="default"/>
    <w:sig w:usb0="00000000" w:usb1="00000000" w:usb2="00000000" w:usb3="00000000" w:csb0="00040001" w:csb1="00000000"/>
  </w:font>
  <w:font w:name="宋体..">
    <w:altName w:val="宋体"/>
    <w:panose1 w:val="00000000000000000000"/>
    <w:charset w:val="86"/>
    <w:family w:val="roman"/>
    <w:pitch w:val="default"/>
    <w:sig w:usb0="00000000" w:usb1="00000000" w:usb2="00000010" w:usb3="00000000" w:csb0="00040000" w:csb1="00000000"/>
  </w:font>
  <w:font w:name="Segoe UI Emoji">
    <w:panose1 w:val="020B0502040204020203"/>
    <w:charset w:val="00"/>
    <w:family w:val="swiss"/>
    <w:pitch w:val="default"/>
    <w:sig w:usb0="00000001" w:usb1="02000000" w:usb2="00000000" w:usb3="00000000" w:csb0="00000001" w:csb1="00000000"/>
  </w:font>
  <w:font w:name="ABCDEE+宋体">
    <w:altName w:val="宋体"/>
    <w:panose1 w:val="00000000000000000000"/>
    <w:charset w:val="86"/>
    <w:family w:val="roma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STHeiti">
    <w:altName w:val="Segoe Print"/>
    <w:panose1 w:val="00000000000000000000"/>
    <w:charset w:val="00"/>
    <w:family w:val="auto"/>
    <w:pitch w:val="default"/>
    <w:sig w:usb0="00000000" w:usb1="00000000" w:usb2="00000000" w:usb3="00000000" w:csb0="00000000" w:csb1="00000000"/>
  </w:font>
  <w:font w:name="_x000B__x000C_">
    <w:altName w:val="Times New Roman"/>
    <w:panose1 w:val="00000000000000000000"/>
    <w:charset w:val="00"/>
    <w:family w:val="roman"/>
    <w:pitch w:val="default"/>
    <w:sig w:usb0="00000000" w:usb1="00000000" w:usb2="00000000" w:usb3="00000000" w:csb0="00040001" w:csb1="00000000"/>
  </w:font>
  <w:font w:name="Microsoft JhengHei Light">
    <w:panose1 w:val="020B0304030504040204"/>
    <w:charset w:val="88"/>
    <w:family w:val="auto"/>
    <w:pitch w:val="default"/>
    <w:sig w:usb0="800002A7" w:usb1="28CF4400" w:usb2="00000016" w:usb3="00000000" w:csb0="00100009" w:csb1="00000000"/>
  </w:font>
  <w:font w:name="MingLiU_HKSCS-ExtB">
    <w:panose1 w:val="02020500000000000000"/>
    <w:charset w:val="88"/>
    <w:family w:val="auto"/>
    <w:pitch w:val="default"/>
    <w:sig w:usb0="8000002F" w:usb1="02000008" w:usb2="00000000" w:usb3="00000000" w:csb0="00100001" w:csb1="00000000"/>
  </w:font>
  <w:font w:name="微软雅黑 Light">
    <w:panose1 w:val="020B0502040204020203"/>
    <w:charset w:val="86"/>
    <w:family w:val="auto"/>
    <w:pitch w:val="default"/>
    <w:sig w:usb0="80000287" w:usb1="2ACF0010" w:usb2="00000016" w:usb3="00000000" w:csb0="0004001F" w:csb1="00000000"/>
  </w:font>
  <w:font w:name="Nirmala UI Semilight">
    <w:panose1 w:val="020B0402040204020203"/>
    <w:charset w:val="00"/>
    <w:family w:val="auto"/>
    <w:pitch w:val="default"/>
    <w:sig w:usb0="80FF8023" w:usb1="0200004A" w:usb2="00000200" w:usb3="00040000" w:csb0="00000001" w:csb1="00000000"/>
  </w:font>
  <w:font w:name="Nirmala UI">
    <w:panose1 w:val="020B0502040204020203"/>
    <w:charset w:val="00"/>
    <w:family w:val="auto"/>
    <w:pitch w:val="default"/>
    <w:sig w:usb0="80FF8023" w:usb1="0200004A" w:usb2="00000200" w:usb3="00040000" w:csb0="00000001" w:csb1="00000000"/>
  </w:font>
  <w:font w:name="Palatino Linotype">
    <w:panose1 w:val="02040502050505030304"/>
    <w:charset w:val="00"/>
    <w:family w:val="auto"/>
    <w:pitch w:val="default"/>
    <w:sig w:usb0="E0000287" w:usb1="40000013" w:usb2="00000000" w:usb3="00000000" w:csb0="2000019F" w:csb1="00000000"/>
  </w:font>
  <w:font w:name="Segoe MDL2 Assets">
    <w:panose1 w:val="050A0102010101010101"/>
    <w:charset w:val="00"/>
    <w:family w:val="auto"/>
    <w:pitch w:val="default"/>
    <w:sig w:usb0="00000000" w:usb1="10000000" w:usb2="00000000" w:usb3="00000000" w:csb0="00000001" w:csb1="00000000"/>
  </w:font>
  <w:font w:name="Segoe UI Historic">
    <w:panose1 w:val="020B0502040204020203"/>
    <w:charset w:val="00"/>
    <w:family w:val="auto"/>
    <w:pitch w:val="default"/>
    <w:sig w:usb0="800001EF" w:usb1="02000002" w:usb2="0060C080" w:usb3="00000002" w:csb0="00000001" w:csb1="40000000"/>
  </w:font>
  <w:font w:name="Segoe UI Light">
    <w:panose1 w:val="020B0502040204020203"/>
    <w:charset w:val="00"/>
    <w:family w:val="auto"/>
    <w:pitch w:val="default"/>
    <w:sig w:usb0="E4002EFF" w:usb1="C000E47F" w:usb2="00000009" w:usb3="00000000" w:csb0="200001FF" w:csb1="00000000"/>
  </w:font>
  <w:font w:name="Segoe UI Semilight">
    <w:panose1 w:val="020B0402040204020203"/>
    <w:charset w:val="00"/>
    <w:family w:val="auto"/>
    <w:pitch w:val="default"/>
    <w:sig w:usb0="E4002EFF" w:usb1="C000E47F" w:usb2="00000009" w:usb3="00000000" w:csb0="200001FF" w:csb1="00000000"/>
  </w:font>
  <w:font w:name="Sitka Banner">
    <w:panose1 w:val="02000505000000020004"/>
    <w:charset w:val="00"/>
    <w:family w:val="auto"/>
    <w:pitch w:val="default"/>
    <w:sig w:usb0="A00002EF" w:usb1="4000204B" w:usb2="00000000" w:usb3="00000000" w:csb0="2000019F" w:csb1="00000000"/>
  </w:font>
  <w:font w:name="Sitka Display">
    <w:panose1 w:val="02000505000000020004"/>
    <w:charset w:val="00"/>
    <w:family w:val="auto"/>
    <w:pitch w:val="default"/>
    <w:sig w:usb0="A00002EF" w:usb1="4000204B" w:usb2="00000000" w:usb3="00000000" w:csb0="2000019F" w:csb1="00000000"/>
  </w:font>
  <w:font w:name="Sitka Heading">
    <w:panose1 w:val="02000505000000020004"/>
    <w:charset w:val="00"/>
    <w:family w:val="auto"/>
    <w:pitch w:val="default"/>
    <w:sig w:usb0="A00002EF" w:usb1="4000204B" w:usb2="00000000" w:usb3="00000000" w:csb0="2000019F" w:csb1="00000000"/>
  </w:font>
  <w:font w:name="Sitka Text">
    <w:panose1 w:val="02000505000000020004"/>
    <w:charset w:val="00"/>
    <w:family w:val="auto"/>
    <w:pitch w:val="default"/>
    <w:sig w:usb0="A00002EF" w:usb1="4000204B" w:usb2="00000000" w:usb3="00000000" w:csb0="2000019F" w:csb1="00000000"/>
  </w:font>
  <w:font w:name="Symbol">
    <w:panose1 w:val="05050102010706020507"/>
    <w:charset w:val="00"/>
    <w:family w:val="auto"/>
    <w:pitch w:val="default"/>
    <w:sig w:usb0="00000000" w:usb1="00000000" w:usb2="00000000" w:usb3="00000000" w:csb0="80000000" w:csb1="00000000"/>
  </w:font>
  <w:font w:name="方正宋三简体">
    <w:altName w:val="宋体"/>
    <w:panose1 w:val="00000000000000000000"/>
    <w:charset w:val="86"/>
    <w:family w:val="auto"/>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TimesNewRoman">
    <w:altName w:val="Times New Roman"/>
    <w:panose1 w:val="00000000000000000000"/>
    <w:charset w:val="00"/>
    <w:family w:val="roman"/>
    <w:pitch w:val="default"/>
    <w:sig w:usb0="00000000" w:usb1="00000000" w:usb2="00000000" w:usb3="00000000" w:csb0="00000001" w:csb1="00000000"/>
  </w:font>
  <w:font w:name="Calibri Light">
    <w:panose1 w:val="020F0302020204030204"/>
    <w:charset w:val="00"/>
    <w:family w:val="swiss"/>
    <w:pitch w:val="default"/>
    <w:sig w:usb0="E4002EFF" w:usb1="C000247B" w:usb2="00000009" w:usb3="00000000" w:csb0="200001FF" w:csb1="00000000"/>
  </w:font>
  <w:font w:name="..ì.">
    <w:altName w:val="Arial Unicode MS"/>
    <w:panose1 w:val="00000000000000000000"/>
    <w:charset w:val="86"/>
    <w:family w:val="swiss"/>
    <w:pitch w:val="default"/>
    <w:sig w:usb0="00000000" w:usb1="00000000" w:usb2="00000010" w:usb3="00000000" w:csb0="00040000" w:csb1="00000000"/>
  </w:font>
  <w:font w:name="Times New Roman;Symbol;Arial;婼">
    <w:altName w:val="黑体"/>
    <w:panose1 w:val="00000000000000000000"/>
    <w:charset w:val="86"/>
    <w:family w:val="auto"/>
    <w:pitch w:val="default"/>
    <w:sig w:usb0="00000000" w:usb1="00000000" w:usb2="00000010" w:usb3="00000000" w:csb0="00040000" w:csb1="00000000"/>
  </w:font>
  <w:font w:name="MS PMincho">
    <w:altName w:val="Yu Gothic"/>
    <w:panose1 w:val="00000000000000000000"/>
    <w:charset w:val="80"/>
    <w:family w:val="roman"/>
    <w:pitch w:val="default"/>
    <w:sig w:usb0="00000000" w:usb1="00000000" w:usb2="08000012" w:usb3="00000000" w:csb0="0002009F" w:csb1="00000000"/>
  </w:font>
  <w:font w:name="Georgia">
    <w:panose1 w:val="02040502050405020303"/>
    <w:charset w:val="00"/>
    <w:family w:val="roman"/>
    <w:pitch w:val="default"/>
    <w:sig w:usb0="00000287" w:usb1="00000000" w:usb2="00000000" w:usb3="00000000" w:csb0="2000009F" w:csb1="00000000"/>
  </w:font>
  <w:font w:name="monospace">
    <w:altName w:val="Segoe Print"/>
    <w:panose1 w:val="00000000000000000000"/>
    <w:charset w:val="00"/>
    <w:family w:val="auto"/>
    <w:pitch w:val="default"/>
    <w:sig w:usb0="00000000" w:usb1="00000000" w:usb2="00000000" w:usb3="00000000" w:csb0="00000000" w:csb1="00000000"/>
  </w:font>
  <w:font w:name="宋体..壮..">
    <w:altName w:val="宋体"/>
    <w:panose1 w:val="00000000000000000000"/>
    <w:charset w:val="86"/>
    <w:family w:val="auto"/>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9" w:usb3="00000000" w:csb0="000001FF" w:csb1="00000000"/>
  </w:font>
  <w:font w:name="PingFang SC">
    <w:altName w:val="Segoe Print"/>
    <w:panose1 w:val="00000000000000000000"/>
    <w:charset w:val="00"/>
    <w:family w:val="auto"/>
    <w:pitch w:val="default"/>
    <w:sig w:usb0="00000000" w:usb1="00000000" w:usb2="00000000" w:usb3="00000000" w:csb0="00000000" w:csb1="00000000"/>
  </w:font>
  <w:font w:name="宋体-方正超大字符集">
    <w:altName w:val="宋体"/>
    <w:panose1 w:val="03000509000000000000"/>
    <w:charset w:val="86"/>
    <w:family w:val="script"/>
    <w:pitch w:val="default"/>
    <w:sig w:usb0="00000000" w:usb1="00000000" w:usb2="00000010" w:usb3="00000000" w:csb0="00040000" w:csb1="00000000"/>
  </w:font>
  <w:font w:name="方正粗黑宋简体">
    <w:panose1 w:val="02000000000000000000"/>
    <w:charset w:val="86"/>
    <w:family w:val="auto"/>
    <w:pitch w:val="default"/>
    <w:sig w:usb0="A00002BF" w:usb1="184F6CFA" w:usb2="00000012" w:usb3="00000000" w:csb0="00040001" w:csb1="00000000"/>
  </w:font>
  <w:font w:name="TimesNewRomanPSMT">
    <w:altName w:val="微软雅黑"/>
    <w:panose1 w:val="00000000000000000000"/>
    <w:charset w:val="86"/>
    <w:family w:val="auto"/>
    <w:pitch w:val="default"/>
    <w:sig w:usb0="00000000" w:usb1="00000000" w:usb2="00000010" w:usb3="00000000" w:csb0="00040000" w:csb1="00000000"/>
  </w:font>
  <w:font w:name="å®‹ä½“-GBK-EUC-H-Identity-H">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outside" w:y="1"/>
      <w:rPr>
        <w:rStyle w:val="22"/>
      </w:rPr>
    </w:pPr>
    <w:r>
      <w:rPr>
        <w:rStyle w:val="22"/>
      </w:rPr>
      <w:fldChar w:fldCharType="begin"/>
    </w:r>
    <w:r>
      <w:rPr>
        <w:rStyle w:val="22"/>
      </w:rPr>
      <w:instrText xml:space="preserve">PAGE  </w:instrText>
    </w:r>
    <w:r>
      <w:rPr>
        <w:rStyle w:val="22"/>
      </w:rPr>
      <w:fldChar w:fldCharType="end"/>
    </w:r>
  </w:p>
  <w:p>
    <w:pPr>
      <w:pStyle w:val="1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outside" w:y="1"/>
      <w:rPr>
        <w:rStyle w:val="22"/>
        <w:rFonts w:ascii="宋体" w:hAnsi="宋体"/>
        <w:sz w:val="28"/>
        <w:szCs w:val="28"/>
      </w:rPr>
    </w:pPr>
    <w:r>
      <w:rPr>
        <w:rStyle w:val="22"/>
        <w:rFonts w:hint="eastAsia" w:ascii="宋体" w:hAnsi="宋体"/>
        <w:sz w:val="28"/>
        <w:szCs w:val="28"/>
      </w:rPr>
      <w:t>—</w:t>
    </w:r>
    <w:r>
      <w:rPr>
        <w:rStyle w:val="22"/>
        <w:rFonts w:hint="eastAsia" w:ascii="宋体" w:hAnsi="宋体"/>
        <w:sz w:val="20"/>
        <w:szCs w:val="20"/>
      </w:rPr>
      <w:t xml:space="preserve">  </w:t>
    </w:r>
    <w:r>
      <w:rPr>
        <w:rStyle w:val="22"/>
        <w:rFonts w:ascii="宋体" w:hAnsi="宋体"/>
        <w:sz w:val="26"/>
        <w:szCs w:val="26"/>
      </w:rPr>
      <w:fldChar w:fldCharType="begin"/>
    </w:r>
    <w:r>
      <w:rPr>
        <w:rStyle w:val="22"/>
        <w:rFonts w:ascii="宋体" w:hAnsi="宋体"/>
        <w:sz w:val="26"/>
        <w:szCs w:val="26"/>
      </w:rPr>
      <w:instrText xml:space="preserve">PAGE  </w:instrText>
    </w:r>
    <w:r>
      <w:rPr>
        <w:rStyle w:val="22"/>
        <w:rFonts w:ascii="宋体" w:hAnsi="宋体"/>
        <w:sz w:val="26"/>
        <w:szCs w:val="26"/>
      </w:rPr>
      <w:fldChar w:fldCharType="separate"/>
    </w:r>
    <w:r>
      <w:rPr>
        <w:rStyle w:val="22"/>
        <w:rFonts w:ascii="宋体" w:hAnsi="宋体"/>
        <w:sz w:val="26"/>
        <w:szCs w:val="26"/>
      </w:rPr>
      <w:t>22</w:t>
    </w:r>
    <w:r>
      <w:rPr>
        <w:rStyle w:val="22"/>
        <w:rFonts w:ascii="宋体" w:hAnsi="宋体"/>
        <w:sz w:val="26"/>
        <w:szCs w:val="26"/>
      </w:rPr>
      <w:fldChar w:fldCharType="end"/>
    </w:r>
    <w:r>
      <w:rPr>
        <w:rStyle w:val="22"/>
        <w:rFonts w:hint="eastAsia" w:ascii="宋体" w:hAnsi="宋体"/>
        <w:sz w:val="20"/>
        <w:szCs w:val="20"/>
      </w:rPr>
      <w:t xml:space="preserve">  </w:t>
    </w:r>
    <w:r>
      <w:rPr>
        <w:rStyle w:val="22"/>
        <w:rFonts w:hint="eastAsia" w:ascii="宋体" w:hAnsi="宋体"/>
        <w:sz w:val="28"/>
        <w:szCs w:val="28"/>
      </w:rPr>
      <w:t>—</w:t>
    </w:r>
  </w:p>
  <w:p>
    <w:pPr>
      <w:pStyle w:val="16"/>
      <w:ind w:right="360"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A545F3"/>
    <w:multiLevelType w:val="singleLevel"/>
    <w:tmpl w:val="60A545F3"/>
    <w:lvl w:ilvl="0" w:tentative="0">
      <w:start w:val="2"/>
      <w:numFmt w:val="decimal"/>
      <w:suff w:val="nothing"/>
      <w:lvlText w:val="（%1）"/>
      <w:lvlJc w:val="left"/>
    </w:lvl>
  </w:abstractNum>
  <w:abstractNum w:abstractNumId="1">
    <w:nsid w:val="60A5DE42"/>
    <w:multiLevelType w:val="singleLevel"/>
    <w:tmpl w:val="60A5DE42"/>
    <w:lvl w:ilvl="0" w:tentative="0">
      <w:start w:val="1"/>
      <w:numFmt w:val="decimal"/>
      <w:suff w:val="nothing"/>
      <w:lvlText w:val="（%1）"/>
      <w:lvlJc w:val="left"/>
    </w:lvl>
  </w:abstractNum>
  <w:abstractNum w:abstractNumId="2">
    <w:nsid w:val="60A8C9F4"/>
    <w:multiLevelType w:val="singleLevel"/>
    <w:tmpl w:val="60A8C9F4"/>
    <w:lvl w:ilvl="0" w:tentative="0">
      <w:start w:val="1"/>
      <w:numFmt w:val="decimal"/>
      <w:suff w:val="nothing"/>
      <w:lvlText w:val="（%1）"/>
      <w:lvlJc w:val="left"/>
    </w:lvl>
  </w:abstractNum>
  <w:abstractNum w:abstractNumId="3">
    <w:nsid w:val="60AA5A7D"/>
    <w:multiLevelType w:val="singleLevel"/>
    <w:tmpl w:val="60AA5A7D"/>
    <w:lvl w:ilvl="0" w:tentative="0">
      <w:start w:val="3"/>
      <w:numFmt w:val="decimal"/>
      <w:suff w:val="nothing"/>
      <w:lvlText w:val="（%1）"/>
      <w:lvlJc w:val="left"/>
    </w:lvl>
  </w:abstractNum>
  <w:abstractNum w:abstractNumId="4">
    <w:nsid w:val="60B3C613"/>
    <w:multiLevelType w:val="singleLevel"/>
    <w:tmpl w:val="60B3C613"/>
    <w:lvl w:ilvl="0" w:tentative="0">
      <w:start w:val="3"/>
      <w:numFmt w:val="decimal"/>
      <w:suff w:val="nothing"/>
      <w:lvlText w:val="（%1）"/>
      <w:lvlJc w:val="left"/>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trackedChanges"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947"/>
    <w:rsid w:val="00001CED"/>
    <w:rsid w:val="00001E67"/>
    <w:rsid w:val="00003CD8"/>
    <w:rsid w:val="00006040"/>
    <w:rsid w:val="00014965"/>
    <w:rsid w:val="0001523A"/>
    <w:rsid w:val="00016ECB"/>
    <w:rsid w:val="000269F6"/>
    <w:rsid w:val="000278F0"/>
    <w:rsid w:val="00031939"/>
    <w:rsid w:val="00032D25"/>
    <w:rsid w:val="00050BFF"/>
    <w:rsid w:val="0005219D"/>
    <w:rsid w:val="00053402"/>
    <w:rsid w:val="0005568F"/>
    <w:rsid w:val="0006153D"/>
    <w:rsid w:val="00061B1F"/>
    <w:rsid w:val="000664DB"/>
    <w:rsid w:val="000701F8"/>
    <w:rsid w:val="0007127D"/>
    <w:rsid w:val="00071AE5"/>
    <w:rsid w:val="00074783"/>
    <w:rsid w:val="000801E0"/>
    <w:rsid w:val="00082A29"/>
    <w:rsid w:val="0008331D"/>
    <w:rsid w:val="00083C18"/>
    <w:rsid w:val="00092899"/>
    <w:rsid w:val="00094A19"/>
    <w:rsid w:val="000A178E"/>
    <w:rsid w:val="000A557E"/>
    <w:rsid w:val="000B058F"/>
    <w:rsid w:val="000B16B7"/>
    <w:rsid w:val="000B693F"/>
    <w:rsid w:val="000C09AC"/>
    <w:rsid w:val="000C0A63"/>
    <w:rsid w:val="000C437E"/>
    <w:rsid w:val="000C7084"/>
    <w:rsid w:val="000E5F16"/>
    <w:rsid w:val="000F4452"/>
    <w:rsid w:val="000F6DA1"/>
    <w:rsid w:val="000F701B"/>
    <w:rsid w:val="000F7609"/>
    <w:rsid w:val="001056A0"/>
    <w:rsid w:val="00110CC0"/>
    <w:rsid w:val="001123D0"/>
    <w:rsid w:val="00115279"/>
    <w:rsid w:val="00117459"/>
    <w:rsid w:val="0011749A"/>
    <w:rsid w:val="00127A68"/>
    <w:rsid w:val="00136CAC"/>
    <w:rsid w:val="00140B13"/>
    <w:rsid w:val="00141B68"/>
    <w:rsid w:val="001466DA"/>
    <w:rsid w:val="0015300D"/>
    <w:rsid w:val="00154DE1"/>
    <w:rsid w:val="00155B40"/>
    <w:rsid w:val="00157435"/>
    <w:rsid w:val="00163EEA"/>
    <w:rsid w:val="00167A07"/>
    <w:rsid w:val="0017046A"/>
    <w:rsid w:val="001704A3"/>
    <w:rsid w:val="00173382"/>
    <w:rsid w:val="00173F24"/>
    <w:rsid w:val="0017504D"/>
    <w:rsid w:val="00177422"/>
    <w:rsid w:val="00184BB4"/>
    <w:rsid w:val="00184F10"/>
    <w:rsid w:val="00185546"/>
    <w:rsid w:val="0019146B"/>
    <w:rsid w:val="00194398"/>
    <w:rsid w:val="0019468F"/>
    <w:rsid w:val="00196342"/>
    <w:rsid w:val="001A03F6"/>
    <w:rsid w:val="001A272F"/>
    <w:rsid w:val="001A7D2A"/>
    <w:rsid w:val="001B574C"/>
    <w:rsid w:val="001C0623"/>
    <w:rsid w:val="001C0AF9"/>
    <w:rsid w:val="001C155A"/>
    <w:rsid w:val="001C48C0"/>
    <w:rsid w:val="001C4C7F"/>
    <w:rsid w:val="001C655C"/>
    <w:rsid w:val="001D326A"/>
    <w:rsid w:val="001D6726"/>
    <w:rsid w:val="001E27D9"/>
    <w:rsid w:val="001F3347"/>
    <w:rsid w:val="001F4440"/>
    <w:rsid w:val="001F69E4"/>
    <w:rsid w:val="00206A65"/>
    <w:rsid w:val="00206FF2"/>
    <w:rsid w:val="00212D31"/>
    <w:rsid w:val="002130C7"/>
    <w:rsid w:val="002218A8"/>
    <w:rsid w:val="0022306D"/>
    <w:rsid w:val="00226574"/>
    <w:rsid w:val="002278EC"/>
    <w:rsid w:val="002357C7"/>
    <w:rsid w:val="00236348"/>
    <w:rsid w:val="002367C4"/>
    <w:rsid w:val="0025069B"/>
    <w:rsid w:val="0025679E"/>
    <w:rsid w:val="00260C68"/>
    <w:rsid w:val="0026324D"/>
    <w:rsid w:val="002648B0"/>
    <w:rsid w:val="00267990"/>
    <w:rsid w:val="00270DAA"/>
    <w:rsid w:val="00275271"/>
    <w:rsid w:val="0027535E"/>
    <w:rsid w:val="00275AA6"/>
    <w:rsid w:val="002807D5"/>
    <w:rsid w:val="00282CCD"/>
    <w:rsid w:val="002934C7"/>
    <w:rsid w:val="002A168C"/>
    <w:rsid w:val="002A2C48"/>
    <w:rsid w:val="002A3B20"/>
    <w:rsid w:val="002A3EED"/>
    <w:rsid w:val="002A4A39"/>
    <w:rsid w:val="002A5A17"/>
    <w:rsid w:val="002A6126"/>
    <w:rsid w:val="002A6425"/>
    <w:rsid w:val="002B2781"/>
    <w:rsid w:val="002B43DC"/>
    <w:rsid w:val="002B49E2"/>
    <w:rsid w:val="002B5CD2"/>
    <w:rsid w:val="002B7B00"/>
    <w:rsid w:val="002B7C44"/>
    <w:rsid w:val="002C1388"/>
    <w:rsid w:val="002C3A59"/>
    <w:rsid w:val="002C3C6A"/>
    <w:rsid w:val="002D42DB"/>
    <w:rsid w:val="002D68AE"/>
    <w:rsid w:val="002E1F3A"/>
    <w:rsid w:val="002E298A"/>
    <w:rsid w:val="002E2AAB"/>
    <w:rsid w:val="002E3DC1"/>
    <w:rsid w:val="002F02A4"/>
    <w:rsid w:val="002F2379"/>
    <w:rsid w:val="002F272B"/>
    <w:rsid w:val="002F50FB"/>
    <w:rsid w:val="002F7C6D"/>
    <w:rsid w:val="003027E4"/>
    <w:rsid w:val="0030332C"/>
    <w:rsid w:val="00312296"/>
    <w:rsid w:val="0031340E"/>
    <w:rsid w:val="00316464"/>
    <w:rsid w:val="0032073A"/>
    <w:rsid w:val="00321D8E"/>
    <w:rsid w:val="0032699E"/>
    <w:rsid w:val="00333E95"/>
    <w:rsid w:val="00334996"/>
    <w:rsid w:val="003355B7"/>
    <w:rsid w:val="00336969"/>
    <w:rsid w:val="00336C52"/>
    <w:rsid w:val="00340EE9"/>
    <w:rsid w:val="00341B3E"/>
    <w:rsid w:val="00341B42"/>
    <w:rsid w:val="00345154"/>
    <w:rsid w:val="0034560E"/>
    <w:rsid w:val="00350523"/>
    <w:rsid w:val="00352975"/>
    <w:rsid w:val="00356868"/>
    <w:rsid w:val="0036485B"/>
    <w:rsid w:val="00373B0D"/>
    <w:rsid w:val="00376988"/>
    <w:rsid w:val="00381A72"/>
    <w:rsid w:val="0039685F"/>
    <w:rsid w:val="003A1948"/>
    <w:rsid w:val="003A1A03"/>
    <w:rsid w:val="003A25AC"/>
    <w:rsid w:val="003A6A7B"/>
    <w:rsid w:val="003A776E"/>
    <w:rsid w:val="003A7CF2"/>
    <w:rsid w:val="003B152A"/>
    <w:rsid w:val="003B545B"/>
    <w:rsid w:val="003D3EE9"/>
    <w:rsid w:val="003D4209"/>
    <w:rsid w:val="003E261C"/>
    <w:rsid w:val="003E7681"/>
    <w:rsid w:val="003F004B"/>
    <w:rsid w:val="003F0809"/>
    <w:rsid w:val="003F3D23"/>
    <w:rsid w:val="003F611C"/>
    <w:rsid w:val="003F755C"/>
    <w:rsid w:val="00406F01"/>
    <w:rsid w:val="00407C07"/>
    <w:rsid w:val="00410343"/>
    <w:rsid w:val="00411B36"/>
    <w:rsid w:val="00411F03"/>
    <w:rsid w:val="004121D7"/>
    <w:rsid w:val="00416D50"/>
    <w:rsid w:val="004170AE"/>
    <w:rsid w:val="00417772"/>
    <w:rsid w:val="00420E6A"/>
    <w:rsid w:val="004277DF"/>
    <w:rsid w:val="00430FF5"/>
    <w:rsid w:val="00433CA9"/>
    <w:rsid w:val="0043521D"/>
    <w:rsid w:val="00435966"/>
    <w:rsid w:val="00442024"/>
    <w:rsid w:val="0044254C"/>
    <w:rsid w:val="00443F6A"/>
    <w:rsid w:val="0044709D"/>
    <w:rsid w:val="00450A17"/>
    <w:rsid w:val="00463D6B"/>
    <w:rsid w:val="00466321"/>
    <w:rsid w:val="004672AF"/>
    <w:rsid w:val="004727B0"/>
    <w:rsid w:val="00480247"/>
    <w:rsid w:val="0048081D"/>
    <w:rsid w:val="0048117E"/>
    <w:rsid w:val="0048305A"/>
    <w:rsid w:val="00483EA6"/>
    <w:rsid w:val="004855F6"/>
    <w:rsid w:val="00486F0C"/>
    <w:rsid w:val="00494670"/>
    <w:rsid w:val="004A0EB4"/>
    <w:rsid w:val="004A3823"/>
    <w:rsid w:val="004A59BB"/>
    <w:rsid w:val="004B43A3"/>
    <w:rsid w:val="004B4C49"/>
    <w:rsid w:val="004B58A5"/>
    <w:rsid w:val="004B63D9"/>
    <w:rsid w:val="004C0882"/>
    <w:rsid w:val="004C16B5"/>
    <w:rsid w:val="004C39F3"/>
    <w:rsid w:val="004C55BE"/>
    <w:rsid w:val="004D2C92"/>
    <w:rsid w:val="004E5AE5"/>
    <w:rsid w:val="004E5B30"/>
    <w:rsid w:val="004F0779"/>
    <w:rsid w:val="004F1230"/>
    <w:rsid w:val="004F173F"/>
    <w:rsid w:val="004F177C"/>
    <w:rsid w:val="004F2DCE"/>
    <w:rsid w:val="004F78E3"/>
    <w:rsid w:val="005039CB"/>
    <w:rsid w:val="0050425E"/>
    <w:rsid w:val="00504650"/>
    <w:rsid w:val="0050558F"/>
    <w:rsid w:val="005057E0"/>
    <w:rsid w:val="00506286"/>
    <w:rsid w:val="00510813"/>
    <w:rsid w:val="00511DE0"/>
    <w:rsid w:val="00517F02"/>
    <w:rsid w:val="00524547"/>
    <w:rsid w:val="005258A2"/>
    <w:rsid w:val="0052689D"/>
    <w:rsid w:val="00527773"/>
    <w:rsid w:val="00530F7C"/>
    <w:rsid w:val="0053245E"/>
    <w:rsid w:val="00534567"/>
    <w:rsid w:val="00534F43"/>
    <w:rsid w:val="00535A84"/>
    <w:rsid w:val="00536889"/>
    <w:rsid w:val="005405A2"/>
    <w:rsid w:val="00542E07"/>
    <w:rsid w:val="00554A7B"/>
    <w:rsid w:val="0055572C"/>
    <w:rsid w:val="0056064F"/>
    <w:rsid w:val="00561B84"/>
    <w:rsid w:val="00571D98"/>
    <w:rsid w:val="005720AE"/>
    <w:rsid w:val="0057229F"/>
    <w:rsid w:val="0058030D"/>
    <w:rsid w:val="00582045"/>
    <w:rsid w:val="00590AE3"/>
    <w:rsid w:val="005918F1"/>
    <w:rsid w:val="005921D0"/>
    <w:rsid w:val="005960A9"/>
    <w:rsid w:val="005A06B7"/>
    <w:rsid w:val="005A1759"/>
    <w:rsid w:val="005A78B9"/>
    <w:rsid w:val="005D0369"/>
    <w:rsid w:val="005D41A4"/>
    <w:rsid w:val="005D53FE"/>
    <w:rsid w:val="005D7A0F"/>
    <w:rsid w:val="005E0438"/>
    <w:rsid w:val="005E1791"/>
    <w:rsid w:val="005E2CE6"/>
    <w:rsid w:val="005E6324"/>
    <w:rsid w:val="005F228B"/>
    <w:rsid w:val="005F29CD"/>
    <w:rsid w:val="005F4DFB"/>
    <w:rsid w:val="005F6CC0"/>
    <w:rsid w:val="00603E5B"/>
    <w:rsid w:val="00604BC8"/>
    <w:rsid w:val="00615B4C"/>
    <w:rsid w:val="00615B5D"/>
    <w:rsid w:val="0062146F"/>
    <w:rsid w:val="00632970"/>
    <w:rsid w:val="006343AF"/>
    <w:rsid w:val="0063634A"/>
    <w:rsid w:val="0064250D"/>
    <w:rsid w:val="006449EC"/>
    <w:rsid w:val="00646A87"/>
    <w:rsid w:val="0064751E"/>
    <w:rsid w:val="006535EB"/>
    <w:rsid w:val="00663016"/>
    <w:rsid w:val="00670502"/>
    <w:rsid w:val="00674605"/>
    <w:rsid w:val="006748B8"/>
    <w:rsid w:val="00674AFC"/>
    <w:rsid w:val="006779D1"/>
    <w:rsid w:val="006832AF"/>
    <w:rsid w:val="0068535B"/>
    <w:rsid w:val="0068736E"/>
    <w:rsid w:val="0069290A"/>
    <w:rsid w:val="0069624C"/>
    <w:rsid w:val="00697032"/>
    <w:rsid w:val="006975AC"/>
    <w:rsid w:val="006A15FB"/>
    <w:rsid w:val="006A3C0A"/>
    <w:rsid w:val="006A5C61"/>
    <w:rsid w:val="006A72BF"/>
    <w:rsid w:val="006B0661"/>
    <w:rsid w:val="006B332A"/>
    <w:rsid w:val="006B33BD"/>
    <w:rsid w:val="006B696D"/>
    <w:rsid w:val="006C03E5"/>
    <w:rsid w:val="006C3F75"/>
    <w:rsid w:val="006D0393"/>
    <w:rsid w:val="006D170E"/>
    <w:rsid w:val="006D5F08"/>
    <w:rsid w:val="006D65BE"/>
    <w:rsid w:val="006E06AF"/>
    <w:rsid w:val="006E08F5"/>
    <w:rsid w:val="006F1789"/>
    <w:rsid w:val="006F7AEB"/>
    <w:rsid w:val="00706C5D"/>
    <w:rsid w:val="007118E6"/>
    <w:rsid w:val="007225C9"/>
    <w:rsid w:val="0072799F"/>
    <w:rsid w:val="00731D92"/>
    <w:rsid w:val="00735CD7"/>
    <w:rsid w:val="00747709"/>
    <w:rsid w:val="00754034"/>
    <w:rsid w:val="00754BF1"/>
    <w:rsid w:val="00755A30"/>
    <w:rsid w:val="00755E1C"/>
    <w:rsid w:val="00756556"/>
    <w:rsid w:val="00757B5B"/>
    <w:rsid w:val="0076132B"/>
    <w:rsid w:val="00761778"/>
    <w:rsid w:val="007623AE"/>
    <w:rsid w:val="00770B19"/>
    <w:rsid w:val="00774FA0"/>
    <w:rsid w:val="00776620"/>
    <w:rsid w:val="00777B6D"/>
    <w:rsid w:val="00784855"/>
    <w:rsid w:val="00784F39"/>
    <w:rsid w:val="0078545C"/>
    <w:rsid w:val="007906C4"/>
    <w:rsid w:val="007940EA"/>
    <w:rsid w:val="007967E8"/>
    <w:rsid w:val="007A309D"/>
    <w:rsid w:val="007A63F2"/>
    <w:rsid w:val="007B5151"/>
    <w:rsid w:val="007B68DE"/>
    <w:rsid w:val="007C1857"/>
    <w:rsid w:val="007C514F"/>
    <w:rsid w:val="007D0F95"/>
    <w:rsid w:val="007D7ECB"/>
    <w:rsid w:val="007E25A1"/>
    <w:rsid w:val="007E4BD2"/>
    <w:rsid w:val="007E7145"/>
    <w:rsid w:val="007E7B19"/>
    <w:rsid w:val="007F3916"/>
    <w:rsid w:val="00801179"/>
    <w:rsid w:val="0080187A"/>
    <w:rsid w:val="00802479"/>
    <w:rsid w:val="00805372"/>
    <w:rsid w:val="00805B7B"/>
    <w:rsid w:val="0081293E"/>
    <w:rsid w:val="008134EE"/>
    <w:rsid w:val="00814FFB"/>
    <w:rsid w:val="00820568"/>
    <w:rsid w:val="0082562D"/>
    <w:rsid w:val="00831A80"/>
    <w:rsid w:val="00832B39"/>
    <w:rsid w:val="008332C8"/>
    <w:rsid w:val="00833743"/>
    <w:rsid w:val="00833AFB"/>
    <w:rsid w:val="008340A4"/>
    <w:rsid w:val="008340B6"/>
    <w:rsid w:val="00836799"/>
    <w:rsid w:val="00837028"/>
    <w:rsid w:val="00837131"/>
    <w:rsid w:val="00843379"/>
    <w:rsid w:val="00844831"/>
    <w:rsid w:val="00845F57"/>
    <w:rsid w:val="008465A5"/>
    <w:rsid w:val="008521E0"/>
    <w:rsid w:val="008525B0"/>
    <w:rsid w:val="00862767"/>
    <w:rsid w:val="00863120"/>
    <w:rsid w:val="00867CBC"/>
    <w:rsid w:val="008754AF"/>
    <w:rsid w:val="00876C30"/>
    <w:rsid w:val="00877017"/>
    <w:rsid w:val="008773C0"/>
    <w:rsid w:val="00880364"/>
    <w:rsid w:val="00886C4C"/>
    <w:rsid w:val="0088711C"/>
    <w:rsid w:val="00892ECF"/>
    <w:rsid w:val="00892F06"/>
    <w:rsid w:val="00894285"/>
    <w:rsid w:val="008A0DAC"/>
    <w:rsid w:val="008A40AE"/>
    <w:rsid w:val="008A4E19"/>
    <w:rsid w:val="008A67C5"/>
    <w:rsid w:val="008B0DA4"/>
    <w:rsid w:val="008B22E1"/>
    <w:rsid w:val="008B3C78"/>
    <w:rsid w:val="008B4AE9"/>
    <w:rsid w:val="008C01DF"/>
    <w:rsid w:val="008C30AD"/>
    <w:rsid w:val="008C686C"/>
    <w:rsid w:val="008D068E"/>
    <w:rsid w:val="008D0F7A"/>
    <w:rsid w:val="008D63BE"/>
    <w:rsid w:val="008E0CFF"/>
    <w:rsid w:val="008E5146"/>
    <w:rsid w:val="008E5D6B"/>
    <w:rsid w:val="008E689B"/>
    <w:rsid w:val="008E76F0"/>
    <w:rsid w:val="008F15FE"/>
    <w:rsid w:val="008F2A94"/>
    <w:rsid w:val="008F5187"/>
    <w:rsid w:val="008F555B"/>
    <w:rsid w:val="008F709C"/>
    <w:rsid w:val="0090312B"/>
    <w:rsid w:val="00904961"/>
    <w:rsid w:val="00904D91"/>
    <w:rsid w:val="00907DF4"/>
    <w:rsid w:val="0091736D"/>
    <w:rsid w:val="00931001"/>
    <w:rsid w:val="00931863"/>
    <w:rsid w:val="00933214"/>
    <w:rsid w:val="00933524"/>
    <w:rsid w:val="00936277"/>
    <w:rsid w:val="0094278D"/>
    <w:rsid w:val="0095308A"/>
    <w:rsid w:val="00955AEE"/>
    <w:rsid w:val="00955E11"/>
    <w:rsid w:val="00956F14"/>
    <w:rsid w:val="009620FD"/>
    <w:rsid w:val="0096247A"/>
    <w:rsid w:val="00965F4B"/>
    <w:rsid w:val="00970F8A"/>
    <w:rsid w:val="00971FB5"/>
    <w:rsid w:val="00972D2A"/>
    <w:rsid w:val="00975CC5"/>
    <w:rsid w:val="00976328"/>
    <w:rsid w:val="00976B4E"/>
    <w:rsid w:val="00984458"/>
    <w:rsid w:val="00985283"/>
    <w:rsid w:val="00987322"/>
    <w:rsid w:val="009946AC"/>
    <w:rsid w:val="00994F7C"/>
    <w:rsid w:val="009A0F3B"/>
    <w:rsid w:val="009A72C7"/>
    <w:rsid w:val="009B0897"/>
    <w:rsid w:val="009B23C7"/>
    <w:rsid w:val="009B5013"/>
    <w:rsid w:val="009B636A"/>
    <w:rsid w:val="009C53A2"/>
    <w:rsid w:val="009D0852"/>
    <w:rsid w:val="009D1FBF"/>
    <w:rsid w:val="009E399C"/>
    <w:rsid w:val="009E43C1"/>
    <w:rsid w:val="009E7E95"/>
    <w:rsid w:val="009F116F"/>
    <w:rsid w:val="009F329E"/>
    <w:rsid w:val="009F6E13"/>
    <w:rsid w:val="009F7ED3"/>
    <w:rsid w:val="00A001ED"/>
    <w:rsid w:val="00A03607"/>
    <w:rsid w:val="00A047FF"/>
    <w:rsid w:val="00A04FEF"/>
    <w:rsid w:val="00A122CD"/>
    <w:rsid w:val="00A12A32"/>
    <w:rsid w:val="00A14248"/>
    <w:rsid w:val="00A14947"/>
    <w:rsid w:val="00A23DC5"/>
    <w:rsid w:val="00A2767C"/>
    <w:rsid w:val="00A34028"/>
    <w:rsid w:val="00A35568"/>
    <w:rsid w:val="00A3573C"/>
    <w:rsid w:val="00A35C8A"/>
    <w:rsid w:val="00A35D3C"/>
    <w:rsid w:val="00A37056"/>
    <w:rsid w:val="00A41DFF"/>
    <w:rsid w:val="00A4358F"/>
    <w:rsid w:val="00A46F67"/>
    <w:rsid w:val="00A51E38"/>
    <w:rsid w:val="00A54AA1"/>
    <w:rsid w:val="00A568FF"/>
    <w:rsid w:val="00A61496"/>
    <w:rsid w:val="00A61833"/>
    <w:rsid w:val="00A624C6"/>
    <w:rsid w:val="00A63CEC"/>
    <w:rsid w:val="00A7031E"/>
    <w:rsid w:val="00A728B1"/>
    <w:rsid w:val="00A763DE"/>
    <w:rsid w:val="00A803D6"/>
    <w:rsid w:val="00A81282"/>
    <w:rsid w:val="00A86EE0"/>
    <w:rsid w:val="00A870F9"/>
    <w:rsid w:val="00A8713F"/>
    <w:rsid w:val="00A91167"/>
    <w:rsid w:val="00A9171C"/>
    <w:rsid w:val="00A92FFD"/>
    <w:rsid w:val="00A93D0B"/>
    <w:rsid w:val="00A95975"/>
    <w:rsid w:val="00A9708D"/>
    <w:rsid w:val="00AA2C17"/>
    <w:rsid w:val="00AA4172"/>
    <w:rsid w:val="00AA6FFB"/>
    <w:rsid w:val="00AA7863"/>
    <w:rsid w:val="00AB1914"/>
    <w:rsid w:val="00AB5330"/>
    <w:rsid w:val="00AB7747"/>
    <w:rsid w:val="00AC2532"/>
    <w:rsid w:val="00AC5059"/>
    <w:rsid w:val="00AD1507"/>
    <w:rsid w:val="00AD5A70"/>
    <w:rsid w:val="00AD738B"/>
    <w:rsid w:val="00AD7D70"/>
    <w:rsid w:val="00AE1BF4"/>
    <w:rsid w:val="00AE3C1B"/>
    <w:rsid w:val="00AE5D97"/>
    <w:rsid w:val="00AE6794"/>
    <w:rsid w:val="00B01110"/>
    <w:rsid w:val="00B02262"/>
    <w:rsid w:val="00B022D6"/>
    <w:rsid w:val="00B03CEC"/>
    <w:rsid w:val="00B074A5"/>
    <w:rsid w:val="00B10976"/>
    <w:rsid w:val="00B1209F"/>
    <w:rsid w:val="00B12AD0"/>
    <w:rsid w:val="00B1758A"/>
    <w:rsid w:val="00B24F30"/>
    <w:rsid w:val="00B31ABF"/>
    <w:rsid w:val="00B32E23"/>
    <w:rsid w:val="00B335AE"/>
    <w:rsid w:val="00B37CE1"/>
    <w:rsid w:val="00B40ACF"/>
    <w:rsid w:val="00B4344D"/>
    <w:rsid w:val="00B46BAA"/>
    <w:rsid w:val="00B50B5F"/>
    <w:rsid w:val="00B54128"/>
    <w:rsid w:val="00B55826"/>
    <w:rsid w:val="00B570F9"/>
    <w:rsid w:val="00B60426"/>
    <w:rsid w:val="00B622DD"/>
    <w:rsid w:val="00B631C8"/>
    <w:rsid w:val="00B63522"/>
    <w:rsid w:val="00B711DC"/>
    <w:rsid w:val="00B72271"/>
    <w:rsid w:val="00B763A2"/>
    <w:rsid w:val="00B76F1D"/>
    <w:rsid w:val="00B905AC"/>
    <w:rsid w:val="00B92A19"/>
    <w:rsid w:val="00B9544C"/>
    <w:rsid w:val="00BA29E9"/>
    <w:rsid w:val="00BA5485"/>
    <w:rsid w:val="00BB3618"/>
    <w:rsid w:val="00BB5CA6"/>
    <w:rsid w:val="00BC0C9E"/>
    <w:rsid w:val="00BC294B"/>
    <w:rsid w:val="00BC32DC"/>
    <w:rsid w:val="00BC3734"/>
    <w:rsid w:val="00BD10BE"/>
    <w:rsid w:val="00BD1B51"/>
    <w:rsid w:val="00BD47F6"/>
    <w:rsid w:val="00BE312D"/>
    <w:rsid w:val="00BE3FCA"/>
    <w:rsid w:val="00BE54EA"/>
    <w:rsid w:val="00BE6A5E"/>
    <w:rsid w:val="00BE76A6"/>
    <w:rsid w:val="00C05719"/>
    <w:rsid w:val="00C10578"/>
    <w:rsid w:val="00C15DBA"/>
    <w:rsid w:val="00C17D62"/>
    <w:rsid w:val="00C21FDC"/>
    <w:rsid w:val="00C24EE7"/>
    <w:rsid w:val="00C2596A"/>
    <w:rsid w:val="00C271BE"/>
    <w:rsid w:val="00C27425"/>
    <w:rsid w:val="00C328FE"/>
    <w:rsid w:val="00C33A05"/>
    <w:rsid w:val="00C350FF"/>
    <w:rsid w:val="00C356FE"/>
    <w:rsid w:val="00C42500"/>
    <w:rsid w:val="00C4409D"/>
    <w:rsid w:val="00C455BE"/>
    <w:rsid w:val="00C51E5F"/>
    <w:rsid w:val="00C5364C"/>
    <w:rsid w:val="00C55F60"/>
    <w:rsid w:val="00C61E4B"/>
    <w:rsid w:val="00C62E3A"/>
    <w:rsid w:val="00C64503"/>
    <w:rsid w:val="00C64A1F"/>
    <w:rsid w:val="00C64BFF"/>
    <w:rsid w:val="00C64FEE"/>
    <w:rsid w:val="00C66D02"/>
    <w:rsid w:val="00C75EBD"/>
    <w:rsid w:val="00C763C9"/>
    <w:rsid w:val="00C76EA8"/>
    <w:rsid w:val="00C80057"/>
    <w:rsid w:val="00C82C79"/>
    <w:rsid w:val="00C84753"/>
    <w:rsid w:val="00C85CC7"/>
    <w:rsid w:val="00C91611"/>
    <w:rsid w:val="00CA1339"/>
    <w:rsid w:val="00CA3585"/>
    <w:rsid w:val="00CA3D5A"/>
    <w:rsid w:val="00CA4C7C"/>
    <w:rsid w:val="00CB0183"/>
    <w:rsid w:val="00CB1EA3"/>
    <w:rsid w:val="00CB3397"/>
    <w:rsid w:val="00CB41CD"/>
    <w:rsid w:val="00CB552C"/>
    <w:rsid w:val="00CB6A9E"/>
    <w:rsid w:val="00CC6181"/>
    <w:rsid w:val="00CC7B84"/>
    <w:rsid w:val="00CD2BCD"/>
    <w:rsid w:val="00CD2FAA"/>
    <w:rsid w:val="00CD36AA"/>
    <w:rsid w:val="00CD3791"/>
    <w:rsid w:val="00CD65B0"/>
    <w:rsid w:val="00CE02CD"/>
    <w:rsid w:val="00CE10E9"/>
    <w:rsid w:val="00CE2A17"/>
    <w:rsid w:val="00CE2CED"/>
    <w:rsid w:val="00CF178B"/>
    <w:rsid w:val="00CF52FD"/>
    <w:rsid w:val="00CF6395"/>
    <w:rsid w:val="00D0072E"/>
    <w:rsid w:val="00D0340B"/>
    <w:rsid w:val="00D03E0D"/>
    <w:rsid w:val="00D15727"/>
    <w:rsid w:val="00D16332"/>
    <w:rsid w:val="00D16B62"/>
    <w:rsid w:val="00D24972"/>
    <w:rsid w:val="00D2497B"/>
    <w:rsid w:val="00D2515E"/>
    <w:rsid w:val="00D308ED"/>
    <w:rsid w:val="00D5323D"/>
    <w:rsid w:val="00D546B8"/>
    <w:rsid w:val="00D54988"/>
    <w:rsid w:val="00D56178"/>
    <w:rsid w:val="00D56CF0"/>
    <w:rsid w:val="00D56F5C"/>
    <w:rsid w:val="00D57357"/>
    <w:rsid w:val="00D704B1"/>
    <w:rsid w:val="00D70B63"/>
    <w:rsid w:val="00D70E60"/>
    <w:rsid w:val="00D72B92"/>
    <w:rsid w:val="00D72ED4"/>
    <w:rsid w:val="00D73F61"/>
    <w:rsid w:val="00D747E4"/>
    <w:rsid w:val="00D754C0"/>
    <w:rsid w:val="00D776A2"/>
    <w:rsid w:val="00D801C4"/>
    <w:rsid w:val="00D81DDC"/>
    <w:rsid w:val="00D90836"/>
    <w:rsid w:val="00D95896"/>
    <w:rsid w:val="00D95CC6"/>
    <w:rsid w:val="00DA2DA3"/>
    <w:rsid w:val="00DA4C42"/>
    <w:rsid w:val="00DA6615"/>
    <w:rsid w:val="00DA76AE"/>
    <w:rsid w:val="00DB181E"/>
    <w:rsid w:val="00DB1C7A"/>
    <w:rsid w:val="00DB2983"/>
    <w:rsid w:val="00DB343D"/>
    <w:rsid w:val="00DB5579"/>
    <w:rsid w:val="00DB5CFE"/>
    <w:rsid w:val="00DC72A6"/>
    <w:rsid w:val="00DD2113"/>
    <w:rsid w:val="00DD265E"/>
    <w:rsid w:val="00DE66CE"/>
    <w:rsid w:val="00DF0FE1"/>
    <w:rsid w:val="00DF1930"/>
    <w:rsid w:val="00DF3F46"/>
    <w:rsid w:val="00DF514A"/>
    <w:rsid w:val="00E0358D"/>
    <w:rsid w:val="00E06327"/>
    <w:rsid w:val="00E065B9"/>
    <w:rsid w:val="00E12D3D"/>
    <w:rsid w:val="00E155D0"/>
    <w:rsid w:val="00E15C43"/>
    <w:rsid w:val="00E2064B"/>
    <w:rsid w:val="00E21041"/>
    <w:rsid w:val="00E24B24"/>
    <w:rsid w:val="00E25239"/>
    <w:rsid w:val="00E265B1"/>
    <w:rsid w:val="00E275B0"/>
    <w:rsid w:val="00E412D0"/>
    <w:rsid w:val="00E47CDB"/>
    <w:rsid w:val="00E50A98"/>
    <w:rsid w:val="00E53D3F"/>
    <w:rsid w:val="00E566BC"/>
    <w:rsid w:val="00E60982"/>
    <w:rsid w:val="00E60C8D"/>
    <w:rsid w:val="00E6162F"/>
    <w:rsid w:val="00E6311B"/>
    <w:rsid w:val="00E64A64"/>
    <w:rsid w:val="00E65D97"/>
    <w:rsid w:val="00E67EFD"/>
    <w:rsid w:val="00E702DC"/>
    <w:rsid w:val="00E71FFB"/>
    <w:rsid w:val="00E76D1D"/>
    <w:rsid w:val="00E806F8"/>
    <w:rsid w:val="00E82D31"/>
    <w:rsid w:val="00E87752"/>
    <w:rsid w:val="00E8793B"/>
    <w:rsid w:val="00E90F81"/>
    <w:rsid w:val="00E91A6D"/>
    <w:rsid w:val="00E9242D"/>
    <w:rsid w:val="00E93C57"/>
    <w:rsid w:val="00E93CF0"/>
    <w:rsid w:val="00EA1A58"/>
    <w:rsid w:val="00EB041C"/>
    <w:rsid w:val="00EC5874"/>
    <w:rsid w:val="00ED0895"/>
    <w:rsid w:val="00ED192D"/>
    <w:rsid w:val="00ED30B4"/>
    <w:rsid w:val="00ED31F5"/>
    <w:rsid w:val="00EE1398"/>
    <w:rsid w:val="00EF25DC"/>
    <w:rsid w:val="00EF2759"/>
    <w:rsid w:val="00EF45EB"/>
    <w:rsid w:val="00EF5099"/>
    <w:rsid w:val="00EF5118"/>
    <w:rsid w:val="00EF5E33"/>
    <w:rsid w:val="00F00075"/>
    <w:rsid w:val="00F038FF"/>
    <w:rsid w:val="00F07822"/>
    <w:rsid w:val="00F120B2"/>
    <w:rsid w:val="00F15C95"/>
    <w:rsid w:val="00F17FF1"/>
    <w:rsid w:val="00F22985"/>
    <w:rsid w:val="00F241AB"/>
    <w:rsid w:val="00F31382"/>
    <w:rsid w:val="00F35829"/>
    <w:rsid w:val="00F42868"/>
    <w:rsid w:val="00F4618D"/>
    <w:rsid w:val="00F465A7"/>
    <w:rsid w:val="00F50B7C"/>
    <w:rsid w:val="00F5202D"/>
    <w:rsid w:val="00F52CF6"/>
    <w:rsid w:val="00F54496"/>
    <w:rsid w:val="00F61097"/>
    <w:rsid w:val="00F66FDD"/>
    <w:rsid w:val="00F72FEE"/>
    <w:rsid w:val="00F74345"/>
    <w:rsid w:val="00F74441"/>
    <w:rsid w:val="00F77F30"/>
    <w:rsid w:val="00F82589"/>
    <w:rsid w:val="00F82B19"/>
    <w:rsid w:val="00F83089"/>
    <w:rsid w:val="00F90AA7"/>
    <w:rsid w:val="00F9212D"/>
    <w:rsid w:val="00F959B1"/>
    <w:rsid w:val="00F971F0"/>
    <w:rsid w:val="00FA301A"/>
    <w:rsid w:val="00FA406A"/>
    <w:rsid w:val="00FA5CB6"/>
    <w:rsid w:val="00FC061D"/>
    <w:rsid w:val="00FC66AC"/>
    <w:rsid w:val="00FD18F4"/>
    <w:rsid w:val="00FD74B4"/>
    <w:rsid w:val="00FE2393"/>
    <w:rsid w:val="00FF4B64"/>
    <w:rsid w:val="00FF4D35"/>
    <w:rsid w:val="00FF6FCE"/>
    <w:rsid w:val="00FF7518"/>
    <w:rsid w:val="00FF7FD8"/>
    <w:rsid w:val="025A4D9F"/>
    <w:rsid w:val="027D439E"/>
    <w:rsid w:val="028E5DFB"/>
    <w:rsid w:val="03CA5654"/>
    <w:rsid w:val="048A30C3"/>
    <w:rsid w:val="05742AC8"/>
    <w:rsid w:val="06094537"/>
    <w:rsid w:val="06352F05"/>
    <w:rsid w:val="063E7D85"/>
    <w:rsid w:val="06AC5FA6"/>
    <w:rsid w:val="070875E0"/>
    <w:rsid w:val="07293586"/>
    <w:rsid w:val="07295285"/>
    <w:rsid w:val="07545479"/>
    <w:rsid w:val="07770C56"/>
    <w:rsid w:val="07796537"/>
    <w:rsid w:val="07ED25FA"/>
    <w:rsid w:val="08BF54FC"/>
    <w:rsid w:val="092217DD"/>
    <w:rsid w:val="093A7294"/>
    <w:rsid w:val="0A004862"/>
    <w:rsid w:val="0A0A5367"/>
    <w:rsid w:val="0A0C25FB"/>
    <w:rsid w:val="0B0728D6"/>
    <w:rsid w:val="0B3447B3"/>
    <w:rsid w:val="0BD27BF6"/>
    <w:rsid w:val="0C4C034C"/>
    <w:rsid w:val="0E110D06"/>
    <w:rsid w:val="0E1E236B"/>
    <w:rsid w:val="0E352879"/>
    <w:rsid w:val="0E8771FD"/>
    <w:rsid w:val="0F13775A"/>
    <w:rsid w:val="0F9A112B"/>
    <w:rsid w:val="10107FE3"/>
    <w:rsid w:val="106D2F64"/>
    <w:rsid w:val="10B63710"/>
    <w:rsid w:val="111C2F7A"/>
    <w:rsid w:val="113013DE"/>
    <w:rsid w:val="1165467F"/>
    <w:rsid w:val="122B06C2"/>
    <w:rsid w:val="130769B3"/>
    <w:rsid w:val="13272AA9"/>
    <w:rsid w:val="13951726"/>
    <w:rsid w:val="14396509"/>
    <w:rsid w:val="1447165C"/>
    <w:rsid w:val="147C24E4"/>
    <w:rsid w:val="15385D8D"/>
    <w:rsid w:val="155C5561"/>
    <w:rsid w:val="16D604B5"/>
    <w:rsid w:val="17735226"/>
    <w:rsid w:val="17952D27"/>
    <w:rsid w:val="18117325"/>
    <w:rsid w:val="198C0726"/>
    <w:rsid w:val="1A1C66C0"/>
    <w:rsid w:val="1A42393B"/>
    <w:rsid w:val="1ACE0131"/>
    <w:rsid w:val="1B046F80"/>
    <w:rsid w:val="1B3267B5"/>
    <w:rsid w:val="1B9849A3"/>
    <w:rsid w:val="1BC25DC8"/>
    <w:rsid w:val="1C5E7925"/>
    <w:rsid w:val="1C887FC8"/>
    <w:rsid w:val="1D3601DB"/>
    <w:rsid w:val="1D5F6196"/>
    <w:rsid w:val="1D6132A5"/>
    <w:rsid w:val="1D8E56D5"/>
    <w:rsid w:val="1DAD27A6"/>
    <w:rsid w:val="1DCD17F6"/>
    <w:rsid w:val="1E7A43DA"/>
    <w:rsid w:val="1E99322C"/>
    <w:rsid w:val="1EB277FE"/>
    <w:rsid w:val="1FE7539E"/>
    <w:rsid w:val="20625B1A"/>
    <w:rsid w:val="20963CB8"/>
    <w:rsid w:val="20B07FB6"/>
    <w:rsid w:val="20E1394B"/>
    <w:rsid w:val="20E8417D"/>
    <w:rsid w:val="20EC2B14"/>
    <w:rsid w:val="213B74B1"/>
    <w:rsid w:val="215A2310"/>
    <w:rsid w:val="217B78CF"/>
    <w:rsid w:val="2181020C"/>
    <w:rsid w:val="21C73B10"/>
    <w:rsid w:val="21DE318A"/>
    <w:rsid w:val="21EF5B80"/>
    <w:rsid w:val="22576990"/>
    <w:rsid w:val="226F36A1"/>
    <w:rsid w:val="229C4EAB"/>
    <w:rsid w:val="22A11AEF"/>
    <w:rsid w:val="22F62D28"/>
    <w:rsid w:val="238265E9"/>
    <w:rsid w:val="252D53FE"/>
    <w:rsid w:val="25EC2D81"/>
    <w:rsid w:val="25F614E5"/>
    <w:rsid w:val="264528BD"/>
    <w:rsid w:val="26587398"/>
    <w:rsid w:val="27650FE5"/>
    <w:rsid w:val="27D15DD1"/>
    <w:rsid w:val="287939EE"/>
    <w:rsid w:val="28A76295"/>
    <w:rsid w:val="29206EB8"/>
    <w:rsid w:val="29E325E0"/>
    <w:rsid w:val="2A452503"/>
    <w:rsid w:val="2B331EF4"/>
    <w:rsid w:val="2B5D23CD"/>
    <w:rsid w:val="2BA936A8"/>
    <w:rsid w:val="2C315A5A"/>
    <w:rsid w:val="2CBB00B4"/>
    <w:rsid w:val="2D9E56F5"/>
    <w:rsid w:val="2E667F96"/>
    <w:rsid w:val="2E8226AB"/>
    <w:rsid w:val="2EEC07F5"/>
    <w:rsid w:val="2EF72D95"/>
    <w:rsid w:val="2F7256AA"/>
    <w:rsid w:val="2F832C79"/>
    <w:rsid w:val="2FB27372"/>
    <w:rsid w:val="2FEF2D58"/>
    <w:rsid w:val="2FFA6763"/>
    <w:rsid w:val="302A1CB9"/>
    <w:rsid w:val="30580BC9"/>
    <w:rsid w:val="31131653"/>
    <w:rsid w:val="311E2ED7"/>
    <w:rsid w:val="315C449C"/>
    <w:rsid w:val="31B82709"/>
    <w:rsid w:val="31E56D61"/>
    <w:rsid w:val="32400B34"/>
    <w:rsid w:val="32925453"/>
    <w:rsid w:val="329E6876"/>
    <w:rsid w:val="32C621D6"/>
    <w:rsid w:val="32E57515"/>
    <w:rsid w:val="32FE5288"/>
    <w:rsid w:val="333C76AE"/>
    <w:rsid w:val="334809B0"/>
    <w:rsid w:val="33A25FC9"/>
    <w:rsid w:val="33D934D4"/>
    <w:rsid w:val="33FE2F6A"/>
    <w:rsid w:val="354475B6"/>
    <w:rsid w:val="35B7028F"/>
    <w:rsid w:val="36074A7F"/>
    <w:rsid w:val="361500DE"/>
    <w:rsid w:val="36923549"/>
    <w:rsid w:val="36B75FBF"/>
    <w:rsid w:val="36FB4891"/>
    <w:rsid w:val="37FB1767"/>
    <w:rsid w:val="38F12CD3"/>
    <w:rsid w:val="38F94775"/>
    <w:rsid w:val="391F6DFD"/>
    <w:rsid w:val="392971ED"/>
    <w:rsid w:val="3A246450"/>
    <w:rsid w:val="3B3763D1"/>
    <w:rsid w:val="3B8A24BF"/>
    <w:rsid w:val="3CDA245A"/>
    <w:rsid w:val="3CEE0A37"/>
    <w:rsid w:val="3CF022B4"/>
    <w:rsid w:val="3D3A5B0C"/>
    <w:rsid w:val="3DC108D9"/>
    <w:rsid w:val="3DD849D5"/>
    <w:rsid w:val="3DF419E0"/>
    <w:rsid w:val="3E0A068D"/>
    <w:rsid w:val="3E2C123E"/>
    <w:rsid w:val="3E4D0660"/>
    <w:rsid w:val="3F660E74"/>
    <w:rsid w:val="407A6407"/>
    <w:rsid w:val="408D5355"/>
    <w:rsid w:val="413E1BC8"/>
    <w:rsid w:val="41BA33F8"/>
    <w:rsid w:val="41C15909"/>
    <w:rsid w:val="421330E5"/>
    <w:rsid w:val="423A3BCC"/>
    <w:rsid w:val="433A6FE6"/>
    <w:rsid w:val="4350713C"/>
    <w:rsid w:val="436653E0"/>
    <w:rsid w:val="43DF386C"/>
    <w:rsid w:val="44CD14E0"/>
    <w:rsid w:val="45315D57"/>
    <w:rsid w:val="45767A0B"/>
    <w:rsid w:val="458946E9"/>
    <w:rsid w:val="46D955A7"/>
    <w:rsid w:val="47133957"/>
    <w:rsid w:val="47644058"/>
    <w:rsid w:val="4779329E"/>
    <w:rsid w:val="47A07E0C"/>
    <w:rsid w:val="481578EE"/>
    <w:rsid w:val="4870272E"/>
    <w:rsid w:val="494E2AFE"/>
    <w:rsid w:val="49DC7715"/>
    <w:rsid w:val="4A023139"/>
    <w:rsid w:val="4A7B576F"/>
    <w:rsid w:val="4B195B8C"/>
    <w:rsid w:val="4C4A0649"/>
    <w:rsid w:val="4CE470D3"/>
    <w:rsid w:val="4D84599A"/>
    <w:rsid w:val="4DEC4FB0"/>
    <w:rsid w:val="4E075D8A"/>
    <w:rsid w:val="4E52680B"/>
    <w:rsid w:val="4ECA5B51"/>
    <w:rsid w:val="4EDB6BD4"/>
    <w:rsid w:val="4FC62A8C"/>
    <w:rsid w:val="4FE20F0D"/>
    <w:rsid w:val="50504C4B"/>
    <w:rsid w:val="509C6E7C"/>
    <w:rsid w:val="512B7D91"/>
    <w:rsid w:val="5162104E"/>
    <w:rsid w:val="5182514B"/>
    <w:rsid w:val="51C53074"/>
    <w:rsid w:val="51EF01F4"/>
    <w:rsid w:val="52480EE4"/>
    <w:rsid w:val="53A039CC"/>
    <w:rsid w:val="53A1505A"/>
    <w:rsid w:val="54063E08"/>
    <w:rsid w:val="543437E8"/>
    <w:rsid w:val="54BD400A"/>
    <w:rsid w:val="54F71260"/>
    <w:rsid w:val="55042EC5"/>
    <w:rsid w:val="55316195"/>
    <w:rsid w:val="559B174B"/>
    <w:rsid w:val="55CE0CF4"/>
    <w:rsid w:val="55FD32C8"/>
    <w:rsid w:val="56B22A9C"/>
    <w:rsid w:val="57B72A76"/>
    <w:rsid w:val="58FA27DE"/>
    <w:rsid w:val="5A3C747D"/>
    <w:rsid w:val="5ABE2233"/>
    <w:rsid w:val="5B177F03"/>
    <w:rsid w:val="5B276D18"/>
    <w:rsid w:val="5BDF5D95"/>
    <w:rsid w:val="5C816327"/>
    <w:rsid w:val="5C8957DF"/>
    <w:rsid w:val="5D977473"/>
    <w:rsid w:val="5DF87A0F"/>
    <w:rsid w:val="5EE122CD"/>
    <w:rsid w:val="5F1A2B43"/>
    <w:rsid w:val="5FB837BB"/>
    <w:rsid w:val="61FD0EE6"/>
    <w:rsid w:val="62364782"/>
    <w:rsid w:val="62D144BF"/>
    <w:rsid w:val="631429C2"/>
    <w:rsid w:val="63D40BE9"/>
    <w:rsid w:val="63E0211F"/>
    <w:rsid w:val="63F237F2"/>
    <w:rsid w:val="648258F6"/>
    <w:rsid w:val="65254921"/>
    <w:rsid w:val="65263DE7"/>
    <w:rsid w:val="65373578"/>
    <w:rsid w:val="653A7D5B"/>
    <w:rsid w:val="65941981"/>
    <w:rsid w:val="65E53568"/>
    <w:rsid w:val="668E4294"/>
    <w:rsid w:val="6691314E"/>
    <w:rsid w:val="670E6375"/>
    <w:rsid w:val="673F2C7A"/>
    <w:rsid w:val="67DA7199"/>
    <w:rsid w:val="681F6961"/>
    <w:rsid w:val="68610A2F"/>
    <w:rsid w:val="68672417"/>
    <w:rsid w:val="68805514"/>
    <w:rsid w:val="694E2071"/>
    <w:rsid w:val="697A3B33"/>
    <w:rsid w:val="699E2456"/>
    <w:rsid w:val="69C7018F"/>
    <w:rsid w:val="6B0E47B6"/>
    <w:rsid w:val="6B322639"/>
    <w:rsid w:val="6C636C38"/>
    <w:rsid w:val="6DB34098"/>
    <w:rsid w:val="6DB545B6"/>
    <w:rsid w:val="6DE4116E"/>
    <w:rsid w:val="6E4375A0"/>
    <w:rsid w:val="6E514CED"/>
    <w:rsid w:val="6E79491A"/>
    <w:rsid w:val="6EB563D5"/>
    <w:rsid w:val="6F225983"/>
    <w:rsid w:val="6FFC5590"/>
    <w:rsid w:val="702D4F51"/>
    <w:rsid w:val="70301DA3"/>
    <w:rsid w:val="706D1DD0"/>
    <w:rsid w:val="70856B87"/>
    <w:rsid w:val="70D527EE"/>
    <w:rsid w:val="715B5300"/>
    <w:rsid w:val="715F4BD7"/>
    <w:rsid w:val="71D27F8A"/>
    <w:rsid w:val="71F744C6"/>
    <w:rsid w:val="71F960CF"/>
    <w:rsid w:val="71FB0E94"/>
    <w:rsid w:val="731F5D5E"/>
    <w:rsid w:val="741E793C"/>
    <w:rsid w:val="75500A3B"/>
    <w:rsid w:val="758D75E2"/>
    <w:rsid w:val="76BD4077"/>
    <w:rsid w:val="77762421"/>
    <w:rsid w:val="77BD65A4"/>
    <w:rsid w:val="7806041E"/>
    <w:rsid w:val="780F09F4"/>
    <w:rsid w:val="78222D2D"/>
    <w:rsid w:val="786C37CE"/>
    <w:rsid w:val="789C4F47"/>
    <w:rsid w:val="78A90480"/>
    <w:rsid w:val="78E40F6B"/>
    <w:rsid w:val="79557530"/>
    <w:rsid w:val="79811327"/>
    <w:rsid w:val="7A364017"/>
    <w:rsid w:val="7A76454A"/>
    <w:rsid w:val="7A8265E1"/>
    <w:rsid w:val="7B2B2A1A"/>
    <w:rsid w:val="7B3048F5"/>
    <w:rsid w:val="7B422A09"/>
    <w:rsid w:val="7B597E09"/>
    <w:rsid w:val="7B686D42"/>
    <w:rsid w:val="7B841746"/>
    <w:rsid w:val="7BC82FAA"/>
    <w:rsid w:val="7BDE2BF5"/>
    <w:rsid w:val="7CF73E24"/>
    <w:rsid w:val="7D0239FF"/>
    <w:rsid w:val="7D5E40CD"/>
    <w:rsid w:val="7D693BED"/>
    <w:rsid w:val="7DFB77CC"/>
    <w:rsid w:val="7E0F01AE"/>
    <w:rsid w:val="7E36405B"/>
    <w:rsid w:val="7F6D6618"/>
    <w:rsid w:val="7FE47E5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ocked="1"/>
    <w:lsdException w:unhideWhenUsed="0" w:uiPriority="0" w:semiHidden="0" w:name="heading 3" w:locked="1"/>
    <w:lsdException w:unhideWhenUsed="0" w:uiPriority="0" w:semiHidden="0" w:name="heading 4" w:locked="1"/>
    <w:lsdException w:unhideWhenUsed="0" w:uiPriority="0" w:semiHidden="0" w:name="heading 5" w:locked="1"/>
    <w:lsdException w:unhideWhenUsed="0" w:uiPriority="0" w:semiHidden="0" w:name="heading 6" w:locked="1"/>
    <w:lsdException w:unhideWhenUsed="0" w:uiPriority="0" w:semiHidden="0" w:name="heading 7" w:locked="1"/>
    <w:lsdException w:unhideWhenUsed="0" w:uiPriority="0" w:semiHidden="0" w:name="heading 8" w:locked="1"/>
    <w:lsdException w:unhideWhenUsed="0" w:uiPriority="0" w:semiHidden="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qFormat="1" w:uiPriority="39"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nhideWhenUsed="0" w:uiPriority="0"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nhideWhenUsed="0" w:uiPriority="0" w:semiHidden="0" w:name="index heading"/>
    <w:lsdException w:unhideWhenUsed="0" w:uiPriority="0" w:semiHidden="0" w:name="caption" w:locked="1"/>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ocked="1"/>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ocked="1"/>
    <w:lsdException w:unhideWhenUsed="0" w:uiPriority="0" w:semiHidden="0" w:name="Emphasis" w:locked="1"/>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5">
    <w:name w:val="heading 2"/>
    <w:basedOn w:val="1"/>
    <w:next w:val="1"/>
    <w:locked/>
    <w:uiPriority w:val="0"/>
    <w:pPr>
      <w:spacing w:before="37"/>
      <w:ind w:left="942"/>
      <w:outlineLvl w:val="2"/>
    </w:pPr>
    <w:rPr>
      <w:rFonts w:ascii="Times New Roman" w:hAnsi="Times New Roman" w:eastAsia="Times New Roman" w:cs="Times New Roman"/>
      <w:b/>
      <w:bCs/>
      <w:sz w:val="21"/>
      <w:szCs w:val="21"/>
      <w:lang w:val="en-US" w:eastAsia="en-US" w:bidi="en-US"/>
    </w:rPr>
  </w:style>
  <w:style w:type="paragraph" w:styleId="6">
    <w:name w:val="heading 4"/>
    <w:basedOn w:val="1"/>
    <w:next w:val="1"/>
    <w:locked/>
    <w:uiPriority w:val="0"/>
    <w:pPr>
      <w:outlineLvl w:val="4"/>
    </w:pPr>
    <w:rPr>
      <w:rFonts w:ascii="Microsoft JhengHei" w:hAnsi="Microsoft JhengHei" w:eastAsia="Microsoft JhengHei" w:cs="Microsoft JhengHei"/>
      <w:b/>
      <w:bCs/>
      <w:sz w:val="24"/>
      <w:szCs w:val="24"/>
      <w:lang w:val="zh-CN" w:eastAsia="zh-CN" w:bidi="zh-CN"/>
    </w:rPr>
  </w:style>
  <w:style w:type="character" w:default="1" w:styleId="21">
    <w:name w:val="Default Paragraph Font"/>
    <w:unhideWhenUsed/>
    <w:qFormat/>
    <w:uiPriority w:val="1"/>
  </w:style>
  <w:style w:type="table" w:default="1" w:styleId="24">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1"/>
    <w:link w:val="44"/>
    <w:unhideWhenUsed/>
    <w:qFormat/>
    <w:uiPriority w:val="99"/>
    <w:pPr>
      <w:ind w:firstLine="420" w:firstLineChars="200"/>
    </w:pPr>
    <w:rPr>
      <w:rFonts w:asciiTheme="minorHAnsi" w:hAnsiTheme="minorHAnsi" w:eastAsiaTheme="minorEastAsia" w:cstheme="minorBidi"/>
      <w:szCs w:val="22"/>
    </w:rPr>
  </w:style>
  <w:style w:type="paragraph" w:styleId="3">
    <w:name w:val="Body Text Indent"/>
    <w:basedOn w:val="1"/>
    <w:link w:val="39"/>
    <w:semiHidden/>
    <w:qFormat/>
    <w:uiPriority w:val="99"/>
    <w:pPr>
      <w:spacing w:after="120"/>
      <w:ind w:left="420" w:leftChars="200"/>
    </w:pPr>
  </w:style>
  <w:style w:type="paragraph" w:styleId="7">
    <w:name w:val="annotation subject"/>
    <w:basedOn w:val="8"/>
    <w:next w:val="8"/>
    <w:link w:val="40"/>
    <w:semiHidden/>
    <w:qFormat/>
    <w:uiPriority w:val="99"/>
    <w:rPr>
      <w:b/>
      <w:bCs/>
    </w:rPr>
  </w:style>
  <w:style w:type="paragraph" w:styleId="8">
    <w:name w:val="annotation text"/>
    <w:basedOn w:val="1"/>
    <w:link w:val="37"/>
    <w:semiHidden/>
    <w:qFormat/>
    <w:uiPriority w:val="99"/>
    <w:pPr>
      <w:jc w:val="left"/>
    </w:pPr>
    <w:rPr>
      <w:kern w:val="0"/>
      <w:sz w:val="20"/>
    </w:rPr>
  </w:style>
  <w:style w:type="paragraph" w:styleId="9">
    <w:name w:val="Body Text First Indent"/>
    <w:basedOn w:val="10"/>
    <w:next w:val="11"/>
    <w:qFormat/>
    <w:uiPriority w:val="0"/>
    <w:pPr>
      <w:ind w:firstLine="420" w:firstLineChars="100"/>
    </w:pPr>
    <w:rPr>
      <w:szCs w:val="22"/>
    </w:rPr>
  </w:style>
  <w:style w:type="paragraph" w:styleId="10">
    <w:name w:val="Body Text"/>
    <w:basedOn w:val="1"/>
    <w:next w:val="1"/>
    <w:link w:val="30"/>
    <w:qFormat/>
    <w:uiPriority w:val="0"/>
    <w:pPr>
      <w:widowControl/>
      <w:snapToGrid w:val="0"/>
      <w:spacing w:before="60" w:after="160" w:line="259" w:lineRule="auto"/>
      <w:ind w:right="113"/>
    </w:pPr>
    <w:rPr>
      <w:kern w:val="0"/>
      <w:sz w:val="18"/>
      <w:szCs w:val="18"/>
    </w:rPr>
  </w:style>
  <w:style w:type="paragraph" w:styleId="11">
    <w:name w:val="table of figures"/>
    <w:basedOn w:val="1"/>
    <w:next w:val="1"/>
    <w:qFormat/>
    <w:uiPriority w:val="0"/>
  </w:style>
  <w:style w:type="paragraph" w:styleId="12">
    <w:name w:val="Normal Indent"/>
    <w:basedOn w:val="1"/>
    <w:qFormat/>
    <w:uiPriority w:val="0"/>
    <w:pPr>
      <w:widowControl w:val="0"/>
      <w:spacing w:line="400" w:lineRule="exact"/>
      <w:ind w:firstLine="200" w:firstLineChars="200"/>
      <w:jc w:val="both"/>
    </w:pPr>
    <w:rPr>
      <w:rFonts w:asciiTheme="minorHAnsi" w:hAnsiTheme="minorHAnsi" w:cstheme="minorBidi"/>
      <w:kern w:val="2"/>
      <w:szCs w:val="22"/>
    </w:rPr>
  </w:style>
  <w:style w:type="paragraph" w:styleId="13">
    <w:name w:val="Plain Text"/>
    <w:basedOn w:val="1"/>
    <w:link w:val="42"/>
    <w:qFormat/>
    <w:uiPriority w:val="0"/>
    <w:rPr>
      <w:rFonts w:ascii="宋体" w:hAnsi="Courier New"/>
      <w:sz w:val="20"/>
      <w:szCs w:val="20"/>
    </w:rPr>
  </w:style>
  <w:style w:type="paragraph" w:styleId="14">
    <w:name w:val="Date"/>
    <w:basedOn w:val="1"/>
    <w:next w:val="1"/>
    <w:link w:val="32"/>
    <w:qFormat/>
    <w:uiPriority w:val="0"/>
    <w:pPr>
      <w:ind w:left="100" w:leftChars="2500"/>
    </w:pPr>
    <w:rPr>
      <w:kern w:val="0"/>
      <w:sz w:val="20"/>
    </w:rPr>
  </w:style>
  <w:style w:type="paragraph" w:styleId="15">
    <w:name w:val="Balloon Text"/>
    <w:basedOn w:val="1"/>
    <w:link w:val="36"/>
    <w:qFormat/>
    <w:uiPriority w:val="0"/>
    <w:rPr>
      <w:sz w:val="18"/>
      <w:szCs w:val="18"/>
    </w:rPr>
  </w:style>
  <w:style w:type="paragraph" w:styleId="16">
    <w:name w:val="footer"/>
    <w:basedOn w:val="1"/>
    <w:link w:val="29"/>
    <w:qFormat/>
    <w:uiPriority w:val="99"/>
    <w:pPr>
      <w:tabs>
        <w:tab w:val="center" w:pos="4153"/>
        <w:tab w:val="right" w:pos="8306"/>
      </w:tabs>
      <w:snapToGrid w:val="0"/>
      <w:jc w:val="left"/>
    </w:pPr>
    <w:rPr>
      <w:sz w:val="18"/>
      <w:szCs w:val="18"/>
    </w:rPr>
  </w:style>
  <w:style w:type="paragraph" w:styleId="17">
    <w:name w:val="header"/>
    <w:basedOn w:val="1"/>
    <w:link w:val="28"/>
    <w:qFormat/>
    <w:uiPriority w:val="99"/>
    <w:pPr>
      <w:pBdr>
        <w:bottom w:val="single" w:color="auto" w:sz="6" w:space="1"/>
      </w:pBdr>
      <w:tabs>
        <w:tab w:val="center" w:pos="4153"/>
        <w:tab w:val="right" w:pos="8306"/>
      </w:tabs>
      <w:snapToGrid w:val="0"/>
      <w:jc w:val="center"/>
    </w:pPr>
    <w:rPr>
      <w:sz w:val="18"/>
      <w:szCs w:val="18"/>
    </w:rPr>
  </w:style>
  <w:style w:type="paragraph" w:styleId="18">
    <w:name w:val="toc 2"/>
    <w:basedOn w:val="1"/>
    <w:next w:val="1"/>
    <w:unhideWhenUsed/>
    <w:qFormat/>
    <w:locked/>
    <w:uiPriority w:val="39"/>
    <w:pPr>
      <w:ind w:left="420" w:leftChars="200"/>
    </w:pPr>
    <w:rPr>
      <w:rFonts w:asciiTheme="minorHAnsi" w:hAnsiTheme="minorHAnsi" w:eastAsiaTheme="minorEastAsia" w:cstheme="minorBidi"/>
      <w:szCs w:val="22"/>
    </w:rPr>
  </w:style>
  <w:style w:type="paragraph" w:styleId="19">
    <w:name w:val="Normal (Web)"/>
    <w:basedOn w:val="1"/>
    <w:link w:val="31"/>
    <w:qFormat/>
    <w:uiPriority w:val="0"/>
    <w:pPr>
      <w:widowControl/>
      <w:spacing w:before="100" w:beforeAutospacing="1" w:after="100" w:afterAutospacing="1"/>
      <w:jc w:val="left"/>
    </w:pPr>
    <w:rPr>
      <w:rFonts w:ascii="宋体" w:hAnsi="宋体"/>
      <w:kern w:val="0"/>
      <w:sz w:val="24"/>
    </w:rPr>
  </w:style>
  <w:style w:type="paragraph" w:styleId="20">
    <w:name w:val="Title"/>
    <w:basedOn w:val="1"/>
    <w:next w:val="1"/>
    <w:link w:val="43"/>
    <w:qFormat/>
    <w:locked/>
    <w:uiPriority w:val="0"/>
    <w:pPr>
      <w:jc w:val="center"/>
    </w:pPr>
    <w:rPr>
      <w:bCs/>
      <w:kern w:val="0"/>
      <w:sz w:val="20"/>
      <w:szCs w:val="32"/>
    </w:rPr>
  </w:style>
  <w:style w:type="character" w:styleId="22">
    <w:name w:val="page number"/>
    <w:basedOn w:val="21"/>
    <w:qFormat/>
    <w:uiPriority w:val="0"/>
  </w:style>
  <w:style w:type="character" w:styleId="23">
    <w:name w:val="annotation reference"/>
    <w:basedOn w:val="21"/>
    <w:semiHidden/>
    <w:uiPriority w:val="99"/>
    <w:rPr>
      <w:sz w:val="21"/>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6">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27">
    <w:name w:val="表格"/>
    <w:basedOn w:val="1"/>
    <w:next w:val="1"/>
    <w:link w:val="35"/>
    <w:qFormat/>
    <w:uiPriority w:val="0"/>
    <w:pPr>
      <w:adjustRightInd w:val="0"/>
      <w:snapToGrid w:val="0"/>
      <w:spacing w:beforeLines="10" w:afterLines="10" w:line="259" w:lineRule="auto"/>
      <w:jc w:val="center"/>
    </w:pPr>
    <w:rPr>
      <w:rFonts w:ascii="宋体"/>
      <w:kern w:val="0"/>
      <w:sz w:val="20"/>
      <w:szCs w:val="21"/>
    </w:rPr>
  </w:style>
  <w:style w:type="character" w:customStyle="1" w:styleId="28">
    <w:name w:val="页眉 字符"/>
    <w:basedOn w:val="21"/>
    <w:link w:val="17"/>
    <w:qFormat/>
    <w:locked/>
    <w:uiPriority w:val="99"/>
    <w:rPr>
      <w:rFonts w:cs="Times New Roman"/>
      <w:sz w:val="18"/>
      <w:szCs w:val="18"/>
    </w:rPr>
  </w:style>
  <w:style w:type="character" w:customStyle="1" w:styleId="29">
    <w:name w:val="页脚 字符"/>
    <w:basedOn w:val="21"/>
    <w:link w:val="16"/>
    <w:qFormat/>
    <w:locked/>
    <w:uiPriority w:val="99"/>
    <w:rPr>
      <w:rFonts w:cs="Times New Roman"/>
      <w:sz w:val="18"/>
      <w:szCs w:val="18"/>
    </w:rPr>
  </w:style>
  <w:style w:type="character" w:customStyle="1" w:styleId="30">
    <w:name w:val="正文文本 字符"/>
    <w:link w:val="10"/>
    <w:qFormat/>
    <w:locked/>
    <w:uiPriority w:val="0"/>
    <w:rPr>
      <w:sz w:val="18"/>
    </w:rPr>
  </w:style>
  <w:style w:type="character" w:customStyle="1" w:styleId="31">
    <w:name w:val="普通(网站) 字符"/>
    <w:link w:val="19"/>
    <w:qFormat/>
    <w:locked/>
    <w:uiPriority w:val="0"/>
    <w:rPr>
      <w:rFonts w:ascii="宋体" w:hAnsi="宋体" w:eastAsia="宋体"/>
      <w:sz w:val="24"/>
    </w:rPr>
  </w:style>
  <w:style w:type="character" w:customStyle="1" w:styleId="32">
    <w:name w:val="日期 字符1"/>
    <w:link w:val="14"/>
    <w:qFormat/>
    <w:locked/>
    <w:uiPriority w:val="0"/>
    <w:rPr>
      <w:rFonts w:ascii="Times New Roman" w:hAnsi="Times New Roman" w:eastAsia="宋体"/>
      <w:sz w:val="24"/>
    </w:rPr>
  </w:style>
  <w:style w:type="character" w:customStyle="1" w:styleId="33">
    <w:name w:val="日期 字符"/>
    <w:basedOn w:val="21"/>
    <w:semiHidden/>
    <w:qFormat/>
    <w:uiPriority w:val="99"/>
    <w:rPr>
      <w:rFonts w:ascii="Times New Roman" w:hAnsi="Times New Roman" w:eastAsia="宋体" w:cs="Times New Roman"/>
      <w:sz w:val="24"/>
      <w:szCs w:val="24"/>
    </w:rPr>
  </w:style>
  <w:style w:type="character" w:customStyle="1" w:styleId="34">
    <w:name w:val="正文文本 字符1"/>
    <w:basedOn w:val="21"/>
    <w:semiHidden/>
    <w:qFormat/>
    <w:uiPriority w:val="0"/>
    <w:rPr>
      <w:rFonts w:ascii="Times New Roman" w:hAnsi="Times New Roman" w:eastAsia="宋体" w:cs="Times New Roman"/>
      <w:sz w:val="24"/>
      <w:szCs w:val="24"/>
    </w:rPr>
  </w:style>
  <w:style w:type="character" w:customStyle="1" w:styleId="35">
    <w:name w:val="表格 Char"/>
    <w:link w:val="27"/>
    <w:qFormat/>
    <w:locked/>
    <w:uiPriority w:val="0"/>
    <w:rPr>
      <w:rFonts w:ascii="宋体"/>
      <w:sz w:val="21"/>
    </w:rPr>
  </w:style>
  <w:style w:type="character" w:customStyle="1" w:styleId="36">
    <w:name w:val="批注框文本 字符"/>
    <w:basedOn w:val="21"/>
    <w:link w:val="15"/>
    <w:qFormat/>
    <w:locked/>
    <w:uiPriority w:val="0"/>
    <w:rPr>
      <w:rFonts w:ascii="Times New Roman" w:hAnsi="Times New Roman" w:eastAsia="宋体" w:cs="Times New Roman"/>
      <w:sz w:val="18"/>
      <w:szCs w:val="18"/>
    </w:rPr>
  </w:style>
  <w:style w:type="character" w:customStyle="1" w:styleId="37">
    <w:name w:val="批注文字 字符"/>
    <w:link w:val="8"/>
    <w:qFormat/>
    <w:locked/>
    <w:uiPriority w:val="99"/>
    <w:rPr>
      <w:rFonts w:ascii="Times New Roman" w:hAnsi="Times New Roman" w:eastAsia="宋体"/>
      <w:sz w:val="24"/>
    </w:rPr>
  </w:style>
  <w:style w:type="character" w:customStyle="1" w:styleId="38">
    <w:name w:val="批注文字 字符1"/>
    <w:basedOn w:val="21"/>
    <w:semiHidden/>
    <w:qFormat/>
    <w:uiPriority w:val="0"/>
    <w:rPr>
      <w:rFonts w:ascii="Times New Roman" w:hAnsi="Times New Roman" w:eastAsia="宋体" w:cs="Times New Roman"/>
      <w:sz w:val="24"/>
      <w:szCs w:val="24"/>
    </w:rPr>
  </w:style>
  <w:style w:type="character" w:customStyle="1" w:styleId="39">
    <w:name w:val="正文文本缩进 字符"/>
    <w:basedOn w:val="21"/>
    <w:link w:val="3"/>
    <w:semiHidden/>
    <w:qFormat/>
    <w:locked/>
    <w:uiPriority w:val="99"/>
    <w:rPr>
      <w:rFonts w:ascii="Times New Roman" w:hAnsi="Times New Roman" w:eastAsia="宋体" w:cs="Times New Roman"/>
      <w:sz w:val="24"/>
      <w:szCs w:val="24"/>
    </w:rPr>
  </w:style>
  <w:style w:type="character" w:customStyle="1" w:styleId="40">
    <w:name w:val="批注主题 字符"/>
    <w:basedOn w:val="37"/>
    <w:link w:val="7"/>
    <w:semiHidden/>
    <w:qFormat/>
    <w:locked/>
    <w:uiPriority w:val="99"/>
    <w:rPr>
      <w:rFonts w:ascii="Times New Roman" w:hAnsi="Times New Roman" w:eastAsia="宋体" w:cs="Times New Roman"/>
      <w:b/>
      <w:bCs/>
      <w:kern w:val="2"/>
      <w:sz w:val="24"/>
      <w:szCs w:val="24"/>
    </w:rPr>
  </w:style>
  <w:style w:type="character" w:customStyle="1" w:styleId="41">
    <w:name w:val="普通(网站) Char"/>
    <w:qFormat/>
    <w:locked/>
    <w:uiPriority w:val="0"/>
    <w:rPr>
      <w:rFonts w:ascii="宋体" w:hAnsi="宋体" w:eastAsia="宋体"/>
      <w:sz w:val="24"/>
    </w:rPr>
  </w:style>
  <w:style w:type="character" w:customStyle="1" w:styleId="42">
    <w:name w:val="纯文本 字符"/>
    <w:basedOn w:val="21"/>
    <w:link w:val="13"/>
    <w:qFormat/>
    <w:uiPriority w:val="0"/>
    <w:rPr>
      <w:rFonts w:ascii="宋体" w:hAnsi="Courier New"/>
      <w:kern w:val="2"/>
    </w:rPr>
  </w:style>
  <w:style w:type="character" w:customStyle="1" w:styleId="43">
    <w:name w:val="标题 字符"/>
    <w:basedOn w:val="21"/>
    <w:link w:val="20"/>
    <w:qFormat/>
    <w:uiPriority w:val="0"/>
    <w:rPr>
      <w:bCs/>
      <w:szCs w:val="32"/>
    </w:rPr>
  </w:style>
  <w:style w:type="character" w:customStyle="1" w:styleId="44">
    <w:name w:val="正文文本首行缩进 2 字符"/>
    <w:basedOn w:val="39"/>
    <w:link w:val="2"/>
    <w:qFormat/>
    <w:uiPriority w:val="99"/>
    <w:rPr>
      <w:rFonts w:asciiTheme="minorHAnsi" w:hAnsiTheme="minorHAnsi" w:eastAsiaTheme="minorEastAsia" w:cstheme="minorBidi"/>
      <w:kern w:val="2"/>
      <w:sz w:val="21"/>
      <w:szCs w:val="22"/>
    </w:rPr>
  </w:style>
  <w:style w:type="character" w:customStyle="1" w:styleId="45">
    <w:name w:val="页脚 字符1"/>
    <w:qFormat/>
    <w:locked/>
    <w:uiPriority w:val="99"/>
    <w:rPr>
      <w:rFonts w:ascii="Times New Roman" w:hAnsi="Times New Roman" w:eastAsia="宋体" w:cs="Times New Roman"/>
      <w:kern w:val="0"/>
      <w:sz w:val="18"/>
      <w:szCs w:val="20"/>
    </w:rPr>
  </w:style>
  <w:style w:type="paragraph" w:customStyle="1" w:styleId="46">
    <w:name w:val="No Spacing"/>
    <w:qFormat/>
    <w:uiPriority w:val="1"/>
    <w:pPr>
      <w:widowControl w:val="0"/>
      <w:adjustRightInd w:val="0"/>
      <w:snapToGrid w:val="0"/>
      <w:jc w:val="center"/>
    </w:pPr>
    <w:rPr>
      <w:rFonts w:ascii="Times New Roman" w:hAnsi="Times New Roman" w:eastAsia="宋体" w:cs="Times New Roman"/>
      <w:b/>
      <w:kern w:val="2"/>
      <w:sz w:val="21"/>
      <w:szCs w:val="22"/>
      <w:lang w:val="en-US" w:eastAsia="zh-CN" w:bidi="ar-SA"/>
    </w:rPr>
  </w:style>
  <w:style w:type="paragraph" w:customStyle="1" w:styleId="47">
    <w:name w:val="表格中文字"/>
    <w:basedOn w:val="1"/>
    <w:qFormat/>
    <w:uiPriority w:val="0"/>
    <w:pPr>
      <w:adjustRightInd w:val="0"/>
      <w:snapToGrid w:val="0"/>
      <w:jc w:val="center"/>
    </w:pPr>
    <w:rPr>
      <w:rFonts w:ascii="Calibri" w:hAnsi="Calibri"/>
      <w:kern w:val="18"/>
      <w:sz w:val="20"/>
      <w:szCs w:val="21"/>
    </w:rPr>
  </w:style>
  <w:style w:type="character" w:customStyle="1" w:styleId="48">
    <w:name w:val="标题1"/>
    <w:basedOn w:val="21"/>
    <w:qFormat/>
    <w:uiPriority w:val="0"/>
  </w:style>
  <w:style w:type="paragraph" w:customStyle="1" w:styleId="49">
    <w:name w:val="正文00"/>
    <w:basedOn w:val="1"/>
    <w:link w:val="50"/>
    <w:qFormat/>
    <w:uiPriority w:val="0"/>
    <w:pPr>
      <w:widowControl/>
      <w:spacing w:line="425" w:lineRule="atLeast"/>
      <w:ind w:left="51" w:leftChars="51" w:right="59" w:rightChars="59" w:firstLine="482"/>
      <w:textAlignment w:val="baseline"/>
    </w:pPr>
    <w:rPr>
      <w:color w:val="000000"/>
      <w:kern w:val="0"/>
      <w:sz w:val="28"/>
      <w:u w:color="000000"/>
    </w:rPr>
  </w:style>
  <w:style w:type="character" w:customStyle="1" w:styleId="50">
    <w:name w:val="正文00 Char"/>
    <w:link w:val="49"/>
    <w:qFormat/>
    <w:uiPriority w:val="0"/>
    <w:rPr>
      <w:color w:val="000000"/>
      <w:sz w:val="28"/>
      <w:szCs w:val="24"/>
      <w:u w:color="000000"/>
    </w:rPr>
  </w:style>
  <w:style w:type="paragraph" w:customStyle="1" w:styleId="5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2">
    <w:name w:val="List Paragraph"/>
    <w:basedOn w:val="1"/>
    <w:qFormat/>
    <w:uiPriority w:val="34"/>
    <w:pPr>
      <w:ind w:firstLine="420" w:firstLineChars="200"/>
    </w:pPr>
  </w:style>
  <w:style w:type="paragraph" w:customStyle="1" w:styleId="53">
    <w:name w:val="DTX-BG"/>
    <w:qFormat/>
    <w:uiPriority w:val="0"/>
    <w:pPr>
      <w:widowControl w:val="0"/>
      <w:adjustRightInd w:val="0"/>
      <w:snapToGrid w:val="0"/>
      <w:spacing w:line="400" w:lineRule="exact"/>
      <w:jc w:val="center"/>
    </w:pPr>
    <w:rPr>
      <w:rFonts w:ascii="Times New Roman" w:hAnsi="Times New Roman" w:eastAsia="Times New Roman" w:cs="Times New Roman"/>
      <w:sz w:val="21"/>
      <w:szCs w:val="22"/>
      <w:lang w:val="en-US" w:eastAsia="zh-CN" w:bidi="ar-SA"/>
    </w:rPr>
  </w:style>
  <w:style w:type="paragraph" w:customStyle="1" w:styleId="54">
    <w:name w:val="表格文字"/>
    <w:basedOn w:val="10"/>
    <w:next w:val="1"/>
    <w:qFormat/>
    <w:uiPriority w:val="0"/>
    <w:pPr>
      <w:adjustRightInd w:val="0"/>
      <w:spacing w:after="0"/>
      <w:ind w:firstLine="210" w:firstLineChars="100"/>
    </w:pPr>
    <w:rPr>
      <w:rFonts w:hAnsi="宋体"/>
      <w:snapToGrid w:val="0"/>
      <w:kern w:val="0"/>
      <w:szCs w:val="21"/>
    </w:rPr>
  </w:style>
  <w:style w:type="paragraph" w:customStyle="1" w:styleId="55">
    <w:name w:val="Table Paragraph"/>
    <w:basedOn w:val="1"/>
    <w:qFormat/>
    <w:uiPriority w:val="1"/>
    <w:pPr>
      <w:jc w:val="center"/>
    </w:pPr>
    <w:rPr>
      <w:rFonts w:ascii="宋体" w:hAnsi="宋体" w:eastAsia="宋体" w:cs="宋体"/>
      <w:lang w:val="zh-CN" w:eastAsia="zh-CN" w:bidi="zh-CN"/>
    </w:rPr>
  </w:style>
  <w:style w:type="character" w:customStyle="1" w:styleId="56">
    <w:name w:val="fontstyle21"/>
    <w:basedOn w:val="21"/>
    <w:qFormat/>
    <w:uiPriority w:val="0"/>
    <w:rPr>
      <w:rFonts w:hint="default" w:ascii="Times New Roman" w:hAnsi="Times New Roman" w:cs="Times New Roman"/>
      <w:color w:val="000000"/>
      <w:sz w:val="24"/>
      <w:szCs w:val="24"/>
    </w:rPr>
  </w:style>
  <w:style w:type="character" w:customStyle="1" w:styleId="57">
    <w:name w:val="fontstyle01"/>
    <w:basedOn w:val="21"/>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1.bin"/><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png"/><Relationship Id="rId14" Type="http://schemas.openxmlformats.org/officeDocument/2006/relationships/image" Target="media/image5.emf"/><Relationship Id="rId13" Type="http://schemas.openxmlformats.org/officeDocument/2006/relationships/oleObject" Target="embeddings/oleObject3.bin"/><Relationship Id="rId12" Type="http://schemas.openxmlformats.org/officeDocument/2006/relationships/image" Target="media/image4.jpeg"/><Relationship Id="rId11" Type="http://schemas.openxmlformats.org/officeDocument/2006/relationships/image" Target="media/image3.e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Info spid="_x0000_s1027"/>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55</Pages>
  <Words>5980</Words>
  <Characters>34089</Characters>
  <Lines>284</Lines>
  <Paragraphs>79</Paragraphs>
  <ScaleCrop>false</ScaleCrop>
  <LinksUpToDate>false</LinksUpToDate>
  <CharactersWithSpaces>39990</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2020-12-24T01:42:00Z</dcterms:created>
  <dc:creator>lhj</dc:creator>
  <cp:lastModifiedBy>糖豆</cp:lastModifiedBy>
  <cp:lastPrinted>2020-12-24T01:50:00Z</cp:lastPrinted>
  <dcterms:modified xsi:type="dcterms:W3CDTF">2021-06-15T01:43:23Z</dcterms:modified>
  <cp:revision>239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