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djustRightInd w:val="0"/>
        <w:snapToGrid w:val="0"/>
        <w:spacing w:before="0" w:beforeAutospacing="0" w:after="0" w:afterAutospacing="0"/>
        <w:ind w:left="0" w:right="0"/>
        <w:jc w:val="center"/>
        <w:rPr>
          <w:rFonts w:hint="eastAsia" w:ascii="方正小标宋_GBK" w:hAnsi="华文中宋" w:eastAsia="方正小标宋_GBK" w:cs="方正小标宋_GBK"/>
          <w:sz w:val="38"/>
          <w:szCs w:val="38"/>
          <w:lang w:val="en-US"/>
        </w:rPr>
      </w:pPr>
      <w:r>
        <w:rPr>
          <w:rFonts w:hint="eastAsia" w:ascii="方正小标宋_GBK" w:hAnsi="华文中宋" w:eastAsia="方正小标宋_GBK" w:cs="方正小标宋_GBK"/>
          <w:kern w:val="2"/>
          <w:sz w:val="38"/>
          <w:szCs w:val="38"/>
          <w:lang w:val="en-US" w:eastAsia="zh-CN" w:bidi="ar"/>
        </w:rPr>
        <w:t>企业事业单位突发环境事件应急预案评审表</w:t>
      </w: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tbl>
      <w:tblPr>
        <w:tblStyle w:val="5"/>
        <w:tblW w:w="137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135"/>
        <w:gridCol w:w="426"/>
        <w:gridCol w:w="4820"/>
        <w:gridCol w:w="1276"/>
        <w:gridCol w:w="567"/>
        <w:gridCol w:w="40"/>
        <w:gridCol w:w="669"/>
        <w:gridCol w:w="4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70" w:hRule="atLeast"/>
          <w:jc w:val="center"/>
        </w:trPr>
        <w:tc>
          <w:tcPr>
            <w:tcW w:w="13784" w:type="dxa"/>
            <w:gridSpan w:val="8"/>
            <w:tcBorders>
              <w:top w:val="single" w:color="auto" w:sz="8"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134" w:beforeLines="30" w:beforeAutospacing="0" w:after="0" w:afterAutospacing="0"/>
              <w:ind w:left="0" w:right="0"/>
              <w:jc w:val="left"/>
              <w:rPr>
                <w:rFonts w:hint="eastAsia" w:ascii="宋体" w:hAnsi="宋体" w:eastAsia="宋体" w:cs="宋体"/>
                <w:sz w:val="21"/>
                <w:szCs w:val="21"/>
                <w:highlight w:val="green"/>
                <w:lang w:val="en-US"/>
              </w:rPr>
            </w:pPr>
            <w:r>
              <w:rPr>
                <w:rFonts w:hint="eastAsia" w:ascii="宋体" w:hAnsi="宋体" w:eastAsia="宋体" w:cs="宋体"/>
                <w:kern w:val="2"/>
                <w:sz w:val="21"/>
                <w:szCs w:val="21"/>
                <w:lang w:val="en-US" w:eastAsia="zh-CN" w:bidi="ar"/>
              </w:rPr>
              <w:t xml:space="preserve">预案编制单位：</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(专业技术服务机构：)</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企业环境风险级别：☑一般；□较大；□重大</w:t>
            </w:r>
          </w:p>
          <w:p>
            <w:pPr>
              <w:keepNext w:val="0"/>
              <w:keepLines w:val="0"/>
              <w:widowControl w:val="0"/>
              <w:suppressLineNumbers w:val="0"/>
              <w:adjustRightInd w:val="0"/>
              <w:snapToGrid w:val="0"/>
              <w:spacing w:before="0" w:beforeAutospacing="0" w:after="134" w:afterLines="30" w:afterAutospacing="0"/>
              <w:ind w:left="0" w:right="0"/>
              <w:jc w:val="right"/>
              <w:rPr>
                <w:rFonts w:hint="eastAsia" w:ascii="仿宋_GB2312" w:hAnsi="宋体" w:eastAsia="宋体" w:cs="仿宋_GB2312"/>
                <w:b/>
                <w:bCs w:val="0"/>
                <w:sz w:val="24"/>
                <w:szCs w:val="24"/>
                <w:lang w:val="en-US"/>
              </w:rPr>
            </w:pPr>
            <w:r>
              <w:rPr>
                <w:rFonts w:hint="eastAsia" w:ascii="仿宋_GB2312" w:hAnsi="宋体" w:eastAsia="宋体" w:cs="宋体"/>
                <w:b/>
                <w:bCs w:val="0"/>
                <w:kern w:val="2"/>
                <w:sz w:val="24"/>
                <w:szCs w:val="24"/>
                <w:lang w:val="en-US" w:eastAsia="zh-CN" w:bidi="ar"/>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75" w:hRule="atLeast"/>
          <w:jc w:val="center"/>
        </w:trPr>
        <w:tc>
          <w:tcPr>
            <w:tcW w:w="6381"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81" w:type="dxa"/>
            <w:gridSpan w:val="3"/>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  定</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  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44"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有单独的环境风险评估报告和环境应急资源调查报告（表）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4"/>
                <w:sz w:val="21"/>
                <w:szCs w:val="21"/>
                <w:lang w:val="en-US"/>
              </w:rPr>
            </w:pPr>
            <w:r>
              <w:rPr>
                <w:rFonts w:hint="eastAsia" w:ascii="宋体" w:hAnsi="宋体" w:eastAsia="宋体" w:cs="宋体"/>
                <w:spacing w:val="-4"/>
                <w:kern w:val="2"/>
                <w:sz w:val="21"/>
                <w:szCs w:val="21"/>
                <w:lang w:val="en-US" w:eastAsia="zh-CN" w:bidi="ar"/>
              </w:rPr>
              <w:t>从可能的突发环境事件情景出发编制且典型突发环境事件情景无缺失</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突发事件应对法有关规定；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备案管理办法第九、十条，均对企业从可能的突发环境事件情景出发编制环境应急预案提出了要求；</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能够让周边居民和单位获得事件信息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评审项目</w:t>
            </w:r>
          </w:p>
        </w:tc>
        <w:tc>
          <w:tcPr>
            <w:tcW w:w="524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524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判定</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得分</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封面目录</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vertAlign w:val="superscript"/>
                <w:lang w:val="en-US"/>
              </w:rPr>
            </w:pPr>
            <w:r>
              <w:rPr>
                <w:rFonts w:hint="eastAsia" w:ascii="宋体" w:hAnsi="宋体" w:eastAsia="宋体" w:cs="宋体"/>
                <w:sz w:val="21"/>
                <w:szCs w:val="21"/>
                <w:lang w:val="en-US"/>
              </w:rPr>
              <w:t>1</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封面有环境应急预案、预案编制单位名称，预留正式发布预案的版本号、发布日期等设计；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目录有编号、标题和页码，一般至少设置两级目录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预案版本号指为便于索引、回溯而在发布时赋予预案的标识号，企业可以按照内部技术文件版本号管理要求执行；</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951"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结构完整指预案文件布局合理、层次分明，无错漏章节、段落；正文对附件的引用、说明等，与附件索引、附件一致；</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8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行文</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文字准确，语言通顺，内容简明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文字准确是指无明显错别字、多字、漏字、语句错误、数据错误、时间错误等现象；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语言通顺是指语言规范、连贯、易懂，合乎事理逻辑，关键内容不会产生歧义等；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highlight w:val="none"/>
                <w:lang w:val="en-US"/>
              </w:rPr>
            </w:pPr>
            <w:r>
              <w:rPr>
                <w:rFonts w:hint="eastAsia" w:ascii="黑体" w:hAnsi="宋体" w:eastAsia="黑体" w:cs="黑体"/>
                <w:kern w:val="2"/>
                <w:sz w:val="21"/>
                <w:szCs w:val="21"/>
                <w:highlight w:val="none"/>
                <w:lang w:val="en-US" w:eastAsia="zh-CN" w:bidi="ar"/>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过程说明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说清预案编修过程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问题说明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说明意见建议及采纳情况、演练暴露问题及解决措施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41"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编制目的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体现：规范事发后的应对工作，提高事件应对能力，避免或减轻事件影响，加强企业与政府应对工作衔接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此三项为预案的总纲。</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适用范围</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明确：预案适用的主体、地理或管理范围、事件类别、工作内容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工作原则</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体现：符合国家有关规定和要求，结合本单位实际；救人第一、环境优先；先期处置、防止危害扩大；快速响应、科学应对；应急工作与岗位职责相结合等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3103"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应急预案</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体系</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9</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以预案关系图的形式，说明本预案的组成及其组成之间的关系、与生产安全事故预案等其他预案的衔接关系、与地方人民政府环境应急预案的衔接关系，辅以必要的重点内容说明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本项目的三项指标，主要考察企业在环境应急预案编制过程中能否清晰把握预案体系。具体衔接方式、内容在应对流程和措施等部分体现。</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环境应急预案定位于控制并减轻、消除污染，与企业内部生产安全事故预案等其他预案清晰界定、相互支持。</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预案体系构成合理，以现场处置预案为主，确有必要编制综合预案、专项预案，且定位清晰、有机衔接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预案整体定位清晰，与内部生产安全事故预案等其他预案清晰界定、相互支持，与地方人民政府环境应急预案有机衔接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1"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lang w:val="zh-CN"/>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以应急组织体系结构图、应急响应流程图的形式，说明组织体系构成、应急指挥运行机制，配有应急队伍成员名单和联系方式表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明确组织体系的构成及其职责。一般包括应急指挥部及其办事机构、现场处置组、环境应急监测组、应急保障组以及其他必要的行动组</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明确应急状态下指挥运行机制，建立统一的应急指挥、协调和决策程序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根据突发环境事件的危害程度、影响范围、周边环境敏感点、企业应急响应能力等，建立分级应急响应机制，明确不同应急响应级别对应的指挥权限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说明企业与政府及其有关部门之间的关系。明确政府及其有关部门介入后，企业内部指挥协调、配合处置、参与应急保障等工作任务和责任人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4"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监测预警</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建立企业内部监控预警方案</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根据企业可能面临事件情景，结合事件危害程度、紧急程度和发展态势，对企业内部预警级别、预警发布与解除、预警措施进行总体安排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明确监控信息的获得途径和分析研判的方式方法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监控信息的获得途径，例如极端天气等自然灾害、生产安全事故等事故灾难、相关监控监测信息等；</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明确企业内部预警条件，预警等级，预警信息发布、接收、调整、解除程序、发布内容、责任人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一般根据企业突发环境事件类型情景和自身的应急能力等，结合周边环境情况，确定预警等级，做到早发现、早报告、早发布；</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5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信息报告</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明确企业内部事件信息传递的责任人、程序、时限、方式、内容等，包括向协议应急救援单位传递信息的方式方法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明确企业向当地人民政府及其环保等部门报告的责任人、程序、时限方式、内容等，辅以信息报告格式规范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明确企业向可能受影响的居民、单位通报的责任人、程序、时限、方式、内容等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应急监测</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23</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涉大气污染的，说明排放口和厂界气体监测的一般原则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按照《突发环境事件应急监测技术规范》等有关要求，确定排放口和厂界气体监测一般原则，为针对具体事件情景制定监测方案提供指导；</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24</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涉水污染的，说明废水排放口、雨水排放口、清净下水排放口等可能外排渠道监测的一般原则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监测方案一般应明确监测项目、采样（监测）人员、监测设备、监测频次等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明确监测执行单位；自身没有监测能力的，说明协议监测方案，并附协议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应对流程和措施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27</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根据环境风险评估报告中的风险分析和情景构建内容，说明应对流程和措施，体现：企业内部控制污染源-研判污染范围-控制污染扩散-污染处置应对流程和措施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28</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体现必要的企业外部应急措施、配合当地人民政府的响应措施及对当地人民政府应急措施的建议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669"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29</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涉及大气污染的，应重点说明受威胁范围、组织公众避险的方式方法，涉及疏散的一般应辅以疏散路线图；如果装备风向标，应配有风向标分布图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30</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涉及水污染的，应重点说明企业内收集、封堵、处置污染物的方式方法，适当延伸至企业外防控方式方法；配有废水、雨水、清净下水管网及重要阀门设置图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6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31</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分别说明可能的事件情景及应急处置方案，明确相关岗位人员采取措施的时间、地点、内容、方式、目标等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32</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将应急措施细化、落实到岗位，形成应急处置卡</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3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配有厂区平面布置图，应急物资表/分布图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应急终止</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结合本单位实际，说明应急终止的条件和发布程序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9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事后恢复</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说明事后恢复的工作内容和责任人，一般包括：现场污染物的后续处理；环境应急相关设施、设备、场所的维护；配合开展环境损害评估、赔偿、事件调查处理等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保障措施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说明环境应急预案涉及的人力资源、财力、物资以及其他技术、重要设施的保障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1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预案管理</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安排有关环境应急预案的培训和演练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明确环境应急预案的评估修订要求</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525"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37"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风险分析</w:t>
            </w:r>
            <w:r>
              <w:rPr>
                <w:rFonts w:hint="eastAsia" w:ascii="宋体" w:hAnsi="宋体" w:eastAsia="宋体" w:cs="宋体"/>
                <w:kern w:val="2"/>
                <w:sz w:val="21"/>
                <w:szCs w:val="21"/>
                <w:vertAlign w:val="superscript"/>
                <w:lang w:val="en-US" w:eastAsia="zh-CN" w:bidi="ar"/>
              </w:rPr>
              <w:t>c</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识别出所有重要的环境风险物质；列表，至少列出重要环境风险物质的名称、数量（最大存在总量）、位置/所在装置；环境风险物质数量大于临界量的，辨识重要环境风险单元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7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重点核对生产工艺、环境风险防控措施各项指标的赋值是否合理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环境风险受体类型的确定是否合理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环境风险等级划分是否正确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情景构建</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列明国内外同类企业的突发环境事件信息，提出本企业可能发生的突发环境事件情景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源强分析，重点分析释放环境风险物质的种类、释放速率、持续时间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释放途径分析，重点分析环境风险物质从释放源头到受体之间的过程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危害后果分析，重点分析环境风险物质的影响范围和程度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明确在最坏情景下，大气环境风险物质影响最远距离内的人口数量及位置等，水环境敏感受体的数量及位置等信息，并附有相关示意图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完善计划</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分析现有环境风险防控与应急措施所存在的差距，制定环境风险防控整改完善计划</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调查内容</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tabs>
                <w:tab w:val="left" w:pos="0"/>
              </w:tabs>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第一时间可调用的环境应急队伍、装备、物资、场所</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调查结果</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针对环境应急资源清单，抽查数据的可信性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7" w:type="dxa"/>
            <w:gridSpan w:val="4"/>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合  计</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w:t>
            </w: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68</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42" w:hRule="atLeast"/>
          <w:jc w:val="center"/>
        </w:trPr>
        <w:tc>
          <w:tcPr>
            <w:tcW w:w="13784" w:type="dxa"/>
            <w:gridSpan w:val="8"/>
            <w:tcBorders>
              <w:top w:val="single" w:color="auto" w:sz="4" w:space="0"/>
              <w:left w:val="single" w:color="auto" w:sz="8" w:space="0"/>
              <w:bottom w:val="single" w:color="auto" w:sz="8"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评审人员（签字）：</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 xml:space="preserve">                                                                                          评审日期：      年   月   日</w:t>
            </w:r>
          </w:p>
        </w:tc>
      </w:tr>
    </w:tbl>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注：1.符合，指的是评审专家判定某一项指标所涉及的内容能够反映制定环境应急预案的企业开展了该项工作，且工作全面、深入、质量高；部分</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符合，指的是评审专家判定企业开展了该项工作，但工作不全面、不深入或质量不高；不符合，指的是评审人员判定企业未开展该项工作，</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或工作有重大疏漏、流于形式或质量差。</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2.赋分原则：“符合”得2分、“部分符合”得1分、“不符合”得0分；其中标注a的指标得分按“符合”得1分、“部分符合”得0.5分、“不</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符合”得0分计，标注b的指标得分按“符合”得3分、“部分符合”得1.5分、“不符合”得0分计。</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3.指标调整：标注c的指标或项目中的部分指标，评审组可以对不适用的进行调整。</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4.“一票否决”项不计入评审得分。</w:t>
      </w:r>
    </w:p>
    <w:p>
      <w:pPr>
        <w:keepNext w:val="0"/>
        <w:keepLines w:val="0"/>
        <w:widowControl w:val="0"/>
        <w:suppressLineNumbers w:val="0"/>
        <w:adjustRightInd w:val="0"/>
        <w:snapToGrid w:val="0"/>
        <w:spacing w:before="0" w:beforeAutospacing="0" w:after="0" w:afterAutospacing="0" w:line="288" w:lineRule="auto"/>
        <w:ind w:left="0" w:right="0"/>
        <w:jc w:val="both"/>
      </w:pPr>
      <w:r>
        <w:rPr>
          <w:rFonts w:hint="eastAsia" w:ascii="宋体" w:hAnsi="宋体" w:eastAsia="宋体" w:cs="宋体"/>
          <w:kern w:val="2"/>
          <w:sz w:val="21"/>
          <w:szCs w:val="22"/>
          <w:lang w:val="en-US" w:eastAsia="zh-CN" w:bidi="ar"/>
        </w:rPr>
        <w:t xml:space="preserve">    5.指标说明供参考。</w:t>
      </w:r>
    </w:p>
    <w:sectPr>
      <w:pgSz w:w="16838" w:h="11906" w:orient="landscape"/>
      <w:pgMar w:top="1702" w:right="1702" w:bottom="1702" w:left="1702" w:header="851" w:footer="992" w:gutter="0"/>
      <w:pgNumType w:fmt="decimal" w:start="1"/>
      <w:cols w:space="425"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52A5B"/>
    <w:rsid w:val="03116513"/>
    <w:rsid w:val="0D99122B"/>
    <w:rsid w:val="0FF52A5B"/>
    <w:rsid w:val="1838393A"/>
    <w:rsid w:val="245D46D7"/>
    <w:rsid w:val="32A03725"/>
    <w:rsid w:val="423F5B75"/>
    <w:rsid w:val="452920A0"/>
    <w:rsid w:val="500F2DE9"/>
    <w:rsid w:val="511B5840"/>
    <w:rsid w:val="59D84E8A"/>
    <w:rsid w:val="5ECE3671"/>
    <w:rsid w:val="659B154D"/>
    <w:rsid w:val="698928BF"/>
    <w:rsid w:val="6A534E63"/>
    <w:rsid w:val="6FAD5F2A"/>
    <w:rsid w:val="70DD35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kern w:val="0"/>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2"/>
    <w:basedOn w:val="2"/>
    <w:qFormat/>
    <w:uiPriority w:val="0"/>
    <w:pPr>
      <w:spacing w:line="400" w:lineRule="exact"/>
      <w:jc w:val="center"/>
    </w:pPr>
    <w:rPr>
      <w:rFonts w:asciiTheme="minorAscii" w:hAnsiTheme="minorAscii" w:cstheme="minorBidi"/>
      <w:szCs w:val="24"/>
    </w:rPr>
  </w:style>
  <w:style w:type="paragraph" w:customStyle="1" w:styleId="8">
    <w:name w:val="样式3"/>
    <w:basedOn w:val="2"/>
    <w:next w:val="2"/>
    <w:qFormat/>
    <w:uiPriority w:val="0"/>
    <w:pPr>
      <w:spacing w:line="400" w:lineRule="exact"/>
      <w:jc w:val="center"/>
    </w:pPr>
    <w:rPr>
      <w:rFonts w:asciiTheme="minorAscii" w:hAnsiTheme="minorAscii" w:cstheme="minorBidi"/>
      <w:sz w:val="32"/>
      <w:szCs w:val="24"/>
    </w:rPr>
  </w:style>
  <w:style w:type="character" w:customStyle="1" w:styleId="9">
    <w:name w:val="页脚 Char"/>
    <w:basedOn w:val="6"/>
    <w:link w:val="3"/>
    <w:qFormat/>
    <w:uiPriority w:val="0"/>
    <w:rPr>
      <w:rFonts w:hint="default" w:ascii="Calibri" w:hAnsi="Calibri" w:cs="Calibri"/>
      <w:kern w:val="2"/>
      <w:sz w:val="18"/>
      <w:szCs w:val="18"/>
    </w:rPr>
  </w:style>
  <w:style w:type="paragraph" w:customStyle="1" w:styleId="10">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2019-03-06T08:15:00Z</dcterms:created>
  <dc:creator>1242407191@qq.com</dc:creator>
  <cp:lastModifiedBy>慕容二十九</cp:lastModifiedBy>
  <cp:lastPrinted>2019-08-29T09:12:00Z</cp:lastPrinted>
  <dcterms:modified xsi:type="dcterms:W3CDTF">2020-09-13T01:55:55Z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djustRightInd w:val="0"/>
        <w:snapToGrid w:val="0"/>
        <w:spacing w:before="0" w:beforeAutospacing="0" w:after="0" w:afterAutospacing="0"/>
        <w:ind w:left="0" w:right="0"/>
        <w:jc w:val="center"/>
        <w:rPr>
          <w:rFonts w:hint="eastAsia" w:ascii="方正小标宋_GBK" w:hAnsi="华文中宋" w:eastAsia="方正小标宋_GBK" w:cs="方正小标宋_GBK"/>
          <w:sz w:val="38"/>
          <w:szCs w:val="38"/>
          <w:lang w:val="en-US"/>
        </w:rPr>
      </w:pPr>
      <w:r>
        <w:rPr>
          <w:rFonts w:hint="eastAsia" w:ascii="方正小标宋_GBK" w:hAnsi="华文中宋" w:eastAsia="方正小标宋_GBK" w:cs="方正小标宋_GBK"/>
          <w:kern w:val="2"/>
          <w:sz w:val="38"/>
          <w:szCs w:val="38"/>
          <w:lang w:val="en-US" w:eastAsia="zh-CN" w:bidi="ar"/>
        </w:rPr>
        <w:t>企业事业单位突发环境事件应急预案评审表</w:t>
      </w: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tbl>
      <w:tblPr>
        <w:tblStyle w:val="5"/>
        <w:tblW w:w="137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135"/>
        <w:gridCol w:w="426"/>
        <w:gridCol w:w="4820"/>
        <w:gridCol w:w="1276"/>
        <w:gridCol w:w="567"/>
        <w:gridCol w:w="40"/>
        <w:gridCol w:w="669"/>
        <w:gridCol w:w="4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70" w:hRule="atLeast"/>
          <w:jc w:val="center"/>
        </w:trPr>
        <w:tc>
          <w:tcPr>
            <w:tcW w:w="13784" w:type="dxa"/>
            <w:gridSpan w:val="8"/>
            <w:tcBorders>
              <w:top w:val="single" w:color="auto" w:sz="8"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134" w:beforeLines="30" w:beforeAutospacing="0" w:after="0" w:afterAutospacing="0"/>
              <w:ind w:left="0" w:right="0"/>
              <w:jc w:val="left"/>
              <w:rPr>
                <w:rFonts w:hint="eastAsia" w:ascii="宋体" w:hAnsi="宋体" w:eastAsia="宋体" w:cs="宋体"/>
                <w:sz w:val="21"/>
                <w:szCs w:val="21"/>
                <w:highlight w:val="green"/>
                <w:lang w:val="en-US"/>
              </w:rPr>
            </w:pPr>
            <w:r>
              <w:rPr>
                <w:rFonts w:hint="eastAsia" w:ascii="宋体" w:hAnsi="宋体" w:eastAsia="宋体" w:cs="宋体"/>
                <w:kern w:val="2"/>
                <w:sz w:val="21"/>
                <w:szCs w:val="21"/>
                <w:lang w:val="en-US" w:eastAsia="zh-CN" w:bidi="ar"/>
              </w:rPr>
              <w:t>预案编制单位：陕西金鑫电器有限公司</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(专业技术服务机构：)</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企业环境风险级别：☑一般；□较大；□重大</w:t>
            </w:r>
          </w:p>
          <w:p>
            <w:pPr>
              <w:keepNext w:val="0"/>
              <w:keepLines w:val="0"/>
              <w:widowControl w:val="0"/>
              <w:suppressLineNumbers w:val="0"/>
              <w:adjustRightInd w:val="0"/>
              <w:snapToGrid w:val="0"/>
              <w:spacing w:before="0" w:beforeAutospacing="0" w:after="134" w:afterLines="30" w:afterAutospacing="0"/>
              <w:ind w:left="0" w:right="0"/>
              <w:jc w:val="right"/>
              <w:rPr>
                <w:rFonts w:hint="eastAsia" w:ascii="仿宋_GB2312" w:hAnsi="宋体" w:eastAsia="宋体" w:cs="仿宋_GB2312"/>
                <w:b/>
                <w:bCs w:val="0"/>
                <w:sz w:val="24"/>
                <w:szCs w:val="24"/>
                <w:lang w:val="en-US"/>
              </w:rPr>
            </w:pPr>
            <w:r>
              <w:rPr>
                <w:rFonts w:hint="eastAsia" w:ascii="仿宋_GB2312" w:hAnsi="宋体" w:eastAsia="宋体" w:cs="宋体"/>
                <w:b/>
                <w:bCs w:val="0"/>
                <w:kern w:val="2"/>
                <w:sz w:val="24"/>
                <w:szCs w:val="24"/>
                <w:lang w:val="en-US" w:eastAsia="zh-CN" w:bidi="ar"/>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75" w:hRule="atLeast"/>
          <w:jc w:val="center"/>
        </w:trPr>
        <w:tc>
          <w:tcPr>
            <w:tcW w:w="6381"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81" w:type="dxa"/>
            <w:gridSpan w:val="3"/>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  定</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  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44"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有单独的环境风险评估报告和环境应急资源调查报告（表）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4"/>
                <w:sz w:val="21"/>
                <w:szCs w:val="21"/>
                <w:lang w:val="en-US"/>
              </w:rPr>
            </w:pPr>
            <w:r>
              <w:rPr>
                <w:rFonts w:hint="eastAsia" w:ascii="宋体" w:hAnsi="宋体" w:eastAsia="宋体" w:cs="宋体"/>
                <w:spacing w:val="-4"/>
                <w:kern w:val="2"/>
                <w:sz w:val="21"/>
                <w:szCs w:val="21"/>
                <w:lang w:val="en-US" w:eastAsia="zh-CN" w:bidi="ar"/>
              </w:rPr>
              <w:t>从可能的突发环境事件情景出发编制且典型突发环境事件情景无缺失</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突发事件应对法有关规定；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备案管理办法第九、十条，均对企业从可能的突发环境事件情景出发编制环境应急预案提出了要求；</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能够让周边居民和单位获得事件信息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评审项目</w:t>
            </w:r>
          </w:p>
        </w:tc>
        <w:tc>
          <w:tcPr>
            <w:tcW w:w="524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524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判定</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得分</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封面目录</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vertAlign w:val="superscript"/>
                <w:lang w:val="en-US"/>
              </w:rPr>
            </w:pPr>
            <w:r>
              <w:rPr>
                <w:rFonts w:hint="eastAsia" w:ascii="宋体" w:hAnsi="宋体" w:eastAsia="宋体" w:cs="宋体"/>
                <w:sz w:val="21"/>
                <w:szCs w:val="21"/>
                <w:lang w:val="en-US"/>
              </w:rPr>
              <w:t>1</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封面有环境应急预案、预案编制单位名称，预留正式发布预案的版本号、发布日期等设计；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目录有编号、标题和页码，一般至少设置两级目录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预案版本号指为便于索引、回溯而在发布时赋予预案的标识号，企业可以按照内部技术文件版本号管理要求执行；</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951"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结构完整指预案文件布局合理、层次分明，无错漏章节、段落；正文对附件的引用、说明等，与附件索引、附件一致；</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8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行文</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文字准确，语言通顺，内容简明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文字准确是指无明显错别字、多字、漏字、语句错误、数据错误、时间错误等现象；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语言通顺是指语言规范、连贯、易懂，合乎事理逻辑，关键内容不会产生歧义等；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highlight w:val="none"/>
                <w:lang w:val="en-US"/>
              </w:rPr>
            </w:pPr>
            <w:r>
              <w:rPr>
                <w:rFonts w:hint="eastAsia" w:ascii="黑体" w:hAnsi="宋体" w:eastAsia="黑体" w:cs="黑体"/>
                <w:kern w:val="2"/>
                <w:sz w:val="21"/>
                <w:szCs w:val="21"/>
                <w:highlight w:val="none"/>
                <w:lang w:val="en-US" w:eastAsia="zh-CN" w:bidi="ar"/>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过程说明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说清预案编修过程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问题说明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说明意见建议及采纳情况、演练暴露问题及解决措施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41"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编制目的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体现：规范事发后的应对工作，提高事件应对能力，避免或减轻事件影响，加强企业与政府应对工作衔接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此三项为预案的总纲。</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适用范围</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明确：预案适用的主体、地理或管理范围、事件类别、工作内容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工作原则</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体现：符合国家有关规定和要求，结合本单位实际；救人第一、环境优先；先期处置、防止危害扩大；快速响应、科学应对；应急工作与岗位职责相结合等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3103"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应急预案</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体系</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9</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以预案关系图的形式，说明本预案的组成及其组成之间的关系、与生产安全事故预案等其他预案的衔接关系、与地方人民政府环境应急预案的衔接关系，辅以必要的重点内容说明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本项目的三项指标，主要考察企业在环境应急预案编制过程中能否清晰把握预案体系。具体衔接方式、内容在应对流程和措施等部分体现。</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环境应急预案定位于控制并减轻、消除污染，与企业内部生产安全事故预案等其他预案清晰界定、相互支持。</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预案体系构成合理，以现场处置预案为主，确有必要编制综合预案、专项预案，且定位清晰、有机衔接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预案整体定位清晰，与内部生产安全事故预案等其他预案清晰界定、相互支持，与地方人民政府环境应急预案有机衔接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1"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lang w:val="zh-CN"/>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以应急组织体系结构图、应急响应流程图的形式，说明组织体系构成、应急指挥运行机制，配有应急队伍成员名单和联系方式表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明确组织体系的构成及其职责。一般包括应急指挥部及其办事机构、现场处置组、环境应急监测组、应急保障组以及其他必要的行动组</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明确应急状态下指挥运行机制，建立统一的应急指挥、协调和决策程序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根据突发环境事件的危害程度、影响范围、周边环境敏感点、企业应急响应能力等，建立分级应急响应机制，明确不同应急响应级别对应的指挥权限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说明企业与政府及其有关部门之间的关系。明确政府及其有关部门介入后，企业内部指挥协调、配合处置、参与应急保障等工作任务和责任人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4"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监测预警</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建立企业内部监控预警方案</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根据企业可能面临事件情景，结合事件危害程度、紧急程度和发展态势，对企业内部预警级别、预警发布与解除、预警措施进行总体安排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明确监控信息的获得途径和分析研判的方式方法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监控信息的获得途径，例如极端天气等自然灾害、生产安全事故等事故灾难、相关监控监测信息等；</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明确企业内部预警条件，预警等级，预警信息发布、接收、调整、解除程序、发布内容、责任人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一般根据企业突发环境事件类型情景和自身的应急能力等，结合周边环境情况，确定预警等级，做到早发现、早报告、早发布；</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5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信息报告</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明确企业内部事件信息传递的责任人、程序、时限、方式、内容等，包括向协议应急救援单位传递信息的方式方法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明确企业向当地人民政府及其环保等部门报告的责任人、程序、时限方式、内容等，辅以信息报告格式规范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明确企业向可能受影响的居民、单位通报的责任人、程序、时限、方式、内容等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应急监测</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23</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涉大气污染的，说明排放口和厂界气体监测的一般原则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按照《突发环境事件应急监测技术规范》等有关要求，确定排放口和厂界气体监测一般原则，为针对具体事件情景制定监测方案提供指导；</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24</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涉水污染的，说明废水排放口、雨水排放口、清净下水排放口等可能外排渠道监测的一般原则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监测方案一般应明确监测项目、采样（监测）人员、监测设备、监测频次等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明确监测执行单位；自身没有监测能力的，说明协议监测方案，并附协议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应对流程和措施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27</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根据环境风险评估报告中的风险分析和情景构建内容，说明应对流程和措施，体现：企业内部控制污染源-研判污染范围-控制污染扩散-污染处置应对流程和措施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28</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体现必要的企业外部应急措施、配合当地人民政府的响应措施及对当地人民政府应急措施的建议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669"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29</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涉及大气污染的，应重点说明受威胁范围、组织公众避险的方式方法，涉及疏散的一般应辅以疏散路线图；如果装备风向标，应配有风向标分布图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30</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涉及水污染的，应重点说明企业内收集、封堵、处置污染物的方式方法，适当延伸至企业外防控方式方法；配有废水、雨水、清净下水管网及重要阀门设置图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6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31</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分别说明可能的事件情景及应急处置方案，明确相关岗位人员采取措施的时间、地点、内容、方式、目标等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32</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将应急措施细化、落实到岗位，形成应急处置卡</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3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配有厂区平面布置图，应急物资表/分布图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应急终止</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结合本单位实际，说明应急终止的条件和发布程序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9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事后恢复</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说明事后恢复的工作内容和责任人，一般包括：现场污染物的后续处理；环境应急相关设施、设备、场所的维护；配合开展环境损害评估、赔偿、事件调查处理等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保障措施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说明环境应急预案涉及的人力资源、财力、物资以及其他技术、重要设施的保障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1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预案管理</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安排有关环境应急预案的培训和演练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明确环境应急预案的评估修订要求</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525"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37"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风险分析</w:t>
            </w:r>
            <w:r>
              <w:rPr>
                <w:rFonts w:hint="eastAsia" w:ascii="宋体" w:hAnsi="宋体" w:eastAsia="宋体" w:cs="宋体"/>
                <w:kern w:val="2"/>
                <w:sz w:val="21"/>
                <w:szCs w:val="21"/>
                <w:vertAlign w:val="superscript"/>
                <w:lang w:val="en-US" w:eastAsia="zh-CN" w:bidi="ar"/>
              </w:rPr>
              <w:t>c</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识别出所有重要的环境风险物质；列表，至少列出重要环境风险物质的名称、数量（最大存在总量）、位置/所在装置；环境风险物质数量大于临界量的，辨识重要环境风险单元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7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重点核对生产工艺、环境风险防控措施各项指标的赋值是否合理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环境风险受体类型的确定是否合理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环境风险等级划分是否正确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情景构建</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列明国内外同类企业的突发环境事件信息，提出本企业可能发生的突发环境事件情景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源强分析，重点分析释放环境风险物质的种类、释放速率、持续时间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释放途径分析，重点分析环境风险物质从释放源头到受体之间的过程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危害后果分析，重点分析环境风险物质的影响范围和程度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明确在最坏情景下，大气环境风险物质影响最远距离内的人口数量及位置等，水环境敏感受体的数量及位置等信息，并附有相关示意图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完善计划</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分析现有环境风险防控与应急措施所存在的差距，制定环境风险防控整改完善计划</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调查内容</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tabs>
                <w:tab w:val="left" w:pos="0"/>
              </w:tabs>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第一时间可调用的环境应急队伍、装备、物资、场所</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调查结果</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针对环境应急资源清单，抽查数据的可信性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7" w:type="dxa"/>
            <w:gridSpan w:val="4"/>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合  计</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w:t>
            </w: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68</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42" w:hRule="atLeast"/>
          <w:jc w:val="center"/>
        </w:trPr>
        <w:tc>
          <w:tcPr>
            <w:tcW w:w="13784" w:type="dxa"/>
            <w:gridSpan w:val="8"/>
            <w:tcBorders>
              <w:top w:val="single" w:color="auto" w:sz="4" w:space="0"/>
              <w:left w:val="single" w:color="auto" w:sz="8" w:space="0"/>
              <w:bottom w:val="single" w:color="auto" w:sz="8"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评审人员（签字）：</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 xml:space="preserve">                                                                                          评审日期：      年   月   日</w:t>
            </w:r>
          </w:p>
        </w:tc>
      </w:tr>
    </w:tbl>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注：1.符合，指的是评审专家判定某一项指标所涉及的内容能够反映制定环境应急预案的企业开展了该项工作，且工作全面、深入、质量高；部分</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符合，指的是评审专家判定企业开展了该项工作，但工作不全面、不深入或质量不高；不符合，指的是评审人员判定企业未开展该项工作，</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或工作有重大疏漏、流于形式或质量差。</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2.赋分原则：“符合”得2分、“部分符合”得1分、“不符合”得0分；其中标注a的指标得分按“符合”得1分、“部分符合”得0.5分、“不</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符合”得0分计，标注b的指标得分按“符合”得3分、“部分符合”得1.5分、“不符合”得0分计。</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3.指标调整：标注c的指标或项目中的部分指标，评审组可以对不适用的进行调整。</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4.“一票否决”项不计入评审得分。</w:t>
      </w:r>
    </w:p>
    <w:p>
      <w:pPr>
        <w:keepNext w:val="0"/>
        <w:keepLines w:val="0"/>
        <w:widowControl w:val="0"/>
        <w:suppressLineNumbers w:val="0"/>
        <w:adjustRightInd w:val="0"/>
        <w:snapToGrid w:val="0"/>
        <w:spacing w:before="0" w:beforeAutospacing="0" w:after="0" w:afterAutospacing="0" w:line="288" w:lineRule="auto"/>
        <w:ind w:left="0" w:right="0"/>
        <w:jc w:val="both"/>
      </w:pPr>
      <w:r>
        <w:rPr>
          <w:rFonts w:hint="eastAsia" w:ascii="宋体" w:hAnsi="宋体" w:eastAsia="宋体" w:cs="宋体"/>
          <w:kern w:val="2"/>
          <w:sz w:val="21"/>
          <w:szCs w:val="22"/>
          <w:lang w:val="en-US" w:eastAsia="zh-CN" w:bidi="ar"/>
        </w:rPr>
        <w:t xml:space="preserve">    5.指标说明供参考。</w:t>
      </w:r>
    </w:p>
    <w:sectPr>
      <w:pgSz w:w="16838" w:h="11906" w:orient="landscape"/>
      <w:pgMar w:top="1702" w:right="1702" w:bottom="1702" w:left="1702" w:header="851" w:footer="992" w:gutter="0"/>
      <w:pgNumType w:fmt="decimal" w:start="1"/>
      <w:cols w:space="425" w:num="1"/>
      <w:docGrid w:type="lines" w:linePitch="447" w:charSpace="0"/>
    </w:sectPr>
  </w:body>
</w:document>
</file>

<file path=treport/opRecord.xml>tbl_4(0);
</file>