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rPr>
          <w:w w:val="95"/>
        </w:rPr>
      </w:pPr>
    </w:p>
    <w:p>
      <w:pPr>
        <w:topLinePunct/>
      </w:pPr>
    </w:p>
    <w:p>
      <w:pPr>
        <w:topLinePunct/>
      </w:pPr>
    </w:p>
    <w:p>
      <w:pPr>
        <w:topLinePunct/>
      </w:pPr>
    </w:p>
    <w:p>
      <w:pPr>
        <w:topLinePunct/>
      </w:pPr>
    </w:p>
    <w:p>
      <w:pPr>
        <w:pStyle w:val="10"/>
        <w:topLinePunct/>
        <w:spacing w:after="120" w:afterLines="50" w:line="360" w:lineRule="auto"/>
        <w:jc w:val="center"/>
        <w:rPr>
          <w:rFonts w:eastAsia="仿宋_GB2312"/>
          <w:b/>
          <w:sz w:val="44"/>
          <w:szCs w:val="44"/>
          <w:lang w:val="en-US"/>
        </w:rPr>
      </w:pPr>
    </w:p>
    <w:p>
      <w:pPr>
        <w:pStyle w:val="10"/>
        <w:topLinePunct/>
        <w:spacing w:after="120" w:afterLines="50" w:line="360" w:lineRule="auto"/>
        <w:jc w:val="center"/>
        <w:rPr>
          <w:rFonts w:hint="eastAsia" w:eastAsia="仿宋_GB2312"/>
          <w:b/>
          <w:sz w:val="44"/>
          <w:szCs w:val="44"/>
          <w:lang w:val="en-US" w:eastAsia="zh-CN"/>
        </w:rPr>
      </w:pPr>
      <w:r>
        <w:rPr>
          <w:rFonts w:hint="eastAsia" w:eastAsia="仿宋_GB2312"/>
          <w:b/>
          <w:sz w:val="44"/>
          <w:szCs w:val="44"/>
          <w:lang w:val="en-US" w:eastAsia="zh-CN"/>
        </w:rPr>
        <w:t>咸阳新景途机械制造有限公司</w:t>
      </w:r>
    </w:p>
    <w:p>
      <w:pPr>
        <w:pStyle w:val="10"/>
        <w:topLinePunct/>
        <w:spacing w:after="120" w:afterLines="50" w:line="360" w:lineRule="auto"/>
        <w:jc w:val="center"/>
        <w:rPr>
          <w:rFonts w:eastAsia="仿宋_GB2312"/>
          <w:b/>
          <w:sz w:val="44"/>
          <w:szCs w:val="44"/>
          <w:lang w:val="en-US"/>
        </w:rPr>
      </w:pPr>
      <w:r>
        <w:rPr>
          <w:rFonts w:hint="eastAsia" w:eastAsia="仿宋_GB2312"/>
          <w:b/>
          <w:sz w:val="44"/>
          <w:szCs w:val="44"/>
          <w:lang w:val="en-US"/>
        </w:rPr>
        <w:t>突发环境事件应急预案编制说明</w:t>
      </w:r>
    </w:p>
    <w:p>
      <w:pPr>
        <w:overflowPunct w:val="0"/>
        <w:topLinePunct/>
        <w:spacing w:line="520" w:lineRule="exact"/>
        <w:rPr>
          <w:sz w:val="52"/>
          <w:szCs w:val="52"/>
        </w:rPr>
      </w:pPr>
    </w:p>
    <w:p>
      <w:pPr>
        <w:overflowPunct w:val="0"/>
        <w:topLinePunct/>
        <w:spacing w:line="520" w:lineRule="exact"/>
        <w:rPr>
          <w:sz w:val="52"/>
          <w:szCs w:val="52"/>
        </w:rPr>
      </w:pPr>
    </w:p>
    <w:p>
      <w:pPr>
        <w:overflowPunct w:val="0"/>
        <w:topLinePunct/>
        <w:spacing w:line="520" w:lineRule="exact"/>
        <w:rPr>
          <w:sz w:val="52"/>
          <w:szCs w:val="52"/>
        </w:rPr>
      </w:pPr>
    </w:p>
    <w:p>
      <w:pPr>
        <w:overflowPunct w:val="0"/>
        <w:topLinePunct/>
        <w:spacing w:line="520" w:lineRule="exact"/>
        <w:rPr>
          <w:sz w:val="52"/>
          <w:szCs w:val="52"/>
        </w:rPr>
      </w:pPr>
    </w:p>
    <w:p>
      <w:pPr>
        <w:overflowPunct w:val="0"/>
        <w:topLinePunct/>
        <w:spacing w:line="520" w:lineRule="exact"/>
        <w:rPr>
          <w:sz w:val="52"/>
          <w:szCs w:val="52"/>
        </w:rPr>
      </w:pPr>
    </w:p>
    <w:p>
      <w:pPr>
        <w:overflowPunct w:val="0"/>
        <w:topLinePunct/>
        <w:spacing w:line="520" w:lineRule="exact"/>
        <w:rPr>
          <w:sz w:val="52"/>
          <w:szCs w:val="52"/>
        </w:rPr>
      </w:pPr>
    </w:p>
    <w:p>
      <w:pPr>
        <w:overflowPunct w:val="0"/>
        <w:topLinePunct/>
        <w:spacing w:line="520" w:lineRule="exact"/>
        <w:rPr>
          <w:sz w:val="52"/>
          <w:szCs w:val="52"/>
        </w:rPr>
      </w:pPr>
    </w:p>
    <w:p>
      <w:pPr>
        <w:overflowPunct w:val="0"/>
        <w:topLinePunct/>
        <w:spacing w:line="520" w:lineRule="exact"/>
        <w:rPr>
          <w:sz w:val="52"/>
          <w:szCs w:val="52"/>
        </w:rPr>
      </w:pPr>
    </w:p>
    <w:p>
      <w:pPr>
        <w:overflowPunct w:val="0"/>
        <w:topLinePunct/>
        <w:spacing w:line="520" w:lineRule="exact"/>
        <w:rPr>
          <w:sz w:val="52"/>
          <w:szCs w:val="52"/>
        </w:rPr>
      </w:pPr>
    </w:p>
    <w:p>
      <w:pPr>
        <w:overflowPunct w:val="0"/>
        <w:topLinePunct/>
        <w:spacing w:line="520" w:lineRule="exact"/>
        <w:rPr>
          <w:sz w:val="52"/>
          <w:szCs w:val="52"/>
        </w:rPr>
      </w:pPr>
    </w:p>
    <w:p>
      <w:pPr>
        <w:overflowPunct w:val="0"/>
        <w:topLinePunct/>
        <w:spacing w:before="20" w:line="740" w:lineRule="exact"/>
        <w:rPr>
          <w:sz w:val="74"/>
          <w:szCs w:val="74"/>
        </w:rPr>
      </w:pPr>
    </w:p>
    <w:p>
      <w:pPr>
        <w:pStyle w:val="10"/>
        <w:topLinePunct/>
        <w:spacing w:after="120" w:afterLines="50" w:line="360" w:lineRule="auto"/>
        <w:jc w:val="center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咸阳新景途机械制造有限公司</w:t>
      </w:r>
    </w:p>
    <w:p>
      <w:pPr>
        <w:pStyle w:val="10"/>
        <w:topLinePunct/>
        <w:spacing w:after="120" w:afterLines="50" w:line="360" w:lineRule="auto"/>
        <w:jc w:val="center"/>
        <w:rPr>
          <w:rFonts w:ascii="仿宋_GB2312" w:eastAsia="仿宋_GB2312"/>
          <w:b/>
          <w:sz w:val="32"/>
          <w:szCs w:val="32"/>
          <w:lang w:val="en-US"/>
        </w:rPr>
      </w:pPr>
      <w:r>
        <w:rPr>
          <w:rFonts w:hint="eastAsia" w:ascii="仿宋_GB2312" w:eastAsia="仿宋_GB2312"/>
          <w:b/>
          <w:sz w:val="32"/>
          <w:szCs w:val="32"/>
          <w:lang w:val="en-US"/>
        </w:rPr>
        <w:t>二〇二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一</w:t>
      </w:r>
      <w:r>
        <w:rPr>
          <w:rFonts w:hint="eastAsia" w:ascii="仿宋_GB2312" w:eastAsia="仿宋_GB2312"/>
          <w:b/>
          <w:sz w:val="32"/>
          <w:szCs w:val="32"/>
          <w:lang w:val="en-US"/>
        </w:rPr>
        <w:t>年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b/>
          <w:sz w:val="32"/>
          <w:szCs w:val="32"/>
          <w:lang w:val="en-US"/>
        </w:rPr>
        <w:t>月</w:t>
      </w:r>
    </w:p>
    <w:p>
      <w:pPr>
        <w:pStyle w:val="7"/>
        <w:overflowPunct w:val="0"/>
        <w:topLinePunct/>
        <w:spacing w:before="0" w:line="413" w:lineRule="auto"/>
        <w:ind w:left="2092" w:right="2090"/>
        <w:jc w:val="center"/>
        <w:rPr>
          <w:rFonts w:ascii="仿宋" w:eastAsia="仿宋" w:cs="仿宋"/>
        </w:rPr>
        <w:sectPr>
          <w:headerReference r:id="rId3" w:type="default"/>
          <w:footerReference r:id="rId4" w:type="default"/>
          <w:pgSz w:w="11910" w:h="16840"/>
          <w:pgMar w:top="1600" w:right="1680" w:bottom="280" w:left="1680" w:header="227" w:footer="0" w:gutter="0"/>
          <w:cols w:equalWidth="0" w:num="1">
            <w:col w:w="8550"/>
          </w:cols>
        </w:sectPr>
      </w:pPr>
    </w:p>
    <w:p>
      <w:pPr>
        <w:overflowPunct w:val="0"/>
        <w:topLinePunct/>
        <w:spacing w:before="12" w:line="240" w:lineRule="exact"/>
      </w:pPr>
    </w:p>
    <w:p>
      <w:pPr>
        <w:topLinePunct/>
        <w:spacing w:line="360" w:lineRule="auto"/>
        <w:rPr>
          <w:rFonts w:eastAsia="仿宋_GB2312"/>
          <w:sz w:val="28"/>
          <w:szCs w:val="28"/>
          <w:lang w:val="zh-CN"/>
        </w:rPr>
      </w:pPr>
      <w:r>
        <w:rPr>
          <w:rFonts w:eastAsia="仿宋_GB2312"/>
          <w:sz w:val="28"/>
          <w:szCs w:val="28"/>
          <w:lang w:val="zh-CN"/>
        </w:rPr>
        <w:t xml:space="preserve">    </w:t>
      </w:r>
      <w:r>
        <w:rPr>
          <w:rFonts w:hint="eastAsia" w:eastAsia="仿宋_GB2312"/>
          <w:sz w:val="28"/>
          <w:szCs w:val="28"/>
          <w:lang w:val="zh-CN"/>
        </w:rPr>
        <w:t>为了规范和加强企业的生产安全事故应急预案的管理，进一步建立健全和完善应急预案体系。现将该预案的编制过程、原则、依据和主要内容、企业内部征求意见情况、企业内审情况、</w:t>
      </w:r>
      <w:r>
        <w:rPr>
          <w:rFonts w:hint="eastAsia" w:eastAsia="仿宋_GB2312"/>
          <w:sz w:val="28"/>
          <w:szCs w:val="28"/>
          <w:lang w:val="en-US" w:eastAsia="zh-CN"/>
        </w:rPr>
        <w:t>生产</w:t>
      </w:r>
      <w:r>
        <w:rPr>
          <w:rFonts w:hint="eastAsia" w:eastAsia="仿宋_GB2312"/>
          <w:sz w:val="28"/>
          <w:szCs w:val="28"/>
          <w:lang w:val="zh-CN"/>
        </w:rPr>
        <w:t>工艺流程图、平面布置图等涉及应急预案编制的相关情况做一说明：</w:t>
      </w:r>
    </w:p>
    <w:p>
      <w:pPr>
        <w:pStyle w:val="2"/>
        <w:rPr>
          <w:lang w:val="zh-CN"/>
        </w:rPr>
      </w:pPr>
      <w:r>
        <w:rPr>
          <w:rFonts w:hint="eastAsia"/>
          <w:lang w:val="zh-CN"/>
        </w:rPr>
        <w:t>一、应急预案编制过程</w:t>
      </w:r>
    </w:p>
    <w:p>
      <w:pPr>
        <w:overflowPunct w:val="0"/>
        <w:topLinePunct/>
        <w:spacing w:line="360" w:lineRule="auto"/>
        <w:ind w:left="119" w:firstLine="561"/>
        <w:rPr>
          <w:rFonts w:eastAsia="仿宋_GB2312"/>
          <w:sz w:val="28"/>
          <w:szCs w:val="28"/>
          <w:lang w:val="zh-CN"/>
        </w:rPr>
      </w:pPr>
      <w:r>
        <w:rPr>
          <w:rFonts w:eastAsia="仿宋_GB2312"/>
          <w:sz w:val="28"/>
          <w:szCs w:val="28"/>
          <w:lang w:val="zh-CN"/>
        </w:rPr>
        <w:t>1</w:t>
      </w:r>
      <w:r>
        <w:rPr>
          <w:rFonts w:hint="eastAsia" w:eastAsia="仿宋_GB2312"/>
          <w:sz w:val="28"/>
          <w:szCs w:val="28"/>
          <w:lang w:val="zh-CN"/>
        </w:rPr>
        <w:t>、成立应急工作领导小组。由事故应急救援总指挥、副总指挥、污染源控制组组长、人员救护组组长、消防救援组组长、警戒疏散组组长等组成。</w:t>
      </w:r>
    </w:p>
    <w:p>
      <w:pPr>
        <w:overflowPunct w:val="0"/>
        <w:topLinePunct/>
        <w:spacing w:before="42" w:line="360" w:lineRule="auto"/>
        <w:ind w:left="119" w:firstLine="561"/>
        <w:rPr>
          <w:rFonts w:eastAsia="仿宋_GB2312"/>
          <w:sz w:val="28"/>
          <w:szCs w:val="28"/>
          <w:lang w:val="zh-CN"/>
        </w:rPr>
      </w:pPr>
      <w:r>
        <w:rPr>
          <w:rFonts w:eastAsia="仿宋_GB2312"/>
          <w:sz w:val="28"/>
          <w:szCs w:val="28"/>
          <w:lang w:val="zh-CN"/>
        </w:rPr>
        <w:t>2</w:t>
      </w:r>
      <w:r>
        <w:rPr>
          <w:rFonts w:hint="eastAsia" w:eastAsia="仿宋_GB2312"/>
          <w:sz w:val="28"/>
          <w:szCs w:val="28"/>
          <w:lang w:val="zh-CN"/>
        </w:rPr>
        <w:t>、对本单位应急装备、现有环境风险防控和应急措施差距分析，应急队伍等应急能力等进行评估，并结合本单位实际，加强应急能力建设。</w:t>
      </w:r>
    </w:p>
    <w:p>
      <w:pPr>
        <w:pStyle w:val="2"/>
        <w:rPr>
          <w:lang w:val="zh-CN"/>
        </w:rPr>
      </w:pPr>
      <w:r>
        <w:rPr>
          <w:rFonts w:hint="eastAsia"/>
          <w:lang w:val="zh-CN"/>
        </w:rPr>
        <w:t>二、应急预案的原则</w:t>
      </w:r>
    </w:p>
    <w:p>
      <w:pPr>
        <w:topLinePunct/>
        <w:autoSpaceDE/>
        <w:autoSpaceDN/>
        <w:spacing w:before="38" w:line="360" w:lineRule="auto"/>
        <w:ind w:right="51" w:firstLine="560" w:firstLineChars="200"/>
        <w:rPr>
          <w:rFonts w:eastAsia="仿宋_GB2312"/>
          <w:sz w:val="28"/>
          <w:szCs w:val="28"/>
          <w:lang w:val="zh-CN"/>
        </w:rPr>
      </w:pPr>
      <w:r>
        <w:rPr>
          <w:rFonts w:hint="eastAsia" w:eastAsia="仿宋_GB2312"/>
          <w:sz w:val="28"/>
          <w:szCs w:val="28"/>
          <w:lang w:val="zh-CN"/>
        </w:rPr>
        <w:t>以人为本，安全第一；统一领导，分级负责；快速响应，果断处置；依靠科学，提高素质；预防为主，平战结合。</w:t>
      </w:r>
    </w:p>
    <w:p>
      <w:pPr>
        <w:pStyle w:val="2"/>
        <w:rPr>
          <w:lang w:val="zh-CN"/>
        </w:rPr>
      </w:pPr>
      <w:r>
        <w:rPr>
          <w:rFonts w:hint="eastAsia"/>
          <w:lang w:val="zh-CN"/>
        </w:rPr>
        <w:t>三、应急预案的主要内容</w:t>
      </w:r>
    </w:p>
    <w:p>
      <w:pPr>
        <w:overflowPunct w:val="0"/>
        <w:topLinePunct/>
        <w:spacing w:line="360" w:lineRule="auto"/>
        <w:ind w:left="119" w:firstLine="561"/>
        <w:jc w:val="both"/>
        <w:rPr>
          <w:rFonts w:eastAsia="仿宋_GB2312"/>
          <w:sz w:val="28"/>
          <w:szCs w:val="28"/>
          <w:lang w:val="zh-CN"/>
        </w:rPr>
      </w:pPr>
      <w:r>
        <w:rPr>
          <w:rFonts w:hint="eastAsia" w:eastAsia="仿宋_GB2312"/>
          <w:sz w:val="28"/>
          <w:szCs w:val="28"/>
          <w:lang w:val="zh-CN"/>
        </w:rPr>
        <w:t>该预案是由环境应急预案文本、环境风险评估报告、环境应急资源调查报告等文件组成。其中环境应急预案文本包括总则、公司概况、环境风险源辨识与风险评估、组织机构及职责、应急能力建设、预防和预警机制、应急处置、后期处置、保障措施、培训与演练、奖惩、预案的评审、发布和更新、预案实施和生效日期、附件等。环境风险评估报告主要内容包括前言、总则、资料准备与环境风险识别、突发环境事件及其后果分析、现有环境风险防控和应急措施差距分析、完善环境风险防控和应急措施的实施计划。</w:t>
      </w:r>
    </w:p>
    <w:p>
      <w:pPr>
        <w:pStyle w:val="2"/>
        <w:rPr>
          <w:lang w:val="zh-CN"/>
        </w:rPr>
      </w:pPr>
      <w:r>
        <w:rPr>
          <w:rFonts w:hint="eastAsia"/>
          <w:lang w:val="zh-CN"/>
        </w:rPr>
        <w:t>四、编制依据</w:t>
      </w:r>
    </w:p>
    <w:p>
      <w:pPr>
        <w:pStyle w:val="10"/>
        <w:adjustRightInd w:val="0"/>
        <w:snapToGrid w:val="0"/>
        <w:spacing w:line="360" w:lineRule="auto"/>
        <w:ind w:firstLine="176" w:firstLineChars="63"/>
        <w:jc w:val="left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(1)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《中华人民共和国环境保护法》主席令第</w:t>
      </w:r>
      <w:r>
        <w:rPr>
          <w:rFonts w:ascii="Times New Roman" w:hAnsi="Times New Roman" w:eastAsia="仿宋_GB2312"/>
          <w:kern w:val="0"/>
          <w:sz w:val="28"/>
          <w:szCs w:val="28"/>
        </w:rPr>
        <w:t>9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号；</w:t>
      </w:r>
    </w:p>
    <w:p>
      <w:pPr>
        <w:pStyle w:val="10"/>
        <w:adjustRightInd w:val="0"/>
        <w:snapToGrid w:val="0"/>
        <w:spacing w:line="360" w:lineRule="auto"/>
        <w:ind w:firstLine="176" w:firstLineChars="63"/>
        <w:jc w:val="left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(2)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《中华人民共和国突发事件应对法》主席令第</w:t>
      </w:r>
      <w:r>
        <w:rPr>
          <w:rFonts w:ascii="Times New Roman" w:hAnsi="Times New Roman" w:eastAsia="仿宋_GB2312"/>
          <w:kern w:val="0"/>
          <w:sz w:val="28"/>
          <w:szCs w:val="28"/>
        </w:rPr>
        <w:t>69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号；</w:t>
      </w:r>
    </w:p>
    <w:p>
      <w:pPr>
        <w:pStyle w:val="10"/>
        <w:adjustRightInd w:val="0"/>
        <w:snapToGrid w:val="0"/>
        <w:spacing w:line="360" w:lineRule="auto"/>
        <w:ind w:firstLine="176" w:firstLineChars="63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(3)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《中华人民共和国水污染防治法》主席令第</w:t>
      </w:r>
      <w:r>
        <w:rPr>
          <w:rFonts w:ascii="Times New Roman" w:hAnsi="Times New Roman" w:eastAsia="仿宋_GB2312"/>
          <w:kern w:val="0"/>
          <w:sz w:val="28"/>
          <w:szCs w:val="28"/>
        </w:rPr>
        <w:t>87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号；</w:t>
      </w:r>
    </w:p>
    <w:p>
      <w:pPr>
        <w:pStyle w:val="10"/>
        <w:adjustRightInd w:val="0"/>
        <w:snapToGrid w:val="0"/>
        <w:spacing w:line="360" w:lineRule="auto"/>
        <w:ind w:firstLine="176" w:firstLineChars="63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(4)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《中华人民共和国大气污染防治法》主席令第</w:t>
      </w:r>
      <w:r>
        <w:rPr>
          <w:rFonts w:ascii="Times New Roman" w:hAnsi="Times New Roman" w:eastAsia="仿宋_GB2312"/>
          <w:kern w:val="0"/>
          <w:sz w:val="28"/>
          <w:szCs w:val="28"/>
        </w:rPr>
        <w:t>32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号；</w:t>
      </w:r>
    </w:p>
    <w:p>
      <w:pPr>
        <w:pStyle w:val="10"/>
        <w:adjustRightInd w:val="0"/>
        <w:snapToGrid w:val="0"/>
        <w:spacing w:line="360" w:lineRule="auto"/>
        <w:ind w:firstLine="176" w:firstLineChars="63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(5)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《中华人民共和国固体废物污染防治法》主席令第</w:t>
      </w:r>
      <w:r>
        <w:rPr>
          <w:rFonts w:ascii="Times New Roman" w:hAnsi="Times New Roman" w:eastAsia="仿宋_GB2312"/>
          <w:kern w:val="0"/>
          <w:sz w:val="28"/>
          <w:szCs w:val="28"/>
        </w:rPr>
        <w:t>58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号；</w:t>
      </w:r>
    </w:p>
    <w:p>
      <w:pPr>
        <w:pStyle w:val="10"/>
        <w:adjustRightInd w:val="0"/>
        <w:snapToGrid w:val="0"/>
        <w:spacing w:line="360" w:lineRule="auto"/>
        <w:ind w:firstLine="176" w:firstLineChars="63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(6)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《国家突发公共事件总体应急预案》；</w:t>
      </w:r>
    </w:p>
    <w:p>
      <w:pPr>
        <w:pStyle w:val="10"/>
        <w:adjustRightInd w:val="0"/>
        <w:snapToGrid w:val="0"/>
        <w:spacing w:line="360" w:lineRule="auto"/>
        <w:ind w:firstLine="176" w:firstLineChars="63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(7)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《国家突发环境事件应急预案》；</w:t>
      </w:r>
    </w:p>
    <w:p>
      <w:pPr>
        <w:pStyle w:val="10"/>
        <w:snapToGrid w:val="0"/>
        <w:spacing w:line="360" w:lineRule="auto"/>
        <w:ind w:firstLine="176" w:firstLineChars="63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(8)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《突发环境事件信息报告方法》部令第</w:t>
      </w:r>
      <w:r>
        <w:rPr>
          <w:rFonts w:ascii="Times New Roman" w:hAnsi="Times New Roman" w:eastAsia="仿宋_GB2312"/>
          <w:kern w:val="0"/>
          <w:sz w:val="28"/>
          <w:szCs w:val="28"/>
        </w:rPr>
        <w:t>17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号；</w:t>
      </w:r>
    </w:p>
    <w:p>
      <w:pPr>
        <w:pStyle w:val="10"/>
        <w:snapToGrid w:val="0"/>
        <w:spacing w:line="360" w:lineRule="auto"/>
        <w:ind w:firstLine="176" w:firstLineChars="63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(9)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《突发环境事件应急预案管理暂行办法》环发</w:t>
      </w:r>
      <w:r>
        <w:rPr>
          <w:rFonts w:ascii="Times New Roman" w:hAnsi="Times New Roman" w:eastAsia="仿宋_GB2312"/>
          <w:kern w:val="0"/>
          <w:sz w:val="28"/>
          <w:szCs w:val="28"/>
        </w:rPr>
        <w:t>[2010]113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号文；</w:t>
      </w:r>
    </w:p>
    <w:p>
      <w:pPr>
        <w:pStyle w:val="10"/>
        <w:snapToGrid w:val="0"/>
        <w:spacing w:line="360" w:lineRule="auto"/>
        <w:ind w:firstLine="176" w:firstLineChars="63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(10)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《企业事业单位突发环境事件应急预案备案管理办法（试行）》；</w:t>
      </w:r>
    </w:p>
    <w:p>
      <w:pPr>
        <w:pStyle w:val="10"/>
        <w:snapToGrid w:val="0"/>
        <w:spacing w:line="360" w:lineRule="auto"/>
        <w:ind w:firstLine="176" w:firstLineChars="63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(11)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关于印发《企业突发环境事件风险评估指南（试行）》的通知》（环发</w:t>
      </w:r>
      <w:r>
        <w:rPr>
          <w:rFonts w:ascii="Times New Roman" w:hAnsi="Times New Roman" w:eastAsia="仿宋_GB2312"/>
          <w:kern w:val="0"/>
          <w:sz w:val="28"/>
          <w:szCs w:val="28"/>
        </w:rPr>
        <w:t>[2015]4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号）；</w:t>
      </w:r>
    </w:p>
    <w:p>
      <w:pPr>
        <w:pStyle w:val="10"/>
        <w:snapToGrid w:val="0"/>
        <w:spacing w:line="360" w:lineRule="auto"/>
        <w:ind w:firstLine="176" w:firstLineChars="63"/>
        <w:rPr>
          <w:rFonts w:hint="eastAsia" w:ascii="Times New Roman" w:hAnsi="Times New Roman" w:eastAsia="仿宋_GB2312"/>
          <w:kern w:val="0"/>
          <w:sz w:val="28"/>
          <w:szCs w:val="28"/>
          <w:lang w:eastAsia="zh-CN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(12)《陕西省突发环境事件应急预案管理暂行办法》</w:t>
      </w:r>
      <w:r>
        <w:rPr>
          <w:rFonts w:hint="eastAsia" w:ascii="Times New Roman" w:hAnsi="Times New Roman" w:eastAsia="仿宋_GB2312"/>
          <w:kern w:val="0"/>
          <w:sz w:val="28"/>
          <w:szCs w:val="28"/>
          <w:lang w:eastAsia="zh-CN"/>
        </w:rPr>
        <w:t>；</w:t>
      </w:r>
    </w:p>
    <w:p>
      <w:pPr>
        <w:pStyle w:val="10"/>
        <w:snapToGrid w:val="0"/>
        <w:spacing w:line="360" w:lineRule="auto"/>
        <w:ind w:firstLine="176" w:firstLineChars="63"/>
        <w:rPr>
          <w:rFonts w:hint="eastAsia" w:ascii="Times New Roman" w:hAnsi="Times New Roman" w:eastAsia="仿宋_GB2312"/>
          <w:kern w:val="0"/>
          <w:sz w:val="28"/>
          <w:szCs w:val="28"/>
          <w:lang w:eastAsia="zh-CN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(13)</w:t>
      </w:r>
      <w:r>
        <w:rPr>
          <w:rFonts w:hint="eastAsia" w:ascii="Times New Roman" w:hAnsi="Times New Roman" w:eastAsia="仿宋_GB2312"/>
          <w:kern w:val="0"/>
          <w:sz w:val="28"/>
          <w:szCs w:val="28"/>
          <w:lang w:eastAsia="zh-CN"/>
        </w:rPr>
        <w:t>《突然环境事件应急监测技术规范》（HJ 589-2010）；</w:t>
      </w:r>
    </w:p>
    <w:p>
      <w:pPr>
        <w:pStyle w:val="10"/>
        <w:snapToGrid w:val="0"/>
        <w:spacing w:line="360" w:lineRule="auto"/>
        <w:ind w:firstLine="176" w:firstLineChars="63"/>
        <w:rPr>
          <w:rFonts w:hint="eastAsia" w:ascii="Times New Roman" w:hAnsi="Times New Roman" w:eastAsia="仿宋_GB2312"/>
          <w:kern w:val="0"/>
          <w:sz w:val="28"/>
          <w:szCs w:val="28"/>
          <w:lang w:eastAsia="zh-CN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(14)</w:t>
      </w:r>
      <w:r>
        <w:rPr>
          <w:rFonts w:hint="eastAsia" w:ascii="Times New Roman" w:hAnsi="Times New Roman" w:eastAsia="仿宋_GB2312"/>
          <w:kern w:val="0"/>
          <w:sz w:val="28"/>
          <w:szCs w:val="28"/>
          <w:lang w:eastAsia="zh-CN"/>
        </w:rPr>
        <w:t>《危险化学品重大危险源辨识》（GB 18128-2018）</w:t>
      </w:r>
    </w:p>
    <w:p>
      <w:pPr>
        <w:pStyle w:val="10"/>
        <w:snapToGrid w:val="0"/>
        <w:spacing w:line="360" w:lineRule="auto"/>
        <w:ind w:firstLine="176" w:firstLineChars="63"/>
        <w:rPr>
          <w:rFonts w:hint="eastAsia" w:ascii="Times New Roman" w:hAnsi="Times New Roman" w:eastAsia="仿宋_GB2312"/>
          <w:kern w:val="0"/>
          <w:sz w:val="28"/>
          <w:szCs w:val="28"/>
          <w:lang w:eastAsia="zh-CN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(15)《企业突发环境事件风险分级方法》（HJ941-2018）</w:t>
      </w:r>
      <w:r>
        <w:rPr>
          <w:rFonts w:hint="eastAsia" w:ascii="Times New Roman" w:hAnsi="Times New Roman" w:eastAsia="仿宋_GB2312"/>
          <w:kern w:val="0"/>
          <w:sz w:val="28"/>
          <w:szCs w:val="28"/>
          <w:lang w:eastAsia="zh-CN"/>
        </w:rPr>
        <w:t>；</w:t>
      </w:r>
    </w:p>
    <w:p>
      <w:pPr>
        <w:pStyle w:val="10"/>
        <w:snapToGrid w:val="0"/>
        <w:spacing w:line="360" w:lineRule="auto"/>
        <w:ind w:firstLine="176" w:firstLineChars="63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(16)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《突发环境事件应急管理办法》环境保护部令第</w:t>
      </w:r>
      <w:r>
        <w:rPr>
          <w:rFonts w:ascii="Times New Roman" w:hAnsi="Times New Roman" w:eastAsia="仿宋_GB2312"/>
          <w:kern w:val="0"/>
          <w:sz w:val="28"/>
          <w:szCs w:val="28"/>
        </w:rPr>
        <w:t>34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号；</w:t>
      </w:r>
    </w:p>
    <w:p>
      <w:pPr>
        <w:pStyle w:val="10"/>
        <w:adjustRightInd w:val="0"/>
        <w:snapToGrid w:val="0"/>
        <w:spacing w:line="360" w:lineRule="auto"/>
        <w:ind w:firstLine="176" w:firstLineChars="63"/>
        <w:rPr>
          <w:rFonts w:ascii="Times New Roman" w:hAnsi="Times New Roman" w:eastAsia="仿宋_GB2312"/>
          <w:kern w:val="0"/>
          <w:sz w:val="28"/>
          <w:szCs w:val="28"/>
          <w:highlight w:val="red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(1</w:t>
      </w:r>
      <w:r>
        <w:rPr>
          <w:rFonts w:hint="eastAsia" w:ascii="Times New Roman" w:hAnsi="Times New Roman" w:eastAsia="仿宋_GB2312"/>
          <w:kern w:val="0"/>
          <w:sz w:val="28"/>
          <w:szCs w:val="28"/>
          <w:lang w:val="en-US" w:eastAsia="zh-CN"/>
        </w:rPr>
        <w:t>7</w:t>
      </w:r>
      <w:r>
        <w:rPr>
          <w:rFonts w:ascii="Times New Roman" w:hAnsi="Times New Roman" w:eastAsia="仿宋_GB2312"/>
          <w:kern w:val="0"/>
          <w:sz w:val="28"/>
          <w:szCs w:val="28"/>
        </w:rPr>
        <w:t>)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《西咸新区</w:t>
      </w:r>
      <w:r>
        <w:rPr>
          <w:rFonts w:hint="eastAsia" w:ascii="Times New Roman" w:hAnsi="Times New Roman" w:eastAsia="仿宋_GB2312"/>
          <w:kern w:val="0"/>
          <w:sz w:val="28"/>
          <w:szCs w:val="28"/>
          <w:lang w:val="en-US"/>
        </w:rPr>
        <w:t>生态环境局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突发环境事件应急预案》；</w:t>
      </w:r>
    </w:p>
    <w:p>
      <w:pPr>
        <w:pStyle w:val="10"/>
        <w:adjustRightInd w:val="0"/>
        <w:snapToGrid w:val="0"/>
        <w:spacing w:line="360" w:lineRule="auto"/>
        <w:ind w:firstLine="176" w:firstLineChars="63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(1</w:t>
      </w:r>
      <w:r>
        <w:rPr>
          <w:rFonts w:hint="eastAsia" w:ascii="Times New Roman" w:hAnsi="Times New Roman" w:eastAsia="仿宋_GB2312"/>
          <w:kern w:val="0"/>
          <w:sz w:val="28"/>
          <w:szCs w:val="28"/>
          <w:lang w:val="en-US" w:eastAsia="zh-CN"/>
        </w:rPr>
        <w:t>8</w:t>
      </w:r>
      <w:r>
        <w:rPr>
          <w:rFonts w:ascii="Times New Roman" w:hAnsi="Times New Roman" w:eastAsia="仿宋_GB2312"/>
          <w:kern w:val="0"/>
          <w:sz w:val="28"/>
          <w:szCs w:val="28"/>
        </w:rPr>
        <w:t>)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《</w:t>
      </w:r>
      <w:r>
        <w:rPr>
          <w:rFonts w:hint="eastAsia" w:ascii="Times New Roman" w:hAnsi="Times New Roman" w:eastAsia="仿宋_GB2312"/>
          <w:kern w:val="0"/>
          <w:sz w:val="28"/>
          <w:szCs w:val="28"/>
          <w:lang w:val="en-US"/>
        </w:rPr>
        <w:t>秦汉新城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突发环境事件应急预案》；</w:t>
      </w:r>
    </w:p>
    <w:p>
      <w:pPr>
        <w:pStyle w:val="10"/>
        <w:snapToGrid w:val="0"/>
        <w:spacing w:line="360" w:lineRule="auto"/>
        <w:ind w:firstLine="176" w:firstLineChars="63"/>
        <w:rPr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(1</w:t>
      </w:r>
      <w:r>
        <w:rPr>
          <w:rFonts w:hint="eastAsia" w:ascii="Times New Roman" w:hAnsi="Times New Roman" w:eastAsia="仿宋_GB2312"/>
          <w:kern w:val="0"/>
          <w:sz w:val="28"/>
          <w:szCs w:val="28"/>
          <w:lang w:val="en-US" w:eastAsia="zh-CN"/>
        </w:rPr>
        <w:t>9</w:t>
      </w:r>
      <w:r>
        <w:rPr>
          <w:rFonts w:ascii="Times New Roman" w:hAnsi="Times New Roman" w:eastAsia="仿宋_GB2312"/>
          <w:kern w:val="0"/>
          <w:sz w:val="28"/>
          <w:szCs w:val="28"/>
        </w:rPr>
        <w:t>)</w:t>
      </w:r>
      <w:r>
        <w:rPr>
          <w:rFonts w:hint="eastAsia" w:ascii="Times New Roman" w:hAnsi="Times New Roman" w:eastAsia="仿宋_GB2312"/>
          <w:kern w:val="0"/>
          <w:sz w:val="28"/>
          <w:szCs w:val="28"/>
          <w:lang w:val="en-US" w:eastAsia="zh-CN"/>
        </w:rPr>
        <w:t xml:space="preserve"> 委托方提供的其他资料</w:t>
      </w:r>
      <w:r>
        <w:rPr>
          <w:rFonts w:hint="eastAsia" w:ascii="Times New Roman" w:hAnsi="Times New Roman" w:eastAsia="仿宋_GB2312"/>
          <w:sz w:val="28"/>
          <w:szCs w:val="28"/>
        </w:rPr>
        <w:t>。</w:t>
      </w:r>
    </w:p>
    <w:p>
      <w:pPr>
        <w:pStyle w:val="2"/>
        <w:rPr>
          <w:lang w:val="zh-CN"/>
        </w:rPr>
      </w:pPr>
      <w:r>
        <w:rPr>
          <w:rFonts w:hint="eastAsia"/>
          <w:lang w:val="zh-CN"/>
        </w:rPr>
        <w:t>五、重点内容</w:t>
      </w:r>
    </w:p>
    <w:p>
      <w:pPr>
        <w:topLinePunct/>
        <w:spacing w:line="360" w:lineRule="auto"/>
        <w:ind w:firstLine="560" w:firstLineChars="200"/>
        <w:rPr>
          <w:rFonts w:eastAsia="仿宋_GB2312"/>
          <w:sz w:val="28"/>
          <w:szCs w:val="28"/>
          <w:lang w:val="zh-CN"/>
        </w:rPr>
      </w:pPr>
      <w:r>
        <w:rPr>
          <w:rFonts w:hint="eastAsia" w:eastAsia="仿宋_GB2312"/>
          <w:sz w:val="28"/>
          <w:szCs w:val="28"/>
          <w:lang w:val="zh-CN"/>
        </w:rPr>
        <w:t>预案编制的重点内容如下：</w:t>
      </w:r>
    </w:p>
    <w:p>
      <w:pPr>
        <w:overflowPunct w:val="0"/>
        <w:topLinePunct/>
        <w:spacing w:before="102" w:line="361" w:lineRule="auto"/>
        <w:ind w:right="195" w:firstLine="570"/>
        <w:jc w:val="both"/>
        <w:rPr>
          <w:rFonts w:hint="eastAsia" w:eastAsia="仿宋_GB2312"/>
          <w:sz w:val="28"/>
          <w:szCs w:val="28"/>
          <w:lang w:val="zh-CN"/>
        </w:rPr>
      </w:pPr>
      <w:r>
        <w:rPr>
          <w:rFonts w:hint="eastAsia" w:eastAsia="仿宋_GB2312"/>
          <w:sz w:val="28"/>
          <w:szCs w:val="28"/>
          <w:lang w:val="zh-CN"/>
        </w:rPr>
        <w:t>企业</w:t>
      </w:r>
      <w:r>
        <w:rPr>
          <w:rFonts w:hint="eastAsia" w:eastAsia="仿宋_GB2312"/>
          <w:sz w:val="28"/>
          <w:szCs w:val="28"/>
          <w:lang w:val="en-US" w:eastAsia="zh-CN"/>
        </w:rPr>
        <w:t>基本情况、</w:t>
      </w:r>
      <w:r>
        <w:rPr>
          <w:rFonts w:hint="eastAsia" w:eastAsia="仿宋_GB2312"/>
          <w:sz w:val="28"/>
          <w:szCs w:val="28"/>
          <w:lang w:val="zh-CN"/>
        </w:rPr>
        <w:t>周边环境风险受体、涉及环境风险物质情况、现有环境风险防控与应急措施情况、现有应急物资及装备、救援队伍情况、突发环境事件及后果分析、现有环境风险防控及应急措施差距分析、完善环境风险防控及应急措施的实施计划、突发环境事件风险等级。</w:t>
      </w:r>
    </w:p>
    <w:p>
      <w:pPr>
        <w:overflowPunct w:val="0"/>
        <w:topLinePunct/>
        <w:spacing w:before="102" w:line="361" w:lineRule="auto"/>
        <w:ind w:right="195" w:firstLine="570"/>
        <w:jc w:val="both"/>
        <w:rPr>
          <w:rFonts w:eastAsia="仿宋_GB2312"/>
          <w:sz w:val="28"/>
          <w:szCs w:val="28"/>
          <w:lang w:val="zh-CN"/>
        </w:rPr>
      </w:pPr>
      <w:r>
        <w:rPr>
          <w:rFonts w:hint="eastAsia" w:eastAsia="仿宋_GB2312"/>
          <w:sz w:val="28"/>
          <w:szCs w:val="28"/>
          <w:lang w:val="zh-CN"/>
        </w:rPr>
        <w:t>预防预警工作、应急处置的基本流程（包括先期处置，分级响应，现场应急措施，抢险、处置及控制措施，应急终止等）、事件分级、预警级别、分级响应、应急处置等重点，要与本预案结合后期处置、培训与演练。</w:t>
      </w:r>
    </w:p>
    <w:p>
      <w:pPr>
        <w:overflowPunct w:val="0"/>
        <w:topLinePunct/>
        <w:spacing w:before="41" w:line="361" w:lineRule="auto"/>
        <w:jc w:val="both"/>
        <w:rPr>
          <w:rFonts w:eastAsia="仿宋_GB2312"/>
          <w:sz w:val="28"/>
          <w:szCs w:val="28"/>
          <w:lang w:val="zh-CN"/>
        </w:rPr>
      </w:pPr>
      <w:r>
        <w:rPr>
          <w:rFonts w:eastAsia="仿宋_GB2312"/>
          <w:sz w:val="28"/>
          <w:szCs w:val="28"/>
          <w:lang w:val="zh-CN"/>
        </w:rPr>
        <w:t xml:space="preserve">    </w:t>
      </w:r>
    </w:p>
    <w:p>
      <w:pPr>
        <w:pStyle w:val="2"/>
        <w:rPr>
          <w:lang w:val="zh-CN"/>
        </w:rPr>
      </w:pPr>
      <w:r>
        <w:rPr>
          <w:rFonts w:hint="eastAsia"/>
          <w:lang w:val="zh-CN"/>
        </w:rPr>
        <w:t>六、企业环境风险等级</w:t>
      </w:r>
    </w:p>
    <w:p>
      <w:pPr>
        <w:overflowPunct w:val="0"/>
        <w:topLinePunct/>
        <w:spacing w:line="360" w:lineRule="auto"/>
        <w:ind w:right="437"/>
        <w:jc w:val="both"/>
        <w:rPr>
          <w:rFonts w:eastAsia="仿宋_GB2312"/>
          <w:sz w:val="28"/>
          <w:szCs w:val="28"/>
          <w:lang w:val="zh-CN"/>
        </w:rPr>
      </w:pPr>
      <w:r>
        <w:rPr>
          <w:rFonts w:eastAsia="仿宋_GB2312"/>
          <w:sz w:val="28"/>
          <w:szCs w:val="28"/>
          <w:lang w:val="zh-CN"/>
        </w:rPr>
        <w:t xml:space="preserve">    </w:t>
      </w:r>
      <w:r>
        <w:rPr>
          <w:rFonts w:hint="eastAsia" w:eastAsia="仿宋_GB2312"/>
          <w:sz w:val="28"/>
          <w:szCs w:val="28"/>
          <w:lang w:val="zh-CN"/>
        </w:rPr>
        <w:t>依据《突发环境事件风险评估报告》结论，企业突发环境事件风险等级为一般环境风险。</w:t>
      </w:r>
    </w:p>
    <w:p>
      <w:pPr>
        <w:pStyle w:val="2"/>
        <w:rPr>
          <w:lang w:val="zh-CN"/>
        </w:rPr>
      </w:pPr>
      <w:r>
        <w:rPr>
          <w:rFonts w:hint="eastAsia"/>
          <w:lang w:val="zh-CN"/>
        </w:rPr>
        <w:t>七、企业内审情况</w:t>
      </w:r>
    </w:p>
    <w:p>
      <w:pPr>
        <w:overflowPunct w:val="0"/>
        <w:topLinePunct/>
        <w:spacing w:line="360" w:lineRule="auto"/>
        <w:ind w:right="437" w:firstLine="560" w:firstLineChars="200"/>
        <w:jc w:val="both"/>
        <w:rPr>
          <w:rFonts w:eastAsia="仿宋_GB2312"/>
          <w:color w:val="auto"/>
          <w:sz w:val="28"/>
          <w:szCs w:val="28"/>
          <w:lang w:val="zh-CN"/>
        </w:rPr>
      </w:pPr>
      <w:r>
        <w:rPr>
          <w:rFonts w:eastAsia="仿宋_GB2312"/>
          <w:sz w:val="28"/>
          <w:szCs w:val="28"/>
          <w:lang w:val="zh-CN"/>
        </w:rPr>
        <w:t>20</w:t>
      </w:r>
      <w:r>
        <w:rPr>
          <w:rFonts w:hint="eastAsia" w:eastAsia="仿宋_GB2312"/>
          <w:sz w:val="28"/>
          <w:szCs w:val="28"/>
        </w:rPr>
        <w:t>2</w:t>
      </w:r>
      <w:r>
        <w:rPr>
          <w:rFonts w:hint="eastAsia" w:eastAsia="仿宋_GB2312"/>
          <w:sz w:val="28"/>
          <w:szCs w:val="28"/>
          <w:lang w:val="en-US" w:eastAsia="zh-CN"/>
        </w:rPr>
        <w:t>1</w:t>
      </w:r>
      <w:r>
        <w:rPr>
          <w:rFonts w:hint="eastAsia" w:eastAsia="仿宋_GB2312"/>
          <w:sz w:val="28"/>
          <w:szCs w:val="28"/>
          <w:lang w:val="zh-CN"/>
        </w:rPr>
        <w:t>年</w:t>
      </w:r>
      <w:r>
        <w:rPr>
          <w:rFonts w:hint="eastAsia" w:eastAsia="仿宋_GB2312"/>
          <w:sz w:val="28"/>
          <w:szCs w:val="28"/>
          <w:lang w:val="en-US" w:eastAsia="zh-CN"/>
        </w:rPr>
        <w:t>03</w:t>
      </w:r>
      <w:r>
        <w:rPr>
          <w:rFonts w:hint="eastAsia" w:eastAsia="仿宋_GB2312"/>
          <w:sz w:val="28"/>
          <w:szCs w:val="28"/>
          <w:lang w:val="zh-CN"/>
        </w:rPr>
        <w:t>月</w:t>
      </w:r>
      <w:r>
        <w:rPr>
          <w:rFonts w:hint="eastAsia" w:eastAsia="仿宋_GB2312"/>
          <w:sz w:val="28"/>
          <w:szCs w:val="28"/>
        </w:rPr>
        <w:t>20</w:t>
      </w:r>
      <w:r>
        <w:rPr>
          <w:rFonts w:hint="eastAsia" w:eastAsia="仿宋_GB2312"/>
          <w:sz w:val="28"/>
          <w:szCs w:val="28"/>
          <w:lang w:val="zh-CN"/>
        </w:rPr>
        <w:t>日，由总指挥组织公司</w:t>
      </w:r>
      <w:r>
        <w:rPr>
          <w:rFonts w:hint="eastAsia" w:eastAsia="仿宋_GB2312"/>
          <w:sz w:val="28"/>
          <w:szCs w:val="28"/>
          <w:lang w:val="en-US" w:eastAsia="zh-CN"/>
        </w:rPr>
        <w:t>相关</w:t>
      </w:r>
      <w:r>
        <w:rPr>
          <w:rFonts w:hint="eastAsia" w:eastAsia="仿宋_GB2312"/>
          <w:sz w:val="28"/>
          <w:szCs w:val="28"/>
          <w:lang w:val="zh-CN"/>
        </w:rPr>
        <w:t>人员，对编制的《咸阳新景途机械制造有限公司突发环境事件应急预案》进行了企业内部评审和修改，经内审组全体人员认真的讨论与修改，大家一致认为经修改后的《预案》真实准确的反映了公司的相关情况，同意报送专家</w:t>
      </w:r>
      <w:r>
        <w:rPr>
          <w:rFonts w:hint="eastAsia" w:eastAsia="仿宋_GB2312"/>
          <w:color w:val="auto"/>
          <w:sz w:val="28"/>
          <w:szCs w:val="28"/>
          <w:lang w:val="zh-CN"/>
        </w:rPr>
        <w:t>进行评审。</w:t>
      </w:r>
    </w:p>
    <w:p>
      <w:pPr>
        <w:pStyle w:val="2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八、公众参与情况说明</w:t>
      </w:r>
    </w:p>
    <w:p>
      <w:pPr>
        <w:overflowPunct w:val="0"/>
        <w:topLinePunct/>
        <w:spacing w:line="360" w:lineRule="auto"/>
        <w:ind w:right="437" w:firstLine="560" w:firstLineChars="200"/>
        <w:jc w:val="both"/>
        <w:rPr>
          <w:rFonts w:eastAsia="仿宋_GB2312"/>
          <w:sz w:val="28"/>
          <w:szCs w:val="28"/>
          <w:lang w:val="zh-CN"/>
        </w:rPr>
      </w:pPr>
      <w:r>
        <w:rPr>
          <w:rFonts w:eastAsia="仿宋_GB2312"/>
          <w:sz w:val="28"/>
          <w:szCs w:val="28"/>
          <w:lang w:val="zh-CN"/>
        </w:rPr>
        <w:t>20</w:t>
      </w:r>
      <w:r>
        <w:rPr>
          <w:rFonts w:hint="eastAsia" w:eastAsia="仿宋_GB2312"/>
          <w:sz w:val="28"/>
          <w:szCs w:val="28"/>
        </w:rPr>
        <w:t>2</w:t>
      </w:r>
      <w:r>
        <w:rPr>
          <w:rFonts w:hint="eastAsia" w:eastAsia="仿宋_GB2312"/>
          <w:sz w:val="28"/>
          <w:szCs w:val="28"/>
          <w:lang w:val="en-US" w:eastAsia="zh-CN"/>
        </w:rPr>
        <w:t>1</w:t>
      </w:r>
      <w:r>
        <w:rPr>
          <w:rFonts w:hint="eastAsia" w:eastAsia="仿宋_GB2312"/>
          <w:sz w:val="28"/>
          <w:szCs w:val="28"/>
          <w:lang w:val="zh-CN"/>
        </w:rPr>
        <w:t>年</w:t>
      </w:r>
      <w:r>
        <w:rPr>
          <w:rFonts w:hint="eastAsia" w:eastAsia="仿宋_GB2312"/>
          <w:sz w:val="28"/>
          <w:szCs w:val="28"/>
          <w:lang w:val="en-US" w:eastAsia="zh-CN"/>
        </w:rPr>
        <w:t>03</w:t>
      </w:r>
      <w:r>
        <w:rPr>
          <w:rFonts w:hint="eastAsia" w:eastAsia="仿宋_GB2312"/>
          <w:sz w:val="28"/>
          <w:szCs w:val="28"/>
          <w:lang w:val="zh-CN"/>
        </w:rPr>
        <w:t>月</w:t>
      </w:r>
      <w:r>
        <w:rPr>
          <w:rFonts w:hint="eastAsia" w:eastAsia="仿宋_GB2312"/>
          <w:sz w:val="28"/>
          <w:szCs w:val="28"/>
          <w:lang w:val="en-US" w:eastAsia="zh-CN"/>
        </w:rPr>
        <w:t>20</w:t>
      </w:r>
      <w:r>
        <w:rPr>
          <w:rFonts w:hint="eastAsia" w:eastAsia="仿宋_GB2312"/>
          <w:sz w:val="28"/>
          <w:szCs w:val="28"/>
          <w:lang w:val="zh-CN"/>
        </w:rPr>
        <w:t>日，咸阳新景途机械制造有限公司组织人员以及周边企业员工，召开了《咸阳新景途机械制造有限公司突发环境事件应急预案》座谈会，参会人员为公司员工及周边企业单位员工代表。公司</w:t>
      </w:r>
      <w:r>
        <w:rPr>
          <w:rFonts w:hint="eastAsia" w:eastAsia="仿宋_GB2312"/>
          <w:sz w:val="28"/>
          <w:szCs w:val="28"/>
          <w:lang w:val="en-US" w:eastAsia="zh-CN"/>
        </w:rPr>
        <w:t>应急领导小组</w:t>
      </w:r>
      <w:r>
        <w:rPr>
          <w:rFonts w:hint="eastAsia" w:eastAsia="仿宋_GB2312"/>
          <w:sz w:val="28"/>
          <w:szCs w:val="28"/>
          <w:lang w:val="zh-CN"/>
        </w:rPr>
        <w:t>介绍了风险情况、应急处置队伍以及应急设施和物资、公司的日常预防预警工作等情况。征求意见表发放</w:t>
      </w:r>
      <w:r>
        <w:rPr>
          <w:rFonts w:hint="eastAsia" w:eastAsia="仿宋_GB2312"/>
          <w:sz w:val="28"/>
          <w:szCs w:val="28"/>
          <w:lang w:val="en-US" w:eastAsia="zh-CN"/>
        </w:rPr>
        <w:t>20</w:t>
      </w:r>
      <w:r>
        <w:rPr>
          <w:rFonts w:hint="eastAsia" w:eastAsia="仿宋_GB2312"/>
          <w:sz w:val="28"/>
          <w:szCs w:val="28"/>
          <w:lang w:val="zh-CN"/>
        </w:rPr>
        <w:t>份，回收</w:t>
      </w:r>
      <w:r>
        <w:rPr>
          <w:rFonts w:hint="eastAsia" w:eastAsia="仿宋_GB2312"/>
          <w:sz w:val="28"/>
          <w:szCs w:val="28"/>
          <w:lang w:val="en-US" w:eastAsia="zh-CN"/>
        </w:rPr>
        <w:t>20</w:t>
      </w:r>
      <w:r>
        <w:rPr>
          <w:rFonts w:hint="eastAsia" w:eastAsia="仿宋_GB2312"/>
          <w:sz w:val="28"/>
          <w:szCs w:val="28"/>
          <w:lang w:val="zh-CN"/>
        </w:rPr>
        <w:t>份。征求意见统计结果如下表所示：</w:t>
      </w:r>
    </w:p>
    <w:p>
      <w:pPr>
        <w:tabs>
          <w:tab w:val="left" w:pos="3043"/>
          <w:tab w:val="left" w:pos="5443"/>
        </w:tabs>
        <w:overflowPunct w:val="0"/>
        <w:topLinePunct/>
        <w:spacing w:before="29"/>
        <w:jc w:val="center"/>
        <w:rPr>
          <w:rFonts w:eastAsia="仿宋_GB2312"/>
          <w:b/>
          <w:kern w:val="24"/>
        </w:rPr>
      </w:pPr>
      <w:r>
        <w:rPr>
          <w:rFonts w:hint="eastAsia" w:eastAsia="仿宋_GB2312"/>
          <w:b/>
          <w:kern w:val="24"/>
        </w:rPr>
        <w:t>表</w:t>
      </w:r>
      <w:r>
        <w:rPr>
          <w:rFonts w:eastAsia="仿宋_GB2312"/>
          <w:b/>
          <w:kern w:val="24"/>
        </w:rPr>
        <w:t xml:space="preserve"> 2</w:t>
      </w:r>
      <w:r>
        <w:rPr>
          <w:rFonts w:hint="eastAsia" w:eastAsia="仿宋_GB2312"/>
          <w:b/>
          <w:kern w:val="24"/>
        </w:rPr>
        <w:t xml:space="preserve">  公众参与调查结果</w:t>
      </w:r>
    </w:p>
    <w:tbl>
      <w:tblPr>
        <w:tblStyle w:val="15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8"/>
        <w:gridCol w:w="3106"/>
        <w:gridCol w:w="1353"/>
        <w:gridCol w:w="1353"/>
        <w:gridCol w:w="1353"/>
        <w:gridCol w:w="135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exact"/>
          <w:jc w:val="center"/>
        </w:trPr>
        <w:tc>
          <w:tcPr>
            <w:tcW w:w="3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6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您认为公司所在地区现状的主要环境风险是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大气</w:t>
            </w:r>
          </w:p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污染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水污染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噪音</w:t>
            </w:r>
          </w:p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污染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没有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  <w:jc w:val="center"/>
        </w:trPr>
        <w:tc>
          <w:tcPr>
            <w:tcW w:w="3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6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  <w:jc w:val="center"/>
        </w:trPr>
        <w:tc>
          <w:tcPr>
            <w:tcW w:w="3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6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通过介绍，您对本公司环境风险的了解程度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很清楚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了解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听说过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不知道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  <w:jc w:val="center"/>
        </w:trPr>
        <w:tc>
          <w:tcPr>
            <w:tcW w:w="3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6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  <w:jc w:val="center"/>
        </w:trPr>
        <w:tc>
          <w:tcPr>
            <w:tcW w:w="3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6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您认为本项目对周围环境的影响程度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很大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较小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很小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不知道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  <w:jc w:val="center"/>
        </w:trPr>
        <w:tc>
          <w:tcPr>
            <w:tcW w:w="3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6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exact"/>
          <w:jc w:val="center"/>
        </w:trPr>
        <w:tc>
          <w:tcPr>
            <w:tcW w:w="3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6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您认为本项目造成的主要环境风险是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大气</w:t>
            </w:r>
          </w:p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污染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废水</w:t>
            </w:r>
          </w:p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污染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噪音</w:t>
            </w:r>
          </w:p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污染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没有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  <w:jc w:val="center"/>
        </w:trPr>
        <w:tc>
          <w:tcPr>
            <w:tcW w:w="3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6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exact"/>
          <w:jc w:val="center"/>
        </w:trPr>
        <w:tc>
          <w:tcPr>
            <w:tcW w:w="3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6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您认为应采取哪些措施可减轻环境风险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加强日常管理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购置应急设施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加强日</w:t>
            </w:r>
          </w:p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常风险排查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搬迁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  <w:jc w:val="center"/>
        </w:trPr>
        <w:tc>
          <w:tcPr>
            <w:tcW w:w="3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6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  <w:jc w:val="center"/>
        </w:trPr>
        <w:tc>
          <w:tcPr>
            <w:tcW w:w="3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6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本公司的存在对您生活的哪些方面有影响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工作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休息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无影响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其它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  <w:jc w:val="center"/>
        </w:trPr>
        <w:tc>
          <w:tcPr>
            <w:tcW w:w="3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6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exact"/>
          <w:jc w:val="center"/>
        </w:trPr>
        <w:tc>
          <w:tcPr>
            <w:tcW w:w="3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6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您对本公司风险防范及应急措施的态度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满意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需要改进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不满意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不关心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  <w:jc w:val="center"/>
        </w:trPr>
        <w:tc>
          <w:tcPr>
            <w:tcW w:w="3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6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0</w:t>
            </w:r>
          </w:p>
        </w:tc>
      </w:tr>
    </w:tbl>
    <w:p>
      <w:pPr>
        <w:overflowPunct w:val="0"/>
        <w:topLinePunct/>
        <w:spacing w:before="4" w:line="150" w:lineRule="exact"/>
        <w:rPr>
          <w:rFonts w:eastAsia="仿宋_GB2312"/>
          <w:sz w:val="28"/>
          <w:szCs w:val="28"/>
          <w:lang w:val="zh-CN"/>
        </w:rPr>
      </w:pPr>
    </w:p>
    <w:p>
      <w:pPr>
        <w:overflowPunct w:val="0"/>
        <w:topLinePunct/>
        <w:spacing w:before="41" w:line="361" w:lineRule="auto"/>
        <w:ind w:left="120" w:right="118" w:firstLine="560"/>
        <w:jc w:val="both"/>
        <w:rPr>
          <w:rFonts w:eastAsia="仿宋_GB2312"/>
          <w:sz w:val="28"/>
          <w:szCs w:val="28"/>
          <w:lang w:val="zh-CN"/>
        </w:rPr>
      </w:pPr>
      <w:r>
        <w:rPr>
          <w:rFonts w:hint="eastAsia" w:eastAsia="仿宋_GB2312"/>
          <w:sz w:val="28"/>
          <w:szCs w:val="28"/>
          <w:lang w:val="zh-CN"/>
        </w:rPr>
        <w:t>通过此次公众参与座谈活动，大家对公司的环境风险有了较为清楚地了解，认为公司运营期间对周围环境影响较小，加强日常管理等措施能减轻环境风险，对公司在风险防范及应对措施上的态度表示满意。</w:t>
      </w:r>
    </w:p>
    <w:p>
      <w:pPr>
        <w:overflowPunct w:val="0"/>
        <w:topLinePunct/>
        <w:spacing w:before="41" w:line="361" w:lineRule="auto"/>
        <w:ind w:left="120" w:right="118" w:firstLine="560"/>
        <w:jc w:val="both"/>
        <w:rPr>
          <w:rFonts w:eastAsia="仿宋_GB2312"/>
          <w:sz w:val="28"/>
          <w:szCs w:val="28"/>
          <w:lang w:val="zh-CN"/>
        </w:rPr>
      </w:pPr>
      <w:r>
        <w:rPr>
          <w:rFonts w:hint="eastAsia" w:eastAsia="仿宋_GB2312"/>
          <w:sz w:val="28"/>
          <w:szCs w:val="28"/>
          <w:lang w:val="zh-CN"/>
        </w:rPr>
        <w:t>此次座谈会，极大提高了与会人员对突发环境事件应急预案的了解，增强了大家应对突发环境风险事件的预防预警意识。</w:t>
      </w:r>
    </w:p>
    <w:p>
      <w:pPr>
        <w:pStyle w:val="2"/>
        <w:rPr>
          <w:lang w:val="zh-CN"/>
        </w:rPr>
      </w:pPr>
      <w:r>
        <w:rPr>
          <w:rFonts w:hint="eastAsia"/>
        </w:rPr>
        <w:t>九</w:t>
      </w:r>
      <w:r>
        <w:rPr>
          <w:rFonts w:hint="eastAsia"/>
          <w:lang w:val="zh-CN"/>
        </w:rPr>
        <w:t>、</w:t>
      </w:r>
      <w:r>
        <w:rPr>
          <w:rFonts w:hint="eastAsia"/>
        </w:rPr>
        <w:t>专家</w:t>
      </w:r>
      <w:r>
        <w:rPr>
          <w:rFonts w:hint="eastAsia"/>
          <w:lang w:val="zh-CN"/>
        </w:rPr>
        <w:t xml:space="preserve">函审情况说明 </w:t>
      </w:r>
    </w:p>
    <w:p>
      <w:pPr>
        <w:overflowPunct w:val="0"/>
        <w:topLinePunct/>
        <w:spacing w:before="41" w:line="361" w:lineRule="auto"/>
        <w:ind w:left="120" w:right="118" w:firstLine="560"/>
        <w:jc w:val="both"/>
        <w:rPr>
          <w:rFonts w:eastAsia="仿宋_GB2312"/>
          <w:bCs/>
          <w:kern w:val="24"/>
        </w:rPr>
        <w:sectPr>
          <w:footerReference r:id="rId5" w:type="default"/>
          <w:pgSz w:w="11910" w:h="16840"/>
          <w:pgMar w:top="860" w:right="1360" w:bottom="1180" w:left="1360" w:header="0" w:footer="982" w:gutter="0"/>
          <w:pgNumType w:start="1"/>
          <w:cols w:equalWidth="0" w:num="1">
            <w:col w:w="9190"/>
          </w:cols>
        </w:sectPr>
      </w:pPr>
      <w:r>
        <w:rPr>
          <w:rFonts w:hint="eastAsia" w:eastAsia="仿宋_GB2312"/>
          <w:sz w:val="28"/>
          <w:szCs w:val="28"/>
          <w:lang w:val="zh-CN"/>
        </w:rPr>
        <w:t>预案编制完成后，</w:t>
      </w:r>
      <w:r>
        <w:rPr>
          <w:rFonts w:hint="eastAsia" w:eastAsia="仿宋_GB2312"/>
          <w:sz w:val="28"/>
          <w:szCs w:val="28"/>
        </w:rPr>
        <w:t>邀请</w:t>
      </w:r>
      <w:r>
        <w:rPr>
          <w:rFonts w:hint="eastAsia" w:eastAsia="仿宋_GB2312"/>
          <w:sz w:val="28"/>
          <w:szCs w:val="28"/>
          <w:lang w:val="zh-CN"/>
        </w:rPr>
        <w:t>专家采取函审方式对该应急预案进行了技术审查。根据《企业突发环境事件风险评估指南（试行）》、《企业事业单位突发环境事件应急预案备案管理办法（试行）》、《企事业单位突发环境事件应急预案评审工作指南（试行）》等相关要求并结合企业具体情况，审查专家对应急预案进行了认真审查，</w:t>
      </w:r>
      <w:r>
        <w:rPr>
          <w:rFonts w:hint="eastAsia" w:eastAsia="仿宋_GB2312"/>
          <w:sz w:val="28"/>
          <w:szCs w:val="28"/>
        </w:rPr>
        <w:t>并提出了相应</w:t>
      </w:r>
      <w:r>
        <w:rPr>
          <w:rFonts w:hint="eastAsia" w:eastAsia="仿宋_GB2312"/>
          <w:sz w:val="28"/>
          <w:szCs w:val="28"/>
          <w:lang w:val="zh-CN"/>
        </w:rPr>
        <w:t>修改意见。</w:t>
      </w:r>
    </w:p>
    <w:p>
      <w:pPr>
        <w:topLinePunct/>
        <w:rPr>
          <w:rFonts w:eastAsia="仿宋_GB2312"/>
          <w:sz w:val="28"/>
          <w:szCs w:val="28"/>
          <w:lang w:val="zh-CN"/>
        </w:rPr>
      </w:pPr>
      <w:r>
        <w:rPr>
          <w:rFonts w:hint="eastAsia" w:eastAsia="仿宋_GB2312"/>
          <w:sz w:val="28"/>
          <w:szCs w:val="28"/>
          <w:lang w:val="zh-CN"/>
        </w:rPr>
        <w:t>附件</w:t>
      </w:r>
      <w:r>
        <w:rPr>
          <w:rFonts w:eastAsia="仿宋_GB2312"/>
          <w:sz w:val="28"/>
          <w:szCs w:val="28"/>
          <w:lang w:val="zh-CN"/>
        </w:rPr>
        <w:t>1</w:t>
      </w:r>
    </w:p>
    <w:p>
      <w:pPr>
        <w:topLinePunct/>
        <w:jc w:val="center"/>
        <w:rPr>
          <w:rFonts w:eastAsia="仿宋_GB2312"/>
          <w:b/>
          <w:sz w:val="28"/>
          <w:szCs w:val="28"/>
          <w:highlight w:val="none"/>
          <w:lang w:val="zh-CN"/>
        </w:rPr>
      </w:pPr>
      <w:r>
        <w:rPr>
          <w:rFonts w:hint="eastAsia" w:eastAsia="仿宋_GB2312"/>
          <w:b/>
          <w:sz w:val="28"/>
          <w:szCs w:val="28"/>
          <w:lang w:val="zh-CN"/>
        </w:rPr>
        <w:t>企业突发环境事件应急预案公众参与</w:t>
      </w:r>
    </w:p>
    <w:p>
      <w:pPr>
        <w:topLinePunct/>
        <w:jc w:val="center"/>
        <w:rPr>
          <w:rFonts w:eastAsia="仿宋_GB2312"/>
          <w:b/>
          <w:sz w:val="28"/>
          <w:szCs w:val="28"/>
          <w:highlight w:val="none"/>
          <w:lang w:val="zh-CN"/>
        </w:rPr>
      </w:pPr>
      <w:r>
        <w:rPr>
          <w:rFonts w:hint="eastAsia" w:eastAsia="仿宋_GB2312"/>
          <w:b/>
          <w:sz w:val="28"/>
          <w:szCs w:val="28"/>
          <w:highlight w:val="none"/>
          <w:lang w:val="zh-CN"/>
        </w:rPr>
        <w:t>征求意见表</w:t>
      </w:r>
    </w:p>
    <w:p>
      <w:pPr>
        <w:topLinePunct/>
        <w:rPr>
          <w:rFonts w:hint="default" w:eastAsia="仿宋_GB2312"/>
          <w:lang w:val="en-US" w:eastAsia="zh-CN"/>
        </w:rPr>
      </w:pPr>
      <w:r>
        <w:rPr>
          <w:rFonts w:hint="eastAsia" w:eastAsia="仿宋_GB2312"/>
          <w:lang w:val="zh-CN"/>
        </w:rPr>
        <w:t>日期：</w:t>
      </w:r>
      <w:r>
        <w:rPr>
          <w:rFonts w:eastAsia="仿宋_GB2312"/>
        </w:rPr>
        <w:t>20</w:t>
      </w:r>
      <w:r>
        <w:rPr>
          <w:rFonts w:hint="eastAsia" w:eastAsia="仿宋_GB2312"/>
        </w:rPr>
        <w:t>2</w:t>
      </w:r>
      <w:r>
        <w:rPr>
          <w:rFonts w:hint="eastAsia" w:eastAsia="仿宋_GB2312"/>
          <w:lang w:val="en-US" w:eastAsia="zh-CN"/>
        </w:rPr>
        <w:t>1</w:t>
      </w:r>
      <w:r>
        <w:rPr>
          <w:rFonts w:eastAsia="仿宋_GB2312"/>
          <w:lang w:val="zh-CN"/>
        </w:rPr>
        <w:t>.</w:t>
      </w:r>
      <w:r>
        <w:rPr>
          <w:rFonts w:hint="eastAsia" w:eastAsia="仿宋_GB2312"/>
          <w:lang w:val="en-US" w:eastAsia="zh-CN"/>
        </w:rPr>
        <w:t>03</w:t>
      </w:r>
      <w:r>
        <w:rPr>
          <w:rFonts w:eastAsia="仿宋_GB2312"/>
        </w:rPr>
        <w:t>.</w:t>
      </w:r>
      <w:r>
        <w:rPr>
          <w:rFonts w:hint="eastAsia" w:eastAsia="仿宋_GB2312"/>
          <w:lang w:val="en-US" w:eastAsia="zh-CN"/>
        </w:rPr>
        <w:t>20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309"/>
        <w:gridCol w:w="638"/>
        <w:gridCol w:w="947"/>
        <w:gridCol w:w="947"/>
        <w:gridCol w:w="343"/>
        <w:gridCol w:w="604"/>
        <w:gridCol w:w="858"/>
        <w:gridCol w:w="900"/>
        <w:gridCol w:w="488"/>
        <w:gridCol w:w="595"/>
        <w:gridCol w:w="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5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公司名称</w:t>
            </w:r>
          </w:p>
        </w:tc>
        <w:tc>
          <w:tcPr>
            <w:tcW w:w="7267" w:type="dxa"/>
            <w:gridSpan w:val="10"/>
            <w:vAlign w:val="center"/>
          </w:tcPr>
          <w:p>
            <w:pPr>
              <w:topLinePunct/>
              <w:textAlignment w:val="baseline"/>
              <w:rPr>
                <w:rFonts w:eastAsia="仿宋"/>
                <w:lang w:val="zh-CN"/>
              </w:rPr>
            </w:pPr>
            <w:r>
              <w:rPr>
                <w:rFonts w:hint="eastAsia" w:eastAsia="仿宋"/>
                <w:lang w:val="zh-CN"/>
              </w:rPr>
              <w:t>咸阳新景途机械制造有限公司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</w:trPr>
        <w:tc>
          <w:tcPr>
            <w:tcW w:w="1255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公司地址</w:t>
            </w:r>
          </w:p>
        </w:tc>
        <w:tc>
          <w:tcPr>
            <w:tcW w:w="7267" w:type="dxa"/>
            <w:gridSpan w:val="10"/>
            <w:vAlign w:val="center"/>
          </w:tcPr>
          <w:p>
            <w:pPr>
              <w:topLinePunct/>
              <w:textAlignment w:val="baseline"/>
              <w:rPr>
                <w:rFonts w:eastAsia="仿宋"/>
                <w:lang w:val="zh-CN"/>
              </w:rPr>
            </w:pPr>
            <w:r>
              <w:rPr>
                <w:rFonts w:hint="default" w:eastAsia="仿宋"/>
                <w:lang w:val="zh-CN" w:eastAsia="zh-CN"/>
              </w:rPr>
              <w:t>秦汉新城双照街办</w:t>
            </w:r>
            <w:bookmarkStart w:id="0" w:name="_GoBack"/>
            <w:bookmarkEnd w:id="0"/>
            <w:r>
              <w:rPr>
                <w:rFonts w:hint="default" w:eastAsia="仿宋"/>
                <w:lang w:val="zh-CN" w:eastAsia="zh-CN"/>
              </w:rPr>
              <w:t>咸长路2号陕西泰安电子科技有限公司厂内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5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公司概况</w:t>
            </w:r>
          </w:p>
        </w:tc>
        <w:tc>
          <w:tcPr>
            <w:tcW w:w="7267" w:type="dxa"/>
            <w:gridSpan w:val="10"/>
            <w:vAlign w:val="center"/>
          </w:tcPr>
          <w:p>
            <w:pPr>
              <w:topLinePunct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公司人数</w:t>
            </w:r>
            <w:r>
              <w:rPr>
                <w:rFonts w:hint="eastAsia" w:eastAsia="仿宋"/>
                <w:lang w:val="en-US" w:eastAsia="zh-CN"/>
              </w:rPr>
              <w:t>20</w:t>
            </w:r>
            <w:r>
              <w:rPr>
                <w:rFonts w:eastAsia="仿宋"/>
                <w:lang w:val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被调查人情况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946" w:type="dxa"/>
            <w:vMerge w:val="restart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姓名</w:t>
            </w:r>
          </w:p>
        </w:tc>
        <w:tc>
          <w:tcPr>
            <w:tcW w:w="947" w:type="dxa"/>
            <w:gridSpan w:val="2"/>
            <w:vMerge w:val="restart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  <w:tc>
          <w:tcPr>
            <w:tcW w:w="947" w:type="dxa"/>
            <w:vMerge w:val="restart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性别</w:t>
            </w:r>
          </w:p>
        </w:tc>
        <w:tc>
          <w:tcPr>
            <w:tcW w:w="947" w:type="dxa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男</w:t>
            </w:r>
          </w:p>
        </w:tc>
        <w:tc>
          <w:tcPr>
            <w:tcW w:w="947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女</w:t>
            </w:r>
          </w:p>
        </w:tc>
        <w:tc>
          <w:tcPr>
            <w:tcW w:w="858" w:type="dxa"/>
            <w:vMerge w:val="restart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年龄</w:t>
            </w:r>
          </w:p>
        </w:tc>
        <w:tc>
          <w:tcPr>
            <w:tcW w:w="900" w:type="dxa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&lt;30岁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30-50岁</w:t>
            </w:r>
          </w:p>
        </w:tc>
        <w:tc>
          <w:tcPr>
            <w:tcW w:w="947" w:type="dxa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&gt;50岁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Merge w:val="continue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  <w:tc>
          <w:tcPr>
            <w:tcW w:w="947" w:type="dxa"/>
            <w:gridSpan w:val="2"/>
            <w:vMerge w:val="continue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  <w:tc>
          <w:tcPr>
            <w:tcW w:w="947" w:type="dxa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  <w:tc>
          <w:tcPr>
            <w:tcW w:w="858" w:type="dxa"/>
            <w:vMerge w:val="continue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  <w:tc>
          <w:tcPr>
            <w:tcW w:w="900" w:type="dxa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  <w:tc>
          <w:tcPr>
            <w:tcW w:w="1083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  <w:tc>
          <w:tcPr>
            <w:tcW w:w="947" w:type="dxa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Merge w:val="restart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文化</w:t>
            </w:r>
          </w:p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程度</w:t>
            </w:r>
          </w:p>
        </w:tc>
        <w:tc>
          <w:tcPr>
            <w:tcW w:w="1894" w:type="dxa"/>
            <w:gridSpan w:val="3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</w:rPr>
            </w:pPr>
            <w:r>
              <w:rPr>
                <w:rFonts w:hint="eastAsia" w:eastAsia="仿宋"/>
              </w:rPr>
              <w:t>高中及以下</w:t>
            </w:r>
          </w:p>
        </w:tc>
        <w:tc>
          <w:tcPr>
            <w:tcW w:w="947" w:type="dxa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</w:rPr>
            </w:pPr>
            <w:r>
              <w:rPr>
                <w:rFonts w:hint="eastAsia" w:eastAsia="仿宋"/>
              </w:rPr>
              <w:t>专科</w:t>
            </w:r>
          </w:p>
        </w:tc>
        <w:tc>
          <w:tcPr>
            <w:tcW w:w="947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</w:rPr>
            </w:pPr>
            <w:r>
              <w:rPr>
                <w:rFonts w:eastAsia="仿宋"/>
                <w:lang w:val="zh-CN"/>
              </w:rPr>
              <w:t>本科</w:t>
            </w:r>
          </w:p>
        </w:tc>
        <w:tc>
          <w:tcPr>
            <w:tcW w:w="858" w:type="dxa"/>
            <w:vMerge w:val="restart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职业</w:t>
            </w:r>
          </w:p>
        </w:tc>
        <w:tc>
          <w:tcPr>
            <w:tcW w:w="900" w:type="dxa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</w:rPr>
            </w:pPr>
            <w:r>
              <w:rPr>
                <w:rFonts w:hint="eastAsia" w:eastAsia="仿宋"/>
              </w:rPr>
              <w:t>群众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职员</w:t>
            </w:r>
          </w:p>
        </w:tc>
        <w:tc>
          <w:tcPr>
            <w:tcW w:w="947" w:type="dxa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Merge w:val="continue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  <w:tc>
          <w:tcPr>
            <w:tcW w:w="1894" w:type="dxa"/>
            <w:gridSpan w:val="3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  <w:tc>
          <w:tcPr>
            <w:tcW w:w="947" w:type="dxa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  <w:tc>
          <w:tcPr>
            <w:tcW w:w="858" w:type="dxa"/>
            <w:vMerge w:val="continue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  <w:tc>
          <w:tcPr>
            <w:tcW w:w="900" w:type="dxa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  <w:tc>
          <w:tcPr>
            <w:tcW w:w="1083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  <w:tc>
          <w:tcPr>
            <w:tcW w:w="947" w:type="dxa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3" w:type="dxa"/>
            <w:gridSpan w:val="3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工作单位或</w:t>
            </w:r>
          </w:p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家庭住址</w:t>
            </w:r>
          </w:p>
        </w:tc>
        <w:tc>
          <w:tcPr>
            <w:tcW w:w="3699" w:type="dxa"/>
            <w:gridSpan w:val="5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  <w:tc>
          <w:tcPr>
            <w:tcW w:w="900" w:type="dxa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联系</w:t>
            </w:r>
          </w:p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电话</w:t>
            </w:r>
          </w:p>
        </w:tc>
        <w:tc>
          <w:tcPr>
            <w:tcW w:w="2030" w:type="dxa"/>
            <w:gridSpan w:val="3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4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你认为公司所在区域的主要环境风险是什么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大气污染</w:t>
            </w:r>
          </w:p>
        </w:tc>
        <w:tc>
          <w:tcPr>
            <w:tcW w:w="1462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水污染</w:t>
            </w:r>
          </w:p>
        </w:tc>
        <w:tc>
          <w:tcPr>
            <w:tcW w:w="1388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噪音污染</w:t>
            </w:r>
          </w:p>
        </w:tc>
        <w:tc>
          <w:tcPr>
            <w:tcW w:w="1542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没有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4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通过介绍，你对本公司环境污染的了解程度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很清楚</w:t>
            </w:r>
          </w:p>
        </w:tc>
        <w:tc>
          <w:tcPr>
            <w:tcW w:w="1462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了解</w:t>
            </w:r>
          </w:p>
        </w:tc>
        <w:tc>
          <w:tcPr>
            <w:tcW w:w="1388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听说过</w:t>
            </w:r>
          </w:p>
        </w:tc>
        <w:tc>
          <w:tcPr>
            <w:tcW w:w="1542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不知道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4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你认为本项目对周围环境的影响程度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很大</w:t>
            </w:r>
          </w:p>
        </w:tc>
        <w:tc>
          <w:tcPr>
            <w:tcW w:w="1462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较小</w:t>
            </w:r>
          </w:p>
        </w:tc>
        <w:tc>
          <w:tcPr>
            <w:tcW w:w="1388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很小</w:t>
            </w:r>
          </w:p>
        </w:tc>
        <w:tc>
          <w:tcPr>
            <w:tcW w:w="1542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不知道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4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你认为本项目造成的主要环境风险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大气污染</w:t>
            </w:r>
          </w:p>
        </w:tc>
        <w:tc>
          <w:tcPr>
            <w:tcW w:w="1462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废水污染</w:t>
            </w:r>
          </w:p>
        </w:tc>
        <w:tc>
          <w:tcPr>
            <w:tcW w:w="1388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噪音污染</w:t>
            </w:r>
          </w:p>
        </w:tc>
        <w:tc>
          <w:tcPr>
            <w:tcW w:w="1542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没有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4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你认为可采取什么措施降低风险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加强日常管理</w:t>
            </w:r>
          </w:p>
        </w:tc>
        <w:tc>
          <w:tcPr>
            <w:tcW w:w="1462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购置应急设施</w:t>
            </w:r>
          </w:p>
        </w:tc>
        <w:tc>
          <w:tcPr>
            <w:tcW w:w="1388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加强风险排查</w:t>
            </w:r>
          </w:p>
        </w:tc>
        <w:tc>
          <w:tcPr>
            <w:tcW w:w="1542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搬迁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4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本公司存在对你生活有哪些影响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工作</w:t>
            </w:r>
          </w:p>
        </w:tc>
        <w:tc>
          <w:tcPr>
            <w:tcW w:w="1462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休息</w:t>
            </w:r>
          </w:p>
        </w:tc>
        <w:tc>
          <w:tcPr>
            <w:tcW w:w="1388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无影响</w:t>
            </w:r>
          </w:p>
        </w:tc>
        <w:tc>
          <w:tcPr>
            <w:tcW w:w="1542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4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你对本公司风险防范和应急措施的态度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满意</w:t>
            </w:r>
          </w:p>
        </w:tc>
        <w:tc>
          <w:tcPr>
            <w:tcW w:w="1462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需要改进</w:t>
            </w:r>
          </w:p>
        </w:tc>
        <w:tc>
          <w:tcPr>
            <w:tcW w:w="1388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不满意</w:t>
            </w:r>
          </w:p>
        </w:tc>
        <w:tc>
          <w:tcPr>
            <w:tcW w:w="1542" w:type="dxa"/>
            <w:gridSpan w:val="2"/>
            <w:vAlign w:val="center"/>
          </w:tcPr>
          <w:p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不关心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8" w:hRule="atLeast"/>
        </w:trPr>
        <w:tc>
          <w:tcPr>
            <w:tcW w:w="8522" w:type="dxa"/>
            <w:gridSpan w:val="12"/>
          </w:tcPr>
          <w:p>
            <w:pPr>
              <w:topLinePunct/>
              <w:jc w:val="both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你对本公司风险防范和应急措施的建议</w:t>
            </w:r>
            <w:r>
              <w:rPr>
                <w:rFonts w:hint="eastAsia" w:eastAsia="仿宋"/>
                <w:lang w:val="zh-CN"/>
              </w:rPr>
              <w:t>：</w:t>
            </w:r>
          </w:p>
          <w:p>
            <w:pPr>
              <w:topLinePunct/>
              <w:jc w:val="both"/>
              <w:textAlignment w:val="baseline"/>
              <w:rPr>
                <w:rFonts w:eastAsia="仿宋"/>
                <w:lang w:val="zh-CN"/>
              </w:rPr>
            </w:pPr>
          </w:p>
        </w:tc>
      </w:tr>
    </w:tbl>
    <w:p>
      <w:pPr>
        <w:topLinePunct/>
        <w:rPr>
          <w:rFonts w:eastAsia="仿宋_GB2312"/>
          <w:sz w:val="28"/>
          <w:szCs w:val="28"/>
          <w:lang w:val="zh-CN"/>
        </w:rPr>
      </w:pPr>
      <w:r>
        <w:pict>
          <v:group id="_x0000_s1027" o:spid="_x0000_s1027" o:spt="203" style="position:absolute;left:0pt;margin-left:90pt;margin-top:33.5pt;height:537pt;width:415.3pt;mso-position-horizontal-relative:page;z-index:-1024;mso-width-relative:page;mso-height-relative:page;" coordorigin="18,6" coordsize="83,107402" o:allowincell="f">
            <o:lock v:ext="edit"/>
            <v:rect id="_x0000_s1028" o:spid="_x0000_s1028" o:spt="1" style="position:absolute;left:18;top:6;height:108;width:83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widowControl/>
                      <w:autoSpaceDE/>
                      <w:autoSpaceDN/>
                      <w:adjustRightInd/>
                      <w:spacing w:line="10740" w:lineRule="atLeast"/>
                    </w:pPr>
                  </w:p>
                  <w:p/>
                </w:txbxContent>
              </v:textbox>
            </v:rect>
            <v:rect id="_x0000_s1029" o:spid="_x0000_s1029" o:spt="1" style="position:absolute;left:81;top:24;height:1;width:1;" stroked="f" coordsize="21600,21600">
              <v:path arrowok="t"/>
              <v:fill focussize="0,0"/>
              <v:stroke on="f"/>
              <v:imagedata o:title=""/>
              <o:lock v:ext="edit"/>
            </v:rect>
            <v:rect id="_x0000_s1030" o:spid="_x0000_s1030" o:spt="1" style="position:absolute;left:84;top:23;height:2;width:2;" stroked="f" coordsize="21600,21600">
              <v:path arrowok="t"/>
              <v:fill focussize="0,0"/>
              <v:stroke on="f"/>
              <v:imagedata o:title=""/>
              <o:lock v:ext="edit"/>
            </v:rect>
          </v:group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insoku w:val="0"/>
      <w:overflowPunct w:val="0"/>
      <w:spacing w:line="14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insoku w:val="0"/>
      <w:overflowPunct w:val="0"/>
      <w:spacing w:line="14" w:lineRule="auto"/>
      <w:rPr>
        <w:sz w:val="20"/>
        <w:szCs w:val="20"/>
      </w:rPr>
    </w:pPr>
    <w:r>
      <w:pict>
        <v:shape id="_x0000_s2049" o:spid="_x0000_s2049" o:spt="202" type="#_x0000_t202" style="position:absolute;left:0pt;margin-top:781.9pt;height:11pt;width:8.5pt;mso-position-horizontal:center;mso-position-horizontal-relative:margin;mso-position-vertical-relative:page;z-index:1024;mso-width-relative:page;mso-height-relative:page;" filled="f" stroked="f" coordsize="21600,21600" o:allowincell="f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kinsoku w:val="0"/>
                  <w:overflowPunct w:val="0"/>
                  <w:spacing w:line="204" w:lineRule="exact"/>
                  <w:ind w:left="40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fldChar w:fldCharType="begin"/>
                </w:r>
                <w:r>
                  <w:rPr>
                    <w:sz w:val="18"/>
                    <w:szCs w:val="18"/>
                  </w:rPr>
                  <w:instrText xml:space="preserve"> PAGE </w:instrText>
                </w:r>
                <w:r>
                  <w:rPr>
                    <w:sz w:val="18"/>
                    <w:szCs w:val="18"/>
                  </w:rPr>
                  <w:fldChar w:fldCharType="separate"/>
                </w:r>
                <w:r>
                  <w:rPr>
                    <w:sz w:val="18"/>
                    <w:szCs w:val="18"/>
                  </w:rPr>
                  <w:t>1</w:t>
                </w:r>
                <w:r>
                  <w:rPr>
                    <w:sz w:val="18"/>
                    <w:szCs w:val="18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right"/>
      <w:rPr>
        <w:rFonts w:ascii="仿宋" w:hAnsi="仿宋" w:eastAsia="仿宋"/>
        <w:b/>
        <w:sz w:val="21"/>
        <w:szCs w:val="21"/>
      </w:rPr>
    </w:pPr>
  </w:p>
  <w:p>
    <w:pPr>
      <w:pStyle w:val="13"/>
      <w:jc w:val="right"/>
      <w:rPr>
        <w:rFonts w:ascii="仿宋" w:hAnsi="仿宋" w:eastAsia="仿宋"/>
        <w:b/>
        <w:sz w:val="21"/>
        <w:szCs w:val="21"/>
      </w:rPr>
    </w:pPr>
  </w:p>
  <w:p>
    <w:pPr>
      <w:pStyle w:val="13"/>
      <w:jc w:val="right"/>
      <w:rPr>
        <w:rFonts w:ascii="仿宋" w:hAnsi="仿宋" w:eastAsia="仿宋"/>
        <w:b/>
        <w:sz w:val="21"/>
        <w:szCs w:val="21"/>
      </w:rPr>
    </w:pPr>
    <w:r>
      <w:rPr>
        <w:rFonts w:hint="eastAsia" w:ascii="仿宋" w:hAnsi="仿宋" w:eastAsia="仿宋"/>
        <w:b/>
        <w:sz w:val="21"/>
        <w:szCs w:val="21"/>
        <w:lang w:eastAsia="zh-CN"/>
      </w:rPr>
      <w:t>咸阳新景途机械制造有限公司</w:t>
    </w:r>
    <w:r>
      <w:rPr>
        <w:rFonts w:hint="eastAsia" w:ascii="仿宋" w:hAnsi="仿宋" w:eastAsia="仿宋"/>
        <w:b/>
        <w:sz w:val="21"/>
        <w:szCs w:val="21"/>
      </w:rPr>
      <w:t>突发环境事件应急预案编制说明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561C"/>
    <w:rsid w:val="0003242A"/>
    <w:rsid w:val="00074F41"/>
    <w:rsid w:val="000E59B2"/>
    <w:rsid w:val="00134700"/>
    <w:rsid w:val="002B2E9D"/>
    <w:rsid w:val="002E7BE8"/>
    <w:rsid w:val="00317689"/>
    <w:rsid w:val="00396613"/>
    <w:rsid w:val="004423EC"/>
    <w:rsid w:val="004D5061"/>
    <w:rsid w:val="006102D1"/>
    <w:rsid w:val="00683481"/>
    <w:rsid w:val="006B7B56"/>
    <w:rsid w:val="00754A10"/>
    <w:rsid w:val="00761822"/>
    <w:rsid w:val="007F4C76"/>
    <w:rsid w:val="008636D3"/>
    <w:rsid w:val="00A0627A"/>
    <w:rsid w:val="00A36B15"/>
    <w:rsid w:val="00AA2825"/>
    <w:rsid w:val="00AB171D"/>
    <w:rsid w:val="00B13198"/>
    <w:rsid w:val="00B31B55"/>
    <w:rsid w:val="00B42DB8"/>
    <w:rsid w:val="00B766ED"/>
    <w:rsid w:val="00B84AF1"/>
    <w:rsid w:val="00C31F02"/>
    <w:rsid w:val="00CD75E3"/>
    <w:rsid w:val="00CF525C"/>
    <w:rsid w:val="00CF561C"/>
    <w:rsid w:val="00DB566A"/>
    <w:rsid w:val="00DC7D46"/>
    <w:rsid w:val="00E7610C"/>
    <w:rsid w:val="00EE638A"/>
    <w:rsid w:val="040314BC"/>
    <w:rsid w:val="04DF6571"/>
    <w:rsid w:val="059F02B9"/>
    <w:rsid w:val="104F6D7D"/>
    <w:rsid w:val="14037CD5"/>
    <w:rsid w:val="14183CFD"/>
    <w:rsid w:val="14CC530B"/>
    <w:rsid w:val="16130A0A"/>
    <w:rsid w:val="1ACA5949"/>
    <w:rsid w:val="27196420"/>
    <w:rsid w:val="2FB952FD"/>
    <w:rsid w:val="302D7B1D"/>
    <w:rsid w:val="30AF4395"/>
    <w:rsid w:val="36CC23E8"/>
    <w:rsid w:val="3EF56F8C"/>
    <w:rsid w:val="41015D0E"/>
    <w:rsid w:val="44CD74B4"/>
    <w:rsid w:val="4CA80B6F"/>
    <w:rsid w:val="4CB369E0"/>
    <w:rsid w:val="4E994F94"/>
    <w:rsid w:val="54915E1E"/>
    <w:rsid w:val="55957F1F"/>
    <w:rsid w:val="5902524D"/>
    <w:rsid w:val="66B8227C"/>
    <w:rsid w:val="67CE0A85"/>
    <w:rsid w:val="688E31F0"/>
    <w:rsid w:val="69AE1548"/>
    <w:rsid w:val="6D727DD2"/>
    <w:rsid w:val="7BB35B44"/>
    <w:rsid w:val="7D90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semiHidden="0" w:name="heading 2" w:locked="1"/>
    <w:lsdException w:qFormat="1" w:uiPriority="0" w:semiHidden="0" w:name="heading 3" w:locked="1"/>
    <w:lsdException w:qFormat="1" w:uiPriority="0" w:semiHidden="0" w:name="heading 4" w:locked="1"/>
    <w:lsdException w:qFormat="1" w:uiPriority="0" w:semiHidden="0" w:name="heading 5" w:locked="1"/>
    <w:lsdException w:qFormat="1" w:unhideWhenUsed="0" w:uiPriority="99" w:semiHidden="0" w:name="heading 6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spacing w:line="360" w:lineRule="auto"/>
      <w:outlineLvl w:val="0"/>
    </w:pPr>
    <w:rPr>
      <w:rFonts w:eastAsia="仿宋" w:cs="仿宋"/>
      <w:b/>
      <w:sz w:val="28"/>
      <w:szCs w:val="52"/>
    </w:rPr>
  </w:style>
  <w:style w:type="paragraph" w:styleId="3">
    <w:name w:val="heading 2"/>
    <w:basedOn w:val="1"/>
    <w:next w:val="1"/>
    <w:unhideWhenUsed/>
    <w:qFormat/>
    <w:locked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locked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locked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unhideWhenUsed/>
    <w:qFormat/>
    <w:locked/>
    <w:uiPriority w:val="0"/>
    <w:pPr>
      <w:keepNext/>
      <w:keepLines/>
      <w:spacing w:before="280" w:after="290" w:line="372" w:lineRule="auto"/>
      <w:outlineLvl w:val="4"/>
    </w:pPr>
    <w:rPr>
      <w:b/>
      <w:sz w:val="28"/>
    </w:rPr>
  </w:style>
  <w:style w:type="paragraph" w:styleId="7">
    <w:name w:val="heading 6"/>
    <w:basedOn w:val="1"/>
    <w:next w:val="1"/>
    <w:link w:val="20"/>
    <w:qFormat/>
    <w:uiPriority w:val="99"/>
    <w:pPr>
      <w:spacing w:before="59"/>
      <w:ind w:left="680"/>
      <w:outlineLvl w:val="5"/>
    </w:pPr>
    <w:rPr>
      <w:rFonts w:ascii="宋体" w:eastAsia="Times New Roman" w:cs="宋体"/>
      <w:sz w:val="28"/>
      <w:szCs w:val="28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annotation text"/>
    <w:basedOn w:val="1"/>
    <w:link w:val="21"/>
    <w:qFormat/>
    <w:uiPriority w:val="99"/>
  </w:style>
  <w:style w:type="paragraph" w:styleId="9">
    <w:name w:val="Body Text"/>
    <w:basedOn w:val="1"/>
    <w:link w:val="30"/>
    <w:qFormat/>
    <w:uiPriority w:val="1"/>
    <w:pPr>
      <w:autoSpaceDE/>
      <w:autoSpaceDN/>
      <w:adjustRightInd/>
      <w:spacing w:line="360" w:lineRule="auto"/>
      <w:jc w:val="both"/>
    </w:pPr>
    <w:rPr>
      <w:rFonts w:ascii="仿宋" w:hAnsi="仿宋" w:eastAsia="仿宋" w:cs="仿宋"/>
      <w:kern w:val="2"/>
      <w:sz w:val="28"/>
      <w:szCs w:val="28"/>
      <w:lang w:val="zh-CN" w:bidi="zh-CN"/>
    </w:rPr>
  </w:style>
  <w:style w:type="paragraph" w:styleId="10">
    <w:name w:val="Plain Text"/>
    <w:basedOn w:val="1"/>
    <w:link w:val="22"/>
    <w:qFormat/>
    <w:uiPriority w:val="99"/>
    <w:pPr>
      <w:autoSpaceDE/>
      <w:autoSpaceDN/>
      <w:adjustRightInd/>
      <w:jc w:val="both"/>
    </w:pPr>
    <w:rPr>
      <w:rFonts w:ascii="宋体" w:hAnsi="Courier New" w:eastAsia="Times New Roman"/>
      <w:kern w:val="2"/>
      <w:sz w:val="21"/>
      <w:szCs w:val="20"/>
      <w:lang w:val="zh-CN"/>
    </w:rPr>
  </w:style>
  <w:style w:type="paragraph" w:styleId="11">
    <w:name w:val="Balloon Text"/>
    <w:basedOn w:val="1"/>
    <w:link w:val="23"/>
    <w:qFormat/>
    <w:uiPriority w:val="99"/>
    <w:rPr>
      <w:sz w:val="18"/>
      <w:szCs w:val="18"/>
    </w:rPr>
  </w:style>
  <w:style w:type="paragraph" w:styleId="12">
    <w:name w:val="footer"/>
    <w:basedOn w:val="1"/>
    <w:link w:val="24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header"/>
    <w:basedOn w:val="1"/>
    <w:link w:val="2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annotation subject"/>
    <w:basedOn w:val="8"/>
    <w:next w:val="8"/>
    <w:link w:val="29"/>
    <w:semiHidden/>
    <w:unhideWhenUsed/>
    <w:qFormat/>
    <w:uiPriority w:val="99"/>
    <w:rPr>
      <w:b/>
      <w:bCs/>
    </w:rPr>
  </w:style>
  <w:style w:type="table" w:styleId="16">
    <w:name w:val="Table Grid"/>
    <w:basedOn w:val="15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annotation reference"/>
    <w:semiHidden/>
    <w:qFormat/>
    <w:uiPriority w:val="99"/>
    <w:rPr>
      <w:rFonts w:cs="Times New Roman"/>
      <w:sz w:val="21"/>
      <w:szCs w:val="21"/>
    </w:rPr>
  </w:style>
  <w:style w:type="character" w:customStyle="1" w:styleId="19">
    <w:name w:val="标题 1 字符"/>
    <w:link w:val="2"/>
    <w:qFormat/>
    <w:locked/>
    <w:uiPriority w:val="99"/>
    <w:rPr>
      <w:rFonts w:ascii="Times New Roman" w:hAnsi="Times New Roman" w:eastAsia="仿宋" w:cs="仿宋"/>
      <w:b/>
      <w:kern w:val="0"/>
      <w:sz w:val="28"/>
      <w:szCs w:val="52"/>
    </w:rPr>
  </w:style>
  <w:style w:type="character" w:customStyle="1" w:styleId="20">
    <w:name w:val="标题 6 字符"/>
    <w:link w:val="7"/>
    <w:qFormat/>
    <w:locked/>
    <w:uiPriority w:val="99"/>
    <w:rPr>
      <w:rFonts w:ascii="宋体" w:hAnsi="Times New Roman" w:eastAsia="Times New Roman" w:cs="宋体"/>
      <w:kern w:val="0"/>
      <w:sz w:val="28"/>
      <w:szCs w:val="28"/>
    </w:rPr>
  </w:style>
  <w:style w:type="character" w:customStyle="1" w:styleId="21">
    <w:name w:val="批注文字 字符"/>
    <w:link w:val="8"/>
    <w:semiHidden/>
    <w:qFormat/>
    <w:uiPriority w:val="99"/>
    <w:rPr>
      <w:rFonts w:ascii="Times New Roman" w:hAnsi="Times New Roman"/>
      <w:kern w:val="0"/>
      <w:sz w:val="24"/>
      <w:szCs w:val="24"/>
    </w:rPr>
  </w:style>
  <w:style w:type="character" w:customStyle="1" w:styleId="22">
    <w:name w:val="纯文本 字符"/>
    <w:link w:val="10"/>
    <w:qFormat/>
    <w:locked/>
    <w:uiPriority w:val="99"/>
    <w:rPr>
      <w:rFonts w:ascii="宋体" w:hAnsi="Courier New" w:eastAsia="Times New Roman" w:cs="Times New Roman"/>
      <w:sz w:val="20"/>
      <w:szCs w:val="20"/>
      <w:lang w:val="zh-CN" w:eastAsia="zh-CN"/>
    </w:rPr>
  </w:style>
  <w:style w:type="character" w:customStyle="1" w:styleId="23">
    <w:name w:val="批注框文本 字符"/>
    <w:link w:val="11"/>
    <w:semiHidden/>
    <w:qFormat/>
    <w:locked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24">
    <w:name w:val="页脚 字符"/>
    <w:link w:val="12"/>
    <w:qFormat/>
    <w:locked/>
    <w:uiPriority w:val="99"/>
    <w:rPr>
      <w:rFonts w:cs="Times New Roman"/>
      <w:sz w:val="18"/>
      <w:szCs w:val="18"/>
    </w:rPr>
  </w:style>
  <w:style w:type="character" w:customStyle="1" w:styleId="25">
    <w:name w:val="页眉 字符"/>
    <w:link w:val="13"/>
    <w:qFormat/>
    <w:locked/>
    <w:uiPriority w:val="99"/>
    <w:rPr>
      <w:rFonts w:cs="Times New Roman"/>
      <w:sz w:val="18"/>
      <w:szCs w:val="18"/>
    </w:rPr>
  </w:style>
  <w:style w:type="paragraph" w:customStyle="1" w:styleId="26">
    <w:name w:val="Table Paragraph"/>
    <w:basedOn w:val="1"/>
    <w:qFormat/>
    <w:uiPriority w:val="99"/>
  </w:style>
  <w:style w:type="paragraph" w:customStyle="1" w:styleId="27">
    <w:name w:val="xl56"/>
    <w:basedOn w:val="1"/>
    <w:qFormat/>
    <w:uiPriority w:val="99"/>
    <w:pPr>
      <w:widowControl/>
      <w:pBdr>
        <w:bottom w:val="single" w:color="auto" w:sz="8" w:space="0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Unicode MS" w:hAnsi="Arial Unicode MS" w:eastAsia="Arial Unicode MS" w:cs="Arial Unicode MS"/>
      <w:b/>
      <w:bCs/>
      <w:sz w:val="18"/>
      <w:szCs w:val="18"/>
    </w:rPr>
  </w:style>
  <w:style w:type="paragraph" w:styleId="28">
    <w:name w:val="List Paragraph"/>
    <w:basedOn w:val="1"/>
    <w:qFormat/>
    <w:uiPriority w:val="99"/>
    <w:pPr>
      <w:ind w:firstLine="420" w:firstLineChars="200"/>
    </w:pPr>
  </w:style>
  <w:style w:type="character" w:customStyle="1" w:styleId="29">
    <w:name w:val="批注主题 字符"/>
    <w:link w:val="14"/>
    <w:semiHidden/>
    <w:qFormat/>
    <w:uiPriority w:val="99"/>
    <w:rPr>
      <w:rFonts w:ascii="Times New Roman" w:hAnsi="Times New Roman"/>
      <w:b/>
      <w:bCs/>
      <w:kern w:val="0"/>
      <w:sz w:val="24"/>
      <w:szCs w:val="24"/>
    </w:rPr>
  </w:style>
  <w:style w:type="character" w:customStyle="1" w:styleId="30">
    <w:name w:val="正文文本 字符"/>
    <w:link w:val="9"/>
    <w:qFormat/>
    <w:uiPriority w:val="1"/>
    <w:rPr>
      <w:rFonts w:ascii="仿宋" w:hAnsi="仿宋" w:eastAsia="仿宋" w:cs="仿宋"/>
      <w:kern w:val="2"/>
      <w:sz w:val="28"/>
      <w:szCs w:val="2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1028"/>
    <customShpInfo spid="_x0000_s1029"/>
    <customShpInfo spid="_x0000_s1030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</Company>
  <Pages>6</Pages>
  <Words>425</Words>
  <Characters>2428</Characters>
  <Lines>20</Lines>
  <Paragraphs>5</Paragraphs>
  <TotalTime>1</TotalTime>
  <ScaleCrop>false</ScaleCrop>
  <LinksUpToDate>false</LinksUpToDate>
  <CharactersWithSpaces>2848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2018-11-30T00:35:00Z</dcterms:created>
  <dc:creator>Heather LIU</dc:creator>
  <cp:lastModifiedBy>文</cp:lastModifiedBy>
  <cp:lastPrinted>2020-07-03T00:52:00Z</cp:lastPrinted>
  <dcterms:modified xsi:type="dcterms:W3CDTF">2021-03-22T06:36:27Z</dcterms:modified>
  <dc:title>陕西好猫卷烟材料有限责任公司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